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229CD" w14:textId="17A21FA3" w:rsidR="00B537F4" w:rsidRPr="00D867E2" w:rsidRDefault="00C42637" w:rsidP="008D5571">
      <w:pPr>
        <w:pStyle w:val="Heading1"/>
      </w:pPr>
      <w:bookmarkStart w:id="0" w:name="_Hlk36451279"/>
      <w:bookmarkStart w:id="1" w:name="_GoBack"/>
      <w:bookmarkEnd w:id="1"/>
      <w:r w:rsidRPr="00D867E2">
        <w:t xml:space="preserve">The </w:t>
      </w:r>
      <w:r w:rsidR="009B1A2B" w:rsidRPr="00D867E2">
        <w:t>Impact of COVID-19</w:t>
      </w:r>
      <w:r w:rsidR="001558D8" w:rsidRPr="00D867E2">
        <w:t xml:space="preserve"> and Strategies for Mitigation and </w:t>
      </w:r>
      <w:r w:rsidR="000E25A5" w:rsidRPr="00D867E2">
        <w:t>Suppression</w:t>
      </w:r>
      <w:r w:rsidR="00841B40">
        <w:t xml:space="preserve"> in Low- and Middle-Income Countries</w:t>
      </w:r>
    </w:p>
    <w:bookmarkEnd w:id="0"/>
    <w:p w14:paraId="61344697" w14:textId="6601E018" w:rsidR="00312517" w:rsidRPr="00A528A6" w:rsidRDefault="00500BA6" w:rsidP="008D5571">
      <w:r w:rsidRPr="00A528A6">
        <w:t xml:space="preserve">Patrick </w:t>
      </w:r>
      <w:r w:rsidR="00E85F2F" w:rsidRPr="00A528A6">
        <w:t>G</w:t>
      </w:r>
      <w:r w:rsidR="00297210" w:rsidRPr="00A528A6">
        <w:t>.</w:t>
      </w:r>
      <w:r w:rsidR="00E85F2F" w:rsidRPr="00A528A6">
        <w:t>T</w:t>
      </w:r>
      <w:r w:rsidR="00297210" w:rsidRPr="00A528A6">
        <w:t>.</w:t>
      </w:r>
      <w:r w:rsidR="00E85F2F" w:rsidRPr="00A528A6">
        <w:t xml:space="preserve"> </w:t>
      </w:r>
      <w:r w:rsidRPr="00A528A6">
        <w:t>Walker</w:t>
      </w:r>
      <w:bookmarkStart w:id="2" w:name="_Hlk36588807"/>
      <w:r w:rsidR="002D758A" w:rsidRPr="002D758A">
        <w:rPr>
          <w:vertAlign w:val="superscript"/>
        </w:rPr>
        <w:t>1</w:t>
      </w:r>
      <w:bookmarkEnd w:id="2"/>
      <w:r w:rsidR="002A0078" w:rsidRPr="00A528A6">
        <w:rPr>
          <w:vertAlign w:val="superscript"/>
        </w:rPr>
        <w:t>+</w:t>
      </w:r>
      <w:r w:rsidRPr="00A528A6">
        <w:t>, Charl</w:t>
      </w:r>
      <w:r w:rsidR="00E85F2F" w:rsidRPr="00A528A6">
        <w:t>es</w:t>
      </w:r>
      <w:r w:rsidR="003465C9" w:rsidRPr="00A528A6">
        <w:t xml:space="preserve"> </w:t>
      </w:r>
      <w:r w:rsidRPr="00A528A6">
        <w:t>Whittaker</w:t>
      </w:r>
      <w:r w:rsidR="002D758A" w:rsidRPr="002D758A">
        <w:rPr>
          <w:vertAlign w:val="superscript"/>
        </w:rPr>
        <w:t>1</w:t>
      </w:r>
      <w:r w:rsidR="002A0078" w:rsidRPr="00A528A6">
        <w:rPr>
          <w:vertAlign w:val="superscript"/>
        </w:rPr>
        <w:t>+</w:t>
      </w:r>
      <w:r w:rsidRPr="00A528A6">
        <w:t xml:space="preserve">, </w:t>
      </w:r>
      <w:r w:rsidR="0009416E" w:rsidRPr="00A528A6">
        <w:t xml:space="preserve">Oliver </w:t>
      </w:r>
      <w:r w:rsidR="00726BC1">
        <w:t xml:space="preserve">J </w:t>
      </w:r>
      <w:r w:rsidR="0009416E" w:rsidRPr="00A528A6">
        <w:t>Watson</w:t>
      </w:r>
      <w:r w:rsidR="002D758A" w:rsidRPr="002D758A">
        <w:rPr>
          <w:vertAlign w:val="superscript"/>
        </w:rPr>
        <w:t>1</w:t>
      </w:r>
      <w:r w:rsidR="0009416E">
        <w:rPr>
          <w:vertAlign w:val="superscript"/>
        </w:rPr>
        <w:t>,</w:t>
      </w:r>
      <w:r w:rsidR="00525EAE">
        <w:rPr>
          <w:vertAlign w:val="superscript"/>
        </w:rPr>
        <w:t>2</w:t>
      </w:r>
      <w:r w:rsidR="00AD55A3" w:rsidRPr="00A528A6">
        <w:rPr>
          <w:vertAlign w:val="superscript"/>
        </w:rPr>
        <w:t>+</w:t>
      </w:r>
      <w:r w:rsidR="0009416E" w:rsidRPr="00A528A6">
        <w:t xml:space="preserve">, </w:t>
      </w:r>
      <w:r w:rsidR="000D67A8" w:rsidRPr="00A528A6">
        <w:t>Marc Baguelin</w:t>
      </w:r>
      <w:r w:rsidR="002D758A" w:rsidRPr="002D758A">
        <w:rPr>
          <w:vertAlign w:val="superscript"/>
        </w:rPr>
        <w:t>1</w:t>
      </w:r>
      <w:r w:rsidR="000D67A8">
        <w:rPr>
          <w:vertAlign w:val="superscript"/>
        </w:rPr>
        <w:t>,</w:t>
      </w:r>
      <w:r w:rsidR="00E43F21">
        <w:rPr>
          <w:vertAlign w:val="superscript"/>
        </w:rPr>
        <w:t>3</w:t>
      </w:r>
      <w:r w:rsidR="000D67A8">
        <w:t xml:space="preserve">, </w:t>
      </w:r>
      <w:r w:rsidR="00726BC1" w:rsidRPr="00A528A6">
        <w:t>Peter Winskill</w:t>
      </w:r>
      <w:r w:rsidR="002D758A" w:rsidRPr="002D758A">
        <w:rPr>
          <w:vertAlign w:val="superscript"/>
        </w:rPr>
        <w:t>1</w:t>
      </w:r>
      <w:r w:rsidR="00726BC1" w:rsidRPr="00A528A6">
        <w:t xml:space="preserve">, </w:t>
      </w:r>
      <w:r w:rsidR="00C75593">
        <w:t>Arran Hamlet</w:t>
      </w:r>
      <w:r w:rsidR="002D758A" w:rsidRPr="002D758A">
        <w:rPr>
          <w:vertAlign w:val="superscript"/>
        </w:rPr>
        <w:t>1</w:t>
      </w:r>
      <w:r w:rsidR="00C75593">
        <w:t xml:space="preserve">, </w:t>
      </w:r>
      <w:r w:rsidR="00A80F99">
        <w:t>Bima</w:t>
      </w:r>
      <w:r w:rsidR="006418D8">
        <w:t xml:space="preserve">ndra </w:t>
      </w:r>
      <w:r w:rsidR="00C91259">
        <w:t xml:space="preserve">A. </w:t>
      </w:r>
      <w:r w:rsidR="006418D8">
        <w:t>Djafaara</w:t>
      </w:r>
      <w:r w:rsidR="002D758A" w:rsidRPr="002D758A">
        <w:rPr>
          <w:vertAlign w:val="superscript"/>
        </w:rPr>
        <w:t>1</w:t>
      </w:r>
      <w:r w:rsidR="000A5755">
        <w:t xml:space="preserve">, </w:t>
      </w:r>
      <w:r w:rsidR="00841B40" w:rsidRPr="00A528A6">
        <w:t>Zulma Cucunubá</w:t>
      </w:r>
      <w:r w:rsidR="00841B40" w:rsidRPr="002D758A">
        <w:rPr>
          <w:vertAlign w:val="superscript"/>
        </w:rPr>
        <w:t>1</w:t>
      </w:r>
      <w:r w:rsidR="00AC35CD">
        <w:t xml:space="preserve">, </w:t>
      </w:r>
      <w:r w:rsidR="007875CE">
        <w:t xml:space="preserve">Daniela </w:t>
      </w:r>
      <w:r w:rsidR="00275B87">
        <w:t>Olivera Mesa</w:t>
      </w:r>
      <w:r w:rsidR="00275B87" w:rsidRPr="002D758A">
        <w:rPr>
          <w:vertAlign w:val="superscript"/>
        </w:rPr>
        <w:t>1</w:t>
      </w:r>
      <w:r w:rsidR="00275B87">
        <w:t xml:space="preserve">, </w:t>
      </w:r>
      <w:r w:rsidR="00AC35CD" w:rsidRPr="00A528A6">
        <w:t>Will Green</w:t>
      </w:r>
      <w:r w:rsidR="00AC35CD" w:rsidRPr="002D758A">
        <w:rPr>
          <w:vertAlign w:val="superscript"/>
        </w:rPr>
        <w:t>1</w:t>
      </w:r>
      <w:r w:rsidR="007520AA" w:rsidRPr="00D1435E">
        <w:t>,</w:t>
      </w:r>
      <w:r w:rsidR="007520AA">
        <w:rPr>
          <w:vertAlign w:val="superscript"/>
        </w:rPr>
        <w:t xml:space="preserve"> </w:t>
      </w:r>
      <w:r w:rsidR="00AC35CD" w:rsidRPr="00A528A6">
        <w:t>Hayley Thompson</w:t>
      </w:r>
      <w:r w:rsidR="00AC35CD" w:rsidRPr="002D758A">
        <w:rPr>
          <w:vertAlign w:val="superscript"/>
        </w:rPr>
        <w:t>1</w:t>
      </w:r>
      <w:r w:rsidR="00AD68C5" w:rsidRPr="00D1435E">
        <w:t>,</w:t>
      </w:r>
      <w:r w:rsidR="00AD68C5">
        <w:rPr>
          <w:vertAlign w:val="superscript"/>
        </w:rPr>
        <w:t xml:space="preserve"> </w:t>
      </w:r>
      <w:r w:rsidR="00137DE3">
        <w:t>Shevant</w:t>
      </w:r>
      <w:r w:rsidR="003831C4">
        <w:t>h</w:t>
      </w:r>
      <w:r w:rsidR="00137DE3">
        <w:t>i</w:t>
      </w:r>
      <w:r w:rsidR="003831C4">
        <w:t xml:space="preserve"> Nayagam</w:t>
      </w:r>
      <w:r w:rsidR="003831C4" w:rsidRPr="002D758A">
        <w:rPr>
          <w:vertAlign w:val="superscript"/>
        </w:rPr>
        <w:t>1</w:t>
      </w:r>
      <w:r w:rsidR="003831C4">
        <w:t>,</w:t>
      </w:r>
      <w:r w:rsidR="00137DE3">
        <w:t xml:space="preserve"> </w:t>
      </w:r>
      <w:r w:rsidR="00FE404E" w:rsidRPr="00A528A6">
        <w:t>Kylie E</w:t>
      </w:r>
      <w:r w:rsidR="003465C9" w:rsidRPr="00A528A6">
        <w:t>.</w:t>
      </w:r>
      <w:r w:rsidR="00FE404E" w:rsidRPr="00A528A6">
        <w:t xml:space="preserve"> C</w:t>
      </w:r>
      <w:r w:rsidR="003465C9" w:rsidRPr="00A528A6">
        <w:t>.</w:t>
      </w:r>
      <w:r w:rsidR="00FE404E" w:rsidRPr="00A528A6">
        <w:t xml:space="preserve"> Ainslie</w:t>
      </w:r>
      <w:r w:rsidR="002D758A" w:rsidRPr="002D758A">
        <w:rPr>
          <w:vertAlign w:val="superscript"/>
        </w:rPr>
        <w:t>1</w:t>
      </w:r>
      <w:r w:rsidR="00FE404E" w:rsidRPr="00A528A6">
        <w:t>,</w:t>
      </w:r>
      <w:r w:rsidR="003C2505" w:rsidRPr="00A528A6">
        <w:t xml:space="preserve"> </w:t>
      </w:r>
      <w:r w:rsidR="00FE404E" w:rsidRPr="00A528A6">
        <w:t>Sangeeta Bhatia</w:t>
      </w:r>
      <w:r w:rsidR="002D758A" w:rsidRPr="002D758A">
        <w:rPr>
          <w:vertAlign w:val="superscript"/>
        </w:rPr>
        <w:t>1</w:t>
      </w:r>
      <w:r w:rsidR="00FE404E" w:rsidRPr="00A528A6">
        <w:t>, Samir Bhatt</w:t>
      </w:r>
      <w:r w:rsidR="002D758A" w:rsidRPr="002D758A">
        <w:rPr>
          <w:vertAlign w:val="superscript"/>
        </w:rPr>
        <w:t>1</w:t>
      </w:r>
      <w:r w:rsidR="00FE404E" w:rsidRPr="00A528A6">
        <w:t>, Adhiratha Boonyasiri</w:t>
      </w:r>
      <w:r w:rsidR="002D758A" w:rsidRPr="002D758A">
        <w:rPr>
          <w:vertAlign w:val="superscript"/>
        </w:rPr>
        <w:t>1</w:t>
      </w:r>
      <w:r w:rsidR="00FE404E" w:rsidRPr="00A528A6">
        <w:t>, Olivia Boyd</w:t>
      </w:r>
      <w:r w:rsidR="002D758A" w:rsidRPr="002D758A">
        <w:rPr>
          <w:vertAlign w:val="superscript"/>
        </w:rPr>
        <w:t>1</w:t>
      </w:r>
      <w:r w:rsidR="00FE404E" w:rsidRPr="00A528A6">
        <w:t xml:space="preserve">, </w:t>
      </w:r>
      <w:r w:rsidR="00194612">
        <w:t xml:space="preserve">Nicholas </w:t>
      </w:r>
      <w:r w:rsidR="00105B1A">
        <w:t xml:space="preserve">F. </w:t>
      </w:r>
      <w:r w:rsidR="00194612">
        <w:t>Brazeau</w:t>
      </w:r>
      <w:r w:rsidR="002D758A" w:rsidRPr="002D758A">
        <w:rPr>
          <w:vertAlign w:val="superscript"/>
        </w:rPr>
        <w:t>1</w:t>
      </w:r>
      <w:r w:rsidR="00194612">
        <w:t xml:space="preserve">, </w:t>
      </w:r>
      <w:r w:rsidR="00FE404E" w:rsidRPr="00A528A6">
        <w:t>Lorenzo Cattarino</w:t>
      </w:r>
      <w:r w:rsidR="002D758A" w:rsidRPr="002D758A">
        <w:rPr>
          <w:vertAlign w:val="superscript"/>
        </w:rPr>
        <w:t>1</w:t>
      </w:r>
      <w:r w:rsidR="00FE404E" w:rsidRPr="00A528A6">
        <w:t>, Gina Cuomo-Dannenburg</w:t>
      </w:r>
      <w:r w:rsidR="002D758A" w:rsidRPr="002D758A">
        <w:rPr>
          <w:vertAlign w:val="superscript"/>
        </w:rPr>
        <w:t>1</w:t>
      </w:r>
      <w:r w:rsidR="00FE404E" w:rsidRPr="00A528A6">
        <w:t>, Amy Dighe</w:t>
      </w:r>
      <w:r w:rsidR="002D758A" w:rsidRPr="002D758A">
        <w:rPr>
          <w:vertAlign w:val="superscript"/>
        </w:rPr>
        <w:t>1</w:t>
      </w:r>
      <w:r w:rsidR="00FE404E" w:rsidRPr="00A528A6">
        <w:t xml:space="preserve">, </w:t>
      </w:r>
      <w:r w:rsidR="00613FC5" w:rsidRPr="00A528A6">
        <w:t>Christl A</w:t>
      </w:r>
      <w:r w:rsidR="003465C9" w:rsidRPr="00A528A6">
        <w:t>.</w:t>
      </w:r>
      <w:r w:rsidR="00613FC5" w:rsidRPr="00A528A6">
        <w:t xml:space="preserve"> Donnelly</w:t>
      </w:r>
      <w:r w:rsidR="002D758A" w:rsidRPr="002D758A">
        <w:rPr>
          <w:vertAlign w:val="superscript"/>
        </w:rPr>
        <w:t>1</w:t>
      </w:r>
      <w:r w:rsidR="001A4F1D">
        <w:rPr>
          <w:vertAlign w:val="superscript"/>
        </w:rPr>
        <w:t>,</w:t>
      </w:r>
      <w:r w:rsidR="00525EAE">
        <w:rPr>
          <w:vertAlign w:val="superscript"/>
        </w:rPr>
        <w:t>4</w:t>
      </w:r>
      <w:r w:rsidR="00613FC5" w:rsidRPr="00A528A6">
        <w:t xml:space="preserve">, </w:t>
      </w:r>
      <w:r w:rsidR="00FE404E" w:rsidRPr="00A528A6">
        <w:t>Ilaria Dorigatti</w:t>
      </w:r>
      <w:r w:rsidR="001A4F1D" w:rsidRPr="002D758A">
        <w:rPr>
          <w:vertAlign w:val="superscript"/>
        </w:rPr>
        <w:t>1</w:t>
      </w:r>
      <w:r w:rsidR="00FE404E" w:rsidRPr="00A528A6">
        <w:t xml:space="preserve">, Sabine </w:t>
      </w:r>
      <w:r w:rsidR="00CE4E32">
        <w:t xml:space="preserve">L. </w:t>
      </w:r>
      <w:r w:rsidR="00FE404E" w:rsidRPr="00A528A6">
        <w:t>van Elsland</w:t>
      </w:r>
      <w:r w:rsidR="001A4F1D" w:rsidRPr="002D758A">
        <w:rPr>
          <w:vertAlign w:val="superscript"/>
        </w:rPr>
        <w:t>1</w:t>
      </w:r>
      <w:r w:rsidR="00FE404E" w:rsidRPr="00A528A6">
        <w:t>, Rich FitzJohn</w:t>
      </w:r>
      <w:r w:rsidR="001A4F1D" w:rsidRPr="002D758A">
        <w:rPr>
          <w:vertAlign w:val="superscript"/>
        </w:rPr>
        <w:t>1</w:t>
      </w:r>
      <w:r w:rsidR="00FE404E" w:rsidRPr="00A528A6">
        <w:t xml:space="preserve">, </w:t>
      </w:r>
      <w:r w:rsidR="003C2505" w:rsidRPr="00A528A6">
        <w:t>Han Fu</w:t>
      </w:r>
      <w:r w:rsidR="001A4F1D" w:rsidRPr="002D758A">
        <w:rPr>
          <w:vertAlign w:val="superscript"/>
        </w:rPr>
        <w:t>1</w:t>
      </w:r>
      <w:r w:rsidR="003C2505" w:rsidRPr="00A528A6">
        <w:t xml:space="preserve">, </w:t>
      </w:r>
      <w:r w:rsidR="00FE404E" w:rsidRPr="00A528A6">
        <w:t xml:space="preserve">Katy </w:t>
      </w:r>
      <w:r w:rsidR="00D60FDE">
        <w:t>A</w:t>
      </w:r>
      <w:r w:rsidR="008743CB">
        <w:t xml:space="preserve">.M. </w:t>
      </w:r>
      <w:r w:rsidR="00FE404E" w:rsidRPr="00A528A6">
        <w:t>Gaythorpe</w:t>
      </w:r>
      <w:r w:rsidR="001A4F1D" w:rsidRPr="002D758A">
        <w:rPr>
          <w:vertAlign w:val="superscript"/>
        </w:rPr>
        <w:t>1</w:t>
      </w:r>
      <w:r w:rsidR="00FE404E" w:rsidRPr="00A528A6">
        <w:t>, Lily Geidelberg</w:t>
      </w:r>
      <w:r w:rsidR="001A4F1D" w:rsidRPr="002D758A">
        <w:rPr>
          <w:vertAlign w:val="superscript"/>
        </w:rPr>
        <w:t>1</w:t>
      </w:r>
      <w:r w:rsidR="00FE404E" w:rsidRPr="00A528A6">
        <w:t>, Nicholas Grassly</w:t>
      </w:r>
      <w:r w:rsidR="001A4F1D" w:rsidRPr="002D758A">
        <w:rPr>
          <w:vertAlign w:val="superscript"/>
        </w:rPr>
        <w:t>1</w:t>
      </w:r>
      <w:r w:rsidR="00FE404E" w:rsidRPr="00A528A6">
        <w:t>, David Haw</w:t>
      </w:r>
      <w:r w:rsidR="001A4F1D" w:rsidRPr="002D758A">
        <w:rPr>
          <w:vertAlign w:val="superscript"/>
        </w:rPr>
        <w:t>1</w:t>
      </w:r>
      <w:r w:rsidR="00FE404E" w:rsidRPr="00A528A6">
        <w:t>, Sarah Hayes</w:t>
      </w:r>
      <w:r w:rsidR="001A4F1D" w:rsidRPr="002D758A">
        <w:rPr>
          <w:vertAlign w:val="superscript"/>
        </w:rPr>
        <w:t>1</w:t>
      </w:r>
      <w:r w:rsidR="00FE404E" w:rsidRPr="00A528A6">
        <w:t>, Wes Hinsley</w:t>
      </w:r>
      <w:r w:rsidR="001A4F1D" w:rsidRPr="002D758A">
        <w:rPr>
          <w:vertAlign w:val="superscript"/>
        </w:rPr>
        <w:t>1</w:t>
      </w:r>
      <w:r w:rsidR="00FE404E" w:rsidRPr="00A528A6">
        <w:t>, Natsuko Imai</w:t>
      </w:r>
      <w:r w:rsidR="001A4F1D" w:rsidRPr="002D758A">
        <w:rPr>
          <w:vertAlign w:val="superscript"/>
        </w:rPr>
        <w:t>1</w:t>
      </w:r>
      <w:r w:rsidR="00FE404E" w:rsidRPr="00A528A6">
        <w:t>, David Jorgensen</w:t>
      </w:r>
      <w:r w:rsidR="001A4F1D" w:rsidRPr="002D758A">
        <w:rPr>
          <w:vertAlign w:val="superscript"/>
        </w:rPr>
        <w:t>1</w:t>
      </w:r>
      <w:r w:rsidR="00FE404E" w:rsidRPr="00A528A6">
        <w:t>, Edward Knock</w:t>
      </w:r>
      <w:r w:rsidR="001A4F1D" w:rsidRPr="002D758A">
        <w:rPr>
          <w:vertAlign w:val="superscript"/>
        </w:rPr>
        <w:t>1</w:t>
      </w:r>
      <w:r w:rsidR="00FE404E" w:rsidRPr="00A528A6">
        <w:t>, Daniel Laydon</w:t>
      </w:r>
      <w:r w:rsidR="001A4F1D" w:rsidRPr="002D758A">
        <w:rPr>
          <w:vertAlign w:val="superscript"/>
        </w:rPr>
        <w:t>1</w:t>
      </w:r>
      <w:r w:rsidR="00FE404E" w:rsidRPr="00A528A6">
        <w:t>, Swapnil Mishra</w:t>
      </w:r>
      <w:r w:rsidR="001A4F1D" w:rsidRPr="002D758A">
        <w:rPr>
          <w:vertAlign w:val="superscript"/>
        </w:rPr>
        <w:t>1</w:t>
      </w:r>
      <w:r w:rsidR="00FE404E" w:rsidRPr="00A528A6">
        <w:t>, Gemma Nedjati-Gilani</w:t>
      </w:r>
      <w:r w:rsidR="001A4F1D" w:rsidRPr="002D758A">
        <w:rPr>
          <w:vertAlign w:val="superscript"/>
        </w:rPr>
        <w:t>1</w:t>
      </w:r>
      <w:r w:rsidR="00FE404E" w:rsidRPr="00A528A6">
        <w:t>,  Lucy C</w:t>
      </w:r>
      <w:r w:rsidR="003465C9" w:rsidRPr="00A528A6">
        <w:t>.</w:t>
      </w:r>
      <w:r w:rsidR="00FE404E" w:rsidRPr="00A528A6">
        <w:t xml:space="preserve"> Okell</w:t>
      </w:r>
      <w:r w:rsidR="001A4F1D" w:rsidRPr="002D758A">
        <w:rPr>
          <w:vertAlign w:val="superscript"/>
        </w:rPr>
        <w:t>1</w:t>
      </w:r>
      <w:r w:rsidR="00FE404E" w:rsidRPr="00A528A6">
        <w:t xml:space="preserve">, </w:t>
      </w:r>
      <w:r w:rsidR="009131AA">
        <w:t xml:space="preserve">H. </w:t>
      </w:r>
      <w:r w:rsidR="00FE404E" w:rsidRPr="00A528A6">
        <w:t>Juliette Unwin</w:t>
      </w:r>
      <w:r w:rsidR="001A4F1D" w:rsidRPr="002D758A">
        <w:rPr>
          <w:vertAlign w:val="superscript"/>
        </w:rPr>
        <w:t>1</w:t>
      </w:r>
      <w:r w:rsidR="00FE404E" w:rsidRPr="00A528A6">
        <w:t>, Robert Verity</w:t>
      </w:r>
      <w:r w:rsidR="001A4F1D" w:rsidRPr="002D758A">
        <w:rPr>
          <w:vertAlign w:val="superscript"/>
        </w:rPr>
        <w:t>1</w:t>
      </w:r>
      <w:r w:rsidR="00FE404E" w:rsidRPr="00A528A6">
        <w:t>, Michaela Vollmer</w:t>
      </w:r>
      <w:r w:rsidR="001A4F1D" w:rsidRPr="002D758A">
        <w:rPr>
          <w:vertAlign w:val="superscript"/>
        </w:rPr>
        <w:t>1</w:t>
      </w:r>
      <w:r w:rsidR="00FE404E" w:rsidRPr="00A528A6">
        <w:t xml:space="preserve">, Caroline </w:t>
      </w:r>
      <w:r w:rsidR="00A8439A">
        <w:t xml:space="preserve">E. </w:t>
      </w:r>
      <w:r w:rsidR="00FE404E" w:rsidRPr="00A528A6">
        <w:t>Walters</w:t>
      </w:r>
      <w:r w:rsidR="001A4F1D" w:rsidRPr="002D758A">
        <w:rPr>
          <w:vertAlign w:val="superscript"/>
        </w:rPr>
        <w:t>1</w:t>
      </w:r>
      <w:r w:rsidR="00FE404E" w:rsidRPr="00A528A6">
        <w:t xml:space="preserve">, </w:t>
      </w:r>
      <w:r w:rsidR="00613FC5" w:rsidRPr="00A528A6">
        <w:t>Hao</w:t>
      </w:r>
      <w:r w:rsidR="00930CBA">
        <w:t>w</w:t>
      </w:r>
      <w:r w:rsidR="00613FC5" w:rsidRPr="00A528A6">
        <w:t>ei Wang</w:t>
      </w:r>
      <w:r w:rsidR="001A4F1D" w:rsidRPr="002D758A">
        <w:rPr>
          <w:vertAlign w:val="superscript"/>
        </w:rPr>
        <w:t>1</w:t>
      </w:r>
      <w:r w:rsidR="00613FC5" w:rsidRPr="00A528A6">
        <w:t xml:space="preserve">, </w:t>
      </w:r>
      <w:r w:rsidR="00FE404E" w:rsidRPr="00A528A6">
        <w:t>Yuanrong Wang</w:t>
      </w:r>
      <w:r w:rsidR="001A4F1D" w:rsidRPr="002D758A">
        <w:rPr>
          <w:vertAlign w:val="superscript"/>
        </w:rPr>
        <w:t>1</w:t>
      </w:r>
      <w:r w:rsidR="00FE404E" w:rsidRPr="00A528A6">
        <w:t>,  Xiaoyue Xi</w:t>
      </w:r>
      <w:r w:rsidR="001A4F1D" w:rsidRPr="002D758A">
        <w:rPr>
          <w:vertAlign w:val="superscript"/>
        </w:rPr>
        <w:t>1</w:t>
      </w:r>
      <w:r w:rsidR="00FE404E" w:rsidRPr="00A528A6">
        <w:t xml:space="preserve">, </w:t>
      </w:r>
      <w:r w:rsidR="00626054">
        <w:t xml:space="preserve">David </w:t>
      </w:r>
      <w:r w:rsidR="009B30C5">
        <w:t xml:space="preserve">G </w:t>
      </w:r>
      <w:r w:rsidR="00626054">
        <w:t>Lalloo</w:t>
      </w:r>
      <w:r w:rsidR="00626054" w:rsidRPr="00626054">
        <w:rPr>
          <w:vertAlign w:val="superscript"/>
        </w:rPr>
        <w:t>5</w:t>
      </w:r>
      <w:r w:rsidR="00626054">
        <w:t xml:space="preserve">, </w:t>
      </w:r>
      <w:r w:rsidR="00FE404E" w:rsidRPr="00A528A6">
        <w:t>Neil M</w:t>
      </w:r>
      <w:r w:rsidR="003465C9" w:rsidRPr="00A528A6">
        <w:t>.</w:t>
      </w:r>
      <w:r w:rsidR="00FE404E" w:rsidRPr="00A528A6">
        <w:t xml:space="preserve"> Ferguson</w:t>
      </w:r>
      <w:r w:rsidR="00FE404E" w:rsidRPr="00A528A6">
        <w:rPr>
          <w:vertAlign w:val="superscript"/>
        </w:rPr>
        <w:t>1</w:t>
      </w:r>
      <w:r w:rsidR="004B49DA">
        <w:rPr>
          <w:vertAlign w:val="superscript"/>
        </w:rPr>
        <w:t>*</w:t>
      </w:r>
      <w:r w:rsidR="00FE404E" w:rsidRPr="00A528A6">
        <w:t xml:space="preserve">, </w:t>
      </w:r>
      <w:r w:rsidR="00FF73FD" w:rsidRPr="00A528A6">
        <w:t>Azra C</w:t>
      </w:r>
      <w:r w:rsidR="003465C9" w:rsidRPr="00A528A6">
        <w:t>.</w:t>
      </w:r>
      <w:r w:rsidR="00FF73FD" w:rsidRPr="00A528A6">
        <w:t xml:space="preserve"> Ghani</w:t>
      </w:r>
      <w:r w:rsidR="00FF73FD" w:rsidRPr="00A528A6">
        <w:rPr>
          <w:vertAlign w:val="superscript"/>
        </w:rPr>
        <w:t>1</w:t>
      </w:r>
      <w:r w:rsidR="004B49DA">
        <w:rPr>
          <w:vertAlign w:val="superscript"/>
        </w:rPr>
        <w:t>*</w:t>
      </w:r>
      <w:r w:rsidR="00FE404E" w:rsidRPr="00A528A6">
        <w:t xml:space="preserve"> </w:t>
      </w:r>
    </w:p>
    <w:p w14:paraId="1851A036" w14:textId="77777777" w:rsidR="005664F0" w:rsidRDefault="005664F0" w:rsidP="008D5571">
      <w:pPr>
        <w:pStyle w:val="NormalWeb"/>
      </w:pPr>
      <w:r>
        <w:t>On behalf of the Imperial College COVID-19 Response Team</w:t>
      </w:r>
    </w:p>
    <w:p w14:paraId="44AA1F79" w14:textId="77777777" w:rsidR="00BD0676" w:rsidRDefault="00BD0676" w:rsidP="008D5571">
      <w:pPr>
        <w:pStyle w:val="NormalWeb"/>
      </w:pPr>
    </w:p>
    <w:p w14:paraId="0921E820" w14:textId="74672772" w:rsidR="002A0078" w:rsidRDefault="002A0078" w:rsidP="002D758A">
      <w:pPr>
        <w:pStyle w:val="NormalWeb"/>
        <w:numPr>
          <w:ilvl w:val="0"/>
          <w:numId w:val="10"/>
        </w:numPr>
      </w:pPr>
      <w:r w:rsidRPr="00A528A6">
        <w:t>MRC Centre for Global Infectious Disease Analysis, Department of Infectious Disease Epidemiology, Imperial College London</w:t>
      </w:r>
    </w:p>
    <w:p w14:paraId="1D62895C" w14:textId="5062CFF8" w:rsidR="00F059DD" w:rsidRDefault="00F059DD" w:rsidP="00F059DD">
      <w:pPr>
        <w:pStyle w:val="NormalWeb"/>
        <w:numPr>
          <w:ilvl w:val="0"/>
          <w:numId w:val="10"/>
        </w:numPr>
      </w:pPr>
      <w:r>
        <w:t>Pathology</w:t>
      </w:r>
      <w:r w:rsidR="006005D4">
        <w:t xml:space="preserve"> and Laboratory Medicine, Warren Alpert Medical School, Brown University</w:t>
      </w:r>
    </w:p>
    <w:p w14:paraId="34612CE9" w14:textId="7A800619" w:rsidR="00F059DD" w:rsidRDefault="00F059DD" w:rsidP="006005D4">
      <w:pPr>
        <w:pStyle w:val="NormalWeb"/>
        <w:numPr>
          <w:ilvl w:val="0"/>
          <w:numId w:val="10"/>
        </w:numPr>
      </w:pPr>
      <w:r>
        <w:t>Department of Infectious Disease Epidemiology, London School of Hygiene &amp; Tropical Medicine</w:t>
      </w:r>
    </w:p>
    <w:p w14:paraId="1B2BFBDC" w14:textId="0AE14B36" w:rsidR="002D758A" w:rsidRDefault="002D758A" w:rsidP="002D758A">
      <w:pPr>
        <w:pStyle w:val="NormalWeb"/>
        <w:numPr>
          <w:ilvl w:val="0"/>
          <w:numId w:val="10"/>
        </w:numPr>
      </w:pPr>
      <w:r>
        <w:t>Department of Statistics, University of Oxford</w:t>
      </w:r>
    </w:p>
    <w:p w14:paraId="66D1128B" w14:textId="7CBC35AD" w:rsidR="00626054" w:rsidRPr="00A528A6" w:rsidRDefault="00626054" w:rsidP="002D758A">
      <w:pPr>
        <w:pStyle w:val="NormalWeb"/>
        <w:numPr>
          <w:ilvl w:val="0"/>
          <w:numId w:val="10"/>
        </w:numPr>
      </w:pPr>
      <w:r>
        <w:t>Liverpool School of Tropical Medicine</w:t>
      </w:r>
    </w:p>
    <w:p w14:paraId="0E7BFAAE" w14:textId="7ED69513" w:rsidR="005664F0" w:rsidRPr="007C6ACF" w:rsidRDefault="005664F0" w:rsidP="008D5571">
      <w:pPr>
        <w:pStyle w:val="NormalWeb"/>
      </w:pPr>
      <w:r w:rsidRPr="007C6ACF">
        <w:tab/>
      </w:r>
    </w:p>
    <w:p w14:paraId="1C736F7B" w14:textId="5CB16F22" w:rsidR="00500BA6" w:rsidRPr="004869BF" w:rsidRDefault="004869BF" w:rsidP="00D1435E">
      <w:pPr>
        <w:jc w:val="left"/>
      </w:pPr>
      <w:r>
        <w:rPr>
          <w:i/>
          <w:iCs/>
        </w:rPr>
        <w:t>*</w:t>
      </w:r>
      <w:r w:rsidR="0096704C" w:rsidRPr="004869BF">
        <w:t>Correspondence</w:t>
      </w:r>
      <w:r w:rsidRPr="004869BF">
        <w:t xml:space="preserve"> to</w:t>
      </w:r>
      <w:r w:rsidR="0096704C" w:rsidRPr="004869BF">
        <w:t xml:space="preserve">: </w:t>
      </w:r>
      <w:hyperlink r:id="rId11" w:history="1">
        <w:r w:rsidR="008252A0" w:rsidRPr="00674D60">
          <w:rPr>
            <w:rStyle w:val="Hyperlink"/>
          </w:rPr>
          <w:t>patrick.walker@imperial.ac.uk</w:t>
        </w:r>
      </w:hyperlink>
      <w:r w:rsidR="00D1435E">
        <w:t xml:space="preserve">; </w:t>
      </w:r>
      <w:hyperlink r:id="rId12" w:history="1">
        <w:r w:rsidR="00C31588" w:rsidRPr="004869BF">
          <w:rPr>
            <w:rStyle w:val="Hyperlink"/>
            <w:color w:val="auto"/>
          </w:rPr>
          <w:t>a.ghani@imperial.ac.uk</w:t>
        </w:r>
      </w:hyperlink>
      <w:r w:rsidR="00437A17">
        <w:t xml:space="preserve">; </w:t>
      </w:r>
      <w:hyperlink r:id="rId13" w:history="1">
        <w:r w:rsidR="00DD4610" w:rsidRPr="00AA2178">
          <w:rPr>
            <w:rStyle w:val="Hyperlink"/>
          </w:rPr>
          <w:t>neil.ferguson@imperial.ac.uk</w:t>
        </w:r>
      </w:hyperlink>
      <w:r w:rsidR="005120B4">
        <w:t xml:space="preserve">; </w:t>
      </w:r>
    </w:p>
    <w:p w14:paraId="2572252D" w14:textId="77777777" w:rsidR="00DD4610" w:rsidRPr="005664F0" w:rsidRDefault="00DD4610" w:rsidP="008D5571">
      <w:r w:rsidRPr="002A0078">
        <w:rPr>
          <w:sz w:val="20"/>
          <w:szCs w:val="20"/>
          <w:vertAlign w:val="superscript"/>
        </w:rPr>
        <w:t>+</w:t>
      </w:r>
      <w:r w:rsidRPr="005664F0">
        <w:t>Contributed equally</w:t>
      </w:r>
    </w:p>
    <w:p w14:paraId="2F735A45" w14:textId="356035DF" w:rsidR="001F4E4E" w:rsidRPr="00975D34" w:rsidRDefault="001F4E4E" w:rsidP="00975D34">
      <w:pPr>
        <w:pStyle w:val="Heading2"/>
      </w:pPr>
      <w:r>
        <w:t>Abstract</w:t>
      </w:r>
      <w:r w:rsidR="005B54ED">
        <w:t xml:space="preserve"> </w:t>
      </w:r>
    </w:p>
    <w:p w14:paraId="48098D3E" w14:textId="434D4D80" w:rsidR="00B75DC2" w:rsidRPr="001F4E4E" w:rsidRDefault="002F33F4" w:rsidP="008D5571">
      <w:r>
        <w:t>T</w:t>
      </w:r>
      <w:r w:rsidR="00664C4E" w:rsidRPr="001F4E4E">
        <w:t xml:space="preserve">he </w:t>
      </w:r>
      <w:r w:rsidR="00B3517E">
        <w:t xml:space="preserve">ongoing </w:t>
      </w:r>
      <w:r w:rsidR="00A3537B" w:rsidRPr="001F4E4E">
        <w:t>COVID</w:t>
      </w:r>
      <w:r w:rsidR="00664C4E" w:rsidRPr="001F4E4E">
        <w:t>-19 pandemic</w:t>
      </w:r>
      <w:r>
        <w:t xml:space="preserve"> poses a severe threat</w:t>
      </w:r>
      <w:r w:rsidR="00044F0A">
        <w:t xml:space="preserve"> to public health</w:t>
      </w:r>
      <w:r>
        <w:t xml:space="preserve"> worldwide</w:t>
      </w:r>
      <w:r w:rsidR="00664C4E" w:rsidRPr="001F4E4E">
        <w:t xml:space="preserve">. </w:t>
      </w:r>
      <w:r w:rsidR="00010686" w:rsidRPr="001F4E4E">
        <w:t>W</w:t>
      </w:r>
      <w:r w:rsidR="0070487D" w:rsidRPr="001F4E4E">
        <w:t xml:space="preserve">e combine data on </w:t>
      </w:r>
      <w:r w:rsidR="00B80FE7">
        <w:t xml:space="preserve">demography, </w:t>
      </w:r>
      <w:r w:rsidR="00DE1D27" w:rsidRPr="001F4E4E">
        <w:t>contact patterns</w:t>
      </w:r>
      <w:r w:rsidR="00B80FE7">
        <w:t>,</w:t>
      </w:r>
      <w:r w:rsidR="000142B0">
        <w:t xml:space="preserve"> </w:t>
      </w:r>
      <w:r w:rsidR="00B3517E">
        <w:t>disease</w:t>
      </w:r>
      <w:r w:rsidR="00DE1D27" w:rsidRPr="001F4E4E">
        <w:t xml:space="preserve"> severity</w:t>
      </w:r>
      <w:r w:rsidR="005061E8">
        <w:t>,</w:t>
      </w:r>
      <w:r w:rsidR="00E74B40">
        <w:t xml:space="preserve"> and </w:t>
      </w:r>
      <w:r w:rsidR="00410994">
        <w:t xml:space="preserve">healthcare </w:t>
      </w:r>
      <w:r w:rsidR="00C721EC">
        <w:t xml:space="preserve">capacity and quality </w:t>
      </w:r>
      <w:r w:rsidR="00DE1D27" w:rsidRPr="001F4E4E">
        <w:t xml:space="preserve">to </w:t>
      </w:r>
      <w:r w:rsidR="00C721EC">
        <w:t>understand</w:t>
      </w:r>
      <w:r w:rsidR="00C721EC" w:rsidRPr="001F4E4E">
        <w:t xml:space="preserve"> </w:t>
      </w:r>
      <w:r w:rsidR="00274E93">
        <w:t xml:space="preserve">its </w:t>
      </w:r>
      <w:r w:rsidR="005061E8">
        <w:t>impact</w:t>
      </w:r>
      <w:r w:rsidR="00855A30">
        <w:t xml:space="preserve"> and </w:t>
      </w:r>
      <w:r w:rsidR="00274E93">
        <w:t xml:space="preserve">inform </w:t>
      </w:r>
      <w:r w:rsidR="00855A30">
        <w:t>strategies for its control</w:t>
      </w:r>
      <w:r w:rsidR="00D70A49" w:rsidRPr="001F4E4E">
        <w:t>.</w:t>
      </w:r>
      <w:r w:rsidR="00B33CE3" w:rsidRPr="001F4E4E">
        <w:t xml:space="preserve"> </w:t>
      </w:r>
      <w:r w:rsidR="00044F0A">
        <w:rPr>
          <w:rFonts w:ascii="Calibri" w:hAnsi="Calibri" w:cs="Calibri"/>
          <w:color w:val="201F1E"/>
          <w:shd w:val="clear" w:color="auto" w:fill="FFFFFF"/>
        </w:rPr>
        <w:t>Y</w:t>
      </w:r>
      <w:r w:rsidR="0059606D">
        <w:rPr>
          <w:rFonts w:ascii="Calibri" w:hAnsi="Calibri" w:cs="Calibri"/>
          <w:color w:val="201F1E"/>
          <w:shd w:val="clear" w:color="auto" w:fill="FFFFFF"/>
        </w:rPr>
        <w:t xml:space="preserve">ounger populations </w:t>
      </w:r>
      <w:r w:rsidR="00710670">
        <w:rPr>
          <w:rFonts w:ascii="Calibri" w:hAnsi="Calibri" w:cs="Calibri"/>
          <w:color w:val="201F1E"/>
          <w:shd w:val="clear" w:color="auto" w:fill="FFFFFF"/>
        </w:rPr>
        <w:t xml:space="preserve">in lower income countries </w:t>
      </w:r>
      <w:r w:rsidR="00F80EC0">
        <w:rPr>
          <w:rFonts w:ascii="Calibri" w:hAnsi="Calibri" w:cs="Calibri"/>
          <w:color w:val="201F1E"/>
          <w:shd w:val="clear" w:color="auto" w:fill="FFFFFF"/>
        </w:rPr>
        <w:t>may reduce overall risk</w:t>
      </w:r>
      <w:r w:rsidR="00140487">
        <w:t xml:space="preserve"> </w:t>
      </w:r>
      <w:r w:rsidR="00082D6D">
        <w:t xml:space="preserve">but </w:t>
      </w:r>
      <w:r w:rsidR="00400028">
        <w:t xml:space="preserve">limited health </w:t>
      </w:r>
      <w:r w:rsidR="001C3128">
        <w:t xml:space="preserve">system </w:t>
      </w:r>
      <w:r w:rsidR="00400028">
        <w:t>capacity</w:t>
      </w:r>
      <w:r w:rsidR="00B030E5" w:rsidRPr="001F4E4E">
        <w:t xml:space="preserve"> </w:t>
      </w:r>
      <w:r w:rsidR="00F862B3">
        <w:t xml:space="preserve">coupled with closer inter-generational contact </w:t>
      </w:r>
      <w:r w:rsidR="009D5ECC">
        <w:t xml:space="preserve">largely </w:t>
      </w:r>
      <w:r w:rsidR="00802C45">
        <w:t xml:space="preserve">negates this benefit. </w:t>
      </w:r>
      <w:r w:rsidR="00116584" w:rsidRPr="001F4E4E">
        <w:t>M</w:t>
      </w:r>
      <w:r w:rsidR="009C122E" w:rsidRPr="001F4E4E">
        <w:t>itigation strategies</w:t>
      </w:r>
      <w:r w:rsidR="00CD6B4E" w:rsidRPr="001F4E4E">
        <w:t xml:space="preserve"> </w:t>
      </w:r>
      <w:r w:rsidR="00CB3E27">
        <w:t>that</w:t>
      </w:r>
      <w:r w:rsidR="00D32445" w:rsidRPr="001F4E4E">
        <w:t xml:space="preserve"> </w:t>
      </w:r>
      <w:r w:rsidR="00671AA8" w:rsidRPr="001F4E4E">
        <w:t xml:space="preserve">slow </w:t>
      </w:r>
      <w:r w:rsidR="00116584" w:rsidRPr="001F4E4E">
        <w:t xml:space="preserve">but </w:t>
      </w:r>
      <w:r w:rsidR="004B4CE0">
        <w:t>do</w:t>
      </w:r>
      <w:r w:rsidR="00BB608B">
        <w:t xml:space="preserve"> not</w:t>
      </w:r>
      <w:r w:rsidR="004B4CE0" w:rsidRPr="001F4E4E">
        <w:t xml:space="preserve"> </w:t>
      </w:r>
      <w:r w:rsidR="00116584" w:rsidRPr="001F4E4E">
        <w:t xml:space="preserve">interrupt transmission </w:t>
      </w:r>
      <w:r w:rsidR="00DF5281">
        <w:t>will</w:t>
      </w:r>
      <w:r w:rsidR="003B3972" w:rsidRPr="001F4E4E">
        <w:t xml:space="preserve"> </w:t>
      </w:r>
      <w:r w:rsidR="00BB2E76">
        <w:t xml:space="preserve">still lead to COVID-19 epidemics </w:t>
      </w:r>
      <w:r w:rsidR="00DF5281">
        <w:t>rapidly overwhelm</w:t>
      </w:r>
      <w:r w:rsidR="00BB2E76">
        <w:t>ing</w:t>
      </w:r>
      <w:r w:rsidR="0031426B">
        <w:t xml:space="preserve"> </w:t>
      </w:r>
      <w:r w:rsidR="00BE4DFD">
        <w:t>health systems</w:t>
      </w:r>
      <w:r w:rsidR="00F13F6D" w:rsidRPr="001F4E4E">
        <w:t xml:space="preserve">, </w:t>
      </w:r>
      <w:r w:rsidR="0031426B">
        <w:t xml:space="preserve">with </w:t>
      </w:r>
      <w:r w:rsidR="00DE4646">
        <w:t xml:space="preserve">substantial </w:t>
      </w:r>
      <w:r w:rsidR="00C1120B">
        <w:t xml:space="preserve">excess deaths in lower income </w:t>
      </w:r>
      <w:r w:rsidR="00BF06F2">
        <w:t>countries</w:t>
      </w:r>
      <w:r w:rsidR="00C1120B">
        <w:t xml:space="preserve"> due to the poorer </w:t>
      </w:r>
      <w:r w:rsidR="00B264AB">
        <w:t>health</w:t>
      </w:r>
      <w:r w:rsidR="00C1120B">
        <w:t>care</w:t>
      </w:r>
      <w:r w:rsidR="00B264AB">
        <w:t xml:space="preserve"> available</w:t>
      </w:r>
      <w:r w:rsidR="00F13F6D" w:rsidRPr="001F4E4E">
        <w:t xml:space="preserve">. </w:t>
      </w:r>
      <w:r w:rsidR="003B4CDE">
        <w:t xml:space="preserve">Of countries </w:t>
      </w:r>
      <w:r w:rsidR="002E6427">
        <w:t xml:space="preserve">that have undertaken </w:t>
      </w:r>
      <w:r w:rsidR="003B4CDE">
        <w:t>suppression</w:t>
      </w:r>
      <w:r w:rsidR="002E6427">
        <w:t xml:space="preserve"> to date</w:t>
      </w:r>
      <w:r w:rsidR="003B4CDE">
        <w:t>, l</w:t>
      </w:r>
      <w:r w:rsidR="00F26754">
        <w:t xml:space="preserve">ower income </w:t>
      </w:r>
      <w:r w:rsidR="002E6427">
        <w:t>countries have</w:t>
      </w:r>
      <w:r w:rsidR="00BF295C">
        <w:t xml:space="preserve"> acted</w:t>
      </w:r>
      <w:r w:rsidR="00FF2A10">
        <w:t xml:space="preserve"> </w:t>
      </w:r>
      <w:r w:rsidR="002E6427">
        <w:t>earlier</w:t>
      </w:r>
      <w:r w:rsidR="00BF295C">
        <w:t xml:space="preserve">. </w:t>
      </w:r>
      <w:r w:rsidR="00BE4DFD">
        <w:t>However</w:t>
      </w:r>
      <w:r w:rsidR="004B5579">
        <w:t>,</w:t>
      </w:r>
      <w:r w:rsidR="001C25A8">
        <w:t xml:space="preserve"> </w:t>
      </w:r>
      <w:r w:rsidR="002E6427">
        <w:t>this</w:t>
      </w:r>
      <w:r w:rsidR="00BE4DFD">
        <w:t xml:space="preserve"> will need to be </w:t>
      </w:r>
      <w:r w:rsidR="00EB0CB2">
        <w:t xml:space="preserve">maintained or </w:t>
      </w:r>
      <w:r w:rsidR="00D33127">
        <w:t>triggered more frequently</w:t>
      </w:r>
      <w:r w:rsidR="00BE4DFD">
        <w:t xml:space="preserve"> in </w:t>
      </w:r>
      <w:r w:rsidR="002E6427">
        <w:t>these settings</w:t>
      </w:r>
      <w:r w:rsidR="00D33127">
        <w:t xml:space="preserve"> to keep below </w:t>
      </w:r>
      <w:r w:rsidR="001C25A8">
        <w:t xml:space="preserve">available health </w:t>
      </w:r>
      <w:r w:rsidR="00D33127">
        <w:t>capacity</w:t>
      </w:r>
      <w:r w:rsidR="00EF5155">
        <w:t>, with associated detrimental consequences for the wider health, well-being and economies of these countries.</w:t>
      </w:r>
      <w:r w:rsidR="00BE4DFD">
        <w:t xml:space="preserve"> </w:t>
      </w:r>
    </w:p>
    <w:p w14:paraId="1E1CCFEA" w14:textId="5065C77E" w:rsidR="00975D34" w:rsidRDefault="00A15554" w:rsidP="00D71CA0">
      <w:pPr>
        <w:pStyle w:val="Heading2"/>
      </w:pPr>
      <w:r w:rsidRPr="00D71CA0">
        <w:t>One</w:t>
      </w:r>
      <w:r w:rsidR="00D71CA0" w:rsidRPr="00D71CA0">
        <w:t>-</w:t>
      </w:r>
      <w:r w:rsidR="001F4E4E" w:rsidRPr="00D71CA0">
        <w:t>sentence summary</w:t>
      </w:r>
    </w:p>
    <w:p w14:paraId="71B1CBCA" w14:textId="4668B17A" w:rsidR="00975D34" w:rsidRDefault="00D04999" w:rsidP="00975D34">
      <w:r>
        <w:t>The l</w:t>
      </w:r>
      <w:r w:rsidR="007E5D39">
        <w:t xml:space="preserve">imited </w:t>
      </w:r>
      <w:r w:rsidR="00074B6E">
        <w:t xml:space="preserve">healthcare </w:t>
      </w:r>
      <w:r w:rsidR="007E5D39">
        <w:t xml:space="preserve">capacity in lower income </w:t>
      </w:r>
      <w:r w:rsidR="00EF3F05">
        <w:t>countries</w:t>
      </w:r>
      <w:r w:rsidR="007E5D39">
        <w:t xml:space="preserve"> is likely to</w:t>
      </w:r>
      <w:r w:rsidR="00150701">
        <w:t xml:space="preserve"> largely</w:t>
      </w:r>
      <w:r w:rsidR="007E5D39">
        <w:t xml:space="preserve"> </w:t>
      </w:r>
      <w:r w:rsidR="00150701">
        <w:t>nullify</w:t>
      </w:r>
      <w:r w:rsidR="007E5D39">
        <w:t xml:space="preserve"> the protective effect of their younger demography </w:t>
      </w:r>
      <w:r w:rsidR="0062628D">
        <w:t>against COVID-19</w:t>
      </w:r>
      <w:r w:rsidR="00CA61DA">
        <w:t xml:space="preserve"> mortality</w:t>
      </w:r>
      <w:r w:rsidR="00EF3F05">
        <w:t xml:space="preserve"> and make suppression of the disease more challenging </w:t>
      </w:r>
      <w:r w:rsidR="00DD696E">
        <w:t>compared to</w:t>
      </w:r>
      <w:r w:rsidR="00EF3F05">
        <w:t xml:space="preserve"> high income countries</w:t>
      </w:r>
      <w:r w:rsidR="0062628D">
        <w:t>.</w:t>
      </w:r>
      <w:r w:rsidR="007E5D39">
        <w:t xml:space="preserve"> </w:t>
      </w:r>
    </w:p>
    <w:p w14:paraId="323C3B3C" w14:textId="77777777" w:rsidR="00EB5231" w:rsidRDefault="00EB5231">
      <w:pPr>
        <w:spacing w:line="259" w:lineRule="auto"/>
        <w:jc w:val="left"/>
        <w:rPr>
          <w:b/>
          <w:bCs/>
        </w:rPr>
      </w:pPr>
      <w:r>
        <w:rPr>
          <w:b/>
          <w:bCs/>
        </w:rPr>
        <w:br w:type="page"/>
      </w:r>
    </w:p>
    <w:p w14:paraId="3AEDEC78" w14:textId="635AECD3" w:rsidR="00A72E80" w:rsidRPr="00791C83" w:rsidRDefault="00975D34" w:rsidP="00EB5231">
      <w:pPr>
        <w:pStyle w:val="Heading2"/>
      </w:pPr>
      <w:r w:rsidRPr="00D037E3">
        <w:lastRenderedPageBreak/>
        <w:t>Main Text</w:t>
      </w:r>
    </w:p>
    <w:p w14:paraId="6E71F8F8" w14:textId="6347A307" w:rsidR="001231A5" w:rsidRDefault="00A72E80" w:rsidP="00775655">
      <w:r w:rsidRPr="00C110EF">
        <w:t xml:space="preserve">The COVID-19 pandemic </w:t>
      </w:r>
      <w:r w:rsidR="00350BEB" w:rsidRPr="00C110EF">
        <w:t xml:space="preserve">caused by the SARS-CoV-2 virus </w:t>
      </w:r>
      <w:r w:rsidRPr="00C110EF">
        <w:t xml:space="preserve">is a major global health threat, with </w:t>
      </w:r>
      <w:r w:rsidR="00141FB0">
        <w:t xml:space="preserve">5.4 </w:t>
      </w:r>
      <w:r w:rsidR="002018AA" w:rsidRPr="00C110EF">
        <w:t xml:space="preserve">million </w:t>
      </w:r>
      <w:r w:rsidRPr="00C110EF">
        <w:t xml:space="preserve">cases and </w:t>
      </w:r>
      <w:r w:rsidR="00141FB0">
        <w:t>344</w:t>
      </w:r>
      <w:r w:rsidR="002018AA" w:rsidRPr="00C110EF">
        <w:t>,000</w:t>
      </w:r>
      <w:r w:rsidRPr="00C110EF">
        <w:t xml:space="preserve"> deaths confirmed </w:t>
      </w:r>
      <w:r w:rsidR="00106126" w:rsidRPr="00C110EF">
        <w:t xml:space="preserve">worldwide </w:t>
      </w:r>
      <w:r w:rsidRPr="00C110EF">
        <w:t xml:space="preserve">as of the </w:t>
      </w:r>
      <w:r w:rsidR="006B7652">
        <w:t>26</w:t>
      </w:r>
      <w:r w:rsidR="00921651" w:rsidRPr="00C110EF">
        <w:rPr>
          <w:vertAlign w:val="superscript"/>
        </w:rPr>
        <w:t>th</w:t>
      </w:r>
      <w:r w:rsidR="00921651" w:rsidRPr="00C110EF">
        <w:t xml:space="preserve"> </w:t>
      </w:r>
      <w:r w:rsidR="006B7652">
        <w:t xml:space="preserve">May </w:t>
      </w:r>
      <w:r w:rsidRPr="00C110EF">
        <w:t>2020</w:t>
      </w:r>
      <w:r w:rsidR="00931300" w:rsidRPr="00C110EF">
        <w:t xml:space="preserve"> </w:t>
      </w:r>
      <w:r w:rsidR="00084968" w:rsidRPr="00C110EF">
        <w:fldChar w:fldCharType="begin" w:fldLock="1"/>
      </w:r>
      <w:r w:rsidR="009A2428">
        <w:instrText>ADDIN CSL_CITATION {"citationItems":[{"id":"ITEM-1","itemData":{"author":[{"dropping-particle":"","family":"WHO","given":"","non-dropping-particle":"","parse-names":false,"suffix":""}],"id":"ITEM-1","issued":{"date-parts":[["2020"]]},"title":"Coronavirus disease (COVID-19) Situation Report-127","type":"report"},"uris":["http://www.mendeley.com/documents/?uuid=05c7dfa4-9a26-3861-9b7b-246fd3a69bbb"]}],"mendeley":{"formattedCitation":"(&lt;i&gt;1&lt;/i&gt;)","plainTextFormattedCitation":"(1)","previouslyFormattedCitation":"(&lt;i&gt;1&lt;/i&gt;)"},"properties":{"noteIndex":0},"schema":"https://github.com/citation-style-language/schema/raw/master/csl-citation.json"}</w:instrText>
      </w:r>
      <w:r w:rsidR="00084968" w:rsidRPr="00C110EF">
        <w:fldChar w:fldCharType="separate"/>
      </w:r>
      <w:r w:rsidR="00931300" w:rsidRPr="00C110EF">
        <w:rPr>
          <w:noProof/>
        </w:rPr>
        <w:t>(</w:t>
      </w:r>
      <w:r w:rsidR="00931300" w:rsidRPr="00C110EF">
        <w:rPr>
          <w:i/>
          <w:noProof/>
        </w:rPr>
        <w:t>1</w:t>
      </w:r>
      <w:r w:rsidR="00931300" w:rsidRPr="00C110EF">
        <w:rPr>
          <w:noProof/>
        </w:rPr>
        <w:t>)</w:t>
      </w:r>
      <w:r w:rsidR="00084968" w:rsidRPr="00C110EF">
        <w:fldChar w:fldCharType="end"/>
      </w:r>
      <w:r w:rsidRPr="00C110EF">
        <w:t xml:space="preserve">. </w:t>
      </w:r>
      <w:r w:rsidR="000D4F42" w:rsidRPr="00C110EF">
        <w:t>The e</w:t>
      </w:r>
      <w:r w:rsidR="00011493" w:rsidRPr="00C110EF">
        <w:t xml:space="preserve">xperience </w:t>
      </w:r>
      <w:r w:rsidR="000D4F42" w:rsidRPr="00C110EF">
        <w:t xml:space="preserve">in </w:t>
      </w:r>
      <w:r w:rsidR="00DC2B4D" w:rsidRPr="00C110EF">
        <w:t>countries</w:t>
      </w:r>
      <w:r w:rsidR="00011493" w:rsidRPr="00C110EF">
        <w:t xml:space="preserve"> </w:t>
      </w:r>
      <w:r w:rsidR="000D4F42" w:rsidRPr="00C110EF">
        <w:t>to date</w:t>
      </w:r>
      <w:r w:rsidR="00011493" w:rsidRPr="00C110EF">
        <w:t xml:space="preserve"> ha</w:t>
      </w:r>
      <w:r w:rsidR="000D4F42" w:rsidRPr="00C110EF">
        <w:t>s</w:t>
      </w:r>
      <w:r w:rsidR="00011493" w:rsidRPr="00C110EF">
        <w:t xml:space="preserve"> emphasised the intense pressure </w:t>
      </w:r>
      <w:r w:rsidR="000D4F42" w:rsidRPr="00C110EF">
        <w:t xml:space="preserve">that </w:t>
      </w:r>
      <w:r w:rsidR="00011493" w:rsidRPr="00C110EF">
        <w:t>a COVID-19 epidemic places on national health systems, with demand for intensive care beds and mechanical ventilators rapidly outstripping their availability</w:t>
      </w:r>
      <w:r w:rsidR="00784D3F" w:rsidRPr="00C110EF">
        <w:t>,</w:t>
      </w:r>
      <w:r w:rsidR="00011493" w:rsidRPr="00C110EF">
        <w:t xml:space="preserve"> </w:t>
      </w:r>
      <w:r w:rsidR="00784D3F" w:rsidRPr="00C110EF">
        <w:t xml:space="preserve">even </w:t>
      </w:r>
      <w:r w:rsidR="00011493" w:rsidRPr="00C110EF">
        <w:t xml:space="preserve">in </w:t>
      </w:r>
      <w:r w:rsidR="00A66609" w:rsidRPr="00C110EF">
        <w:t xml:space="preserve">relatively highly resourced </w:t>
      </w:r>
      <w:r w:rsidR="00011493" w:rsidRPr="00C110EF">
        <w:t>settings</w:t>
      </w:r>
      <w:r w:rsidR="00931300" w:rsidRPr="00C110EF">
        <w:t xml:space="preserve"> </w:t>
      </w:r>
      <w:r w:rsidR="00084968" w:rsidRPr="00C110EF">
        <w:fldChar w:fldCharType="begin" w:fldLock="1"/>
      </w:r>
      <w:r w:rsidR="00EC39A7">
        <w:instrText>ADDIN CSL_CITATION {"citationItems":[{"id":"ITEM-1","itemData":{"DOI":"10.1016/S0140-6736(20)30627-9","abstract":"Summary The spread of severe acute respiratory syndrome coronavirus 2 (SARS-CoV-2) has already taken on pandemic proportions, affecting over 100 countries in a matter of weeks. A global response to prepare health systems worldwide is imperative. Although containment measures in China have reduced new cases by more than 90%, this reduction is not the case elsewhere, and Italy has been particularly affected. There is now grave concern regarding the Italian national health system's capacity to effectively respond to the needs of patients who are infected and require intensive care for SARS-CoV-2 pneumonia. The percentage of patients in intensive care reported daily in Italy between March 1 and March 11, 2020, has consistently been between 9% and 11% of patients who are actively infected. The number of patients infected since Feb 21 in Italy closely follows an exponential trend. If this trend continues for 1 more week, there will be 30 000 infected patients. Intensive care units will then be at maximum capacity; up to 4000 hospital beds will be needed by mid-April, 2020. Our analysis might help political leaders and health authorities to allocate enough resources, including personnel, beds, and intensive care facilities, to manage the situation in the next few days and weeks. If the Italian outbreak follows a similar trend as in Hubei province, China, the number of newly infected patients could start to decrease within 3–4 days, departing from the exponential trend. However, this cannot currently be predicted because of differences between social distancing measures and the capacity to quickly build dedicated facilities in China.","author":[{"dropping-particle":"","family":"Remuzzi","given":"Andrea","non-dropping-particle":"","parse-names":false,"suffix":""},{"dropping-particle":"","family":"Remuzzi","given":"Giuseppe","non-dropping-particle":"","parse-names":false,"suffix":""}],"container-title":"The Lancet","id":"ITEM-1","issue":"10231","issued":{"date-parts":[["2020"]]},"publisher":"Elsevier","title":"COVID-19 and Italy: what next?","type":"article-journal","volume":"395"},"uris":["http://www.mendeley.com/documents/?uuid=fdd70223-4308-349c-baad-7759500ff37e"]}],"mendeley":{"formattedCitation":"(&lt;i&gt;2&lt;/i&gt;)","plainTextFormattedCitation":"(2)","previouslyFormattedCitation":"(&lt;i&gt;2&lt;/i&gt;)"},"properties":{"noteIndex":0},"schema":"https://github.com/citation-style-language/schema/raw/master/csl-citation.json"}</w:instrText>
      </w:r>
      <w:r w:rsidR="00084968" w:rsidRPr="00C110EF">
        <w:fldChar w:fldCharType="separate"/>
      </w:r>
      <w:r w:rsidR="00931300" w:rsidRPr="00C110EF">
        <w:rPr>
          <w:noProof/>
        </w:rPr>
        <w:t>(</w:t>
      </w:r>
      <w:r w:rsidR="00931300" w:rsidRPr="00C110EF">
        <w:rPr>
          <w:i/>
          <w:noProof/>
        </w:rPr>
        <w:t>2</w:t>
      </w:r>
      <w:r w:rsidR="00931300" w:rsidRPr="00C110EF">
        <w:rPr>
          <w:noProof/>
        </w:rPr>
        <w:t>)</w:t>
      </w:r>
      <w:r w:rsidR="00084968" w:rsidRPr="00C110EF">
        <w:fldChar w:fldCharType="end"/>
      </w:r>
      <w:r w:rsidR="00011493" w:rsidRPr="00C110EF">
        <w:t>. This has potentially profound consequences for resource</w:t>
      </w:r>
      <w:r w:rsidR="002C136D" w:rsidRPr="00C110EF">
        <w:t>-</w:t>
      </w:r>
      <w:r w:rsidR="00011493" w:rsidRPr="00C110EF">
        <w:t xml:space="preserve">poor settings where the quality and availability of healthcare </w:t>
      </w:r>
      <w:r w:rsidR="00DA3D8C" w:rsidRPr="00C110EF">
        <w:t xml:space="preserve">and related resources (such as oxygen) </w:t>
      </w:r>
      <w:r w:rsidR="00011493" w:rsidRPr="00C110EF">
        <w:t xml:space="preserve">is </w:t>
      </w:r>
      <w:r w:rsidR="00A66609" w:rsidRPr="00C110EF">
        <w:t>typically</w:t>
      </w:r>
      <w:r w:rsidR="00011493" w:rsidRPr="00C110EF">
        <w:t xml:space="preserve"> poorer</w:t>
      </w:r>
      <w:r w:rsidR="00931300" w:rsidRPr="00C110EF">
        <w:t xml:space="preserve"> </w:t>
      </w:r>
      <w:r w:rsidR="00084968" w:rsidRPr="00C110EF">
        <w:fldChar w:fldCharType="begin" w:fldLock="1"/>
      </w:r>
      <w:r w:rsidR="00DC6C40" w:rsidRPr="00C110EF">
        <w:instrText>ADDIN CSL_CITATION {"citationItems":[{"id":"ITEM-1","itemData":{"DOI":"10.1093/tropej/fmr103","ISSN":"1465-3664","PMID":"22170511","abstract":"Globally, pneumonia is the leading cause of death in children &lt;5 years of age. Hypoxemia, a frequent complication of pneumonia, is a risk factor for death. To better understand the availability of oxygen and pulse oximetry, barriers to use and provider perceptions and practices regarding their role in childhood pneumonia, we conducted a survey using a convenience sampling strategy targeting clinicians working in resource-limited countries. Most respondents were physicians from public district and provincial hospitals with access to oxygen and pulse oximetry; however, reported therapeutic use for childhood pneumonia was low. Common barriers included insufficient supply, competition for use, lack of policies, guidelines and training and perceived high cost. Despite the frequency of hypoxemia, the inaccuracy of clinical predictors, the poor outcome hypoxemia portends and the effectiveness of pulse oximetry and oxygen in childhood pneumonia, our data indicate that these tools may be underused in resource-limited settings.","author":[{"dropping-particle":"","family":"Ginsburg","given":"Amy Sarah","non-dropping-particle":"","parse-names":false,"suffix":""},{"dropping-particle":"","family":"Cleve","given":"William C","non-dropping-particle":"Van","parse-names":false,"suffix":""},{"dropping-particle":"","family":"Thompson","given":"Mary I W","non-dropping-particle":"","parse-names":false,"suffix":""},{"dropping-particle":"","family":"English","given":"Mike","non-dropping-particle":"","parse-names":false,"suffix":""}],"container-title":"Journal of tropical pediatrics","id":"ITEM-1","issue":"5","issued":{"date-parts":[["2012","10"]]},"page":"389-93","title":"Oxygen and pulse oximetry in childhood pneumonia: a survey of healthcare providers in resource-limited settings.","type":"article-journal","volume":"58"},"uris":["http://www.mendeley.com/documents/?uuid=ebfa458c-b404-3983-88f2-0344a732ae16"]}],"mendeley":{"formattedCitation":"(&lt;i&gt;3&lt;/i&gt;)","plainTextFormattedCitation":"(3)","previouslyFormattedCitation":"(&lt;i&gt;3&lt;/i&gt;)"},"properties":{"noteIndex":0},"schema":"https://github.com/citation-style-language/schema/raw/master/csl-citation.json"}</w:instrText>
      </w:r>
      <w:r w:rsidR="00084968" w:rsidRPr="00C110EF">
        <w:fldChar w:fldCharType="separate"/>
      </w:r>
      <w:r w:rsidR="00931300" w:rsidRPr="00C110EF">
        <w:rPr>
          <w:noProof/>
        </w:rPr>
        <w:t>(</w:t>
      </w:r>
      <w:r w:rsidR="00931300" w:rsidRPr="00C110EF">
        <w:rPr>
          <w:i/>
          <w:noProof/>
        </w:rPr>
        <w:t>3</w:t>
      </w:r>
      <w:r w:rsidR="00931300" w:rsidRPr="00C110EF">
        <w:rPr>
          <w:noProof/>
        </w:rPr>
        <w:t>)</w:t>
      </w:r>
      <w:r w:rsidR="00084968" w:rsidRPr="00C110EF">
        <w:fldChar w:fldCharType="end"/>
      </w:r>
      <w:r w:rsidR="00011493" w:rsidRPr="00C110EF">
        <w:t xml:space="preserve">. </w:t>
      </w:r>
      <w:r w:rsidR="00815143" w:rsidRPr="00C110EF">
        <w:t xml:space="preserve">We sought to </w:t>
      </w:r>
      <w:r w:rsidR="00E1254E" w:rsidRPr="00C110EF">
        <w:t xml:space="preserve">understand the </w:t>
      </w:r>
      <w:r w:rsidR="00775655" w:rsidRPr="00C110EF">
        <w:t xml:space="preserve">factors that could result in a </w:t>
      </w:r>
      <w:r w:rsidR="00726198" w:rsidRPr="00C110EF">
        <w:t>differential impact of the</w:t>
      </w:r>
      <w:r w:rsidR="00E1254E" w:rsidRPr="00C110EF">
        <w:t xml:space="preserve"> COVID-19 pandemic</w:t>
      </w:r>
      <w:r w:rsidR="00726198" w:rsidRPr="00C110EF">
        <w:t xml:space="preserve"> in low- and middle-income countries (LMICs)</w:t>
      </w:r>
      <w:r w:rsidR="00775655" w:rsidRPr="00C110EF">
        <w:t xml:space="preserve"> as well as to </w:t>
      </w:r>
      <w:r w:rsidR="003A0C36" w:rsidRPr="00C110EF">
        <w:t>evaluate</w:t>
      </w:r>
      <w:r w:rsidR="00775655" w:rsidRPr="00C110EF">
        <w:t xml:space="preserve"> the potential strategies for</w:t>
      </w:r>
      <w:r w:rsidR="00775655">
        <w:t xml:space="preserve"> suppression and mitigation </w:t>
      </w:r>
      <w:r w:rsidR="00500D1F">
        <w:t xml:space="preserve">in these settings </w:t>
      </w:r>
      <w:r w:rsidR="001231A5">
        <w:t xml:space="preserve">given the current global state of the pandemic. </w:t>
      </w:r>
    </w:p>
    <w:p w14:paraId="50DF3DD7" w14:textId="10BF02B5" w:rsidR="001231A5" w:rsidRPr="00D037E3" w:rsidRDefault="001231A5" w:rsidP="00775655">
      <w:pPr>
        <w:rPr>
          <w:b/>
          <w:bCs/>
          <w:i/>
          <w:iCs/>
        </w:rPr>
      </w:pPr>
      <w:r w:rsidRPr="00D037E3">
        <w:rPr>
          <w:b/>
          <w:bCs/>
          <w:i/>
          <w:iCs/>
        </w:rPr>
        <w:t>Demography and Social Contact Patterns</w:t>
      </w:r>
    </w:p>
    <w:p w14:paraId="03109C2C" w14:textId="3933684D" w:rsidR="00CD39AE" w:rsidRDefault="001231A5" w:rsidP="001231A5">
      <w:r>
        <w:t>We</w:t>
      </w:r>
      <w:r w:rsidR="00E1254E">
        <w:t xml:space="preserve"> </w:t>
      </w:r>
      <w:r w:rsidR="005B54ED">
        <w:t>collated data on</w:t>
      </w:r>
      <w:r w:rsidR="00340D88">
        <w:t xml:space="preserve"> global demographic projections of population size by age and country and available data on social mixing patterns by age and country-level income category</w:t>
      </w:r>
      <w:r w:rsidR="00324895">
        <w:t xml:space="preserve">. We </w:t>
      </w:r>
      <w:r w:rsidR="001E6A4D">
        <w:t xml:space="preserve">first </w:t>
      </w:r>
      <w:r w:rsidR="00324895">
        <w:t>include these</w:t>
      </w:r>
      <w:r w:rsidR="00340D88">
        <w:t xml:space="preserve"> within a simple </w:t>
      </w:r>
      <w:r w:rsidR="00E1254E">
        <w:t xml:space="preserve">SIR </w:t>
      </w:r>
      <w:r w:rsidR="00340D88">
        <w:t>modelling framework</w:t>
      </w:r>
      <w:r w:rsidR="00931300">
        <w:t xml:space="preserve"> </w:t>
      </w:r>
      <w:r w:rsidR="00340D88">
        <w:fldChar w:fldCharType="begin" w:fldLock="1"/>
      </w:r>
      <w:r w:rsidR="00DC6C40">
        <w:instrText>ADDIN CSL_CITATION {"citationItems":[{"id":"ITEM-1","itemData":{"DOI":"10.1080/17513758.2018.1484186","ISSN":"1751-3758","abstract":"In meta-population models for infectious diseases, the basic reproduction number R0 can be as much as 70% larger in the case of preferential mixing than that in homogeneous mixing [J.W. Glasser, Z. Feng, S.B. Omer, P.J. Smith, and L.E. Rodewald, The effect of heterogeneity in uptake of the measles, mumps, and rubella vaccine on the potential for outbreaks of measles: A modelling study, Lancet ID 16 (2016), pp. 599–605. doi: 10.1016/S1473-3099(16)00004-9]. This suggests that realistic mixing can be an important factor to consider in order for the models to provide a reliable assessment of intervention strategies. The influence of mixing is more significant when the population is highly heterogeneous. In this paper, another quantity, the final epidemic size (F) of an outbreak, is considered to examine the influence of mixing and population heterogeneity. Final size relation is derived for a meta-population model accounting for a general mixing. The results show that F can be influenced by the pattern of mixing in a significant way. Another interesting finding is that, heterogeneity in various sub-population characteristics may have the opposite effect on R0 and F.","author":[{"dropping-particle":"","family":"Cui","given":"Jingan","non-dropping-particle":"","parse-names":false,"suffix":""},{"dropping-particle":"","family":"Zhang","given":"Yanan","non-dropping-particle":"","parse-names":false,"suffix":""},{"dropping-particle":"","family":"Feng","given":"Zhilan","non-dropping-particle":"","parse-names":false,"suffix":""}],"container-title":"Journal of Biological Dynamics","id":"ITEM-1","issue":"sup1","issued":{"date-parts":[["2019","3","15"]]},"page":"31-46","publisher":"Taylor and Francis Ltd.","title":"Influence of non-homogeneous mixing on final epidemic size in a meta-population model","type":"article-journal","volume":"13"},"uris":["http://www.mendeley.com/documents/?uuid=e34424e9-7e0f-3be7-902d-a6bb2dd60485"]}],"mendeley":{"formattedCitation":"(&lt;i&gt;4&lt;/i&gt;)","plainTextFormattedCitation":"(4)","previouslyFormattedCitation":"(&lt;i&gt;4&lt;/i&gt;)"},"properties":{"noteIndex":0},"schema":"https://github.com/citation-style-language/schema/raw/master/csl-citation.json"}</w:instrText>
      </w:r>
      <w:r w:rsidR="00340D88">
        <w:fldChar w:fldCharType="separate"/>
      </w:r>
      <w:r w:rsidR="00931300" w:rsidRPr="00931300">
        <w:rPr>
          <w:noProof/>
        </w:rPr>
        <w:t>(</w:t>
      </w:r>
      <w:r w:rsidR="00931300" w:rsidRPr="00931300">
        <w:rPr>
          <w:i/>
          <w:noProof/>
        </w:rPr>
        <w:t>4</w:t>
      </w:r>
      <w:r w:rsidR="00931300" w:rsidRPr="00931300">
        <w:rPr>
          <w:noProof/>
        </w:rPr>
        <w:t>)</w:t>
      </w:r>
      <w:r w:rsidR="00340D88">
        <w:fldChar w:fldCharType="end"/>
      </w:r>
      <w:r w:rsidR="00340D88">
        <w:t xml:space="preserve"> to estimate the </w:t>
      </w:r>
      <w:r w:rsidR="00A765E7">
        <w:t xml:space="preserve">theoretical </w:t>
      </w:r>
      <w:r w:rsidR="00324895">
        <w:t>final size of the outbreak (</w:t>
      </w:r>
      <w:r w:rsidR="00340D88">
        <w:t xml:space="preserve">age-specific </w:t>
      </w:r>
      <w:r w:rsidR="00324895">
        <w:t>attack rate)</w:t>
      </w:r>
      <w:r w:rsidR="00340D88">
        <w:t xml:space="preserve"> in the absence of </w:t>
      </w:r>
      <w:r w:rsidR="00E1254E">
        <w:t>non-pharmaceutical interventions (</w:t>
      </w:r>
      <w:r w:rsidR="00340D88">
        <w:t>NPIs</w:t>
      </w:r>
      <w:r w:rsidR="00E1254E">
        <w:t>)</w:t>
      </w:r>
      <w:r w:rsidR="00340D88">
        <w:t xml:space="preserve">. </w:t>
      </w:r>
      <w:r w:rsidR="00CF283A">
        <w:t xml:space="preserve">To </w:t>
      </w:r>
      <w:r>
        <w:t xml:space="preserve">illustrate how these would determine the </w:t>
      </w:r>
      <w:r w:rsidR="00CF283A">
        <w:t xml:space="preserve">demand for healthcare </w:t>
      </w:r>
      <w:r w:rsidR="00276BFC">
        <w:t>over</w:t>
      </w:r>
      <w:r w:rsidR="00CF283A">
        <w:t xml:space="preserve"> the </w:t>
      </w:r>
      <w:r w:rsidR="00276BFC">
        <w:t xml:space="preserve">course of </w:t>
      </w:r>
      <w:r w:rsidR="00A765E7">
        <w:t xml:space="preserve">an unmitigated epidemic </w:t>
      </w:r>
      <w:r w:rsidR="00CF283A">
        <w:t>w</w:t>
      </w:r>
      <w:r w:rsidR="009A4DAF">
        <w:t>e applied age</w:t>
      </w:r>
      <w:r w:rsidR="00743135">
        <w:t>-specific estimates of the rates of hospitalisation and</w:t>
      </w:r>
      <w:r w:rsidR="00276BFC">
        <w:t xml:space="preserve"> of the proportion of these requiring </w:t>
      </w:r>
      <w:r w:rsidR="00743135">
        <w:t>critical care</w:t>
      </w:r>
      <w:r w:rsidR="00BE23F2">
        <w:t xml:space="preserve">, and of the </w:t>
      </w:r>
      <w:r w:rsidR="00200D99">
        <w:t>infection fatality ratio (</w:t>
      </w:r>
      <w:r w:rsidR="00BE23F2">
        <w:t>IFR</w:t>
      </w:r>
      <w:r w:rsidR="00200D99">
        <w:t>)</w:t>
      </w:r>
      <w:r w:rsidR="00BE23F2">
        <w:t xml:space="preserve"> </w:t>
      </w:r>
      <w:r w:rsidR="00BE23F2">
        <w:fldChar w:fldCharType="begin" w:fldLock="1"/>
      </w:r>
      <w:r w:rsidR="00BE23F2">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rsidR="00BE23F2">
        <w:fldChar w:fldCharType="separate"/>
      </w:r>
      <w:r w:rsidR="00BE23F2" w:rsidRPr="00931300">
        <w:rPr>
          <w:noProof/>
        </w:rPr>
        <w:t>(</w:t>
      </w:r>
      <w:r w:rsidR="00BE23F2" w:rsidRPr="00931300">
        <w:rPr>
          <w:i/>
          <w:noProof/>
        </w:rPr>
        <w:t>5</w:t>
      </w:r>
      <w:r w:rsidR="00BE23F2" w:rsidRPr="00931300">
        <w:rPr>
          <w:noProof/>
        </w:rPr>
        <w:t>)</w:t>
      </w:r>
      <w:r w:rsidR="00BE23F2">
        <w:fldChar w:fldCharType="end"/>
      </w:r>
      <w:r w:rsidR="00BE23F2">
        <w:t xml:space="preserve"> under an initial assumption of a consistent underlying role of comorbidities and the same level of medical care supplied during the </w:t>
      </w:r>
      <w:r w:rsidR="00BE23F2" w:rsidRPr="000C4C02">
        <w:t>epidemic in China</w:t>
      </w:r>
      <w:r w:rsidR="00BE23F2">
        <w:t xml:space="preserve"> </w:t>
      </w:r>
      <w:r w:rsidR="000C4C02">
        <w:t>(see Materials and Methods)</w:t>
      </w:r>
      <w:r w:rsidR="00CF283A">
        <w:t xml:space="preserve">. </w:t>
      </w:r>
      <w:r w:rsidR="004A30BB" w:rsidRPr="000C4C02">
        <w:t>On the basis of the observed doubling time in the incidence of deaths across Europe</w:t>
      </w:r>
      <w:r w:rsidR="00931300">
        <w:t xml:space="preserve"> </w:t>
      </w:r>
      <w:r w:rsidR="00324AE6">
        <w:fldChar w:fldCharType="begin" w:fldLock="1"/>
      </w:r>
      <w:r w:rsidR="00FB0C07">
        <w:instrText>ADDIN CSL_CITATION {"citationItems":[{"id":"ITEM-1","itemData":{"DOI":"https://doi.org/10.25561/77731","abstract":"Following the emergence of a novel coronavirus (SARS-CoV-2) and its spread outside of China, Europe is now experiencing large epidemics. In response, many European countries have implemented unprecedented non-pharmaceutical interventions including case isolation, the closure of schools and universities, banning of mass gatherings and/or public events, and most recently, widescale social distancing including local and national lockdowns. In this report, we use a semi-mechanistic Bayesian hierarchical model to attempt to infer the impact of these interventions across 11 European countries. Our methods assume that changes in the reproductive number-a measure of transmission-are an immediate response to these interventions being implemented rather than broader gradual changes in behaviour. Our model estimates these changes by calculating backwards from the deaths observed over time to estimate transmission that occurred several weeks prior, allowing for the time lag between infection and death.","author":[{"dropping-particle":"","family":"Flaxman","given":"Seth","non-dropping-particle":"","parse-names":false,"suffix":""},{"dropping-particle":"","family":"Mishra","given":"Swapnil","non-dropping-particle":"","parse-names":false,"suffix":""},{"dropping-particle":"","family":"Gandy","given":"Axel","non-dropping-particle":"","parse-names":false,"suffix":""},{"dropping-particle":"","family":"Unwin","given":"Juliette T","non-dropping-particle":"","parse-names":false,"suffix":""},{"dropping-particle":"","family":"Coupland","given":"Helen","non-dropping-particle":"","parse-names":false,"suffix":""},{"dropping-particle":"","family":"Mellan","given":"Thomas A","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W","non-dropping-particle":"","parse-names":false,"suffix":""},{"dropping-particle":"","family":"Guzman","given":"Pablo N P","non-dropping-particle":"","parse-names":false,"suffix":""},{"dropping-particle":"","family":"Schmit","given":"Nora","non-dropping-particle":"","parse-names":false,"suffix":""},{"dropping-particle":"","family":"Cilloni","given":"Lucia","non-dropping-particle":"","parse-names":false,"suffix":""},{"dropping-particle":"","family":"Ainslie","given":"Kylie E C","non-dropping-particle":"","parse-names":false,"suffix":""},{"dropping-particle":"","family":"Baguelin","given":"Marc","non-dropping-particle":"","parse-names":false,"suffix":""},{"dropping-particle":"","family":"Blake","given":"Isobel","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iavarella","given":"Constanze","non-dropping-particle":"","parse-names":false,"suffix":""},{"dropping-particle":"","family":"Cooper","given":"Laur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jaafara","given":"Bimandra","non-dropping-particle":"","parse-names":false,"suffix":""},{"dropping-particle":"","family":"Dorigatti","given":"Ilaria","non-dropping-particle":"","parse-names":false,"suffix":""},{"dropping-particle":"","family":"Elsland","given":"Sabine","non-dropping-particle":"Van","parse-names":false,"suffix":""},{"dropping-particle":"","family":"Fitzjohn","given":"Rich","non-dropping-particle":"","parse-names":false,"suffix":""},{"dropping-particle":"","family":"Fu","given":"Han","non-dropping-particle":"","parse-names":false,"suffix":""},{"dropping-particle":"","family":"Gaythorpe","given":"Katy","non-dropping-particle":"","parse-names":false,"suffix":""},{"dropping-particle":"","family":"Geidelberg","given":"Lily","non-dropping-particle":"","parse-names":false,"suffix":""},{"dropping-particle":"","family":"Grassly","given":"Nicholas","non-dropping-particle":"","parse-names":false,"suffix":""},{"dropping-particle":"","family":"Green","given":"Will","non-dropping-particle":"","parse-names":false,"suffix":""},{"dropping-particle":"","family":"Hallett","given":"Timothy","non-dropping-particle":"","parse-names":false,"suffix":""},{"dropping-particle":"","family":"Hamlet","given":"Arran","non-dropping-particle":"","parse-names":false,"suffix":""},{"dropping-particle":"","family":"Hinsley","given":"Wes","non-dropping-particle":"","parse-names":false,"suffix":""},{"dropping-particle":"","family":"Jeffrey","given":"Ben","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Nedjati-Gilani","given":"Gemma","non-dropping-particle":"","parse-names":false,"suffix":""},{"dropping-particle":"","family":"Nouvellet","given":"Pierre","non-dropping-particle":"","parse-names":false,"suffix":""},{"dropping-particle":"","family":"Parag","given":"Kris","non-dropping-particle":"","parse-names":false,"suffix":""},{"dropping-particle":"","family":"Siveroni","given":"Igor","non-dropping-particle":"","parse-names":false,"suffix":""},{"dropping-particle":"","family":"Thompson","given":"Hayley","non-dropping-particle":"","parse-names":false,"suffix":""},{"dropping-particle":"","family":"Verity","given":"Robert","non-dropping-particle":"","parse-names":false,"suffix":""},{"dropping-particle":"","family":"Volz","given":"Erik","non-dropping-particle":"","parse-names":false,"suffix":""},{"dropping-particle":"","family":"Gt Walker","given":"Patrick","non-dropping-particle":"","parse-names":false,"suffix":""},{"dropping-particle":"","family":"Walters","given":"Caroline","non-dropping-particle":"","parse-names":false,"suffix":""},{"dropping-particle":"","family":"Wang","given":"Haowei","non-dropping-particle":"","parse-names":false,"suffix":""},{"dropping-particle":"","family":"Wang","given":"Yuanrong","non-dropping-particle":"","parse-names":false,"suffix":""},{"dropping-particle":"","family":"Watson","given":"Oliver","non-dropping-particle":"","parse-names":false,"suffix":""},{"dropping-particle":"","family":"Xi","given":"Xiaoyue","non-dropping-particle":"","parse-names":false,"suffix":""},{"dropping-particle":"","family":"Winskill","given":"Peter","non-dropping-particle":"","parse-names":false,"suffix":""},{"dropping-particle":"","family":"Whittaker","given":"Charles","non-dropping-particle":"","parse-names":false,"suffix":""},{"dropping-particle":"","family":"Ghani","given":"Azra","non-dropping-particle":"","parse-names":false,"suffix":""},{"dropping-particle":"","family":"Donnelly","given":"Christl A","non-dropping-particle":"","parse-names":false,"suffix":""},{"dropping-particle":"","family":"Riley","given":"Steven","non-dropping-particle":"","parse-names":false,"suffix":""},{"dropping-particle":"","family":"Okell","given":"Lucy C","non-dropping-particle":"","parse-names":false,"suffix":""},{"dropping-particle":"","family":"Vollmer","given":"Michaela A C","non-dropping-particle":"","parse-names":false,"suffix":""},{"dropping-particle":"","family":"Ferguson","given":"Neil M","non-dropping-particle":"","parse-names":false,"suffix":""},{"dropping-particle":"","family":"Bhatt","given":"Samir","non-dropping-particle":"","parse-names":false,"suffix":""}],"id":"ITEM-1","issued":{"date-parts":[["2020"]]},"title":"Estimating the number of infections and the impact of non-pharmaceutical interventions on COVID-19 in 11 European countries. (Imperial College COVID-19 Response Team)","type":"article-journal"},"uris":["http://www.mendeley.com/documents/?uuid=e43c81aa-7602-363d-9d61-cf4bfceb26f3"]}],"mendeley":{"formattedCitation":"(&lt;i&gt;6&lt;/i&gt;)","plainTextFormattedCitation":"(6)","previouslyFormattedCitation":"(&lt;i&gt;6&lt;/i&gt;)"},"properties":{"noteIndex":0},"schema":"https://github.com/citation-style-language/schema/raw/master/csl-citation.json"}</w:instrText>
      </w:r>
      <w:r w:rsidR="00324AE6">
        <w:fldChar w:fldCharType="separate"/>
      </w:r>
      <w:r w:rsidR="00931300" w:rsidRPr="00931300">
        <w:rPr>
          <w:noProof/>
        </w:rPr>
        <w:t>(</w:t>
      </w:r>
      <w:r w:rsidR="00931300" w:rsidRPr="00931300">
        <w:rPr>
          <w:i/>
          <w:noProof/>
        </w:rPr>
        <w:t>6</w:t>
      </w:r>
      <w:r w:rsidR="00931300" w:rsidRPr="00931300">
        <w:rPr>
          <w:noProof/>
        </w:rPr>
        <w:t>)</w:t>
      </w:r>
      <w:r w:rsidR="00324AE6">
        <w:fldChar w:fldCharType="end"/>
      </w:r>
      <w:r w:rsidR="00324AE6">
        <w:t>,</w:t>
      </w:r>
      <w:r w:rsidR="004A30BB" w:rsidRPr="000C4C02">
        <w:t xml:space="preserve"> we use a central estimate of</w:t>
      </w:r>
      <w:r w:rsidR="00F363D7">
        <w:t xml:space="preserve"> the basic reproduction number</w:t>
      </w:r>
      <w:r w:rsidR="004A30BB" w:rsidRPr="000C4C02">
        <w:t xml:space="preserve"> </w:t>
      </w:r>
      <w:r w:rsidR="00F363D7">
        <w:t>(</w:t>
      </w:r>
      <w:r w:rsidR="004A30BB" w:rsidRPr="000C4C02">
        <w:t>R</w:t>
      </w:r>
      <w:r w:rsidR="004A30BB" w:rsidRPr="000C4C02">
        <w:rPr>
          <w:vertAlign w:val="subscript"/>
        </w:rPr>
        <w:t>0</w:t>
      </w:r>
      <w:r w:rsidR="00F363D7">
        <w:t>)</w:t>
      </w:r>
      <w:r w:rsidR="004A30BB" w:rsidRPr="000C4C02">
        <w:t xml:space="preserve"> </w:t>
      </w:r>
      <w:r w:rsidR="002E398C" w:rsidRPr="000C4C02">
        <w:t>of</w:t>
      </w:r>
      <w:r w:rsidR="004A30BB" w:rsidRPr="000C4C02">
        <w:t xml:space="preserve"> 3.0 </w:t>
      </w:r>
      <w:r w:rsidR="00730A87" w:rsidRPr="000C4C02">
        <w:t xml:space="preserve">(a 3.5 day doubling time) </w:t>
      </w:r>
      <w:r w:rsidR="004A30BB" w:rsidRPr="000C4C02">
        <w:t>and investigate scenarios with R</w:t>
      </w:r>
      <w:r w:rsidR="004A30BB" w:rsidRPr="000C4C02">
        <w:rPr>
          <w:vertAlign w:val="subscript"/>
        </w:rPr>
        <w:t xml:space="preserve">0 </w:t>
      </w:r>
      <w:r w:rsidR="004A30BB" w:rsidRPr="000C4C02">
        <w:t>between 2.</w:t>
      </w:r>
      <w:r w:rsidR="0074493C">
        <w:t>3</w:t>
      </w:r>
      <w:r w:rsidR="002E398C" w:rsidRPr="000C4C02">
        <w:t xml:space="preserve"> (a </w:t>
      </w:r>
      <w:r w:rsidR="0074493C">
        <w:t>5</w:t>
      </w:r>
      <w:r w:rsidR="002E398C" w:rsidRPr="000C4C02">
        <w:t xml:space="preserve"> day doubling time)</w:t>
      </w:r>
      <w:r w:rsidR="004A30BB" w:rsidRPr="000C4C02">
        <w:t xml:space="preserve"> and 3.</w:t>
      </w:r>
      <w:r w:rsidR="00E633B6">
        <w:t>5</w:t>
      </w:r>
      <w:r w:rsidR="002E398C" w:rsidRPr="000C4C02">
        <w:t xml:space="preserve"> (a </w:t>
      </w:r>
      <w:r w:rsidR="00730A87" w:rsidRPr="000C4C02">
        <w:t>3</w:t>
      </w:r>
      <w:r w:rsidR="002E398C" w:rsidRPr="000C4C02">
        <w:t xml:space="preserve"> day doubling time)</w:t>
      </w:r>
      <w:r w:rsidR="004A30BB" w:rsidRPr="000C4C02">
        <w:t>.</w:t>
      </w:r>
    </w:p>
    <w:p w14:paraId="24E963A0" w14:textId="1583149E" w:rsidR="00610F10" w:rsidRDefault="00324895" w:rsidP="005A3F87">
      <w:r w:rsidRPr="000A6643">
        <w:t>Figure 1</w:t>
      </w:r>
      <w:r w:rsidRPr="000A6643">
        <w:rPr>
          <w:b/>
          <w:bCs/>
        </w:rPr>
        <w:t xml:space="preserve"> </w:t>
      </w:r>
      <w:r w:rsidRPr="000A6643">
        <w:t>summarises two of the demographic and societal factors which are likely to determine the burden of COVID-19</w:t>
      </w:r>
      <w:r w:rsidR="003766C7">
        <w:t xml:space="preserve"> disease</w:t>
      </w:r>
      <w:r w:rsidRPr="000A6643">
        <w:t xml:space="preserve"> </w:t>
      </w:r>
      <w:r w:rsidR="00CD1A7B">
        <w:t>across different income settings</w:t>
      </w:r>
      <w:r w:rsidRPr="000A6643">
        <w:t>. First, there is a strong correlation between the gross domestic product (GDP) of a country and its underlying demography (Figure 1A). Higher income countries tend to have the oldest populations; lower income countries in contrast have a much smaller proportion of the population who are above 65 and therefore within the age interval currently observed to be at particularly high risk of mortality from COVID-19</w:t>
      </w:r>
      <w:r w:rsidR="00AB1E16">
        <w:t xml:space="preserve"> disease</w:t>
      </w:r>
      <w:r w:rsidR="00931300">
        <w:t xml:space="preserve"> </w:t>
      </w:r>
      <w:r w:rsidRPr="000A6643">
        <w:fldChar w:fldCharType="begin" w:fldLock="1"/>
      </w:r>
      <w:r w:rsidR="00DC6C40">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rsidRPr="000A6643">
        <w:fldChar w:fldCharType="separate"/>
      </w:r>
      <w:r w:rsidR="00931300" w:rsidRPr="00931300">
        <w:rPr>
          <w:noProof/>
        </w:rPr>
        <w:t>(</w:t>
      </w:r>
      <w:r w:rsidR="00931300" w:rsidRPr="00931300">
        <w:rPr>
          <w:i/>
          <w:noProof/>
        </w:rPr>
        <w:t>5</w:t>
      </w:r>
      <w:r w:rsidR="00931300" w:rsidRPr="00931300">
        <w:rPr>
          <w:noProof/>
        </w:rPr>
        <w:t>)</w:t>
      </w:r>
      <w:r w:rsidRPr="000A6643">
        <w:fldChar w:fldCharType="end"/>
      </w:r>
      <w:r w:rsidRPr="000A6643">
        <w:t xml:space="preserve">. </w:t>
      </w:r>
      <w:r w:rsidR="004F73FB">
        <w:t xml:space="preserve">Second, </w:t>
      </w:r>
      <w:r w:rsidR="00B64B3F">
        <w:t>t</w:t>
      </w:r>
      <w:r w:rsidR="00552A03">
        <w:t xml:space="preserve">he household is a key setting for </w:t>
      </w:r>
      <w:r w:rsidR="00AB1E16">
        <w:t>SARS-CoV-2</w:t>
      </w:r>
      <w:r w:rsidR="00552A03">
        <w:t xml:space="preserve"> transmission</w:t>
      </w:r>
      <w:r w:rsidR="00931300">
        <w:t xml:space="preserve"> </w:t>
      </w:r>
      <w:r w:rsidR="00552A03" w:rsidRPr="000A6643">
        <w:fldChar w:fldCharType="begin" w:fldLock="1"/>
      </w:r>
      <w:r w:rsidR="00DC6C40">
        <w:instrText>ADDIN CSL_CITATION {"citationItems":[{"id":"ITEM-1","itemData":{"URL":"https://www.who.int/publications-detail/report-of-the-who-china-joint-mission-on-coronavirus-disease-2019-(covid-19)","accessed":{"date-parts":[["2020","3","22"]]},"author":[{"dropping-particle":"","family":"WHO","given":"","non-dropping-particle":"","parse-names":false,"suffix":""}],"id":"ITEM-1","issued":{"date-parts":[["2020"]]},"title":"Report of the WHO-China Joint Mission on Coronavirus Disease 2019 (COVID-19)","type":"webpage"},"uris":["http://www.mendeley.com/documents/?uuid=d9f00419-c0b7-3aa8-8273-b26c8e799215"]}],"mendeley":{"formattedCitation":"(&lt;i&gt;7&lt;/i&gt;)","plainTextFormattedCitation":"(7)","previouslyFormattedCitation":"(&lt;i&gt;7&lt;/i&gt;)"},"properties":{"noteIndex":0},"schema":"https://github.com/citation-style-language/schema/raw/master/csl-citation.json"}</w:instrText>
      </w:r>
      <w:r w:rsidR="00552A03" w:rsidRPr="000A6643">
        <w:fldChar w:fldCharType="separate"/>
      </w:r>
      <w:r w:rsidR="00931300" w:rsidRPr="00931300">
        <w:rPr>
          <w:noProof/>
        </w:rPr>
        <w:t>(</w:t>
      </w:r>
      <w:r w:rsidR="00931300" w:rsidRPr="00931300">
        <w:rPr>
          <w:i/>
          <w:noProof/>
        </w:rPr>
        <w:t>7</w:t>
      </w:r>
      <w:r w:rsidR="00931300" w:rsidRPr="00931300">
        <w:rPr>
          <w:noProof/>
        </w:rPr>
        <w:t>)</w:t>
      </w:r>
      <w:r w:rsidR="00552A03" w:rsidRPr="000A6643">
        <w:fldChar w:fldCharType="end"/>
      </w:r>
      <w:r w:rsidR="00552A03" w:rsidRPr="000A6643">
        <w:t xml:space="preserve">. The average size </w:t>
      </w:r>
      <w:r w:rsidR="00552A03">
        <w:t xml:space="preserve">of households that have a resident over the age of 65 years </w:t>
      </w:r>
      <w:r w:rsidR="00552A03" w:rsidRPr="000A6643">
        <w:t xml:space="preserve">is substantially higher in </w:t>
      </w:r>
      <w:r w:rsidR="007B04A1">
        <w:t xml:space="preserve">lower income </w:t>
      </w:r>
      <w:r w:rsidR="00552A03" w:rsidRPr="000A6643">
        <w:t>countries</w:t>
      </w:r>
      <w:r w:rsidR="00552A03" w:rsidRPr="000A6643" w:rsidDel="007B04A1">
        <w:t xml:space="preserve"> </w:t>
      </w:r>
      <w:r w:rsidR="00552A03" w:rsidRPr="000A6643">
        <w:t xml:space="preserve">(Figure 1B) compared </w:t>
      </w:r>
      <w:r w:rsidR="00552A03">
        <w:t>with</w:t>
      </w:r>
      <w:r w:rsidR="00552A03" w:rsidRPr="000A6643">
        <w:t xml:space="preserve"> middle- and high-income countries</w:t>
      </w:r>
      <w:r w:rsidR="00552A03">
        <w:t xml:space="preserve">, increasing the potential for spread generally but also specifically to this particularly vulnerable age-group. </w:t>
      </w:r>
      <w:r w:rsidR="00552A03" w:rsidRPr="000A6643">
        <w:t xml:space="preserve">Contact patterns between age-groups also differ by </w:t>
      </w:r>
      <w:r w:rsidR="00552A03">
        <w:t>country</w:t>
      </w:r>
      <w:r w:rsidR="0076489F">
        <w:t xml:space="preserve"> (Fig</w:t>
      </w:r>
      <w:r w:rsidR="00463593">
        <w:t>ure S5)</w:t>
      </w:r>
      <w:r w:rsidR="00552A03" w:rsidRPr="000A6643">
        <w:t xml:space="preserve">; in high-income settings </w:t>
      </w:r>
      <w:r w:rsidR="00355702">
        <w:t xml:space="preserve">the number of </w:t>
      </w:r>
      <w:r w:rsidR="00552A03" w:rsidRPr="000A6643">
        <w:t>contact</w:t>
      </w:r>
      <w:r w:rsidR="00355702">
        <w:t>s</w:t>
      </w:r>
      <w:r w:rsidR="00552A03" w:rsidRPr="000A6643">
        <w:t xml:space="preserve"> tend</w:t>
      </w:r>
      <w:r w:rsidR="00355702">
        <w:t>s</w:t>
      </w:r>
      <w:r w:rsidR="00552A03" w:rsidRPr="000A6643">
        <w:t xml:space="preserve"> to decline steeply with age</w:t>
      </w:r>
      <w:r w:rsidR="00552A03">
        <w:t>. T</w:t>
      </w:r>
      <w:r w:rsidR="00552A03" w:rsidRPr="000A6643">
        <w:t>his effect is more moderate in middle-income settings and disappears in low-income settings</w:t>
      </w:r>
      <w:r w:rsidR="00552A03">
        <w:t>, indicating that elderly individuals in these settings (LICs and MICs) maintain higher contact</w:t>
      </w:r>
      <w:r w:rsidR="00552A03" w:rsidRPr="000A6643">
        <w:t xml:space="preserve"> </w:t>
      </w:r>
      <w:r w:rsidR="00552A03">
        <w:t>rates with a wide</w:t>
      </w:r>
      <w:r w:rsidR="002E6DA8">
        <w:t>r</w:t>
      </w:r>
      <w:r w:rsidR="00552A03">
        <w:t xml:space="preserve"> range of age-groups compared to elderly individuals in high-income countries (HICs). </w:t>
      </w:r>
      <w:r w:rsidR="00552A03" w:rsidRPr="000A6643">
        <w:t xml:space="preserve">These contact patterns influence the predicted </w:t>
      </w:r>
      <w:r w:rsidR="006312AD">
        <w:t>SARS-CoV-2</w:t>
      </w:r>
      <w:r w:rsidR="00552A03">
        <w:t xml:space="preserve"> infection </w:t>
      </w:r>
      <w:r w:rsidR="00552A03" w:rsidRPr="000A6643">
        <w:t>attack rate across age-groups (Figure</w:t>
      </w:r>
      <w:r w:rsidR="00B64B3F">
        <w:t xml:space="preserve"> 1</w:t>
      </w:r>
      <w:r w:rsidR="00552A03" w:rsidRPr="000A6643">
        <w:t xml:space="preserve"> </w:t>
      </w:r>
      <w:r w:rsidR="00681B67">
        <w:t>C-E</w:t>
      </w:r>
      <w:r w:rsidR="00552A03" w:rsidRPr="000A6643">
        <w:t xml:space="preserve">) with higher attack rates in the elderly predicted in low-income settings compared to high-income settings and middle-income settings showing intermediate patterns. </w:t>
      </w:r>
    </w:p>
    <w:p w14:paraId="070B69FB" w14:textId="41F53D3B" w:rsidR="00324895" w:rsidRPr="00D126E1" w:rsidRDefault="009C7848" w:rsidP="009C7848">
      <w:pPr>
        <w:rPr>
          <w:i/>
          <w:iCs/>
        </w:rPr>
      </w:pPr>
      <w:r>
        <w:rPr>
          <w:noProof/>
          <w:lang w:eastAsia="en-GB"/>
        </w:rPr>
        <w:lastRenderedPageBreak/>
        <w:drawing>
          <wp:inline distT="0" distB="0" distL="0" distR="0" wp14:anchorId="2F1D3C3A" wp14:editId="16C4B96A">
            <wp:extent cx="5658828" cy="62055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048" cy="6225517"/>
                    </a:xfrm>
                    <a:prstGeom prst="rect">
                      <a:avLst/>
                    </a:prstGeom>
                    <a:noFill/>
                  </pic:spPr>
                </pic:pic>
              </a:graphicData>
            </a:graphic>
          </wp:inline>
        </w:drawing>
      </w:r>
      <w:r w:rsidR="00E92471" w:rsidRPr="00D126E1">
        <w:rPr>
          <w:i/>
          <w:iCs/>
        </w:rPr>
        <w:t xml:space="preserve"> </w:t>
      </w:r>
    </w:p>
    <w:p w14:paraId="344F1978" w14:textId="27174490" w:rsidR="007F3EF7" w:rsidRDefault="00EA17A9" w:rsidP="009C7848">
      <w:pPr>
        <w:rPr>
          <w:iCs/>
        </w:rPr>
      </w:pPr>
      <w:r>
        <w:rPr>
          <w:iCs/>
        </w:rPr>
        <w:t>For an</w:t>
      </w:r>
      <w:r w:rsidR="007F3EF7">
        <w:rPr>
          <w:iCs/>
        </w:rPr>
        <w:t xml:space="preserve"> unmitigated epidemic</w:t>
      </w:r>
      <w:r>
        <w:rPr>
          <w:iCs/>
        </w:rPr>
        <w:t xml:space="preserve">, we obtain </w:t>
      </w:r>
      <w:r w:rsidR="00853273">
        <w:rPr>
          <w:iCs/>
        </w:rPr>
        <w:t xml:space="preserve">similar </w:t>
      </w:r>
      <w:r>
        <w:rPr>
          <w:iCs/>
        </w:rPr>
        <w:t xml:space="preserve">estimates </w:t>
      </w:r>
      <w:r w:rsidR="00853273">
        <w:rPr>
          <w:iCs/>
        </w:rPr>
        <w:t>of the distribution of the attack rate</w:t>
      </w:r>
      <w:r w:rsidR="007F3EF7">
        <w:rPr>
          <w:iCs/>
        </w:rPr>
        <w:t xml:space="preserve"> </w:t>
      </w:r>
      <w:r w:rsidR="00853273">
        <w:rPr>
          <w:iCs/>
        </w:rPr>
        <w:t xml:space="preserve">across </w:t>
      </w:r>
      <w:r w:rsidR="00996A86">
        <w:rPr>
          <w:iCs/>
        </w:rPr>
        <w:t xml:space="preserve">settings </w:t>
      </w:r>
      <w:r w:rsidR="007F3EF7">
        <w:rPr>
          <w:iCs/>
        </w:rPr>
        <w:t xml:space="preserve">for a given </w:t>
      </w:r>
      <m:oMath>
        <m:sSub>
          <m:sSubPr>
            <m:ctrlPr>
              <w:rPr>
                <w:rFonts w:ascii="Cambria Math" w:hAnsi="Cambria Math"/>
                <w:i/>
                <w:iCs/>
              </w:rPr>
            </m:ctrlPr>
          </m:sSubPr>
          <m:e>
            <m:r>
              <w:rPr>
                <w:rFonts w:ascii="Cambria Math" w:hAnsi="Cambria Math"/>
              </w:rPr>
              <m:t>R</m:t>
            </m:r>
          </m:e>
          <m:sub>
            <m:r>
              <w:rPr>
                <w:rFonts w:ascii="Cambria Math" w:hAnsi="Cambria Math"/>
              </w:rPr>
              <m:t>0</m:t>
            </m:r>
          </m:sub>
        </m:sSub>
      </m:oMath>
      <w:r w:rsidR="007F3EF7">
        <w:rPr>
          <w:iCs/>
        </w:rPr>
        <w:t xml:space="preserve"> (Figure 1F), with slightly higher attack rates in lower income countries due to the more homogen</w:t>
      </w:r>
      <w:r w:rsidR="00D41D2A">
        <w:rPr>
          <w:iCs/>
        </w:rPr>
        <w:t>e</w:t>
      </w:r>
      <w:r w:rsidR="007F3EF7">
        <w:rPr>
          <w:iCs/>
        </w:rPr>
        <w:t xml:space="preserve">ous levels of mixing with age. However, </w:t>
      </w:r>
      <w:r w:rsidR="00FB19E6">
        <w:rPr>
          <w:iCs/>
        </w:rPr>
        <w:t>under a baseline</w:t>
      </w:r>
      <w:r w:rsidR="007F3EF7">
        <w:rPr>
          <w:iCs/>
        </w:rPr>
        <w:t xml:space="preserve"> assumption of </w:t>
      </w:r>
      <w:r w:rsidR="00624C1D">
        <w:rPr>
          <w:iCs/>
        </w:rPr>
        <w:t>the same</w:t>
      </w:r>
      <w:r w:rsidR="007F3EF7">
        <w:rPr>
          <w:iCs/>
        </w:rPr>
        <w:t xml:space="preserve"> comorbidity profile across all settings, we </w:t>
      </w:r>
      <w:r w:rsidR="00D16928">
        <w:rPr>
          <w:iCs/>
        </w:rPr>
        <w:t>would expect</w:t>
      </w:r>
      <w:r w:rsidR="004C3341">
        <w:rPr>
          <w:iCs/>
        </w:rPr>
        <w:t xml:space="preserve"> </w:t>
      </w:r>
      <w:r w:rsidR="007F3EF7">
        <w:rPr>
          <w:iCs/>
        </w:rPr>
        <w:t>a lower risk of requiring hospitalisation and critical care in lower income settings</w:t>
      </w:r>
      <w:r w:rsidR="00EE18FA">
        <w:rPr>
          <w:iCs/>
        </w:rPr>
        <w:t>,</w:t>
      </w:r>
      <w:r w:rsidR="007F3EF7">
        <w:rPr>
          <w:iCs/>
        </w:rPr>
        <w:t xml:space="preserve"> driven by </w:t>
      </w:r>
      <w:r w:rsidR="001609B4">
        <w:rPr>
          <w:iCs/>
        </w:rPr>
        <w:t xml:space="preserve">the younger </w:t>
      </w:r>
      <w:r w:rsidR="007F3EF7">
        <w:rPr>
          <w:iCs/>
        </w:rPr>
        <w:t>demography</w:t>
      </w:r>
      <w:r w:rsidR="001609B4">
        <w:rPr>
          <w:iCs/>
        </w:rPr>
        <w:t xml:space="preserve"> in these populations</w:t>
      </w:r>
      <w:r w:rsidR="005C7417">
        <w:rPr>
          <w:iCs/>
        </w:rPr>
        <w:t xml:space="preserve"> (Figure 1G-H)</w:t>
      </w:r>
      <w:r w:rsidR="007F3EF7">
        <w:rPr>
          <w:iCs/>
        </w:rPr>
        <w:t xml:space="preserve">. </w:t>
      </w:r>
      <w:r w:rsidR="005C7417">
        <w:rPr>
          <w:iCs/>
        </w:rPr>
        <w:t>Assuming the same</w:t>
      </w:r>
      <w:r w:rsidR="007F3EF7">
        <w:rPr>
          <w:iCs/>
        </w:rPr>
        <w:t xml:space="preserve"> availability of healthcare</w:t>
      </w:r>
      <w:r w:rsidR="005C7417">
        <w:rPr>
          <w:iCs/>
        </w:rPr>
        <w:t xml:space="preserve"> (</w:t>
      </w:r>
      <w:r w:rsidR="007F3EF7">
        <w:rPr>
          <w:iCs/>
        </w:rPr>
        <w:t xml:space="preserve">equivalent to that </w:t>
      </w:r>
      <w:r w:rsidR="005C7417">
        <w:rPr>
          <w:iCs/>
        </w:rPr>
        <w:t xml:space="preserve">provided </w:t>
      </w:r>
      <w:r w:rsidR="007F3EF7">
        <w:rPr>
          <w:iCs/>
        </w:rPr>
        <w:t>in China</w:t>
      </w:r>
      <w:r w:rsidR="005C7417">
        <w:rPr>
          <w:iCs/>
        </w:rPr>
        <w:t>)</w:t>
      </w:r>
      <w:r w:rsidR="007F3EF7">
        <w:rPr>
          <w:iCs/>
        </w:rPr>
        <w:t xml:space="preserve"> throughout the pandemic</w:t>
      </w:r>
      <w:r w:rsidR="005C7417">
        <w:rPr>
          <w:iCs/>
        </w:rPr>
        <w:t xml:space="preserve">, we </w:t>
      </w:r>
      <w:r w:rsidR="00FB19E6">
        <w:rPr>
          <w:iCs/>
        </w:rPr>
        <w:t>would expect</w:t>
      </w:r>
      <w:r w:rsidR="005C7417">
        <w:rPr>
          <w:iCs/>
        </w:rPr>
        <w:t xml:space="preserve"> </w:t>
      </w:r>
      <w:r w:rsidR="007F3EF7">
        <w:rPr>
          <w:iCs/>
        </w:rPr>
        <w:t xml:space="preserve">a lower </w:t>
      </w:r>
      <w:r w:rsidR="004C3341">
        <w:rPr>
          <w:iCs/>
        </w:rPr>
        <w:t xml:space="preserve">overall </w:t>
      </w:r>
      <w:r w:rsidR="007F3EF7">
        <w:rPr>
          <w:iCs/>
        </w:rPr>
        <w:t>per-capita risk of mortality</w:t>
      </w:r>
      <w:r w:rsidR="005C7417">
        <w:rPr>
          <w:iCs/>
        </w:rPr>
        <w:t xml:space="preserve"> in lower income settings due to the younger age of the populations (Figure 1I)</w:t>
      </w:r>
      <w:r w:rsidR="007F3EF7">
        <w:rPr>
          <w:iCs/>
        </w:rPr>
        <w:t xml:space="preserve">. </w:t>
      </w:r>
    </w:p>
    <w:p w14:paraId="220AAE11" w14:textId="063E2C05" w:rsidR="004C3341" w:rsidRPr="006A0185" w:rsidRDefault="004C3341" w:rsidP="009C7848">
      <w:pPr>
        <w:rPr>
          <w:b/>
          <w:bCs/>
          <w:i/>
        </w:rPr>
      </w:pPr>
      <w:r w:rsidRPr="006A0185">
        <w:rPr>
          <w:b/>
          <w:bCs/>
          <w:i/>
        </w:rPr>
        <w:t>Healthcare Availability and Quality</w:t>
      </w:r>
    </w:p>
    <w:p w14:paraId="61C4F3FB" w14:textId="2C588FBD" w:rsidR="006266D5" w:rsidRDefault="006266D5" w:rsidP="006266D5">
      <w:r>
        <w:t>It is clear from the current epidemic</w:t>
      </w:r>
      <w:r w:rsidR="00CD79B5">
        <w:t>s</w:t>
      </w:r>
      <w:r>
        <w:t xml:space="preserve"> in Europe</w:t>
      </w:r>
      <w:r w:rsidR="006C1CE1">
        <w:t xml:space="preserve"> and the United States</w:t>
      </w:r>
      <w:r>
        <w:t xml:space="preserve"> that </w:t>
      </w:r>
      <w:r w:rsidR="00CE2961">
        <w:t>COVID-19</w:t>
      </w:r>
      <w:r w:rsidR="006312AD">
        <w:t xml:space="preserve"> disease</w:t>
      </w:r>
      <w:r w:rsidR="00CE2961">
        <w:t xml:space="preserve"> will</w:t>
      </w:r>
      <w:r>
        <w:t xml:space="preserve"> </w:t>
      </w:r>
      <w:r w:rsidR="00991294">
        <w:t xml:space="preserve">place </w:t>
      </w:r>
      <w:r>
        <w:t xml:space="preserve">a severe strain on health systems. This effect is likely to be more extreme in lower-income settings </w:t>
      </w:r>
      <w:r w:rsidR="00991294">
        <w:lastRenderedPageBreak/>
        <w:t xml:space="preserve">where </w:t>
      </w:r>
      <w:r>
        <w:t xml:space="preserve">healthcare capacity is </w:t>
      </w:r>
      <w:r w:rsidR="00991294">
        <w:t xml:space="preserve">typically </w:t>
      </w:r>
      <w:r>
        <w:t>limited. To explore this, using data derived from the World Bank and wider literature, we developed a model of the supply of health care relevant to COVID-19</w:t>
      </w:r>
      <w:r w:rsidR="006312AD">
        <w:t xml:space="preserve"> disease</w:t>
      </w:r>
      <w:r>
        <w:t xml:space="preserve">. </w:t>
      </w:r>
      <w:r w:rsidR="007F3711">
        <w:t>W</w:t>
      </w:r>
      <w:r>
        <w:t>e use a boosted regression tree-based approach to model the likely availability of hospital beds (per 1000 population, from the World Bank) based on a suite of relevant</w:t>
      </w:r>
      <w:r w:rsidR="00F52BF4">
        <w:t xml:space="preserve"> </w:t>
      </w:r>
      <w:r w:rsidR="00021416">
        <w:t xml:space="preserve">healthcare-related and </w:t>
      </w:r>
      <w:r w:rsidR="00F52BF4">
        <w:t>socio-economic</w:t>
      </w:r>
      <w:r>
        <w:t xml:space="preserve"> covariates (</w:t>
      </w:r>
      <w:r w:rsidR="00F52BF4">
        <w:t xml:space="preserve">also from the World Bank, </w:t>
      </w:r>
      <w:r>
        <w:t xml:space="preserve">see Materials and Methods). This prediction of hospital bed capacity was then combined with estimates of intensive care unit beds (per 100 hospital beds) across a range of different settings (spanning LICs, LMICs, UMICs and HICs) identified through a systematic </w:t>
      </w:r>
      <w:r w:rsidR="00F52BF4">
        <w:t xml:space="preserve">literature </w:t>
      </w:r>
      <w:r>
        <w:t xml:space="preserve">review (Figure </w:t>
      </w:r>
      <w:r w:rsidR="001B76B9">
        <w:t>2</w:t>
      </w:r>
      <w:r>
        <w:t xml:space="preserve">). These estimates of healthcare capacity were then integrated with our estimates of the demand </w:t>
      </w:r>
      <w:r w:rsidR="00CE2961">
        <w:t xml:space="preserve">that </w:t>
      </w:r>
      <w:r>
        <w:t xml:space="preserve">COVID-19 epidemics will place on national health systems. </w:t>
      </w:r>
    </w:p>
    <w:p w14:paraId="1FBEA205" w14:textId="2678D3B4" w:rsidR="008641CD" w:rsidRDefault="006266D5" w:rsidP="006266D5">
      <w:r>
        <w:t>The boosted regression tree model predict</w:t>
      </w:r>
      <w:r w:rsidR="00CF7FA2">
        <w:t>s</w:t>
      </w:r>
      <w:r>
        <w:t xml:space="preserve"> hospital bed capacity </w:t>
      </w:r>
      <w:r w:rsidR="004D0167">
        <w:t xml:space="preserve">well </w:t>
      </w:r>
      <w:r>
        <w:t>across the range of countries for which data w</w:t>
      </w:r>
      <w:r w:rsidR="006F2B25">
        <w:t>ere</w:t>
      </w:r>
      <w:r>
        <w:t xml:space="preserve"> available (</w:t>
      </w:r>
      <w:r w:rsidR="00A14D20">
        <w:t>Figure 2A</w:t>
      </w:r>
      <w:r>
        <w:t>). We find that</w:t>
      </w:r>
      <w:r w:rsidRPr="000A6643">
        <w:t xml:space="preserve"> </w:t>
      </w:r>
      <w:r>
        <w:t>h</w:t>
      </w:r>
      <w:r w:rsidRPr="000A6643">
        <w:t xml:space="preserve">ospital bed capacity is strongly correlated with the income status of countries (Figure </w:t>
      </w:r>
      <w:r w:rsidR="00300A36">
        <w:t>2</w:t>
      </w:r>
      <w:r w:rsidR="00A14D20">
        <w:t>B</w:t>
      </w:r>
      <w:r w:rsidRPr="000A6643">
        <w:t xml:space="preserve">); </w:t>
      </w:r>
      <w:r>
        <w:t xml:space="preserve">LICs </w:t>
      </w:r>
      <w:r w:rsidRPr="000A6643">
        <w:t>have the fewest hospital beds per 1000 population (</w:t>
      </w:r>
      <w:r>
        <w:t xml:space="preserve">median </w:t>
      </w:r>
      <w:r w:rsidRPr="000A6643">
        <w:t>1.2</w:t>
      </w:r>
      <w:r>
        <w:t>8</w:t>
      </w:r>
      <w:r w:rsidRPr="000A6643">
        <w:t xml:space="preserve"> beds per 1000) and </w:t>
      </w:r>
      <w:r>
        <w:t>HICs</w:t>
      </w:r>
      <w:r w:rsidRPr="000A6643">
        <w:t xml:space="preserve"> the highest </w:t>
      </w:r>
      <w:r>
        <w:t xml:space="preserve">(median </w:t>
      </w:r>
      <w:r w:rsidRPr="000A6643">
        <w:t>4.</w:t>
      </w:r>
      <w:r>
        <w:t>68</w:t>
      </w:r>
      <w:r w:rsidRPr="000A6643">
        <w:t xml:space="preserve"> beds per 1000 population). </w:t>
      </w:r>
      <w:r>
        <w:t>Lower and upper middle-income countries (LMIC/UMICs)</w:t>
      </w:r>
      <w:r w:rsidRPr="000A6643">
        <w:t xml:space="preserve"> fall between these two extremes (</w:t>
      </w:r>
      <w:r>
        <w:t>1.77</w:t>
      </w:r>
      <w:r w:rsidRPr="000A6643">
        <w:t xml:space="preserve"> and </w:t>
      </w:r>
      <w:r>
        <w:t>2.63</w:t>
      </w:r>
      <w:r w:rsidRPr="000A6643">
        <w:t xml:space="preserve"> beds per 1000 population on average, respectively). We find that the </w:t>
      </w:r>
      <w:r>
        <w:t>percentage of hospital beds that are in intensive care units (</w:t>
      </w:r>
      <w:r w:rsidRPr="000A6643">
        <w:t>ICU</w:t>
      </w:r>
      <w:r>
        <w:t>)</w:t>
      </w:r>
      <w:r w:rsidRPr="000A6643">
        <w:t xml:space="preserve"> is lowest in LICs (1.</w:t>
      </w:r>
      <w:r>
        <w:t>47</w:t>
      </w:r>
      <w:r w:rsidR="00024B90">
        <w:t>%</w:t>
      </w:r>
      <w:r w:rsidRPr="000A6643">
        <w:t xml:space="preserve"> on average) and highest in HICs (3.</w:t>
      </w:r>
      <w:r>
        <w:t>30</w:t>
      </w:r>
      <w:r w:rsidR="00024B90">
        <w:t>%</w:t>
      </w:r>
      <w:r w:rsidRPr="000A6643">
        <w:t>) with LMICs and UMICs falling in-between (2.</w:t>
      </w:r>
      <w:r>
        <w:t>00</w:t>
      </w:r>
      <w:r w:rsidR="00024B90">
        <w:t>%</w:t>
      </w:r>
      <w:r w:rsidRPr="000A6643">
        <w:t xml:space="preserve"> and </w:t>
      </w:r>
      <w:r>
        <w:t>2.88</w:t>
      </w:r>
      <w:r w:rsidR="00024B90">
        <w:t>%</w:t>
      </w:r>
      <w:r w:rsidRPr="000A6643">
        <w:t xml:space="preserve"> respectively) (Figure </w:t>
      </w:r>
      <w:r w:rsidR="00300A36">
        <w:t>2</w:t>
      </w:r>
      <w:r w:rsidR="00A14D20">
        <w:t>C</w:t>
      </w:r>
      <w:r w:rsidRPr="000A6643">
        <w:t xml:space="preserve">). Note that our estimates of the ICU capacity in </w:t>
      </w:r>
      <w:r>
        <w:t>HICs</w:t>
      </w:r>
      <w:r w:rsidRPr="000A6643">
        <w:t xml:space="preserve"> are drawn almost exclusively </w:t>
      </w:r>
      <w:r>
        <w:t>from a</w:t>
      </w:r>
      <w:r w:rsidRPr="000A6643">
        <w:t xml:space="preserve"> recent review of ICU capacity </w:t>
      </w:r>
      <w:r>
        <w:t xml:space="preserve">in Asian countries </w:t>
      </w:r>
      <w:r>
        <w:fldChar w:fldCharType="begin" w:fldLock="1"/>
      </w:r>
      <w:r w:rsidR="001A7515">
        <w:instrText>ADDIN CSL_CITATION {"citationItems":[{"id":"ITEM-1","itemData":{"DOI":"10.1097/ccm.0000000000004222","ISSN":"0090-3493","abstract":"OBJECTIVE: To assess the number of adult critical care beds in Asian countries and regions in relation to population size. DESIGN: Cross-sectional observational study. SETTING: Twenty-three Asian countries and regions, covering 92.1% of the continent's population. PARTICIPANTS: Ten low-income and lower-middle-income economies, five upper-middle-income economies, and eight high-income economies according to the World Bank classification. INTERVENTIONS: Data closest to 2017 on critical care beds, including ICU and intermediate care unit beds, were obtained through multiple means, including government sources, national critical care societies, colleges, or registries, personal contacts, and extrapolation of data. MEASUREMENTS AND MAIN RESULTS: Cumulatively, there were 3.6 critical care beds per 100,000 population. The median number of critical care beds per 100,000 population per country and region was significantly lower in low- and lower-middle-income economies (2.3; interquartile range, 1.4-2.7) than in upper-middle-income economies (4.6; interquartile range, 3.5-15.9) and high-income economies (12.3; interquartile range, 8.1-20.8) (p = 0.001), with a large variation even across countries and regions of the same World Bank income classification. This number was independently predicted by the World Bank income classification on multivariable analysis, and significantly correlated with the number of acute hospital beds per 100,000 population (r = 0.19; p = 0.047), the universal health coverage service coverage index (r = 0.35; p = 0.003), and the Human Development Index (r = 0.40; p = 0.001) on univariable analysis. CONCLUSIONS: Critical care bed capacity varies widely across Asia and is significantly lower in low- and lower-middle-income than in upper-middle-income and high-income countries and regions.","author":[{"dropping-particle":"","family":"Phua","given":"Jason","non-dropping-particle":"","parse-names":false,"suffix":""},{"dropping-particle":"","family":"Faruq","given":"Mohammad Omar","non-dropping-particle":"","parse-names":false,"suffix":""},{"dropping-particle":"","family":"Kulkarni","given":"Atul P.","non-dropping-particle":"","parse-names":false,"suffix":""},{"dropping-particle":"","family":"Redjeki","given":"Ike Sri","non-dropping-particle":"","parse-names":false,"suffix":""},{"dropping-particle":"","family":"Detleuxay","given":"Khamsay","non-dropping-particle":"","parse-names":false,"suffix":""},{"dropping-particle":"","family":"Mendsaikhan","given":"Naranpurev","non-dropping-particle":"","parse-names":false,"suffix":""},{"dropping-particle":"","family":"Sann","given":"Kyi Kyi","non-dropping-particle":"","parse-names":false,"suffix":""},{"dropping-particle":"","family":"Shrestha","given":"Babu Raja","non-dropping-particle":"","parse-names":false,"suffix":""},{"dropping-particle":"","family":"Hashmi","given":"Madiha","non-dropping-particle":"","parse-names":false,"suffix":""},{"dropping-particle":"","family":"Palo","given":"Jose Emmanuel M.","non-dropping-particle":"","parse-names":false,"suffix":""},{"dropping-particle":"","family":"Haniffa","given":"Rashan","non-dropping-particle":"","parse-names":false,"suffix":""},{"dropping-particle":"","family":"Wang","given":"Chunting","non-dropping-particle":"","parse-names":false,"suffix":""},{"dropping-particle":"","family":"Hashemian","given":"Seyed Mohammad Reza","non-dropping-particle":"","parse-names":false,"suffix":""},{"dropping-particle":"","family":"Konkayev","given":"Aidos","non-dropping-particle":"","parse-names":false,"suffix":""},{"dropping-particle":"","family":"Mat Nor","given":"Mohd Basri","non-dropping-particle":"","parse-names":false,"suffix":""},{"dropping-particle":"","family":"Patjanasoontorn","given":"Boonsong","non-dropping-particle":"","parse-names":false,"suffix":""},{"dropping-particle":"","family":"Nafees","given":"Khalid Mahmood Khan","non-dropping-particle":"","parse-names":false,"suffix":""},{"dropping-particle":"","family":"Ling","given":"Lowell","non-dropping-particle":"","parse-names":false,"suffix":""},{"dropping-particle":"","family":"Nishimura","given":"Masaji","non-dropping-particle":"","parse-names":false,"suffix":""},{"dropping-particle":"","family":"Bahrani","given":"Maher Jaffer","non-dropping-particle":"Al","parse-names":false,"suffix":""},{"dropping-particle":"","family":"Arabi","given":"Yaseen M.","non-dropping-particle":"","parse-names":false,"suffix":""},{"dropping-particle":"","family":"Lim","given":"Chae-Man","non-dropping-particle":"","parse-names":false,"suffix":""},{"dropping-particle":"","family":"Fang","given":"Wen-Feng","non-dropping-particle":"","parse-names":false,"suffix":""}],"container-title":"Critical Care Medicine","id":"ITEM-1","issue":"5","issued":{"date-parts":[["2020","1"]]},"page":"654-662","publisher":"Ovid Technologies (Wolters Kluwer Health)","title":"Critical Care Bed Capacity in Asian Countries and Regions","type":"article-journal","volume":"48"},"uris":["http://www.mendeley.com/documents/?uuid=88dece9f-0660-39d6-94e1-cdb6074371c2"]}],"mendeley":{"formattedCitation":"(&lt;i&gt;8&lt;/i&gt;)","plainTextFormattedCitation":"(8)","previouslyFormattedCitation":"(&lt;i&gt;8&lt;/i&gt;)"},"properties":{"noteIndex":0},"schema":"https://github.com/citation-style-language/schema/raw/master/csl-citation.json"}</w:instrText>
      </w:r>
      <w:r>
        <w:fldChar w:fldCharType="separate"/>
      </w:r>
      <w:r w:rsidR="00B759BD" w:rsidRPr="00B759BD">
        <w:rPr>
          <w:noProof/>
        </w:rPr>
        <w:t>(</w:t>
      </w:r>
      <w:r w:rsidR="00B759BD" w:rsidRPr="00B759BD">
        <w:rPr>
          <w:i/>
          <w:noProof/>
        </w:rPr>
        <w:t>8</w:t>
      </w:r>
      <w:r w:rsidR="00B759BD" w:rsidRPr="00B759BD">
        <w:rPr>
          <w:noProof/>
        </w:rPr>
        <w:t>)</w:t>
      </w:r>
      <w:r>
        <w:fldChar w:fldCharType="end"/>
      </w:r>
      <w:r>
        <w:t xml:space="preserve"> and are </w:t>
      </w:r>
      <w:r w:rsidRPr="000A6643">
        <w:t xml:space="preserve">not </w:t>
      </w:r>
      <w:r>
        <w:t xml:space="preserve">therefore </w:t>
      </w:r>
      <w:r w:rsidRPr="000A6643">
        <w:t xml:space="preserve">necessarily reflective of ICU capacity in HICs worldwide. </w:t>
      </w:r>
    </w:p>
    <w:p w14:paraId="75606DDA" w14:textId="4008F11E" w:rsidR="00C5704B" w:rsidRDefault="006F2B25" w:rsidP="006A1BAF">
      <w:pPr>
        <w:spacing w:line="259" w:lineRule="auto"/>
      </w:pPr>
      <w:r w:rsidRPr="00C87552">
        <w:t xml:space="preserve">To understand the potential impact of weaker health systems on the IFR, we </w:t>
      </w:r>
      <w:r w:rsidR="000E3198">
        <w:t xml:space="preserve">collated </w:t>
      </w:r>
      <w:r w:rsidRPr="00C87552">
        <w:t xml:space="preserve">expert clinical opinion on the </w:t>
      </w:r>
      <w:r w:rsidR="00127664" w:rsidRPr="00C87552">
        <w:t>likely outcomes for COVID-19 patients</w:t>
      </w:r>
      <w:r w:rsidR="00F91BE3" w:rsidRPr="00C87552">
        <w:t xml:space="preserve"> </w:t>
      </w:r>
      <w:r w:rsidR="00B1587D">
        <w:t>(</w:t>
      </w:r>
      <w:r w:rsidR="00F91BE3" w:rsidRPr="00C87552">
        <w:t>Materials and Methods)</w:t>
      </w:r>
      <w:r w:rsidR="00127664" w:rsidRPr="00C87552">
        <w:t xml:space="preserve">. </w:t>
      </w:r>
      <w:r w:rsidR="008412AA">
        <w:t xml:space="preserve">These expert estimates drew on </w:t>
      </w:r>
      <w:r w:rsidR="00E618A1">
        <w:t xml:space="preserve">recent </w:t>
      </w:r>
      <w:r w:rsidR="008412AA">
        <w:t xml:space="preserve">experience treating COVID-19 patients in the UK alongside </w:t>
      </w:r>
      <w:r w:rsidR="00E618A1">
        <w:t xml:space="preserve">an understanding of severe pneumonia outcomes in LIC and LMIC settings. </w:t>
      </w:r>
      <w:r w:rsidR="00FC2346" w:rsidRPr="00C87552">
        <w:t>M</w:t>
      </w:r>
      <w:r w:rsidR="00127664" w:rsidRPr="00C87552">
        <w:t>echanical ventilation</w:t>
      </w:r>
      <w:r w:rsidR="004A1BC5" w:rsidRPr="00C87552">
        <w:t xml:space="preserve"> (MV)</w:t>
      </w:r>
      <w:r w:rsidR="00127664" w:rsidRPr="00C87552">
        <w:t xml:space="preserve"> – which has been required by 80% of COVID-19 </w:t>
      </w:r>
      <w:r w:rsidR="003E02C0">
        <w:t xml:space="preserve">ICU </w:t>
      </w:r>
      <w:r w:rsidR="00127664" w:rsidRPr="00C87552">
        <w:t>patients in the UK</w:t>
      </w:r>
      <w:r w:rsidR="009A2428">
        <w:t xml:space="preserve"> </w:t>
      </w:r>
      <w:r w:rsidR="009A2428">
        <w:fldChar w:fldCharType="begin" w:fldLock="1"/>
      </w:r>
      <w:r w:rsidR="00E57DCE">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9A2428">
        <w:fldChar w:fldCharType="separate"/>
      </w:r>
      <w:r w:rsidR="009A2428" w:rsidRPr="009A2428">
        <w:rPr>
          <w:noProof/>
        </w:rPr>
        <w:t>(</w:t>
      </w:r>
      <w:r w:rsidR="009A2428" w:rsidRPr="009A2428">
        <w:rPr>
          <w:i/>
          <w:noProof/>
        </w:rPr>
        <w:t>9</w:t>
      </w:r>
      <w:r w:rsidR="009A2428" w:rsidRPr="009A2428">
        <w:rPr>
          <w:noProof/>
        </w:rPr>
        <w:t>)</w:t>
      </w:r>
      <w:r w:rsidR="009A2428">
        <w:fldChar w:fldCharType="end"/>
      </w:r>
      <w:r w:rsidR="00127664" w:rsidRPr="00C87552">
        <w:t xml:space="preserve">– is of very limited capacity in many </w:t>
      </w:r>
      <w:r w:rsidR="00302956">
        <w:t xml:space="preserve">LIC and </w:t>
      </w:r>
      <w:r w:rsidR="00127664" w:rsidRPr="00C87552">
        <w:t>LMIC countries</w:t>
      </w:r>
      <w:r w:rsidR="00FD72D0">
        <w:t xml:space="preserve"> – across sub-Saharan Africa for example, recent estimates put the </w:t>
      </w:r>
      <w:r w:rsidR="00CC2E0D">
        <w:t xml:space="preserve">average number of ventilators at only </w:t>
      </w:r>
      <w:r w:rsidR="000F2898">
        <w:t>172 per country</w:t>
      </w:r>
      <w:r w:rsidR="006A73E3">
        <w:fldChar w:fldCharType="begin" w:fldLock="1"/>
      </w:r>
      <w:r w:rsidR="00C6002D">
        <w:instrText>ADDIN CSL_CITATION {"citationItems":[{"id":"ITEM-1","itemData":{"URL":"https://graphics.reuters.com/HEALTH-CORONAVIRUS/AFRICA/yzdpxoqbdvx/","accessed":{"date-parts":[["2020","5","29"]]},"author":[{"dropping-particle":"","family":"Houreld","given":"K","non-dropping-particle":"","parse-names":false,"suffix":""},{"dropping-particle":"","family":"Lewis","given":"D","non-dropping-particle":"","parse-names":false,"suffix":""},{"dropping-particle":"","family":"McNeill","given":"R","non-dropping-particle":"","parse-names":false,"suffix":""},{"dropping-particle":"","family":"Granados","given":"S","non-dropping-particle":"","parse-names":false,"suffix":""}],"container-title":"Reuters","id":"ITEM-1","issued":{"date-parts":[["2020"]]},"title":"Virus exposes gaping holes in Africa’s health systems","type":"webpage"},"uris":["http://www.mendeley.com/documents/?uuid=0f536250-568f-33f0-870f-e5020e870ab9"]}],"mendeley":{"formattedCitation":"(&lt;i&gt;10&lt;/i&gt;)","plainTextFormattedCitation":"(10)","previouslyFormattedCitation":"(&lt;i&gt;10&lt;/i&gt;)"},"properties":{"noteIndex":0},"schema":"https://github.com/citation-style-language/schema/raw/master/csl-citation.json"}</w:instrText>
      </w:r>
      <w:r w:rsidR="006A73E3">
        <w:fldChar w:fldCharType="separate"/>
      </w:r>
      <w:r w:rsidR="006A73E3" w:rsidRPr="006A73E3">
        <w:rPr>
          <w:noProof/>
        </w:rPr>
        <w:t>(</w:t>
      </w:r>
      <w:r w:rsidR="006A73E3" w:rsidRPr="006A73E3">
        <w:rPr>
          <w:i/>
          <w:noProof/>
        </w:rPr>
        <w:t>10</w:t>
      </w:r>
      <w:r w:rsidR="006A73E3" w:rsidRPr="006A73E3">
        <w:rPr>
          <w:noProof/>
        </w:rPr>
        <w:t>)</w:t>
      </w:r>
      <w:r w:rsidR="006A73E3">
        <w:fldChar w:fldCharType="end"/>
      </w:r>
      <w:r w:rsidR="000F2898">
        <w:t xml:space="preserve">. </w:t>
      </w:r>
      <w:r w:rsidR="00127664" w:rsidRPr="00C87552">
        <w:t xml:space="preserve">. In the absence of </w:t>
      </w:r>
      <w:r w:rsidR="004A1BC5" w:rsidRPr="00C87552">
        <w:t>MV, the consensus was that the mortality rate would be in the range 90-100%.</w:t>
      </w:r>
      <w:r w:rsidR="00836097">
        <w:t xml:space="preserve"> This com</w:t>
      </w:r>
      <w:r w:rsidR="005A5785">
        <w:t>pare</w:t>
      </w:r>
      <w:r w:rsidR="005C7EAB">
        <w:t>s</w:t>
      </w:r>
      <w:r w:rsidR="005A5785">
        <w:t xml:space="preserve"> to a mortality rate of </w:t>
      </w:r>
      <w:r w:rsidR="00254070" w:rsidRPr="00254070">
        <w:t>51.6</w:t>
      </w:r>
      <w:r w:rsidR="005A5785" w:rsidRPr="00254070">
        <w:t>%</w:t>
      </w:r>
      <w:r w:rsidR="005A5785">
        <w:t xml:space="preserve"> in those that require MV in the UK </w:t>
      </w:r>
      <w:r w:rsidR="005C7EAB">
        <w:fldChar w:fldCharType="begin" w:fldLock="1"/>
      </w:r>
      <w:r w:rsidR="005C7EAB">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5C7EAB">
        <w:fldChar w:fldCharType="separate"/>
      </w:r>
      <w:r w:rsidR="005C7EAB" w:rsidRPr="009A2428">
        <w:rPr>
          <w:noProof/>
        </w:rPr>
        <w:t>(</w:t>
      </w:r>
      <w:r w:rsidR="005C7EAB" w:rsidRPr="009A2428">
        <w:rPr>
          <w:i/>
          <w:noProof/>
        </w:rPr>
        <w:t>9</w:t>
      </w:r>
      <w:r w:rsidR="005C7EAB" w:rsidRPr="009A2428">
        <w:rPr>
          <w:noProof/>
        </w:rPr>
        <w:t>)</w:t>
      </w:r>
      <w:r w:rsidR="005C7EAB">
        <w:fldChar w:fldCharType="end"/>
      </w:r>
      <w:r w:rsidR="005C7EAB">
        <w:t xml:space="preserve">. </w:t>
      </w:r>
      <w:r w:rsidR="004A1BC5" w:rsidRPr="00C87552">
        <w:t xml:space="preserve">Similarly, for the 20% of individuals that would be admitted to ICU in the UK but not require MV, </w:t>
      </w:r>
      <w:r w:rsidR="00F91BE3" w:rsidRPr="00C87552">
        <w:t>the consensus was that</w:t>
      </w:r>
      <w:r w:rsidR="00FC2346" w:rsidRPr="00C87552">
        <w:t xml:space="preserve"> mortality </w:t>
      </w:r>
      <w:r w:rsidR="005939BD" w:rsidRPr="00C87552">
        <w:t xml:space="preserve">would be 50-65% </w:t>
      </w:r>
      <w:r w:rsidR="00A47090">
        <w:t xml:space="preserve">in an LIC/LMIC setting. It was however noted that there would likely be </w:t>
      </w:r>
      <w:r w:rsidR="005939BD" w:rsidRPr="00C87552">
        <w:t xml:space="preserve">significant heterogeneity </w:t>
      </w:r>
      <w:r w:rsidR="00A47090">
        <w:t xml:space="preserve">in this rate (not captured here) due to the variation in both the quality of hospital care </w:t>
      </w:r>
      <w:r w:rsidR="0021098C">
        <w:t xml:space="preserve">and availability of hospital facilities </w:t>
      </w:r>
      <w:r w:rsidR="005939BD" w:rsidRPr="00C87552">
        <w:t>within and between countries</w:t>
      </w:r>
      <w:r w:rsidR="0021098C">
        <w:t xml:space="preserve"> (with better facilities concentrated in urban areas and capital cities compared to rural areas)</w:t>
      </w:r>
      <w:r w:rsidR="005939BD" w:rsidRPr="00C87552">
        <w:t xml:space="preserve">. </w:t>
      </w:r>
      <w:r w:rsidR="00162F69" w:rsidRPr="00C87552">
        <w:t xml:space="preserve">For those with severe pneumonia requiring hospitalisation, </w:t>
      </w:r>
      <w:r w:rsidR="004B0603" w:rsidRPr="00C87552">
        <w:t xml:space="preserve">mortality rates are expected to be higher </w:t>
      </w:r>
      <w:r w:rsidR="002E132A">
        <w:t xml:space="preserve">in LICs and LMICs </w:t>
      </w:r>
      <w:r w:rsidR="004B0603" w:rsidRPr="00C87552">
        <w:t>than in HIC</w:t>
      </w:r>
      <w:r w:rsidR="002E132A">
        <w:t>s</w:t>
      </w:r>
      <w:r w:rsidR="004B0603" w:rsidRPr="00C87552">
        <w:t xml:space="preserve">. The values </w:t>
      </w:r>
      <w:r w:rsidR="002E132A">
        <w:t xml:space="preserve">for LICs and LMICs </w:t>
      </w:r>
      <w:r w:rsidR="004B0603" w:rsidRPr="00C87552">
        <w:t>assumed here are</w:t>
      </w:r>
      <w:r w:rsidR="008F0FAA">
        <w:t xml:space="preserve"> a mortality rate across all age-groups of</w:t>
      </w:r>
      <w:r w:rsidR="004B0603" w:rsidRPr="00C87552">
        <w:t xml:space="preserve"> 20-30% if oxygen</w:t>
      </w:r>
      <w:r w:rsidR="003A332A">
        <w:t xml:space="preserve"> support</w:t>
      </w:r>
      <w:r w:rsidR="004B0603" w:rsidRPr="00C87552">
        <w:t xml:space="preserve"> is available </w:t>
      </w:r>
      <w:r w:rsidR="009F1C41">
        <w:t>whilst</w:t>
      </w:r>
      <w:r w:rsidR="00710A39">
        <w:t xml:space="preserve"> anticipating that this may not be at sufficiently high-flow directly at the bedside to ensure comparable outcomes to HIC</w:t>
      </w:r>
      <w:r w:rsidR="004B0603" w:rsidRPr="00C87552">
        <w:t xml:space="preserve"> </w:t>
      </w:r>
      <w:r w:rsidR="00750675">
        <w:t xml:space="preserve">(“Poorer Outcomes” in Figure 2) </w:t>
      </w:r>
      <w:r w:rsidR="008F0FAA">
        <w:t xml:space="preserve">and </w:t>
      </w:r>
      <w:r w:rsidR="004B0603" w:rsidRPr="00C87552">
        <w:t xml:space="preserve">60% if oxygen </w:t>
      </w:r>
      <w:r w:rsidR="003A332A">
        <w:t xml:space="preserve">support </w:t>
      </w:r>
      <w:r w:rsidR="004B0603" w:rsidRPr="00C87552">
        <w:t>is not available</w:t>
      </w:r>
      <w:r w:rsidR="00750675">
        <w:t xml:space="preserve"> (due to healthcare capacity being exceeded)</w:t>
      </w:r>
      <w:r w:rsidR="004B0603" w:rsidRPr="00C87552">
        <w:t>.</w:t>
      </w:r>
      <w:r w:rsidR="00CC3584" w:rsidRPr="00C87552">
        <w:t xml:space="preserve"> </w:t>
      </w:r>
      <w:r w:rsidR="00C23BD3" w:rsidRPr="00C87552">
        <w:t xml:space="preserve">Using these parameters, we expect a larger proportion of deaths to occur in those aged </w:t>
      </w:r>
      <w:r w:rsidR="00C5704B" w:rsidRPr="00C87552">
        <w:t xml:space="preserve">40 and upwards in </w:t>
      </w:r>
      <w:r w:rsidR="00302956">
        <w:t xml:space="preserve">LIC and </w:t>
      </w:r>
      <w:r w:rsidR="00C5704B" w:rsidRPr="00C87552">
        <w:t>LMIC settings (Figure 2D)</w:t>
      </w:r>
      <w:r w:rsidR="00D40131">
        <w:t xml:space="preserve"> and that the lack of quality oxygen support </w:t>
      </w:r>
      <w:r w:rsidR="000741F3">
        <w:t xml:space="preserve">will disproportionately increase mortality in younger age-groups (as these </w:t>
      </w:r>
      <w:r w:rsidR="00DB11FC">
        <w:t xml:space="preserve">age-groups </w:t>
      </w:r>
      <w:r w:rsidR="000741F3">
        <w:t xml:space="preserve">are more likely to require oxygen </w:t>
      </w:r>
      <w:r w:rsidR="00DB11FC">
        <w:t xml:space="preserve">support </w:t>
      </w:r>
      <w:r w:rsidR="000741F3">
        <w:t xml:space="preserve">than mechanical ventilation). </w:t>
      </w:r>
      <w:r w:rsidR="00553A53">
        <w:t xml:space="preserve">Importantly, the lack of health system capacity is likely to increase the overall IFR in </w:t>
      </w:r>
      <w:r w:rsidR="00302956">
        <w:t xml:space="preserve">LIC and </w:t>
      </w:r>
      <w:r w:rsidR="00553A53">
        <w:t xml:space="preserve">LMIC settings, off-setting the </w:t>
      </w:r>
      <w:r w:rsidR="006461D4">
        <w:t xml:space="preserve">apparent </w:t>
      </w:r>
      <w:r w:rsidR="00553A53">
        <w:t xml:space="preserve">protective effects of the younger population (Figure 2E). </w:t>
      </w:r>
      <w:r w:rsidR="00586B62">
        <w:t>In our subsequent modelling, we therefore examined three scenarios for LICs/LMICs</w:t>
      </w:r>
      <w:r w:rsidR="009C00B6">
        <w:t xml:space="preserve"> to examine the impact of healthcare quality and quantity upon potential COVID-19 burden</w:t>
      </w:r>
      <w:r w:rsidR="00586B62">
        <w:t xml:space="preserve">: </w:t>
      </w:r>
      <w:r w:rsidR="000073BB">
        <w:t xml:space="preserve">a scenario </w:t>
      </w:r>
      <w:r w:rsidR="00586B62">
        <w:t xml:space="preserve">where </w:t>
      </w:r>
      <w:r w:rsidR="009C00B6">
        <w:t xml:space="preserve">there were no </w:t>
      </w:r>
      <w:r w:rsidR="00E04095">
        <w:t xml:space="preserve">healthcare </w:t>
      </w:r>
      <w:r w:rsidR="009C00B6">
        <w:t xml:space="preserve">constraints </w:t>
      </w:r>
      <w:r w:rsidR="00E04095">
        <w:t xml:space="preserve">and quality of care was </w:t>
      </w:r>
      <w:r w:rsidR="00E04095">
        <w:lastRenderedPageBreak/>
        <w:t xml:space="preserve">similar to HICs (“Unlimited healthcare”), </w:t>
      </w:r>
      <w:r w:rsidR="00087539">
        <w:t xml:space="preserve">a scenario </w:t>
      </w:r>
      <w:r w:rsidR="00E04095">
        <w:t xml:space="preserve">using </w:t>
      </w:r>
      <w:r w:rsidR="00ED469D">
        <w:t xml:space="preserve">typical </w:t>
      </w:r>
      <w:r w:rsidR="00E04095">
        <w:t xml:space="preserve">healthcare </w:t>
      </w:r>
      <w:r w:rsidR="00ED469D">
        <w:t xml:space="preserve">constraints on hospital and ICU beds </w:t>
      </w:r>
      <w:r w:rsidR="00087539">
        <w:t xml:space="preserve">in Figure 2B-C (“Limited healthcare”) and a scenario </w:t>
      </w:r>
      <w:r w:rsidR="00517E80">
        <w:t xml:space="preserve">where there is an assume absence of mechanical ventilation and </w:t>
      </w:r>
      <w:r w:rsidR="004131E4">
        <w:t xml:space="preserve">treatment for severe pneumonia is less effective </w:t>
      </w:r>
      <w:r w:rsidR="00EF3A61">
        <w:t xml:space="preserve">(“Limited healthcare, No MV and poorer outcomes”). </w:t>
      </w:r>
    </w:p>
    <w:p w14:paraId="7798F6F4" w14:textId="0AFB6207" w:rsidR="00012BE0" w:rsidRDefault="008A545C" w:rsidP="00C87552">
      <w:pPr>
        <w:spacing w:line="259" w:lineRule="auto"/>
        <w:jc w:val="left"/>
        <w:rPr>
          <w:b/>
          <w:bCs/>
          <w:i/>
        </w:rPr>
      </w:pPr>
      <w:r>
        <w:rPr>
          <w:noProof/>
          <w:lang w:eastAsia="en-GB"/>
        </w:rPr>
        <w:drawing>
          <wp:inline distT="0" distB="0" distL="0" distR="0" wp14:anchorId="68EC6269" wp14:editId="0DB8F40A">
            <wp:extent cx="5731510" cy="52705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5270500"/>
                    </a:xfrm>
                    <a:prstGeom prst="rect">
                      <a:avLst/>
                    </a:prstGeom>
                  </pic:spPr>
                </pic:pic>
              </a:graphicData>
            </a:graphic>
          </wp:inline>
        </w:drawing>
      </w:r>
    </w:p>
    <w:p w14:paraId="4F0D201D" w14:textId="0EF176DD" w:rsidR="00300A36" w:rsidRDefault="00300A36" w:rsidP="008D5571">
      <w:pPr>
        <w:rPr>
          <w:b/>
          <w:bCs/>
          <w:i/>
          <w:iCs/>
        </w:rPr>
      </w:pPr>
      <w:r w:rsidRPr="00C87552">
        <w:rPr>
          <w:b/>
          <w:bCs/>
          <w:i/>
          <w:iCs/>
        </w:rPr>
        <w:t>Co-morbidities</w:t>
      </w:r>
    </w:p>
    <w:p w14:paraId="443FC4F4" w14:textId="2064BD84" w:rsidR="00962DEB" w:rsidRDefault="00386CCE" w:rsidP="00275F54">
      <w:r w:rsidRPr="000A6643">
        <w:t xml:space="preserve">There remain large uncertainties in the underlying determinants of the severity of </w:t>
      </w:r>
      <w:r w:rsidR="00D64982">
        <w:t>SARS-CoV-2</w:t>
      </w:r>
      <w:r w:rsidRPr="000A6643">
        <w:t xml:space="preserve"> infection and how these translate across settings. However, clear risk factors </w:t>
      </w:r>
      <w:r>
        <w:t>include</w:t>
      </w:r>
      <w:r w:rsidRPr="000A6643">
        <w:t xml:space="preserve"> age</w:t>
      </w:r>
      <w:r w:rsidR="0043172F" w:rsidRPr="000A6643" w:rsidDel="0043172F">
        <w:t xml:space="preserve"> </w:t>
      </w:r>
      <w:r w:rsidRPr="00A753A4">
        <w:fldChar w:fldCharType="begin" w:fldLock="1"/>
      </w:r>
      <w:r>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rsidRPr="00A753A4">
        <w:fldChar w:fldCharType="separate"/>
      </w:r>
      <w:r w:rsidRPr="00DC6C40">
        <w:rPr>
          <w:noProof/>
        </w:rPr>
        <w:t>(</w:t>
      </w:r>
      <w:r w:rsidRPr="00DC6C40">
        <w:rPr>
          <w:i/>
          <w:noProof/>
        </w:rPr>
        <w:t>5</w:t>
      </w:r>
      <w:r w:rsidRPr="00DC6C40">
        <w:rPr>
          <w:noProof/>
        </w:rPr>
        <w:t>)</w:t>
      </w:r>
      <w:r w:rsidRPr="00A753A4">
        <w:fldChar w:fldCharType="end"/>
      </w:r>
      <w:r w:rsidRPr="00A753A4">
        <w:t xml:space="preserve"> and underlying co-morbidities </w:t>
      </w:r>
      <w:r w:rsidR="00B378A7">
        <w:t xml:space="preserve">that </w:t>
      </w:r>
      <w:r w:rsidRPr="00A753A4">
        <w:t>includ</w:t>
      </w:r>
      <w:r w:rsidR="00B378A7">
        <w:t>e</w:t>
      </w:r>
      <w:r w:rsidRPr="00A753A4">
        <w:t xml:space="preserve"> hypertension, diabetes, coronary vascular disease (CVD) and chronic obstructive pulmonary disease (COPD) </w:t>
      </w:r>
      <w:r w:rsidR="00B378A7">
        <w:t xml:space="preserve">which </w:t>
      </w:r>
      <w:r w:rsidRPr="00A753A4">
        <w:t>serv</w:t>
      </w:r>
      <w:r w:rsidR="00B378A7">
        <w:t>e</w:t>
      </w:r>
      <w:r w:rsidRPr="00A753A4">
        <w:t xml:space="preserve"> to exacerbate symptoms</w:t>
      </w:r>
      <w:r w:rsidR="00687917">
        <w:t xml:space="preserve"> </w:t>
      </w:r>
      <w:r w:rsidRPr="00A753A4">
        <w:fldChar w:fldCharType="begin" w:fldLock="1"/>
      </w:r>
      <w:r w:rsidR="00C6002D">
        <w:instrText>ADDIN CSL_CITATION {"citationItems":[{"id":"ITEM-1","itemData":{"DOI":"10.1016/S0140-6736(20)30566-3","ISSN":"0140-6736","abstract":"&lt;h2&gt;Summary&lt;/h2&gt;&lt;h3&gt;Background&lt;/h3&gt;&lt;p&gt;Since December, 2019, Wuhan, China, has experienced an outbreak of coronavirus disease 2019 (COVID-19), caused by the severe acute respiratory syndrome coronavirus 2 (SARS-CoV-2). Epidemiological and clinical characteristics of patients with COVID-19 have been reported but risk factors for mortality and a detailed clinical course of illness, including viral shedding, have not been well described.&lt;/p&gt;&lt;h3&gt;Methods&lt;/h3&gt;&lt;p&gt;In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death.&lt;/p&gt;&lt;h3&gt;Findings&lt;/h3&gt;&lt;p&gt;191 patients (135 from Jinyintan Hospital and 56 from Wuhan Pulmonary Hospital) were included in this study, of whom 137 were discharged and 54 died in hospital. 91 (48%) patients had a comorbidity, with hypertension being the most common (58 [30%] patients), followed by diabetes (36 [19%] patients) and coronary heart disease (15 [8%] patients). Multivariable regression showed increasing odds of in-hospital death associated with older age (odds ratio 1·10, 95% CI 1·03–1·17, per year increase; p=0·0043), higher Sequential Organ Failure Assessment (SOFA) score (5·65, 2·61–12·23; p&lt;0·0001), and d-dimer greater than 1 μg/L (18·42, 2·64–128·55; p=0·0033) on admission. Median duration of viral shedding was 20·0 days (IQR 17·0–24·0) in survivors, but SARS-CoV-2 was detectable until death in non-survivors. The longest observed duration of viral shedding in survivors was 37 days.&lt;/p&gt;&lt;h3&gt;Interpretation&lt;/h3&gt;&lt;p&gt;The potential risk factors of older age, high SOFA score, and d-dimer greater than 1 μg/L could help clinicians to identify patients with poor prognosis at an early stage. Prolonged viral shedding provides the rationale for a strategy of isolation of infected patients and optimal antiviral interventions in the future.&lt;/p&gt;&lt;h3&gt;Funding&lt;/h3&gt;&lt;p&gt;Chinese Academy of Medical Sciences Innovation Fund for Medical Sciences; National Science Grant for Distinguished Young Scholars; National Key Research and Development Progr…","author":[{"dropping-particle":"","family":"Zhou","given":"Fei","non-dropping-particle":"","parse-names":false,"suffix":""},{"dropping-particle":"","family":"Yu","given":"Ting","non-dropping-particle":"","parse-names":false,"suffix":""},{"dropping-particle":"","family":"Du","given":"Ronghui","non-dropping-particle":"","parse-names":false,"suffix":""},{"dropping-particle":"","family":"Fan","given":"Guohui","non-dropping-particle":"","parse-names":false,"suffix":""},{"dropping-particle":"","family":"Liu","given":"Ying","non-dropping-particle":"","parse-names":false,"suffix":""},{"dropping-particle":"","family":"Liu","given":"Zhibo","non-dropping-particle":"","parse-names":false,"suffix":""},{"dropping-particle":"","family":"Xiang","given":"Jie","non-dropping-particle":"","parse-names":false,"suffix":""},{"dropping-particle":"","family":"Wang","given":"Yeming","non-dropping-particle":"","parse-names":false,"suffix":""},{"dropping-particle":"","family":"Song","given":"Bin","non-dropping-particle":"","parse-names":false,"suffix":""},{"dropping-particle":"","family":"Gu","given":"Xiaoying","non-dropping-particle":"","parse-names":false,"suffix":""},{"dropping-particle":"","family":"Guan","given":"Lulu","non-dropping-particle":"","parse-names":false,"suffix":""},{"dropping-particle":"","family":"Wei","given":"Yuan","non-dropping-particle":"","parse-names":false,"suffix":""}],"container-title":"The Lancet","id":"ITEM-1","issue":"20","issued":{"date-parts":[["2020"]]},"page":"1-9","publisher":"Elsevier Ltd","title":"Articles Clinical course and risk factors for mortality of adult inpatients with COVID-19 in Wuhan , China : a retrospective cohort study","type":"article-journal","volume":"6736"},"uris":["http://www.mendeley.com/documents/?uuid=ec917a08-fdba-39b4-99ac-e12f5cecbb64"]}],"mendeley":{"formattedCitation":"(&lt;i&gt;11&lt;/i&gt;)","plainTextFormattedCitation":"(11)","previouslyFormattedCitation":"(&lt;i&gt;11&lt;/i&gt;)"},"properties":{"noteIndex":0},"schema":"https://github.com/citation-style-language/schema/raw/master/csl-citation.json"}</w:instrText>
      </w:r>
      <w:r w:rsidRPr="00A753A4">
        <w:fldChar w:fldCharType="separate"/>
      </w:r>
      <w:r w:rsidR="006A73E3" w:rsidRPr="006A73E3">
        <w:rPr>
          <w:noProof/>
        </w:rPr>
        <w:t>(</w:t>
      </w:r>
      <w:r w:rsidR="006A73E3" w:rsidRPr="006A73E3">
        <w:rPr>
          <w:i/>
          <w:noProof/>
        </w:rPr>
        <w:t>11</w:t>
      </w:r>
      <w:r w:rsidR="006A73E3" w:rsidRPr="006A73E3">
        <w:rPr>
          <w:noProof/>
        </w:rPr>
        <w:t>)</w:t>
      </w:r>
      <w:r w:rsidRPr="00A753A4">
        <w:fldChar w:fldCharType="end"/>
      </w:r>
      <w:r w:rsidRPr="00A753A4">
        <w:t xml:space="preserve">. The prevalence of these conditions varies substantially across populations and by age (Figure 3). </w:t>
      </w:r>
      <w:r w:rsidR="006C0E21">
        <w:t xml:space="preserve">Using Global Burden of Disease 2017 estimates </w:t>
      </w:r>
      <w:r w:rsidR="006C0E21">
        <w:fldChar w:fldCharType="begin" w:fldLock="1"/>
      </w:r>
      <w:r w:rsidR="00C6002D">
        <w:instrText>ADDIN CSL_CITATION {"citationItems":[{"id":"ITEM-1","itemData":{"DOI":"10.1016/S0140-6736(18)32279-7","ISSN":"1474547X","abstract":"Background: The Global Burden of Diseases, Injuries, and Risk Factors Study 2017 (GBD 2017) includes a comprehensive assessment of incidence, prevalence, and years lived with disability (YLDs) for 354 causes in 195 countries and territories from 1990 to 2017. Previous GBD studies have shown how the decline of mortality rates from 1990 to 2016 has led to an increase in life expectancy, an ageing global population, and an expansion of the non-fatal burden of disease and injury. These studies have also shown how a substantial portion of the world's population experiences non-fatal health loss with considerable heterogeneity among different causes, locations, ages, and sexes. Ongoing objectives of the GBD study include increasing the level of estimation detail, improving analytical strategies, and increasing the amount of high-quality data. Methods: We estimated incidence and prevalence for 354 diseases and injuries and 3484 sequelae. We used an updated and extensive body of literature studies, survey data, surveillance data, inpatient admission records, outpatient visit records, and health insurance claims, and additionally used results from cause of death models to inform estimates using a total of 68 781 data sources. Newly available clinical data from India, Iran, Japan, Jordan, Nepal, China, Brazil, Norway, and Italy were incorporated, as well as updated claims data from the USA and new claims data from Taiwan (province of China) and Singapore. We used DisMod-MR 2.1, a Bayesian meta-regression tool, as the main method of estimation, ensuring consistency between rates of incidence, prevalence, remission, and cause of death for each condition. YLDs were estimated as the product of a prevalence estimate and a disability weight for health states of each mutually exclusive sequela, adjusted for comorbidity. We updated the Socio-demographic Index (SDI), a summary development indicator of income per capita, years of schooling, and total fertility rate. Additionally, we calculated differences between male and female YLDs to identify divergent trends across sexes. GBD 2017 complies with the Guidelines for Accurate and Transparent Health Estimates Reporting. Findings: Globally, for females, the causes with the greatest age-standardised prevalence were oral disorders, headache disorders, and haemoglobinopathies and haemolytic anaemias in both 1990 and 2017. For males, the causes with the greatest age-standardised prevalence were oral disorders, headache disorders…","author":[{"dropping-particle":"","family":"James","given":"Spencer L.","non-dropping-particle":"","parse-names":false,"suffix":""},{"dropping-particle":"","family":"Abate","given":"Degu","non-dropping-particle":"","parse-names":false,"suffix":""},{"dropping-particle":"","family":"Abate","given":"Kalkidan Hassen","non-dropping-particle":"","parse-names":false,"suffix":""},{"dropping-particle":"","family":"Abay","given":"Solomon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ckerman","given":"Ilana N.","non-dropping-particle":"","parse-names":false,"suffix":""},{"dropping-particle":"","family":"Adamu","given":"Abdu A.","non-dropping-particle":"","parse-names":false,"suffix":""},{"dropping-particle":"","family":"Adebayo","given":"Oladimeji M.","non-dropping-particle":"","parse-names":false,"suffix":""},{"dropping-particle":"","family":"Adekanmbi","given":"Victor","non-dropping-particle":"","parse-names":false,"suffix":""},{"dropping-particle":"","family":"Adetokunboh","given":"Olatunji O.","non-dropping-particle":"","parse-names":false,"suffix":""},{"dropping-particle":"","family":"Adib","given":"Mina G.","non-dropping-particle":"","parse-names":false,"suffix":""},{"dropping-particle":"","family":"Adsuar","given":"Jose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fshin","given":"Ashkan","non-dropping-particle":"","parse-names":false,"suffix":""},{"dropping-particle":"","family":"Agarwal","given":"Gina","non-dropping-particle":"","parse-names":false,"suffix":""},{"dropping-particle":"","family":"Agesa","given":"Kareha M.","non-dropping-particle":"","parse-names":false,"suffix":""},{"dropping-particle":"","family":"Aggarwal","given":"Rakesh","non-dropping-particle":"","parse-names":false,"suffix":""},{"dropping-particle":"","family":"Aghayan","given":"Sargis Aghasi","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M.","non-dropping-particle":"","parse-names":false,"suffix":""},{"dropping-particle":"","family":"Al-Raddadi","given":"Rajaa M.","non-dropping-particle":"","parse-names":false,"suffix":""},{"dropping-particle":"","family":"Alahdab","given":"Fares","non-dropping-particle":"","parse-names":false,"suffix":""},{"dropping-particle":"","family":"Alam","given":"Khurshid","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lebeck","given":"Peter","non-dropping-particle":"","parse-names":false,"suffix":""},{"dropping-particle":"","family":"Alouani","given":"Mohamed M.L.","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T.","non-dropping-particle":"","parse-names":false,"suffix":""},{"dropping-particle":"","family":"Aminde","given":"Leopold N.","non-dropping-particle":"","parse-names":false,"suffix":""},{"dropping-particle":"","family":"Ammar","given":"Walid","non-dropping-particle":"","parse-names":false,"suffix":""},{"dropping-particle":"","family":"Amoako","given":"Yaw Ampem","non-dropping-particle":"","parse-names":false,"suffix":""},{"dropping-particle":"","family":"Anber","given":"Nahla Hamed","non-dropping-particle":"","parse-names":false,"suffix":""},{"dropping-particle":"","family":"Andrei","given":"Catalina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Geleto","non-dropping-particle":"","parse-names":false,"suffix":""},{"dropping-particle":"","family":"Antonio","given":"Carl Abelardo T.","non-dropping-particle":"","parse-names":false,"suffix":""},{"dropping-particle":"","family":"Anwari","given":"Palwasha","non-dropping-particle":"","parse-names":false,"suffix":""},{"dropping-particle":"","family":"Arabloo","given":"Jalal","non-dropping-particle":"","parse-names":false,"suffix":""},{"dropping-particle":"","family":"Arauz","given":"Antonio","non-dropping-particle":"","parse-names":false,"suffix":""},{"dropping-particle":"","family":"Aremu","given":"Olatunde","non-dropping-particle":"","parse-names":false,"suffix":""},{"dropping-particle":"","family":"Ariani","given":"Filippo","non-dropping-particle":"","parse-names":false,"suffix":""},{"dropping-particle":"","family":"Armoon","given":"Bahram","non-dropping-particle":"","parse-names":false,"suffix":""},{"dropping-particle":"","family":"Ärnlöv","given":"Johan","non-dropping-particle":"","parse-names":false,"suffix":""},{"dropping-particle":"","family":"Arora","given":"Amit","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K.","non-dropping-particle":"","parse-names":false,"suffix":""},{"dropping-particle":"","family":"Asayesh","given":"Hamid","non-dropping-particle":"","parse-names":false,"suffix":""},{"dropping-particle":"","family":"Asghar","given":"Rana Jawad","non-dropping-particle":"","parse-names":false,"suffix":""},{"dropping-particle":"","family":"Ataro","given":"Zerihun","non-dropping-particle":"","parse-names":false,"suffix":""},{"dropping-particle":"","family":"Atre","given":"Sachin R.","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F.G.A.","non-dropping-particle":"","parse-names":false,"suffix":""},{"dropping-particle":"","family":"Awasthi","given":"Ashish","non-dropping-particle":"","parse-names":false,"suffix":""},{"dropping-particle":"","family":"Ayala Quintanilla","given":"Beatriz Paulina","non-dropping-particle":"","parse-names":false,"suffix":""},{"dropping-particle":"","family":"Ayer","given":"Rakesh","non-dropping-particle":"","parse-names":false,"suffix":""},{"dropping-particle":"","family":"Azzopardi","given":"Peter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i","given":"Ayele Geleto","non-dropping-particle":"","parse-names":false,"suffix":""},{"dropping-particle":"","family":"Ballesteros","given":"Katherine 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nstola","given":"Amrit","non-dropping-particle":"","parse-names":false,"suffix":""},{"dropping-particle":"","family":"Barac","given":"Aleksandra","non-dropping-particle":"","parse-names":false,"suffix":""},{"dropping-particle":"","family":"Barboza","given":"Miguel 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lachew","given":"Abate Bekele","non-dropping-particle":"","parse-names":false,"suffix":""},{"dropping-particle":"","family":"Belay","given":"Yihalem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K.","non-dropping-particle":"","parse-names":false,"suffix":""},{"dropping-particle":"","family":"Bensenor","given":"Isabela M.","non-dropping-particle":"","parse-names":false,"suffix":""},{"dropping-particle":"","family":"Bernabe","given":"Eduardo","non-dropping-particle":"","parse-names":false,"suffix":""},{"dropping-particle":"","family":"Bernstein","given":"Robert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ttarai","given":"Suraj","non-dropping-particle":"","parse-names":false,"suffix":""},{"dropping-particle":"","family":"Bhaumik","given":"Soumyadeep","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family":"Sayeed","given":"Muhammad Shahdaat","non-dropping-particle":"Bin","parse-names":false,"suffix":""},{"dropping-particle":"","family":"Bisanzio","given":"Donal","non-dropping-particle":"","parse-names":false,"suffix":""},{"dropping-particle":"","family":"Blacker","given":"Brigette F.","non-dropping-particle":"","parse-names":false,"suffix":""},{"dropping-particle":"","family":"Blyth","given":"Fiona M.","non-dropping-particle":"","parse-names":false,"suffix":""},{"dropping-particle":"","family":"Bou-Orm","given":"Ibrahim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J.","non-dropping-particle":"","parse-names":false,"suffix":""},{"dropping-particle":"","family":"Brainin","given":"Michael","non-dropping-particle":"","parse-names":false,"suffix":""},{"dropping-particle":"","family":"Brant","given":"Luisa C.","non-dropping-particle":"","parse-names":false,"suffix":""},{"dropping-particle":"","family":"Brazinova","given":"Alexandra","non-dropping-particle":"","parse-names":false,"suffix":""},{"dropping-particle":"","family":"Breitborde","given":"Nicholas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J.K.","non-dropping-particle":"","parse-names":false,"suffix":""},{"dropping-particle":"","family":"Brenner","given":"Hermann","non-dropping-particle":"","parse-names":false,"suffix":""},{"dropping-particle":"","family":"Briant","given":"Paul Svitil","non-dropping-particle":"","parse-names":false,"suffix":""},{"dropping-particle":"","family":"Briggs","given":"Andrew M.","non-dropping-particle":"","parse-names":false,"suffix":""},{"dropping-particle":"","family":"Briko","given":"Andrey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sse","given":"Reinhard","non-dropping-particle":"","parse-names":false,"suffix":""},{"dropping-particle":"","family":"Butt","given":"Zahid A.","non-dropping-particle":"","parse-names":false,"suffix":""},{"dropping-particle":"","family":"Cahuana-Hurtado","given":"Lucero","non-dropping-particle":"","parse-names":false,"suffix":""},{"dropping-particle":"","family":"Cano","given":"Jorge","non-dropping-particle":"","parse-names":false,"suffix":""},{"dropping-particle":"","family":"Cárdenas","given":"Rosario","non-dropping-particle":"","parse-names":false,"suffix":""},{"dropping-particle":"","family":"Carrero","given":"Juan J.","non-dropping-particle":"","parse-names":false,"suffix":""},{"dropping-particle":"","family":"Carter","given":"Austin","non-dropping-particle":"","parse-names":false,"suffix":""},{"dropping-particle":"","family":"Carvalho","given":"Félix","non-dropping-particle":"","parse-names":false,"suffix":""},{"dropping-particle":"","family":"Castañeda-Orjuela","given":"Carlos A.","non-dropping-particle":"","parse-names":false,"suffix":""},{"dropping-particle":"","family":"Castillo Rivas","given":"Jacqueline","non-dropping-particle":"","parse-names":false,"suffix":""},{"dropping-particle":"","family":"Castro","given":"Franz","non-dropping-particle":"","parse-names":false,"suffix":""},{"dropping-particle":"","family":"Catalá-López","given":"Ferrán","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Alex R.","non-dropping-particle":"","parse-names":false,"suffix":""},{"dropping-particle":"","family":"Chang","given":"Hsing Yi","non-dropping-particle":"","parse-names":false,"suffix":""},{"dropping-particle":"","family":"Chang","given":"Jung Chen","non-dropping-particle":"","parse-names":false,"suffix":""},{"dropping-particle":"","family":"Charlson","given":"Fiona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Kumar","non-dropping-particle":"","parse-names":false,"suffix":""},{"dropping-particle":"","family":"Chaturvedi","given":"Pankaj","non-dropping-particle":"","parse-names":false,"suffix":""},{"dropping-particle":"","family":"Chiang","given":"Peggy Pei Chia","non-dropping-particle":"","parse-names":false,"suffix":""},{"dropping-particle":"","family":"Chin","given":"Ken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G.","non-dropping-particle":"","parse-names":false,"suffix":""},{"dropping-particle":"","family":"Cirillo","given":"Massimo","non-dropping-particle":"","parse-names":false,"suffix":""},{"dropping-particle":"","family":"Claro","given":"Rafael M.","non-dropping-particle":"","parse-names":false,"suffix":""},{"dropping-particle":"","family":"Collado-Mateo","given":"Daniel","non-dropping-particle":"","parse-names":false,"suffix":""},{"dropping-particle":"","family":"Cooper","given":"Cyrus","non-dropping-particle":"","parse-names":false,"suffix":""},{"dropping-particle":"","family":"Coresh","given":"Josef","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A.","non-dropping-particle":"","parse-names":false,"suffix":""},{"dropping-particle":"","family":"Cross","given":"Marita","non-dropping-particle":"","parse-names":false,"suffix":""},{"dropping-particle":"","family":"Crump","given":"John A.","non-dropping-particle":"","parse-names":false,"suffix":""},{"dropping-particle":"","family":"Dadi","given":"Abel Fekadu","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ryani","given":"Ahmad","non-dropping-particle":"","parse-names":false,"suffix":""},{"dropping-particle":"","family":"Gupta","given":"Rajat","non-dropping-particle":"Das","parse-names":false,"suffix":""},{"dropping-particle":"","family":"Neves","given":"José","non-dropping-particle":"Das","parse-names":false,"suffix":""},{"dropping-particle":"","family":"Dasa","given":"Tamirat Tesfaye","non-dropping-particle":"","parse-names":false,"suffix":""},{"dropping-particle":"","family":"Davey","given":"Gail","non-dropping-particle":"","parse-names":false,"suffix":""},{"dropping-particle":"","family":"Davis","given":"Adrian C.","non-dropping-particle":"","parse-names":false,"suffix":""},{"dropping-particle":"","family":"Davitoiu","given":"Dragos Virgil","non-dropping-particle":"","parse-names":false,"suffix":""},{"dropping-particle":"","family":"Courten","given":"Barbora","non-dropping-particle":"De","parse-names":false,"suffix":""},{"dropping-particle":"","family":"La Hoz","given":"Fernando Pio","non-dropping-particle":"De","parse-names":false,"suffix":""},{"dropping-particle":"","family":"Leo","given":"Diego","non-dropping-particle":"De","parse-names":false,"suffix":""},{"dropping-particle":"","family":"Neve","given":"Jan Walter","non-dropping-particle":"De","parse-names":false,"suffix":""},{"dropping-particle":"","family":"Degefa","given":"Meaza Girma","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C.","non-dropping-particle":"Des","parse-names":false,"suffix":""},{"dropping-particle":"","family":"Dessie","given":"Getenet Ayalew","non-dropping-particle":"","parse-names":false,"suffix":""},{"dropping-particle":"","family":"Dey","given":"Subhojit","non-dropping-particle":"","parse-names":false,"suffix":""},{"dropping-particle":"","family":"Dharmaratne","given":"Samath Dhamminda","non-dropping-particle":"","parse-names":false,"suffix":""},{"dropping-particle":"","family":"Dinberu","given":"Mesfin Tadese","non-dropping-particle":"","parse-names":false,"suffix":""},{"dropping-particle":"","family":"Dirac","given":"M. Ashworth","non-dropping-particle":"","parse-names":false,"suffix":""},{"dropping-particle":"","family":"Djalalinia","given":"Shirin","non-dropping-particle":"","parse-names":false,"suffix":""},{"dropping-particle":"","family":"Doan","given":"Linh","non-dropping-particle":"","parse-names":false,"suffix":""},{"dropping-particle":"","family":"Dokova","given":"Klara","non-dropping-particle":"","parse-names":false,"suffix":""},{"dropping-particle":"","family":"Doku","given":"David Teye","non-dropping-particle":"","parse-names":false,"suffix":""},{"dropping-particle":"","family":"Dorsey","given":"E. Ray","non-dropping-particle":"","parse-names":false,"suffix":""},{"dropping-particle":"","family":"Doyle","given":"Kerrie E.","non-dropping-particle":"","parse-names":false,"suffix":""},{"dropping-particle":"","family":"Driscoll","given":"Tim Robert","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chko","given":"Michelle Marie","non-dropping-particle":"","parse-names":false,"suffix":""},{"dropping-particle":"","family":"Edvardsson","given":"David","non-dropping-particle":"","parse-names":false,"suffix":""},{"dropping-particle":"","family":"Effiong","given":"Andem","non-dropping-particle":"","parse-names":false,"suffix":""},{"dropping-particle":"","family":"Ehrlich","given":"Joshua R.","non-dropping-particle":"","parse-names":false,"suffix":""},{"dropping-particle":"","family":"Bcheraoui","given":"Charbel","non-dropping-particle":"El","parse-names":false,"suffix":""},{"dropping-particle":"","family":"Sayed Zaki","given":"Maysaa","non-dropping-particle":"El","parse-names":false,"suffix":""},{"dropping-particle":"","family":"El-Khatib","given":"Ziad","non-dropping-particle":"","parse-names":false,"suffix":""},{"dropping-particle":"","family":"Elkout","given":"Hajer","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hrati","given":"Babak","non-dropping-particle":"","parse-names":false,"suffix":""},{"dropping-particle":"","family":"Eskandarieh","given":"Sharareh","non-dropping-particle":"","parse-names":false,"suffix":""},{"dropping-particle":"","family":"Esteghamati","given":"Alireza","non-dropping-particle":"","parse-names":false,"suffix":""},{"dropping-particle":"","family":"Esteghamati","given":"Sadaf","non-dropping-particle":"","parse-names":false,"suffix":""},{"dropping-particle":"","family":"Fakhim","given":"Hamed","non-dropping-particle":"","parse-names":false,"suffix":""},{"dropping-particle":"","family":"Fallah Omrani","given":"Vahid","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S.","non-dropping-particle":"","parse-names":false,"suffix":""},{"dropping-particle":"","family":"Farzadfar","given":"Farshad","non-dropping-particle":"","parse-names":false,"suffix":""},{"dropping-particle":"","family":"Feigin","given":"Valery L.","non-dropping-particle":"","parse-names":false,"suffix":""},{"dropping-particle":"","family":"Fentahun","given":"Netsanet","non-dropping-particle":"","parse-names":false,"suffix":""},{"dropping-particle":"","family":"Fereshtehnejad","given":"Seyed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C.","non-dropping-particle":"","parse-names":false,"suffix":""},{"dropping-particle":"","family":"Ferrari","given":"Alize J.","non-dropping-particle":"","parse-names":false,"suffix":""},{"dropping-particle":"","family":"Feyissa","given":"Garumma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tzmaurice","given":"Christina","non-dropping-particle":"","parse-names":false,"suffix":""},{"dropping-particle":"","family":"Foigt","given":"Nataliya A.","non-dropping-particle":"","parse-names":false,"suffix":""},{"dropping-particle":"","family":"Foreman","given":"Kyle J.","non-dropping-particle":"","parse-names":false,"suffix":""},{"dropping-particle":"","family":"Fox","given":"Jack","non-dropping-particle":"","parse-names":false,"suffix":""},{"dropping-particle":"","family":"Frank","given":"Tahvi D.","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ão M.","non-dropping-particle":"","parse-names":false,"suffix":""},{"dropping-particle":"","family":"Futran","given":"Neal D.","non-dropping-particle":"","parse-names":false,"suffix":""},{"dropping-particle":"","family":"Gall","given":"Seana","non-dropping-particle":"","parse-names":false,"suffix":""},{"dropping-particle":"","family":"Ganji","given":"Morsaleh","non-dropping-particle":"","parse-names":false,"suffix":""},{"dropping-particle":"","family":"Gankpe","given":"Fortune Gbetoho","non-dropping-particle":"","parse-names":false,"suffix":""},{"dropping-particle":"","family":"Garcia-Basteiro","given":"Alberto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M.","non-dropping-particle":"","parse-names":false,"suffix":""},{"dropping-particle":"","family":"Genova-Maleras","given":"Ricard","non-dropping-particle":"","parse-names":false,"suffix":""},{"dropping-particle":"","family":"Geramo","given":"Yilma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Embaye","non-dropping-particle":"","parse-names":false,"suffix":""},{"dropping-particle":"","family":"Ghadiri","given":"Keyghobad","non-dropping-particle":"","parse-names":false,"suffix":""},{"dropping-particle":"","family":"Ghasemi Falavarjani","given":"Khalil","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ldberg","given":"Ellen M.","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Vali","non-dropping-particle":"","parse-names":false,"suffix":""},{"dropping-particle":"","family":"Gorman","given":"Taren M.","non-dropping-particle":"","parse-names":false,"suffix":""},{"dropping-particle":"","family":"Goulart","given":"Alessandra C.","non-dropping-particle":"","parse-names":false,"suffix":""},{"dropping-particle":"","family":"Goulart","given":"Bárbara Niegia Garcia","non-dropping-particle":"","parse-names":false,"suffix":""},{"dropping-particle":"","family":"Grada","given":"Ayman","non-dropping-particle":"","parse-names":false,"suffix":""},{"dropping-particle":"","family":"Grams","given":"Morgan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yawali","given":"Bishal","non-dropping-particle":"","parse-names":false,"suffix":""},{"dropping-particle":"","family":"Haagsma","given":"Juanita A.","non-dropping-particle":"","parse-names":false,"suffix":""},{"dropping-particle":"","family":"Hachinski","given":"Vladimir","non-dropping-particle":"","parse-names":false,"suffix":""},{"dropping-particle":"","family":"Hafezi-Nejad","given":"Nima","non-dropping-particle":"","parse-names":false,"suffix":""},{"dropping-particle":"","family":"Haghparast Bidgoli","given":"Hassan","non-dropping-particle":"","parse-names":false,"suffix":""},{"dropping-particle":"","family":"Hagos","given":"Tekleberhan B.","non-dropping-particle":"","parse-names":false,"suffix":""},{"dropping-particle":"","family":"Hailu","given":"Gessessew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an","given":"Mehedi","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N.","non-dropping-particle":"","parse-names":false,"suffix":""},{"dropping-particle":"","family":"Hay","given":"Roderick J.","non-dropping-particle":"","parse-names":false,"suffix":""},{"dropping-particle":"","family":"Hay","given":"Simon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ndrie","given":"Delia","non-dropping-particle":"","parse-names":false,"suffix":""},{"dropping-particle":"","family":"Henok","given":"Andualem","non-dropping-particle":"","parse-names":false,"suffix":""},{"dropping-particle":"","family":"Herteliu","given":"Claudiu","non-dropping-particle":"","parse-names":false,"suffix":""},{"dropping-particle":"","family":"Heydarpour","given":"Sousan","non-dropping-particle":"","parse-names":false,"suffix":""},{"dropping-particle":"","family":"Hibstu","given":"Desalegn Tsegaw","non-dropping-particle":"","parse-names":false,"suffix":""},{"dropping-particle":"","family":"Hoang","given":"Huong Thanh","non-dropping-particle":"","parse-names":false,"suffix":""},{"dropping-particle":"","family":"Hoek","given":"Hans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G.","non-dropping-particle":"","parse-names":false,"suffix":""},{"dropping-particle":"","family":"Hsairi","given":"Mohamed","non-dropping-particle":"","parse-names":false,"suffix":""},{"dropping-particle":"","family":"Htet","given":"Aung Soe","non-dropping-particle":"","parse-names":false,"suffix":""},{"dropping-particle":"","family":"Hu","given":"Guoqing","non-dropping-particle":"","parse-names":false,"suffix":""},{"dropping-particle":"","family":"Huang","given":"John J.","non-dropping-particle":"","parse-names":false,"suffix":""},{"dropping-particle":"","family":"Huynh","given":"Chantal K.","non-dropping-particle":"","parse-names":false,"suffix":""},{"dropping-particle":"","family":"Iburg","given":"Kim Moesgaard","non-dropping-particle":"","parse-names":false,"suffix":""},{"dropping-particle":"","family":"Ikeda","given":"Chad Thomas","non-dropping-particle":"","parse-names":false,"suffix":""},{"dropping-particle":"","family":"Ileanu","given":"Bogdan","non-dropping-particle":"","parse-names":false,"suffix":""},{"dropping-particle":"","family":"Ilesanmi","given":"Olayinka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Mohammed","given":"Sheikh","non-dropping-particle":"","parse-names":false,"suffix":""},{"dropping-particle":"","family":"Islam","given":"Shariful","non-dropping-particle":"","parse-names":false,"suffix":""},{"dropping-particle":"","family":"Islami","given":"Farha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vanbakht","given":"Mehdi","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S.","non-dropping-particle":"","parse-names":false,"suffix":""},{"dropping-particle":"","family":"Johnson","given":"Catherine O.","non-dropping-particle":"","parse-names":false,"suffix":""},{"dropping-particle":"","family":"Jonas","given":"Jost B.","non-dropping-particle":"","parse-names":false,"suffix":""},{"dropping-particle":"","family":"Jozwiak","given":"Jacek Jerzy","non-dropping-particle":"","parse-names":false,"suffix":""},{"dropping-particle":"","family":"Jungari","given":"Suresh Banayya","non-dropping-particle":"","parse-names":false,"suffix":""},{"dropping-particle":"","family":"Jürisson","given":"Mik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rami","given":"Manoochehr","non-dropping-particle":"","parse-names":false,"suffix":""},{"dropping-particle":"","family":"Karami Matin","given":"Behzad","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Vittal","non-dropping-particle":"","parse-names":false,"suffix":""},{"dropping-particle":"","family":"Kawakami","given":"Norito","non-dropping-particle":"","parse-names":false,"suffix":""},{"dropping-particle":"","family":"Kazemi Karyani","given":"Ali","non-dropping-particle":"","parse-names":false,"suffix":""},{"dropping-particle":"","family":"Keighobadi","given":"Masoud Masoud","non-dropping-particle":"","parse-names":false,"suffix":""},{"dropping-particle":"","family":"Keiyoro","given":"Peter Njenga","non-dropping-particle":"","parse-names":false,"suffix":""},{"dropping-particle":"","family":"Kemmer","given":"Laura","non-dropping-particle":"","parse-names":false,"suffix":""},{"dropping-particle":"","family":"Kemp","given":"Grant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Abdullatif","non-dropping-particle":"","parse-names":false,"suffix":""},{"dropping-particle":"","family":"Khajavi","given":"Alireza","non-dropping-particle":"","parse-names":false,"suffix":""},{"dropping-particle":"","family":"Khalil","given":"Ibrahim A.","non-dropping-particle":"","parse-names":false,"suffix":""},{"dropping-particle":"","family":"Khan","given":"Ejaz Ahmad","non-dropping-particle":"","parse-names":false,"suffix":""},{"dropping-particle":"","family":"Khan","given":"Muhammad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Ho","non-dropping-particle":"","parse-names":false,"suffix":""},{"dropping-particle":"","family":"Khazaei","given":"Mohammad","non-dropping-particle":"","parse-names":false,"suffix":""},{"dropping-particle":"","family":"Khoja","given":"Abdullah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Pauline","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A.","non-dropping-particle":"","parse-names":false,"suffix":""},{"dropping-particle":"","family":"Kosen","given":"Soewarta","non-dropping-particle":"","parse-names":false,"suffix":""},{"dropping-particle":"","family":"Kotsakis","given":"Georgios 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J.","non-dropping-particle":"","parse-names":false,"suffix":""},{"dropping-particle":"","family":"Kuate Defo","given":"Barthelemy","non-dropping-particle":"","parse-names":false,"suffix":""},{"dropping-particle":"","family":"Kucuk Bicer","given":"Burcu","non-dropping-particle":"","parse-names":false,"suffix":""},{"dropping-particle":"","family":"Kumar","given":"G. Anil","non-dropping-particle":"","parse-names":false,"suffix":""},{"dropping-particle":"","family":"Kumar","given":"Manasi","non-dropping-particle":"","parse-names":false,"suffix":""},{"dropping-particle":"","family":"Kyu","given":"Hmwe Hmwe","non-dropping-particle":"","parse-names":false,"suffix":""},{"dropping-particle":"","family":"Lad","given":"Deepesh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Hasan","non-dropping-particle":"","parse-names":false,"suffix":""},{"dropping-particle":"","family":"Lansingh","given":"Van C.","non-dropping-particle":"","parse-names":false,"suffix":""},{"dropping-particle":"","family":"Latifi","given":"Arman","non-dropping-particle":"","parse-names":false,"suffix":""},{"dropping-particle":"","family":"Lau","given":"Kathryn Mei Ming","non-dropping-particle":"","parse-names":false,"suffix":""},{"dropping-particle":"V.","family":"Lazarus","given":"Jeffrey","non-dropping-particle":"","parse-names":false,"suffix":""},{"dropping-particle":"","family":"Leasher","given":"Janet L.","non-dropping-particle":"","parse-names":false,"suffix":""},{"dropping-particle":"","family":"Ledesma","given":"Jorge R.","non-dropping-particle":"","parse-names":false,"suffix":""},{"dropping-particle":"","family":"Lee","given":"Paul H.","non-dropping-particle":"","parse-names":false,"suffix":""},{"dropping-particle":"","family":"Leigh","given":"James","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Ling","non-dropping-particle":"","parse-names":false,"suffix":""},{"dropping-particle":"","family":"Lim","given":"Stephen S.","non-dropping-particle":"","parse-names":false,"suffix":""},{"dropping-particle":"","family":"Liu","given":"Shiwei","non-dropping-particle":"","parse-names":false,"suffix":""},{"dropping-particle":"","family":"Lodha","given":"Rakesh","non-dropping-particle":"","parse-names":false,"suffix":""},{"dropping-particle":"","family":"Looker","given":"Katharine J.","non-dropping-particle":"","parse-names":false,"suffix":""},{"dropping-particle":"","family":"Lopez","given":"Alan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w","given":"Nicola","non-dropping-particle":"","parse-names":false,"suffix":""},{"dropping-particle":"","family":"Lozano","given":"Rafael","non-dropping-particle":"","parse-names":false,"suffix":""},{"dropping-particle":"","family":"Lucas","given":"Tim C.D.","non-dropping-particle":"","parse-names":false,"suffix":""},{"dropping-particle":"","family":"Lucchesi","given":"Lydia R.","non-dropping-particle":"","parse-names":false,"suffix":""},{"dropping-particle":"","family":"Lunevicius","given":"Raimundas","non-dropping-particle":"","parse-names":false,"suffix":""},{"dropping-particle":"","family":"Lyons","given":"Ronan A.","non-dropping-particle":"","parse-names":false,"suffix":""},{"dropping-particle":"","family":"Ma","given":"Stefan","non-dropping-particle":"","parse-names":false,"suffix":""},{"dropping-particle":"","family":"Macarayan","given":"Erlyn Rachelle King","non-dropping-particle":"","parse-names":false,"suffix":""},{"dropping-particle":"","family":"Mackay","given":"Mark T.","non-dropping-particle":"","parse-names":false,"suffix":""},{"dropping-particle":"","family":"Madotto","given":"Fabiana","non-dropping-particle":"","parse-names":false,"suffix":""},{"dropping-particle":"","family":"Magdy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P.","non-dropping-particle":"","parse-names":false,"suffix":""},{"dropping-particle":"","family":"Mahotra","given":"Narayan Bahadur","non-dropping-particle":"","parse-names":false,"suffix":""},{"dropping-particle":"","family":"Mai","given":"Hue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hertz","given":"Treh","non-dropping-particle":"","parse-names":false,"suffix":""},{"dropping-particle":"","family":"Mansournia","given":"Mohammad Ali","non-dropping-particle":"","parse-names":false,"suffix":""},{"dropping-particle":"","family":"Mantovani","given":"Lorenzo Giovanni","non-dropping-particle":"","parse-names":false,"suffix":""},{"dropping-particle":"","family":"Mapoma","given":"Chabila Christopher","non-dropping-particle":"","parse-names":false,"suffix":""},{"dropping-particle":"","family":"Maravilla","given":"Joemer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family":"Martins-Melo","given":"Francisco Rogerlândio","non-dropping-particle":"","parse-names":false,"suffix":""},{"dropping-particle":"","family":"Martopullo","given":"Ira","non-dropping-particle":"","parse-names":false,"suffix":""},{"dropping-particle":"","family":"März","given":"Winfried","non-dropping-particle":"","parse-names":false,"suffix":""},{"dropping-particle":"","family":"Marzan","given":"Melvin B.","non-dropping-particle":"","parse-names":false,"suffix":""},{"dropping-particle":"","family":"Mashamba-Thompson","given":"Tivani Phosa","non-dropping-particle":"","parse-names":false,"suffix":""},{"dropping-particle":"","family":"Massenburg","given":"Benjamin Ballard","non-dropping-particle":"","parse-names":false,"suffix":""},{"dropping-particle":"","family":"Mathur","given":"Manu Raj","non-dropping-particle":"","parse-names":false,"suffix":""},{"dropping-particle":"","family":"Matsushita","given":"Kunihiro","non-dropping-particle":"","parse-names":false,"suffix":""},{"dropping-particle":"","family":"Maulik","given":"Pallab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J.","non-dropping-particle":"","parse-names":false,"suffix":""},{"dropping-particle":"","family":"McKee","given":"Martin","non-dropping-particle":"","parse-names":false,"suffix":""},{"dropping-particle":"","family":"Mehndiratta","given":"Man Mohan","non-dropping-particle":"","parse-names":false,"suffix":""},{"dropping-particle":"","family":"Mehrotra","given":"Ravi","non-dropping-particle":"","parse-names":false,"suffix":""},{"dropping-particle":"","family":"Mehta","given":"Kala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jia-Rodriguez","given":"Fabiola","non-dropping-particle":"","parse-names":false,"suffix":""},{"dropping-particle":"","family":"Mekonen","given":"Tesfa","non-dropping-particle":"","parse-names":false,"suffix":""},{"dropping-particle":"","family":"Melese","given":"Addisu","non-dropping-particle":"","parse-names":false,"suffix":""},{"dropping-particle":"","family":"Melku","given":"Mulugeta","non-dropping-particle":"","parse-names":false,"suffix":""},{"dropping-particle":"","family":"Meltzer","given":"Michele","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Tadese","non-dropping-particle":"","parse-names":false,"suffix":""},{"dropping-particle":"","family":"Mengistu","given":"Getnet","non-dropping-particle":"","parse-names":false,"suffix":""},{"dropping-particle":"","family":"Mensah","given":"George A.","non-dropping-particle":"","parse-names":false,"suffix":""},{"dropping-particle":"","family":"Mereta","given":"Seid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J.","non-dropping-particle":"","parse-names":false,"suffix":""},{"dropping-particle":"","family":"Mestrovic","given":"Tomislav","non-dropping-particle":"","parse-names":false,"suffix":""},{"dropping-particle":"","family":"Mezerji","given":"Naser Mohammad Gholi","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R.","non-dropping-particle":"","parse-names":false,"suffix":""},{"dropping-particle":"","family":"Miltz","given":"Benjamin","non-dropping-particle":"","parse-names":false,"suffix":""},{"dropping-particle":"","family":"Mini","given":"G. K.","non-dropping-particle":"","parse-names":false,"suffix":""},{"dropping-particle":"","family":"Mirarefin","given":"Mojde","non-dropping-particle":"","parse-names":false,"suffix":""},{"dropping-particle":"","family":"Mirrakhimov","given":"Erkin M.","non-dropping-particle":"","parse-names":false,"suffix":""},{"dropping-particle":"","family":"Misganaw","given":"Awoke Temesgen","non-dropping-particle":"","parse-names":false,"suffix":""},{"dropping-particle":"","family":"Mitchell","given":"Philip B.","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fard","given":"Noushin","non-dropping-particle":"","parse-names":false,"suffix":""},{"dropping-particle":"","family":"Mohammadnia-Afrouzi","given":"Mousa","non-dropping-particle":"","parse-names":false,"suffix":""},{"dropping-particle":"","family":"Mohammed","given":"Mohammed A.","non-dropping-particle":"","parse-names":false,"suffix":""},{"dropping-particle":"","family":"Mohammed","given":"Shafiu","non-dropping-particle":"","parse-names":false,"suffix":""},{"dropping-particle":"","family":"Mohebi","given":"Farnam","non-dropping-particle":"","parse-names":false,"suffix":""},{"dropping-particle":"","family":"Moitra","given":"Modhurima","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eno Velásquez","given":"Ilais","non-dropping-particle":"","parse-names":false,"suffix":""},{"dropping-particle":"","family":"Morgado-Da-Costa","given":"Joana","non-dropping-particle":"","parse-names":false,"suffix":""},{"dropping-particle":"","family":"Morrison","given":"Shane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M.","non-dropping-particle":"","parse-names":false,"suffix":""},{"dropping-particle":"","family":"Mousavi","given":"Seyyed Meysam","non-dropping-particle":"","parse-names":false,"suffix":""},{"dropping-particle":"","family":"Mruts","given":"Kalayu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mford","given":"John Everett","non-dropping-particle":"","parse-names":false,"suffix":""},{"dropping-particle":"","family":"Murhekar","given":"Manoj","non-dropping-particle":"","parse-names":false,"suffix":""},{"dropping-particle":"","family":"Musa","given":"Jonah","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ata","given":"Chie","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atarajan","given":"Gopalakrishnan","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Thanh","non-dropping-particle":"","parse-names":false,"suffix":""},{"dropping-particle":"","family":"Nguyen","given":"Long Hoang","non-dropping-particle":"","parse-names":false,"suffix":""},{"dropping-particle":"","family":"Nguyen","given":"Minh","non-dropping-particle":"","parse-names":false,"suffix":""},{"dropping-particle":"","family":"Nguyen","given":"Nam Ba","non-dropping-particle":"","parse-names":false,"suffix":""},{"dropping-particle":"","family":"Nguyen","given":"Son Hoang","non-dropping-particle":"","parse-names":false,"suffix":""},{"dropping-particle":"","family":"Nichols","given":"Emma","non-dropping-particle":"","parse-names":false,"suffix":""},{"dropping-particle":"","family":"Ningrum","given":"Dina Nur Anggraini","non-dropping-particle":"","parse-names":false,"suffix":""},{"dropping-particle":"","family":"Nixon","given":"Molly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Reza","non-dropping-particle":"","parse-names":false,"suffix":""},{"dropping-particle":"","family":"Nourollahpour Shiadeh","given":"Malihe","non-dropping-particle":"","parse-names":false,"suffix":""},{"dropping-particle":"","family":"Nowroozi","given":"Mohammad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S.","non-dropping-particle":"","parse-names":false,"suffix":""},{"dropping-particle":"","family":"øverland","given":"Simon","non-dropping-particle":"","parse-names":false,"suffix":""},{"dropping-particle":"","family":"Owolabi","given":"Mayowa Ojo","non-dropping-particle":"","parse-names":false,"suffix":""},{"dropping-particle":"","family":"Mahesh","given":"P. A.","non-dropping-particle":"","parse-names":false,"suffix":""},{"dropping-particle":"","family":"Pacella","given":"Rosana","non-dropping-particle":"","parse-names":false,"suffix":""},{"dropping-particle":"","family":"Pakpour","given":"Amir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isi","given":"Andrea","non-dropping-particle":"","parse-names":false,"suffix":""},{"dropping-particle":"","family":"Park","given":"Eun Kee","non-dropping-particle":"","parse-names":false,"suffix":""},{"dropping-particle":"","family":"Parry","given":"Charles D.H.","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C.","non-dropping-particle":"","parse-names":false,"suffix":""},{"dropping-particle":"","family":"Paturi","given":"Vishnupriya Rao","non-dropping-particle":"","parse-names":false,"suffix":""},{"dropping-particle":"","family":"Paulson","given":"Katherine R.","non-dropping-particle":"","parse-names":false,"suffix":""},{"dropping-particle":"","family":"Pearce","given":"Neil","non-dropping-particle":"","parse-names":false,"suffix":""},{"dropping-particle":"","family":"Pereira","given":"David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ham","given":"Hai Quang","non-dropping-particle":"","parse-names":false,"suffix":""},{"dropping-particle":"","family":"Phillips","given":"Michael R.","non-dropping-particle":"","parse-names":false,"suffix":""},{"dropping-particle":"","family":"Pigott","given":"David M.","non-dropping-particle":"","parse-names":false,"suffix":""},{"dropping-particle":"","family":"Pillay","given":"Julian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pova","given":"Svetlana","non-dropping-particle":"","parse-names":false,"suffix":""},{"dropping-particle":"","family":"Postma","given":"Maarten J.","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kash","given":"V.","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B.","non-dropping-particle":"","parse-names":false,"suffix":""},{"dropping-particle":"","family":"Qorbani","given":"Mostafa","non-dropping-particle":"","parse-names":false,"suffix":""},{"dropping-particle":"","family":"Quistberg","given":"D. Alex","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Ur Rahman","given":"Mohammad Hifz","non-dropping-particle":"","parse-names":false,"suffix":""},{"dropping-particle":"","family":"Rahman","given":"Muhammad Aziz","non-dropping-particle":"","parse-names":false,"suffix":""},{"dropping-particle":"","family":"Rahman","given":"Sajjad Ur","non-dropping-particle":"","parse-names":false,"suffix":""},{"dropping-particle":"","family":"Rai","given":"Rajesh Kumar","non-dropping-particle":"","parse-names":false,"suffix":""},{"dropping-particle":"","family":"Rajati","given":"Fatemeh","non-dropping-particle":"","parse-names":false,"suffix":""},{"dropping-particle":"","family":"Ram","given":"Usha","non-dropping-particle":"","parse-names":false,"suffix":""},{"dropping-particle":"","family":"Ranjan","given":"Prabhat","non-dropping-particle":"","parse-names":false,"suffix":""},{"dropping-particle":"","family":"Ranta","given":"Anna","non-dropping-particle":"","parse-names":false,"suffix":""},{"dropping-particle":"","family":"Rao","given":"Puja C.","non-dropping-particle":"","parse-names":false,"suffix":""},{"dropping-particle":"","family":"Rawaf","given":"David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Srinath","non-dropping-particle":"","parse-names":false,"suffix":""},{"dropping-particle":"","family":"Reiner","given":"Robert C.","non-dropping-particle":"","parse-names":false,"suffix":""},{"dropping-particle":"","family":"Reinig","given":"Nickolas","non-dropping-particle":"","parse-names":false,"suffix":""},{"dropping-particle":"","family":"Reitsma","given":"Marissa Bettay","non-dropping-particle":"","parse-names":false,"suffix":""},{"dropping-particle":"","family":"Remuzzi","given":"Giuseppe","non-dropping-particle":"","parse-names":false,"suffix":""},{"dropping-particle":"","family":"Renzaho","given":"Andre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zaei","given":"Satar","non-dropping-particle":"","parse-names":false,"suffix":""},{"dropping-particle":"","family":"Rezai","given":"Mohammad Sadegh","non-dropping-particle":"","parse-names":false,"suffix":""},{"dropping-particle":"","family":"Ribeiro","given":"Antonio Luiz P.","non-dropping-particle":"","parse-names":false,"suffix":""},{"dropping-particle":"","family":"Robinson","given":"Stephen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y","given":"Ambuj","non-dropping-particle":"","parse-names":false,"suffix":""},{"dropping-particle":"","family":"Rubagotti","given":"Enrico","non-dropping-particle":"","parse-names":false,"suffix":""},{"dropping-particle":"","family":"Sachdev","given":"Perminder S.","non-dropping-particle":"","parse-names":false,"suffix":""},{"dropping-particle":"","family":"Sadat","given":"Nafis","non-dropping-particle":"","parse-names":false,"suffix":""},{"dropping-particle":"","family":"Saddik","given":"Basema","non-dropping-particle":"","parse-names":false,"suffix":""},{"dropping-particle":"","family":"Sadeghi","given":"Ehsan","non-dropping-particle":"","parse-names":false,"suffix":""},{"dropping-particle":"","family":"Saeedi Moghaddam","given":"Sahar","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Saleem","given":"Komal","non-dropping-particle":"","parse-names":false,"suffix":""},{"dropping-particle":"","family":"Saleem","given":"Zikria","non-dropping-particle":"","parse-names":false,"suffix":""},{"dropping-particle":"","family":"Salimi","given":"Yahya","non-dropping-particle":"","parse-names":false,"suffix":""},{"dropping-particle":"","family":"Salomon","given":"Joshua A.","non-dropping-particle":"","parse-names":false,"suffix":""},{"dropping-particle":"","family":"Salvi","given":"Sundeep Santosh","non-dropping-particle":"","parse-names":false,"suffix":""},{"dropping-particle":"","family":"Salz","given":"Inbal","non-dropping-particle":"","parse-names":false,"suffix":""},{"dropping-particle":"","family":"Samy","given":"Abdallah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S.","non-dropping-particle":"","parse-names":false,"suffix":""},{"dropping-particle":"","family":"Santos","given":"João Vasco","non-dropping-particle":"","parse-names":false,"suffix":""},{"dropping-particle":"","family":"Santric Milicevic","given":"Milena M.","non-dropping-particle":"","parse-names":false,"suffix":""},{"dropping-particle":"","family":"Sao Jose","given":"Bruno Piassi","non-dropping-particle":"","parse-names":false,"suffix":""},{"dropping-particle":"","family":"Sardana","given":"Mayank","non-dropping-particle":"","parse-names":false,"suffix":""},{"dropping-particle":"","family":"Sarker","given":"Abdur Razzaque","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lan","given":"Mete","non-dropping-particle":"","parse-names":false,"suffix":""},{"dropping-particle":"","family":"Schaeffner","given":"Elke","non-dropping-particle":"","parse-names":false,"suffix":""},{"dropping-particle":"","family":"Schmidt","given":"Maria Inês","non-dropping-particle":"","parse-names":false,"suffix":""},{"dropping-particle":"","family":"Schneider","given":"Ione J.C.","non-dropping-particle":"","parse-names":false,"suffix":""},{"dropping-particle":"","family":"Schöttker","given":"Ben","non-dropping-particle":"","parse-names":false,"suffix":""},{"dropping-particle":"","family":"Schwebel","given":"David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shani","given":"Kawkab","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Dora","non-dropping-particle":"","parse-names":false,"suffix":""},{"dropping-particle":"","family":"Sigurvinsdottir","given":"Rannveig","non-dropping-particle":"","parse-names":false,"suffix":""},{"dropping-particle":"","family":"Silva","given":"João Pedro","non-dropping-particle":"","parse-names":false,"suffix":""},{"dropping-particle":"","family":"Silveira","given":"Dayane Gabriele Alves","non-dropping-particle":"","parse-names":false,"suffix":""},{"dropping-particle":"","family":"Singam","given":"Narayana Sarma Venkata","non-dropping-particle":"","parse-names":false,"suffix":""},{"dropping-particle":"","family":"Singh","given":"Jasvinder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Narain","non-dropping-particle":"","parse-names":false,"suffix":""},{"dropping-particle":"","family":"Skiadaresi","given":"Eirini","non-dropping-particle":"","parse-names":false,"suffix":""},{"dropping-particle":"","family":"Slepak","given":"Erica Leigh N.","non-dropping-particle":"","parse-names":false,"suffix":""},{"dropping-particle":"","family":"Sliwa","given":"Karen","non-dropping-particle":"","parse-names":false,"suffix":""},{"dropping-particle":"","family":"Smith","given":"David L.","non-dropping-particle":"","parse-names":false,"suffix":""},{"dropping-particle":"","family":"Smith","given":"Mari","non-dropping-particle":"","parse-names":false,"suffix":""},{"dropping-particle":"","family":"Soares Filho","given":"Adauto Martins","non-dropping-particle":"","parse-names":false,"suffix":""},{"dropping-particle":"","family":"Sobaih","given":"Badr Hasan","non-dropping-particle":"","parse-names":false,"suffix":""},{"dropping-particle":"","family":"Sobhani","given":"Soheila","non-dropping-particle":"","parse-names":false,"suffix":""},{"dropping-particle":"","family":"Sobngwi","given":"Eugène","non-dropping-particle":"","parse-names":false,"suffix":""},{"dropping-particle":"","family":"Soneji","given":"Samir S.","non-dropping-particle":"","parse-names":false,"suffix":""},{"dropping-particle":"","family":"Soofi","given":"Moslem","non-dropping-particle":"","parse-names":false,"suffix":""},{"dropping-particle":"","family":"Soosaraei","given":"Masoud","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D.","non-dropping-particle":"","parse-names":false,"suffix":""},{"dropping-particle":"","family":"Stein","given":"Dan J.","non-dropping-particle":"","parse-names":false,"suffix":""},{"dropping-particle":"","family":"Steiner","given":"Caitlyn","non-dropping-particle":"","parse-names":false,"suffix":""},{"dropping-particle":"","family":"Steiner","given":"Timothy J.","non-dropping-particle":"","parse-names":false,"suffix":""},{"dropping-particle":"","family":"Stokes","given":"Mark A.","non-dropping-particle":"","parse-names":false,"suffix":""},{"dropping-particle":"","family":"Stovner","given":"Lars Jacob","non-dropping-particle":"","parse-names":false,"suffix":""},{"dropping-particle":"","family":"Subart","given":"Michelle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Babale","non-dropping-particle":"","parse-names":false,"suffix":""},{"dropping-particle":"","family":"Sunguya","given":"Bruno F.","non-dropping-particle":"","parse-names":false,"suffix":""},{"dropping-particle":"","family":"Sur","given":"Patrick John","non-dropping-particle":"","parse-names":false,"suffix":""},{"dropping-particle":"","family":"Sutradhar","given":"Ipsita","non-dropping-particle":"","parse-names":false,"suffix":""},{"dropping-particle":"","family":"Sykes","given":"Bryan L.","non-dropping-particle":"","parse-names":false,"suffix":""},{"dropping-particle":"","family":"Sylte","given":"Dillon O.","non-dropping-particle":"","parse-names":false,"suffix":""},{"dropping-particle":"","family":"Tabarés-Seisdedos","given":"Rafael","non-dropping-particle":"","parse-names":false,"suffix":""},{"dropping-particle":"","family":"Tadakamadla","given":"Santosh Kumar","non-dropping-particle":"","parse-names":false,"suffix":""},{"dropping-particle":"","family":"Tadesse","given":"Birkneh Tilahun","non-dropping-particle":"","parse-names":false,"suffix":""},{"dropping-particle":"","family":"Tandon","given":"Nikhil","non-dropping-particle":"","parse-names":false,"suffix":""},{"dropping-particle":"","family":"Tassew","given":"Segen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aylor","given":"Hugh R.","non-dropping-particle":"","parse-names":false,"suffix":""},{"dropping-particle":"","family":"Tehrani-Banihashemi","given":"Arash","non-dropping-particle":"","parse-names":false,"suffix":""},{"dropping-particle":"","family":"Tekalign","given":"Tigist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Sulieman","non-dropping-particle":"","parse-names":false,"suffix":""},{"dropping-particle":"","family":"Teweldemedhin","given":"Mebrahtu","non-dropping-particle":"","parse-names":false,"suffix":""},{"dropping-particle":"","family":"Thankappan","given":"Kavumpurathu Raman","non-dropping-particle":"","parse-names":false,"suffix":""},{"dropping-particle":"","family":"Thomas","given":"Nihal","non-dropping-particle":"","parse-names":false,"suffix":""},{"dropping-particle":"","family":"Tilahun","given":"Binyam","non-dropping-particle":"","parse-names":false,"suffix":""},{"dropping-particle":"","family":"To","given":"Quyen G.","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Bao","non-dropping-particle":"","parse-names":false,"suffix":""},{"dropping-particle":"","family":"Troeger","given":"Christopher E.","non-dropping-particle":"","parse-names":false,"suffix":""},{"dropping-particle":"","family":"Truelsen","given":"Thomas Clement","non-dropping-particle":"","parse-names":false,"suffix":""},{"dropping-particle":"","family":"Tsilimbaris","given":"Miltiadis K.","non-dropping-particle":"","parse-names":false,"suffix":""},{"dropping-particle":"","family":"Tsoi","given":"Derrick","non-dropping-particle":"","parse-names":false,"suffix":""},{"dropping-particle":"","family":"Tudor Car","given":"Lorainne","non-dropping-particle":"","parse-names":false,"suffix":""},{"dropping-particle":"","family":"Tuzcu","given":"E. Murat","non-dropping-particle":"","parse-names":false,"suffix":""},{"dropping-particle":"","family":"Ukwaja","given":"Kingsley N.","non-dropping-particle":"","parse-names":false,"suffix":""},{"dropping-particle":"","family":"Ullah","given":"Irfan","non-dropping-particle":"","parse-names":false,"suffix":""},{"dropping-particle":"","family":"Undurraga","given":"Eduardo A.","non-dropping-particle":"","parse-names":false,"suffix":""},{"dropping-particle":"","family":"Unutzer","given":"Jurgen","non-dropping-particle":"","parse-names":false,"suffix":""},{"dropping-particle":"","family":"Updike","given":"Rachel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R.","non-dropping-particle":"","parse-names":false,"suffix":""},{"dropping-particle":"","family":"Varughese","given":"Santosh","non-dropping-particle":"","parse-names":false,"suffix":""},{"dropping-particle":"","family":"Vasankari","given":"Tommi Juhani","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Emil","non-dropping-particle":"","parse-names":false,"suffix":""},{"dropping-particle":"","family":"Vosoughi","given":"Kia","non-dropping-particle":"","parse-names":false,"suffix":""},{"dropping-particle":"","family":"Vujcic","given":"Isidora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G.","non-dropping-particle":"","parse-names":false,"suffix":""},{"dropping-particle":"","family":"Wang","given":"Yafeng","non-dropping-particle":"","parse-names":false,"suffix":""},{"dropping-particle":"","family":"Wang","given":"Yuan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G.","non-dropping-particle":"","parse-names":false,"suffix":""},{"dropping-particle":"","family":"Weiss","given":"Daniel J.","non-dropping-particle":"","parse-names":false,"suffix":""},{"dropping-particle":"","family":"Weldegebreal","given":"Fitsum","non-dropping-particle":"","parse-names":false,"suffix":""},{"dropping-particle":"","family":"Weldegwergs","given":"Kidu Gidey","non-dropping-particle":"","parse-names":false,"suffix":""},{"dropping-particle":"","family":"Werdecker","given":"Andrea","non-dropping-particle":"","parse-names":false,"suffix":""},{"dropping-particle":"","family":"West","given":"T. Eoin","non-dropping-particle":"","parse-names":false,"suffix":""},{"dropping-particle":"","family":"Whiteford","given":"Harvey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lner","given":"Lauren B.","non-dropping-particle":"","parse-names":false,"suffix":""},{"dropping-particle":"","family":"Wilson","given":"Shadrach","non-dropping-particle":"","parse-names":false,"suffix":""},{"dropping-particle":"","family":"Winkler","given":"Andrea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D.A.","non-dropping-particle":"","parse-names":false,"suffix":""},{"dropping-particle":"","family":"Woolf","given":"Anthony D.","non-dropping-particle":"","parse-names":false,"suffix":""},{"dropping-particle":"","family":"Wu","given":"Shouling","non-dropping-particle":"","parse-names":false,"suffix":""},{"dropping-particle":"","family":"Wu","given":"Yun Chun","non-dropping-particle":"","parse-names":false,"suffix":""},{"dropping-particle":"","family":"Wyper","given":"Grant M.A.","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Yahyazadeh Jabbari","given":"Seyed Hossein","non-dropping-particle":"","parse-names":false,"suffix":""},{"dropping-particle":"","family":"Yamada","given":"Tomohide","non-dropping-particle":"","parse-names":false,"suffix":""},{"dropping-particle":"","family":"Yan","given":"Lijing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dnik","given":"Vesn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re","given":"Zohreh","non-dropping-particle":"","parse-names":false,"suffix":""},{"dropping-particle":"","family":"Zeleke","given":"Ayalew Jejaw","non-dropping-particle":"","parse-names":false,"suffix":""},{"dropping-particle":"","family":"Zenebe","given":"Zerihun Menlkalew","non-dropping-particle":"","parse-names":false,"suffix":""},{"dropping-particle":"","family":"Zhang","given":"Kai","non-dropping-particle":"","parse-names":false,"suffix":""},{"dropping-particle":"","family":"Zhao","given":"Zheng","non-dropping-particle":"","parse-names":false,"suffix":""},{"dropping-particle":"","family":"Zhou","given":"Maigeng","non-dropping-particle":"","parse-names":false,"suffix":""},{"dropping-particle":"","family":"Zodpey","given":"Sanjay","non-dropping-particle":"","parse-names":false,"suffix":""},{"dropping-particle":"","family":"Zucker","given":"Inbar","non-dropping-particle":"","parse-names":false,"suffix":""},{"dropping-particle":"","family":"Vos","given":"Theo","non-dropping-particle":"","parse-names":false,"suffix":""},{"dropping-particle":"","family":"Murray","given":"Christopher J.L.","non-dropping-particle":"","parse-names":false,"suffix":""}],"container-title":"The Lancet","id":"ITEM-1","issue":"10159","issued":{"date-parts":[["2018","11","10"]]},"page":"1789-1858","publisher":"Lancet Publishing Group","title":"Global, regional, and national incidence, prevalence, and years lived with disability for 354 Diseases and Injuries for 195 countries and territories, 1990-2017: A systematic analysis for the Global Burden of Disease Study 2017","type":"article-journal","volume":"392"},"uris":["http://www.mendeley.com/documents/?uuid=c9e8db3c-ca44-39a3-af09-2ae7dcf0959e"]}],"mendeley":{"formattedCitation":"(&lt;i&gt;12&lt;/i&gt;)","plainTextFormattedCitation":"(12)","previouslyFormattedCitation":"(&lt;i&gt;12&lt;/i&gt;)"},"properties":{"noteIndex":0},"schema":"https://github.com/citation-style-language/schema/raw/master/csl-citation.json"}</w:instrText>
      </w:r>
      <w:r w:rsidR="006C0E21">
        <w:fldChar w:fldCharType="separate"/>
      </w:r>
      <w:r w:rsidR="006A73E3" w:rsidRPr="006A73E3">
        <w:rPr>
          <w:noProof/>
        </w:rPr>
        <w:t>(</w:t>
      </w:r>
      <w:r w:rsidR="006A73E3" w:rsidRPr="006A73E3">
        <w:rPr>
          <w:i/>
          <w:noProof/>
        </w:rPr>
        <w:t>12</w:t>
      </w:r>
      <w:r w:rsidR="006A73E3" w:rsidRPr="006A73E3">
        <w:rPr>
          <w:noProof/>
        </w:rPr>
        <w:t>)</w:t>
      </w:r>
      <w:r w:rsidR="006C0E21">
        <w:fldChar w:fldCharType="end"/>
      </w:r>
      <w:r w:rsidR="006C0E21">
        <w:t xml:space="preserve">, our unmitigated scenario </w:t>
      </w:r>
      <w:r w:rsidR="006C0E21" w:rsidRPr="00E840AD">
        <w:t xml:space="preserve">leads to </w:t>
      </w:r>
      <w:r w:rsidR="006723BE" w:rsidRPr="0000086C">
        <w:t>6.1</w:t>
      </w:r>
      <w:r w:rsidR="00382485" w:rsidRPr="0000086C">
        <w:t>%</w:t>
      </w:r>
      <w:r w:rsidR="006C0E21" w:rsidRPr="0000086C">
        <w:t xml:space="preserve">, </w:t>
      </w:r>
      <w:r w:rsidR="00DF664E" w:rsidRPr="0000086C">
        <w:t>3.8%</w:t>
      </w:r>
      <w:r w:rsidR="006C0E21" w:rsidRPr="0000086C">
        <w:t xml:space="preserve"> and </w:t>
      </w:r>
      <w:r w:rsidR="0000086C" w:rsidRPr="0000086C">
        <w:t>13.3% of</w:t>
      </w:r>
      <w:r w:rsidR="006C0E21" w:rsidRPr="0000086C">
        <w:t xml:space="preserve"> </w:t>
      </w:r>
      <w:r w:rsidR="00D64982">
        <w:t xml:space="preserve">SARS-CoV-2 </w:t>
      </w:r>
      <w:r w:rsidR="006C0E21" w:rsidRPr="00E840AD">
        <w:t>infections occurring in individuals with CVD, COPD and diabetes respectively</w:t>
      </w:r>
      <w:r w:rsidR="0005205A">
        <w:t xml:space="preserve">. </w:t>
      </w:r>
    </w:p>
    <w:p w14:paraId="501BE6A3" w14:textId="77777777" w:rsidR="00275F54" w:rsidRDefault="00275F54" w:rsidP="00275F54"/>
    <w:p w14:paraId="18ACC7FA" w14:textId="0062C48E" w:rsidR="00962DEB" w:rsidRPr="00730A87" w:rsidRDefault="008A545C" w:rsidP="00962DEB">
      <w:r>
        <w:rPr>
          <w:noProof/>
          <w:lang w:eastAsia="en-GB"/>
        </w:rPr>
        <w:lastRenderedPageBreak/>
        <w:drawing>
          <wp:inline distT="0" distB="0" distL="0" distR="0" wp14:anchorId="681B25B2" wp14:editId="7F87546B">
            <wp:extent cx="5731510" cy="41846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84650"/>
                    </a:xfrm>
                    <a:prstGeom prst="rect">
                      <a:avLst/>
                    </a:prstGeom>
                  </pic:spPr>
                </pic:pic>
              </a:graphicData>
            </a:graphic>
          </wp:inline>
        </w:drawing>
      </w:r>
    </w:p>
    <w:p w14:paraId="72C65EAD" w14:textId="4164DFB7" w:rsidR="00386CCE" w:rsidRDefault="00C3506A" w:rsidP="00386CCE">
      <w:r>
        <w:t>In</w:t>
      </w:r>
      <w:r w:rsidR="00386CCE" w:rsidRPr="000A6643">
        <w:t xml:space="preserve"> </w:t>
      </w:r>
      <w:r w:rsidR="00386CCE">
        <w:t>low-income (LIC) and low-middle income countries</w:t>
      </w:r>
      <w:r w:rsidR="00386CCE" w:rsidRPr="000A6643">
        <w:t xml:space="preserve"> </w:t>
      </w:r>
      <w:r w:rsidR="00386CCE">
        <w:t>(LMIC) there is a higher burden of infectious diseases such as HIV/AIDS</w:t>
      </w:r>
      <w:r w:rsidR="0008081C">
        <w:t xml:space="preserve"> and TB, and of </w:t>
      </w:r>
      <w:r w:rsidR="00202A7B">
        <w:t>poverty-related determinants of poorer health outcomes such as</w:t>
      </w:r>
      <w:r w:rsidR="00386CCE">
        <w:t xml:space="preserve"> malnutrition</w:t>
      </w:r>
      <w:r w:rsidR="00597F6F">
        <w:t xml:space="preserve"> than in HICs</w:t>
      </w:r>
      <w:r w:rsidR="00202A7B">
        <w:t>. T</w:t>
      </w:r>
      <w:r w:rsidR="00386CCE">
        <w:t xml:space="preserve">hese </w:t>
      </w:r>
      <w:r w:rsidR="00306854">
        <w:t xml:space="preserve">generally occur in </w:t>
      </w:r>
      <w:r w:rsidR="00386CCE">
        <w:t>younger population</w:t>
      </w:r>
      <w:r w:rsidR="00306854">
        <w:t>s (Figure 3 D,E,F)</w:t>
      </w:r>
      <w:r w:rsidR="00386CCE">
        <w:t xml:space="preserve">. Whilst infectious diseases and malnutrition are not yet recognised as specific risk-factors for poor prognosis from COVID-19 due to a lack of data from settings in which they are prevalent, it is </w:t>
      </w:r>
      <w:r w:rsidR="00B337F4">
        <w:t>possible</w:t>
      </w:r>
      <w:r w:rsidR="00386CCE">
        <w:t xml:space="preserve"> that t</w:t>
      </w:r>
      <w:r w:rsidR="00386CCE" w:rsidRPr="000A6643">
        <w:t xml:space="preserve">he risk profile </w:t>
      </w:r>
      <w:r w:rsidR="00386CCE">
        <w:t xml:space="preserve">in </w:t>
      </w:r>
      <w:r w:rsidR="00702052">
        <w:t>LIC and LMIC</w:t>
      </w:r>
      <w:r w:rsidR="00386CCE">
        <w:t xml:space="preserve"> settings will</w:t>
      </w:r>
      <w:r w:rsidR="00386CCE" w:rsidRPr="000A6643">
        <w:t xml:space="preserve"> be very different </w:t>
      </w:r>
      <w:r w:rsidR="00386CCE">
        <w:t>from</w:t>
      </w:r>
      <w:r w:rsidR="00386CCE" w:rsidRPr="000A6643">
        <w:t xml:space="preserve"> that observed to date in China</w:t>
      </w:r>
      <w:r w:rsidR="00386CCE">
        <w:t xml:space="preserve">, </w:t>
      </w:r>
      <w:r w:rsidR="00386CCE" w:rsidRPr="000A6643">
        <w:t>Europe</w:t>
      </w:r>
      <w:r w:rsidR="00386CCE">
        <w:t xml:space="preserve"> and North America</w:t>
      </w:r>
      <w:r w:rsidR="00386CCE" w:rsidRPr="000A6643">
        <w:t xml:space="preserve">. </w:t>
      </w:r>
      <w:r w:rsidR="00386CCE">
        <w:t xml:space="preserve">Understanding the extent to which these potential comorbidities make younger populations more vulnerable to severe sequalae of COVID-19 and designing strategies to protect them will be </w:t>
      </w:r>
      <w:r w:rsidR="0047103C">
        <w:t>important in adapting</w:t>
      </w:r>
      <w:r w:rsidR="00386CCE">
        <w:t xml:space="preserve"> pandemic responses </w:t>
      </w:r>
      <w:r w:rsidR="0047103C">
        <w:t>to</w:t>
      </w:r>
      <w:r w:rsidR="00386CCE">
        <w:t xml:space="preserve"> lower income countries. </w:t>
      </w:r>
    </w:p>
    <w:p w14:paraId="6069C3D7" w14:textId="20620706" w:rsidR="00386CCE" w:rsidRDefault="005F2712">
      <w:pPr>
        <w:spacing w:line="259" w:lineRule="auto"/>
        <w:jc w:val="left"/>
        <w:rPr>
          <w:b/>
          <w:bCs/>
        </w:rPr>
      </w:pPr>
      <w:r>
        <w:rPr>
          <w:b/>
          <w:bCs/>
        </w:rPr>
        <w:t>Mitigation and Suppression Strategies for Low- and Middle-Income Countries</w:t>
      </w:r>
    </w:p>
    <w:p w14:paraId="790331CB" w14:textId="0B512F1C" w:rsidR="00A1297E" w:rsidRDefault="00A1297E" w:rsidP="005B203A">
      <w:pPr>
        <w:spacing w:line="259" w:lineRule="auto"/>
      </w:pPr>
      <w:r>
        <w:t xml:space="preserve">To understand the consequences of the demographic, social contact and health system patterns on strategies for reducing the spread of </w:t>
      </w:r>
      <w:r w:rsidR="00A5344D">
        <w:t>SARS-CoV-2</w:t>
      </w:r>
      <w:r w:rsidR="006B64E2">
        <w:t xml:space="preserve"> in </w:t>
      </w:r>
      <w:r w:rsidR="00616199">
        <w:t xml:space="preserve">the </w:t>
      </w:r>
      <w:r w:rsidR="006B64E2">
        <w:t xml:space="preserve">context of control measures already enacted by countries, </w:t>
      </w:r>
      <w:r>
        <w:t xml:space="preserve">we developed an </w:t>
      </w:r>
      <w:r w:rsidR="002D4E87">
        <w:t xml:space="preserve">age-structured </w:t>
      </w:r>
      <w:r>
        <w:t>SEIR modelling framework to explore the dynamics of the epidemic under different health system capacity constraints</w:t>
      </w:r>
      <w:r w:rsidR="005B1C26">
        <w:t xml:space="preserve"> </w:t>
      </w:r>
      <w:r>
        <w:t xml:space="preserve">(see Materials and Methods). As for the SIR final size calculations, we use demographic data and social contact patterns based on representative settings in the LIC, LMIC, UMIC and HIC strata. Disease progression for those requiring hospitalisation was explicitly modelled in order to track requirements for hospital bed provision for severe pneumonia (for whom we assume oxygen support will be required) and for ICU provision (for whom we assume 80% would require </w:t>
      </w:r>
      <w:r w:rsidR="00C205AF">
        <w:t>MV</w:t>
      </w:r>
      <w:r>
        <w:t xml:space="preserve"> in-line with UK data</w:t>
      </w:r>
      <w:r w:rsidR="009A2428">
        <w:t xml:space="preserve"> </w:t>
      </w:r>
      <w:r w:rsidR="009A2428">
        <w:fldChar w:fldCharType="begin" w:fldLock="1"/>
      </w:r>
      <w:r w:rsidR="00E57DCE">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9A2428">
        <w:fldChar w:fldCharType="separate"/>
      </w:r>
      <w:r w:rsidR="009A2428" w:rsidRPr="009A2428">
        <w:rPr>
          <w:noProof/>
        </w:rPr>
        <w:t>(</w:t>
      </w:r>
      <w:r w:rsidR="009A2428" w:rsidRPr="009A2428">
        <w:rPr>
          <w:i/>
          <w:noProof/>
        </w:rPr>
        <w:t>9</w:t>
      </w:r>
      <w:r w:rsidR="009A2428" w:rsidRPr="009A2428">
        <w:rPr>
          <w:noProof/>
        </w:rPr>
        <w:t>)</w:t>
      </w:r>
      <w:r w:rsidR="009A2428">
        <w:fldChar w:fldCharType="end"/>
      </w:r>
      <w:r>
        <w:t>). Durations of stay were based on UK data</w:t>
      </w:r>
      <w:r w:rsidR="00B50F5C">
        <w:t xml:space="preserve"> </w:t>
      </w:r>
      <w:r w:rsidR="00860C76">
        <w:fldChar w:fldCharType="begin" w:fldLock="1"/>
      </w:r>
      <w:r w:rsidR="009C58CA">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2020","type":"article-journal"},"uris":["http://www.mendeley.com/documents/?uuid=a57a64af-0537-42ac-9121-960978ac43b7"]},{"id":"ITEM-2","itemData":{"DOI":"10.1101/2020.04.23.20076042","abstract":"Objective: To characterize the clinical features of patients with severe COVID-19 in the UK. Design: Prospective observational cohort study with rapid data gathering and near real-time analysis, using a pre-approved questionnaire adopted by the WHO. Setting: 166 UK hospitals between 6th February and 18th April 2020. Participants: 16,749 people with COVID-19. Interventions: No interventions were performed, but with consent samples were taken for research purposes. Many participants were co-enrolled in other interventional studies and clinical trials. Results: The median age was 72 years [IQR 57, 82; range 0, 104], the median duration of symptoms before admission was 4 days [IQR 1,8] and the median duration of hospital stay was 7 days [IQR 4,12]. The commonest comorbidities were chronic cardiac disease (29%), uncomplicated diabetes (19%), non-asthmatic chronic pulmonary disease (19%) and asthma (14%); 47% had no documented reported comorbidity. Increased age and comorbidities including obesity were associated with a higher probability of mortality. Distinct clusters of symptoms were found: 1. respiratory (cough, sputum, sore throat, runny nose, ear pain, wheeze, and chest pain); 2. systemic (myalgia, joint pain and fatigue); 3. enteric (abdominal pain, vomiting and diarrhoea). Overall, 49% of patients were discharged alive, 33% have died and 17% continued to receive care at date of reporting. 17% required admission to High Dependency or Intensive Care Units; of these, 31% were discharged alive, 45% died and 24% continued to receive care at the reporting date. Of those receiving mechanical ventilation, 20% were discharged alive, 53% died and 27% remained in hospital. Conclusions: We present the largest detailed description of COVID-19 in Europe, demonstrating the importance of pandemic preparedness and the need to maintain readiness to launch research studies in response to outbreaks. Trial documentation: Available at https://isaric4c.net/protocols . Ethical approval in England and Wales (13/SC/0149), and Scotland (20/SS/0028). ISRCTN (pending). ### Competing Interest Statement AB Docherty reports grants from Department of Health and Social Care, during the conduct of the study; grants from Wellcome Trust, outside the submitted work; CA Green reports grants from DHSC National Institute of Health Research UK, during the conduct of the study; F Dondelinger is due to start a position at F. Hoffmann - La Roche on 4th May 2020; PW Horby reports grants from Well…","author":[{"dropping-particle":"","family":"Docherty","given":"Annemarie B","non-dropping-particle":"","parse-names":false,"suffix":""},{"dropping-particle":"","family":"Harrison","given":"Ewen M","non-dropping-particle":"","parse-names":false,"suffix":""},{"dropping-particle":"","family":"Green","given":"Christopher A","non-dropping-particle":"","parse-names":false,"suffix":""},{"dropping-particle":"","family":"Hardwick","given":"Hayley E","non-dropping-particle":"","parse-names":false,"suffix":""},{"dropping-particle":"","family":"Pius","given":"Riinu","non-dropping-particle":"","parse-names":false,"suffix":""},{"dropping-particle":"","family":"Norman","given":"Lisa","non-dropping-particle":"","parse-names":false,"suffix":""},{"dropping-particle":"","family":"Holden","given":"Karl A","non-dropping-particle":"","parse-names":false,"suffix":""},{"dropping-particle":"","family":"Read","given":"Jonathan M","non-dropping-particle":"","parse-names":false,"suffix":""},{"dropping-particle":"","family":"Dondelinger","given":"Frank","non-dropping-particle":"","parse-names":false,"suffix":""},{"dropping-particle":"","family":"Carson","given":"Gail","non-dropping-particle":"","parse-names":false,"suffix":""},{"dropping-particle":"","family":"Merson","given":"Laura","non-dropping-particle":"","parse-names":false,"suffix":""},{"dropping-particle":"","family":"Lee","given":"James","non-dropping-particle":"","parse-names":false,"suffix":""},{"dropping-particle":"","family":"Plotkin","given":"Daniel","non-dropping-particle":"","parse-names":false,"suffix":""},{"dropping-particle":"","family":"Sigfrid","given":"Louise","non-dropping-particle":"","parse-names":false,"suffix":""},{"dropping-particle":"","family":"Halpin","given":"Sophie","non-dropping-particle":"","parse-names":false,"suffix":""},{"dropping-particle":"","family":"Jackson","given":"Clare","non-dropping-particle":"","parse-names":false,"suffix":""},{"dropping-particle":"","family":"Gamble","given":"Carrol","non-dropping-particle":"","parse-names":false,"suffix":""},{"dropping-particle":"","family":"Horby","given":"Peter W","non-dropping-particle":"","parse-names":false,"suffix":""},{"dropping-particle":"","family":"Nguyen-Van-Tam","given":"Jonathan S","non-dropping-particle":"","parse-names":false,"suffix":""},{"dropping-particle":"","family":"Dunning","given":"Jake","non-dropping-particle":"","parse-names":false,"suffix":""},{"dropping-particle":"","family":"Openshaw","given":"Peter JM","non-dropping-particle":"","parse-names":false,"suffix":""},{"dropping-particle":"","family":"Baillie","given":"J Kenneth","non-dropping-particle":"","parse-names":false,"suffix":""},{"dropping-particle":"","family":"Semple","given":"Malcolm Gracie","non-dropping-particle":"","parse-names":false,"suffix":""}],"container-title":"medRxiv","id":"ITEM-2","issued":{"date-parts":[["2020","4","28"]]},"publisher":"Cold Spring Harbor Laboratory Press","title":"Features of 16,749 hospitalised UK patients with COVID-19 using the ISARIC WHO Clinical Characterisation Protocol","type":"article-journal"},"uris":["http://www.mendeley.com/documents/?uuid=fdd9f655-73e0-31ff-a9b6-12c707386dee"]}],"mendeley":{"formattedCitation":"(&lt;i&gt;9&lt;/i&gt;, &lt;i&gt;13&lt;/i&gt;)","plainTextFormattedCitation":"(9, 13)","previouslyFormattedCitation":"(&lt;i&gt;9&lt;/i&gt;, &lt;i&gt;13&lt;/i&gt;)"},"properties":{"noteIndex":0},"schema":"https://github.com/citation-style-language/schema/raw/master/csl-citation.json"}</w:instrText>
      </w:r>
      <w:r w:rsidR="00860C76">
        <w:fldChar w:fldCharType="separate"/>
      </w:r>
      <w:r w:rsidR="006A73E3" w:rsidRPr="006A73E3">
        <w:rPr>
          <w:noProof/>
        </w:rPr>
        <w:t>(</w:t>
      </w:r>
      <w:r w:rsidR="006A73E3" w:rsidRPr="006A73E3">
        <w:rPr>
          <w:i/>
          <w:noProof/>
        </w:rPr>
        <w:t>9</w:t>
      </w:r>
      <w:r w:rsidR="006A73E3" w:rsidRPr="006A73E3">
        <w:rPr>
          <w:noProof/>
        </w:rPr>
        <w:t xml:space="preserve">, </w:t>
      </w:r>
      <w:r w:rsidR="006A73E3" w:rsidRPr="006A73E3">
        <w:rPr>
          <w:i/>
          <w:noProof/>
        </w:rPr>
        <w:t>13</w:t>
      </w:r>
      <w:r w:rsidR="006A73E3" w:rsidRPr="006A73E3">
        <w:rPr>
          <w:noProof/>
        </w:rPr>
        <w:t>)</w:t>
      </w:r>
      <w:r w:rsidR="00860C76">
        <w:fldChar w:fldCharType="end"/>
      </w:r>
      <w:r>
        <w:t xml:space="preserve">; whilst it is likely that these will be shorter in LIC and LMIC countries, in the absence of data to guide these parameters the results presented here are conservative (i.e. hospital capacity will be exceeded earlier). </w:t>
      </w:r>
      <w:r w:rsidR="003E2526">
        <w:t xml:space="preserve">Whilst healthcare seeking behaviour may also differ across settings, we </w:t>
      </w:r>
      <w:r w:rsidR="00573D78">
        <w:t xml:space="preserve">make the simplifying assumption that all symptomatic cases seek care. </w:t>
      </w:r>
      <w:r w:rsidR="00DC7285">
        <w:t xml:space="preserve">To capture the uncertainty in </w:t>
      </w:r>
      <w:r w:rsidR="00D71E34">
        <w:t xml:space="preserve">hospital </w:t>
      </w:r>
      <w:r w:rsidR="00D71E34">
        <w:lastRenderedPageBreak/>
        <w:t xml:space="preserve">demand we generated 500 parameter sets </w:t>
      </w:r>
      <w:r w:rsidR="00252D52">
        <w:t xml:space="preserve">drawing on uncertainty in key parameters determining </w:t>
      </w:r>
      <w:r w:rsidR="00CD6C49">
        <w:t xml:space="preserve">the probability of hospitalisation, of requiring </w:t>
      </w:r>
      <w:r w:rsidR="001727F0">
        <w:t xml:space="preserve">critical care, and of outcomes (death or recovery) in each hospital state </w:t>
      </w:r>
      <w:r w:rsidR="00804282">
        <w:t xml:space="preserve">and ran </w:t>
      </w:r>
      <w:r w:rsidR="004452F1">
        <w:t>10</w:t>
      </w:r>
      <w:r w:rsidR="00804282">
        <w:t xml:space="preserve"> stochastic realisation </w:t>
      </w:r>
      <w:r w:rsidR="00EF157C">
        <w:t>using</w:t>
      </w:r>
      <w:r w:rsidR="00804282">
        <w:t xml:space="preserve"> each parameter set </w:t>
      </w:r>
      <w:r w:rsidR="001727F0">
        <w:t>(see Materials and Methods)</w:t>
      </w:r>
      <w:r w:rsidR="00DC5190">
        <w:t xml:space="preserve">. </w:t>
      </w:r>
      <w:r w:rsidR="00FB5D02">
        <w:t xml:space="preserve">The 95% range across the simulations </w:t>
      </w:r>
      <w:r w:rsidR="00804282">
        <w:t xml:space="preserve">is presented as an uncertainty interval (UI). </w:t>
      </w:r>
      <w:r w:rsidR="006E7853">
        <w:t>We consider two potential strategie</w:t>
      </w:r>
      <w:r w:rsidR="00CE345D">
        <w:t>s</w:t>
      </w:r>
      <w:r w:rsidR="008162CE">
        <w:t xml:space="preserve"> (similar to those previously illustrated for pandemic influenza planning and in the early stages of the COVID-19 epidemic</w:t>
      </w:r>
      <w:r w:rsidR="00E26BB6">
        <w:t xml:space="preserve"> </w:t>
      </w:r>
      <w:r w:rsidR="005B4868">
        <w:fldChar w:fldCharType="begin" w:fldLock="1"/>
      </w:r>
      <w:r w:rsidR="00C6002D">
        <w:instrText>ADDIN CSL_CITATION {"citationItems":[{"id":"ITEM-1","itemData":{"DOI":"10.1371/journal.pcbi.1001076","ISSN":"1553734X","PMID":"21347316","abstract":"Mitigation of a severe influenza pandemic can be achieved using a range of interventions to reduce transmission. Interventions can reduce the impact of an outbreak and buy time until vaccines are developed, but they may have high social and economic costs. The non-linear effect on the epidemic dynamics means that suitable strategies crucially depend on the precise aim of the intervention. National pandemic influenza plans rarely contain clear statements of policy objectives or prioritization of potentially conflicting aims, such as minimizing mortality (depending on the severity of a pandemic) or peak prevalence or limiting the socio-economic burden of contact-reducing interventions. We use epidemiological models of influenza A to investigate how contact-reducing interventions and availability of antiviral drugs or pre-pandemic vaccines contribute to achieving particular policy objectives. Our analyses show that the ideal strategy depends on the aim of an intervention and that the achievement of one policy objective may preclude success with others, e.g., constraining peak demand for public health resources may lengthen the duration of the epidemic and hence its economic and social impact. Constraining total case numbers can be achieved by a range of strategies, whereas strategies which additionally constrain peak demand for services require a more sophisticated intervention. If, for example, there are multiple objectives which must be achieved prior to the availability of a pandemic vaccine (i.e., a time-limited intervention), our analysis shows that interventions should be implemented several weeks into the epidemic, not at the very start. This observation is shown to be robust across a range of constraints and for uncertainty in estimates of both R0 and the timing of vaccine availability. These analyses highlight the need for more precise statements of policy objectives and their assumed consequences when planning and implementing strategies to mitigate the impact of an influenza pandemic. © 2011 Hollingsworth et al.","author":[{"dropping-particle":"","family":"Hollingsworth","given":"T. Déirdre","non-dropping-particle":"","parse-names":false,"suffix":""},{"dropping-particle":"","family":"Klinkenberg","given":"Don","non-dropping-particle":"","parse-names":false,"suffix":""},{"dropping-particle":"","family":"Heesterbeek","given":"Hans","non-dropping-particle":"","parse-names":false,"suffix":""},{"dropping-particle":"","family":"Anderson","given":"Roy M.","non-dropping-particle":"","parse-names":false,"suffix":""}],"container-title":"PLoS Computational Biology","id":"ITEM-1","issue":"2","issued":{"date-parts":[["2011","2"]]},"publisher":"PLoS Comput Biol","title":"Mitigation strategies for pandemic influenza a: Balancing conflicting policy objectives","type":"article-journal","volume":"7"},"uris":["http://www.mendeley.com/documents/?uuid=572438be-d99b-3731-a132-c34805cf029f"]},{"id":"ITEM-2","itemData":{"DOI":"10.1016/S0140-6736(20)30567-5","ISSN":"1474547X","PMID":"32164834","author":[{"dropping-particle":"","family":"Anderson","given":"Roy M.","non-dropping-particle":"","parse-names":false,"suffix":""},{"dropping-particle":"","family":"Heesterbeek","given":"Hans","non-dropping-particle":"","parse-names":false,"suffix":""},{"dropping-particle":"","family":"Klinkenberg","given":"Don","non-dropping-particle":"","parse-names":false,"suffix":""},{"dropping-particle":"","family":"Hollingsworth","given":"T. Déirdre","non-dropping-particle":"","parse-names":false,"suffix":""}],"container-title":"The Lancet","id":"ITEM-2","issue":"10228","issued":{"date-parts":[["2020","3","21"]]},"page":"931-934","publisher":"Lancet Publishing Group","title":"How will country-based mitigation measures influence the course of the COVID-19 epidemic?","type":"article","volume":"395"},"uris":["http://www.mendeley.com/documents/?uuid=06c7c559-29d0-31db-9c58-bb260b8c053f"]}],"mendeley":{"formattedCitation":"(&lt;i&gt;14&lt;/i&gt;, &lt;i&gt;15&lt;/i&gt;)","plainTextFormattedCitation":"(14, 15)","previouslyFormattedCitation":"(&lt;i&gt;14&lt;/i&gt;, &lt;i&gt;15&lt;/i&gt;)"},"properties":{"noteIndex":0},"schema":"https://github.com/citation-style-language/schema/raw/master/csl-citation.json"}</w:instrText>
      </w:r>
      <w:r w:rsidR="005B4868">
        <w:fldChar w:fldCharType="separate"/>
      </w:r>
      <w:r w:rsidR="006A73E3" w:rsidRPr="006A73E3">
        <w:rPr>
          <w:noProof/>
        </w:rPr>
        <w:t>(</w:t>
      </w:r>
      <w:r w:rsidR="006A73E3" w:rsidRPr="006A73E3">
        <w:rPr>
          <w:i/>
          <w:noProof/>
        </w:rPr>
        <w:t>14</w:t>
      </w:r>
      <w:r w:rsidR="006A73E3" w:rsidRPr="006A73E3">
        <w:rPr>
          <w:noProof/>
        </w:rPr>
        <w:t xml:space="preserve">, </w:t>
      </w:r>
      <w:r w:rsidR="006A73E3" w:rsidRPr="006A73E3">
        <w:rPr>
          <w:i/>
          <w:noProof/>
        </w:rPr>
        <w:t>15</w:t>
      </w:r>
      <w:r w:rsidR="006A73E3" w:rsidRPr="006A73E3">
        <w:rPr>
          <w:noProof/>
        </w:rPr>
        <w:t>)</w:t>
      </w:r>
      <w:r w:rsidR="005B4868">
        <w:fldChar w:fldCharType="end"/>
      </w:r>
      <w:r w:rsidR="008162CE">
        <w:t>)</w:t>
      </w:r>
      <w:r w:rsidR="009430A2">
        <w:t>; (1) mitigation – whereby transmission is reduced but R</w:t>
      </w:r>
      <w:r w:rsidR="009430A2" w:rsidRPr="005B203A">
        <w:rPr>
          <w:vertAlign w:val="subscript"/>
        </w:rPr>
        <w:t>t</w:t>
      </w:r>
      <w:r w:rsidR="009430A2">
        <w:t xml:space="preserve"> remains above 1 and hence a single-peaked epidemic is predicted</w:t>
      </w:r>
      <w:r w:rsidR="00857629">
        <w:t xml:space="preserve"> due to the build-up of herd immunity</w:t>
      </w:r>
      <w:r w:rsidR="009430A2">
        <w:t>; and (2) suppression – whereby transmission is reduced such that R</w:t>
      </w:r>
      <w:r w:rsidR="009430A2" w:rsidRPr="005B203A">
        <w:rPr>
          <w:vertAlign w:val="subscript"/>
        </w:rPr>
        <w:t>t</w:t>
      </w:r>
      <w:r w:rsidR="009430A2">
        <w:t xml:space="preserve">&lt;1 and hence, if interventions are later released, </w:t>
      </w:r>
      <w:r w:rsidR="00857629">
        <w:t xml:space="preserve">transmission will be expected to rise as herd immunity will not have been achieved. </w:t>
      </w:r>
    </w:p>
    <w:p w14:paraId="381E72DE" w14:textId="45E09AB9" w:rsidR="009A0C9A" w:rsidRDefault="0065434A" w:rsidP="005B203A">
      <w:r>
        <w:t>We used our final SIR size calculations to estimate the degree of social distancing that results in “optimal</w:t>
      </w:r>
      <w:r w:rsidR="00132E33">
        <w:t>” mitigation</w:t>
      </w:r>
      <w:r w:rsidR="0050549B">
        <w:t>. This is</w:t>
      </w:r>
      <w:r w:rsidR="003F7E08">
        <w:t xml:space="preserve"> </w:t>
      </w:r>
      <w:r w:rsidR="00D9172F">
        <w:t xml:space="preserve">defined as the maximum reduction in transmission that </w:t>
      </w:r>
      <w:r w:rsidR="00673636">
        <w:t>can be achieved if a uniform reduction in contact rates is implemented at the start of the epidemic for a</w:t>
      </w:r>
      <w:r w:rsidR="00703C32">
        <w:t>n undefined but</w:t>
      </w:r>
      <w:r w:rsidR="006B4C02">
        <w:t xml:space="preserve"> finite period such that R</w:t>
      </w:r>
      <w:r w:rsidR="006B4C02" w:rsidRPr="005B203A">
        <w:rPr>
          <w:vertAlign w:val="subscript"/>
        </w:rPr>
        <w:t>t</w:t>
      </w:r>
      <w:r w:rsidR="006B4C02">
        <w:t xml:space="preserve">~1 and </w:t>
      </w:r>
      <w:r w:rsidR="00B872CD">
        <w:t>a single-peaked epidemic</w:t>
      </w:r>
      <w:r w:rsidR="006B4C02">
        <w:t xml:space="preserve"> is generated</w:t>
      </w:r>
      <w:r w:rsidR="00B872CD">
        <w:t xml:space="preserve"> (see Materials and Methods). I</w:t>
      </w:r>
      <w:r w:rsidR="00B00EA1">
        <w:t xml:space="preserve">f </w:t>
      </w:r>
      <w:r>
        <w:t>“</w:t>
      </w:r>
      <w:r w:rsidR="00B00EA1">
        <w:t>optimal</w:t>
      </w:r>
      <w:r>
        <w:t>”</w:t>
      </w:r>
      <w:r w:rsidR="00B00EA1">
        <w:t xml:space="preserve"> </w:t>
      </w:r>
      <w:r w:rsidR="00E16D12" w:rsidRPr="0022222C">
        <w:t xml:space="preserve">mitigation </w:t>
      </w:r>
      <w:r w:rsidR="005F4450">
        <w:t>based on</w:t>
      </w:r>
      <w:r w:rsidR="00E16D12" w:rsidRPr="0022222C">
        <w:t xml:space="preserve"> enhanced social distancing is pursued, for an R</w:t>
      </w:r>
      <w:r w:rsidR="00E16D12" w:rsidRPr="0022222C">
        <w:rPr>
          <w:vertAlign w:val="subscript"/>
        </w:rPr>
        <w:t xml:space="preserve">0 </w:t>
      </w:r>
      <w:r w:rsidR="00E16D12" w:rsidRPr="0022222C">
        <w:t>of 3.0, we estimate a maximum reduction in infections</w:t>
      </w:r>
      <w:r w:rsidR="00B32D29">
        <w:t xml:space="preserve"> in individual countries</w:t>
      </w:r>
      <w:r w:rsidR="00E16D12" w:rsidRPr="0022222C">
        <w:t xml:space="preserve"> in the range 30-38% (median 33%) and a range of reduction in mortality between 19%-55% (median 39%) (assuming the mortality patterns observed in China). These optimal reductions in transmission and burden were achieved with a range of reductions in the overall rate of social contact </w:t>
      </w:r>
      <w:r w:rsidR="00B32D29">
        <w:t xml:space="preserve">across countries </w:t>
      </w:r>
      <w:r w:rsidR="00E16D12" w:rsidRPr="0022222C">
        <w:t>between 40.0%- 44.9% (median 43.9%), with this range</w:t>
      </w:r>
      <w:r w:rsidR="00B32D29">
        <w:t xml:space="preserve"> across countries</w:t>
      </w:r>
      <w:r w:rsidR="00E16D12" w:rsidRPr="0022222C">
        <w:t xml:space="preserve"> increasing to 42.9%-47.9% (median 46.9%) for an R</w:t>
      </w:r>
      <w:r w:rsidR="00E16D12" w:rsidRPr="0022222C">
        <w:rPr>
          <w:vertAlign w:val="subscript"/>
        </w:rPr>
        <w:t xml:space="preserve">0 </w:t>
      </w:r>
      <w:r w:rsidR="00E16D12" w:rsidRPr="0022222C">
        <w:t>of 3.5 and decreasing to 3</w:t>
      </w:r>
      <w:r w:rsidR="00646104">
        <w:t>1</w:t>
      </w:r>
      <w:r w:rsidR="00E16D12" w:rsidRPr="0022222C">
        <w:t>.</w:t>
      </w:r>
      <w:r w:rsidR="00646104">
        <w:t>4</w:t>
      </w:r>
      <w:r w:rsidR="00E16D12" w:rsidRPr="0022222C">
        <w:t>%-</w:t>
      </w:r>
      <w:r w:rsidR="00646104">
        <w:t>35</w:t>
      </w:r>
      <w:r w:rsidR="00E16D12" w:rsidRPr="0022222C">
        <w:t>.</w:t>
      </w:r>
      <w:r w:rsidR="00646104">
        <w:t>8</w:t>
      </w:r>
      <w:r w:rsidR="00E16D12" w:rsidRPr="0022222C">
        <w:t>%</w:t>
      </w:r>
      <w:r w:rsidR="00BF504C">
        <w:t xml:space="preserve"> across countries</w:t>
      </w:r>
      <w:r w:rsidR="00E16D12" w:rsidRPr="0022222C">
        <w:t xml:space="preserve"> (median </w:t>
      </w:r>
      <w:r w:rsidR="00406DE9">
        <w:t>35.0</w:t>
      </w:r>
      <w:r w:rsidR="00E16D12" w:rsidRPr="0022222C">
        <w:t>%) for an R</w:t>
      </w:r>
      <w:r w:rsidR="00E16D12" w:rsidRPr="0022222C">
        <w:rPr>
          <w:vertAlign w:val="subscript"/>
        </w:rPr>
        <w:t xml:space="preserve">0 </w:t>
      </w:r>
      <w:r w:rsidR="00E16D12" w:rsidRPr="0022222C">
        <w:t>of 2.</w:t>
      </w:r>
      <w:r w:rsidR="002C0A1F">
        <w:t>3</w:t>
      </w:r>
      <w:r w:rsidR="00E16D12" w:rsidRPr="0022222C">
        <w:t xml:space="preserve">. Combining mitigation with enhanced social distancing of elderly individuals is predicted to result in </w:t>
      </w:r>
      <w:r w:rsidR="00FC317C">
        <w:t>greater</w:t>
      </w:r>
      <w:r w:rsidR="00E16D12" w:rsidRPr="0022222C">
        <w:t xml:space="preserve"> mortality reductions of 23%-67%</w:t>
      </w:r>
      <w:r w:rsidR="00B6590E">
        <w:t xml:space="preserve"> across countries</w:t>
      </w:r>
      <w:r w:rsidR="00626845">
        <w:t xml:space="preserve"> </w:t>
      </w:r>
      <w:r w:rsidR="00E16D12" w:rsidRPr="0022222C">
        <w:t>(median 49%)</w:t>
      </w:r>
      <w:r w:rsidR="005F4450">
        <w:t xml:space="preserve"> </w:t>
      </w:r>
      <w:r w:rsidR="00E16D12" w:rsidRPr="0022222C">
        <w:t>for R</w:t>
      </w:r>
      <w:r w:rsidR="00E16D12" w:rsidRPr="0022222C">
        <w:rPr>
          <w:vertAlign w:val="subscript"/>
        </w:rPr>
        <w:t>0</w:t>
      </w:r>
      <w:r w:rsidR="00E16D12" w:rsidRPr="0022222C">
        <w:t>=3</w:t>
      </w:r>
      <w:r w:rsidR="0093147D">
        <w:t xml:space="preserve"> </w:t>
      </w:r>
      <w:r w:rsidR="0093147D" w:rsidRPr="00D025A6">
        <w:t>(Table S</w:t>
      </w:r>
      <w:r w:rsidR="00232C8C" w:rsidRPr="00D025A6">
        <w:t>5</w:t>
      </w:r>
      <w:r w:rsidR="0093147D" w:rsidRPr="00D025A6">
        <w:t>)</w:t>
      </w:r>
      <w:r w:rsidR="00E16D12" w:rsidRPr="00D025A6">
        <w:t>. However</w:t>
      </w:r>
      <w:r w:rsidR="00E16D12" w:rsidRPr="0022222C">
        <w:t xml:space="preserve">, </w:t>
      </w:r>
      <w:r w:rsidR="004A27CC">
        <w:t xml:space="preserve">both of </w:t>
      </w:r>
      <w:r w:rsidR="00E16D12" w:rsidRPr="0022222C">
        <w:t>these strategies are predicted to have lower proportional impact in lower income settings compared to higher income settings</w:t>
      </w:r>
      <w:r w:rsidR="00C65BF5" w:rsidRPr="0022222C">
        <w:t xml:space="preserve">: </w:t>
      </w:r>
      <w:r w:rsidR="002A3CBC" w:rsidRPr="0022222C">
        <w:t xml:space="preserve">median </w:t>
      </w:r>
      <w:r w:rsidR="00B42851" w:rsidRPr="0022222C">
        <w:t xml:space="preserve">reductions </w:t>
      </w:r>
      <w:r w:rsidR="008A2D5C" w:rsidRPr="0022222C">
        <w:t xml:space="preserve">in mortality </w:t>
      </w:r>
      <w:r w:rsidR="00B73C37">
        <w:rPr>
          <w:rFonts w:ascii="Calibri" w:hAnsi="Calibri" w:cs="Calibri"/>
          <w:color w:val="000000"/>
        </w:rPr>
        <w:t xml:space="preserve">in the </w:t>
      </w:r>
      <w:r w:rsidR="00A65E43" w:rsidRPr="0022222C">
        <w:rPr>
          <w:rFonts w:ascii="Calibri" w:hAnsi="Calibri" w:cs="Calibri"/>
          <w:color w:val="000000"/>
        </w:rPr>
        <w:t>range 19.5%-41.6%</w:t>
      </w:r>
      <w:r w:rsidR="00B73C37">
        <w:rPr>
          <w:rFonts w:ascii="Calibri" w:hAnsi="Calibri" w:cs="Calibri"/>
          <w:color w:val="000000"/>
        </w:rPr>
        <w:t xml:space="preserve"> (median 25.3%)</w:t>
      </w:r>
      <w:r w:rsidR="00A65E43" w:rsidRPr="0022222C">
        <w:rPr>
          <w:rFonts w:ascii="Calibri" w:hAnsi="Calibri" w:cs="Calibri"/>
          <w:color w:val="000000"/>
        </w:rPr>
        <w:t xml:space="preserve"> in LICs in contrast to </w:t>
      </w:r>
      <w:r w:rsidR="00E61052">
        <w:rPr>
          <w:rFonts w:ascii="Calibri" w:hAnsi="Calibri" w:cs="Calibri"/>
          <w:color w:val="000000"/>
        </w:rPr>
        <w:t xml:space="preserve">in the range </w:t>
      </w:r>
      <w:r w:rsidR="008A2D5C" w:rsidRPr="0022222C">
        <w:rPr>
          <w:rFonts w:ascii="Calibri" w:hAnsi="Calibri" w:cs="Calibri"/>
          <w:color w:val="000000"/>
        </w:rPr>
        <w:t>21.5%-55.1%</w:t>
      </w:r>
      <w:r w:rsidR="00E61052">
        <w:rPr>
          <w:rFonts w:ascii="Calibri" w:hAnsi="Calibri" w:cs="Calibri"/>
          <w:color w:val="000000"/>
        </w:rPr>
        <w:t xml:space="preserve"> (median 49.9%)</w:t>
      </w:r>
      <w:r w:rsidR="008A2D5C" w:rsidRPr="0022222C">
        <w:rPr>
          <w:rFonts w:ascii="Calibri" w:hAnsi="Calibri" w:cs="Calibri"/>
          <w:color w:val="000000"/>
        </w:rPr>
        <w:t xml:space="preserve"> in HICs for optimised </w:t>
      </w:r>
      <w:r w:rsidR="000C0B57" w:rsidRPr="0022222C">
        <w:rPr>
          <w:rFonts w:ascii="Calibri" w:hAnsi="Calibri" w:cs="Calibri"/>
          <w:color w:val="000000"/>
        </w:rPr>
        <w:t xml:space="preserve">mitigation </w:t>
      </w:r>
      <w:r w:rsidR="008A2D5C" w:rsidRPr="0022222C">
        <w:rPr>
          <w:rFonts w:ascii="Calibri" w:hAnsi="Calibri" w:cs="Calibri"/>
          <w:color w:val="000000"/>
        </w:rPr>
        <w:t xml:space="preserve">strategies </w:t>
      </w:r>
      <w:r w:rsidR="00E61289" w:rsidRPr="0022222C">
        <w:rPr>
          <w:rFonts w:ascii="Calibri" w:hAnsi="Calibri" w:cs="Calibri"/>
          <w:color w:val="000000"/>
        </w:rPr>
        <w:t xml:space="preserve">including social distancing and </w:t>
      </w:r>
      <w:r w:rsidR="00E61052">
        <w:rPr>
          <w:rFonts w:ascii="Calibri" w:hAnsi="Calibri" w:cs="Calibri"/>
          <w:color w:val="000000"/>
        </w:rPr>
        <w:t xml:space="preserve">in the range </w:t>
      </w:r>
      <w:r w:rsidR="00DF3B4C" w:rsidRPr="0022222C">
        <w:rPr>
          <w:rFonts w:ascii="Calibri" w:hAnsi="Calibri" w:cs="Calibri"/>
          <w:color w:val="000000"/>
        </w:rPr>
        <w:t xml:space="preserve"> 25.4%-50.9%</w:t>
      </w:r>
      <w:r w:rsidR="000C0B57" w:rsidRPr="0022222C">
        <w:rPr>
          <w:rFonts w:ascii="Calibri" w:hAnsi="Calibri" w:cs="Calibri"/>
          <w:color w:val="000000"/>
        </w:rPr>
        <w:t xml:space="preserve"> </w:t>
      </w:r>
      <w:r w:rsidR="00E61052">
        <w:rPr>
          <w:rFonts w:ascii="Calibri" w:hAnsi="Calibri" w:cs="Calibri"/>
          <w:color w:val="000000"/>
        </w:rPr>
        <w:t xml:space="preserve">(median 32.6%) </w:t>
      </w:r>
      <w:r w:rsidR="00DF3B4C" w:rsidRPr="0022222C">
        <w:rPr>
          <w:rFonts w:ascii="Calibri" w:hAnsi="Calibri" w:cs="Calibri"/>
          <w:color w:val="000000"/>
        </w:rPr>
        <w:t xml:space="preserve">in LICs in contrast to </w:t>
      </w:r>
      <w:r w:rsidR="00E61052">
        <w:rPr>
          <w:rFonts w:ascii="Calibri" w:hAnsi="Calibri" w:cs="Calibri"/>
          <w:color w:val="000000"/>
        </w:rPr>
        <w:t xml:space="preserve">in the range </w:t>
      </w:r>
      <w:r w:rsidR="000C0B57" w:rsidRPr="0022222C">
        <w:rPr>
          <w:rFonts w:ascii="Calibri" w:hAnsi="Calibri" w:cs="Calibri"/>
          <w:color w:val="000000"/>
        </w:rPr>
        <w:t>23.4%-66.6%</w:t>
      </w:r>
      <w:r w:rsidR="00E61052">
        <w:rPr>
          <w:rFonts w:ascii="Calibri" w:hAnsi="Calibri" w:cs="Calibri"/>
          <w:color w:val="000000"/>
        </w:rPr>
        <w:t xml:space="preserve"> (median 60.1%)</w:t>
      </w:r>
      <w:r w:rsidR="000C0B57" w:rsidRPr="0022222C">
        <w:rPr>
          <w:rFonts w:ascii="Calibri" w:hAnsi="Calibri" w:cs="Calibri"/>
          <w:color w:val="000000"/>
        </w:rPr>
        <w:t xml:space="preserve"> in HICs for optimised mitigation strategies including </w:t>
      </w:r>
      <w:r w:rsidR="00717F1B" w:rsidRPr="0022222C">
        <w:rPr>
          <w:rFonts w:ascii="Calibri" w:hAnsi="Calibri" w:cs="Calibri"/>
          <w:color w:val="000000"/>
        </w:rPr>
        <w:t>enhanced social distancing for elderly</w:t>
      </w:r>
      <w:r w:rsidR="008A53A6">
        <w:rPr>
          <w:rFonts w:ascii="Calibri" w:hAnsi="Calibri" w:cs="Calibri"/>
          <w:color w:val="000000"/>
        </w:rPr>
        <w:t xml:space="preserve"> (Table S</w:t>
      </w:r>
      <w:r w:rsidR="00232C8C">
        <w:rPr>
          <w:rFonts w:ascii="Calibri" w:hAnsi="Calibri" w:cs="Calibri"/>
          <w:color w:val="000000"/>
        </w:rPr>
        <w:t>5</w:t>
      </w:r>
      <w:r w:rsidR="008A53A6">
        <w:rPr>
          <w:rFonts w:ascii="Calibri" w:hAnsi="Calibri" w:cs="Calibri"/>
          <w:color w:val="000000"/>
        </w:rPr>
        <w:t>)</w:t>
      </w:r>
      <w:r w:rsidR="00A65E43" w:rsidRPr="0022222C">
        <w:rPr>
          <w:rFonts w:ascii="Calibri" w:hAnsi="Calibri" w:cs="Calibri"/>
          <w:color w:val="000000"/>
        </w:rPr>
        <w:t>.</w:t>
      </w:r>
      <w:r w:rsidR="008A2D5C" w:rsidRPr="0022222C">
        <w:rPr>
          <w:rFonts w:ascii="Calibri" w:hAnsi="Calibri" w:cs="Calibri"/>
          <w:color w:val="000000"/>
        </w:rPr>
        <w:t xml:space="preserve"> </w:t>
      </w:r>
      <w:r w:rsidR="00717F1B" w:rsidRPr="0022222C">
        <w:rPr>
          <w:rFonts w:ascii="Calibri" w:hAnsi="Calibri" w:cs="Calibri"/>
          <w:color w:val="000000"/>
        </w:rPr>
        <w:t>This lower proportional reduction</w:t>
      </w:r>
      <w:r w:rsidR="00597F6F">
        <w:rPr>
          <w:rFonts w:ascii="Calibri" w:hAnsi="Calibri" w:cs="Calibri"/>
          <w:color w:val="000000"/>
        </w:rPr>
        <w:t xml:space="preserve"> in deaths</w:t>
      </w:r>
      <w:r w:rsidR="00717F1B" w:rsidRPr="0022222C">
        <w:rPr>
          <w:rFonts w:ascii="Calibri" w:hAnsi="Calibri" w:cs="Calibri"/>
          <w:color w:val="000000"/>
        </w:rPr>
        <w:t xml:space="preserve"> </w:t>
      </w:r>
      <w:r w:rsidR="00551C5A" w:rsidRPr="0022222C">
        <w:rPr>
          <w:rFonts w:ascii="Calibri" w:hAnsi="Calibri" w:cs="Calibri"/>
          <w:color w:val="000000"/>
        </w:rPr>
        <w:t>of mitigation scenarios in lower income settings i</w:t>
      </w:r>
      <w:r w:rsidR="00E16D12" w:rsidRPr="0022222C">
        <w:t>s d</w:t>
      </w:r>
      <w:r w:rsidR="00551C5A" w:rsidRPr="0022222C">
        <w:t>riven</w:t>
      </w:r>
      <w:r w:rsidR="00E16D12" w:rsidRPr="0022222C">
        <w:t xml:space="preserve"> </w:t>
      </w:r>
      <w:r w:rsidR="00551C5A" w:rsidRPr="0022222C">
        <w:t>by</w:t>
      </w:r>
      <w:r w:rsidR="00E16D12" w:rsidRPr="0022222C">
        <w:t xml:space="preserve"> </w:t>
      </w:r>
      <w:r w:rsidR="00AF66B6">
        <w:t xml:space="preserve">the </w:t>
      </w:r>
      <w:r w:rsidR="00E16D12" w:rsidRPr="0022222C">
        <w:t>more homogeneous contact patterns by age in these settings (Figure 1)</w:t>
      </w:r>
      <w:r w:rsidR="00E37AA5" w:rsidRPr="0022222C">
        <w:t xml:space="preserve">, </w:t>
      </w:r>
      <w:r w:rsidR="00551C5A" w:rsidRPr="0022222C">
        <w:t>result</w:t>
      </w:r>
      <w:r w:rsidR="00E37AA5" w:rsidRPr="0022222C">
        <w:t xml:space="preserve">ing </w:t>
      </w:r>
      <w:r w:rsidR="00551C5A" w:rsidRPr="0022222C">
        <w:t xml:space="preserve">in </w:t>
      </w:r>
      <w:r w:rsidR="00B702F2" w:rsidRPr="0022222C">
        <w:t xml:space="preserve">more persistent </w:t>
      </w:r>
      <w:r w:rsidR="00551C5A" w:rsidRPr="0022222C">
        <w:t xml:space="preserve">spread </w:t>
      </w:r>
      <w:r w:rsidR="003D7236">
        <w:t>to</w:t>
      </w:r>
      <w:r w:rsidR="003D7236" w:rsidRPr="0022222C">
        <w:t xml:space="preserve"> </w:t>
      </w:r>
      <w:r w:rsidR="00551C5A" w:rsidRPr="0022222C">
        <w:t>older age</w:t>
      </w:r>
      <w:r w:rsidR="00B702F2" w:rsidRPr="0022222C">
        <w:t xml:space="preserve"> categories </w:t>
      </w:r>
      <w:r w:rsidR="00AB1F58">
        <w:t xml:space="preserve">as contact rates in the general population are reduced </w:t>
      </w:r>
      <w:r w:rsidR="00B702F2" w:rsidRPr="0022222C">
        <w:t xml:space="preserve">(Figure </w:t>
      </w:r>
      <w:r w:rsidR="00EA5DF9" w:rsidRPr="0022222C">
        <w:t>S</w:t>
      </w:r>
      <w:r w:rsidR="00EA5DF9">
        <w:t>6</w:t>
      </w:r>
      <w:r w:rsidR="00B702F2" w:rsidRPr="0022222C">
        <w:t>)</w:t>
      </w:r>
      <w:r w:rsidR="00E16D12" w:rsidRPr="0022222C">
        <w:t xml:space="preserve">. </w:t>
      </w:r>
    </w:p>
    <w:p w14:paraId="7CF25336" w14:textId="5E07165B" w:rsidR="004C6BE6" w:rsidRDefault="001B22AA">
      <w:r>
        <w:t xml:space="preserve">Figure 4 </w:t>
      </w:r>
      <w:r w:rsidR="00EF182B">
        <w:t>highlights the dynamical impact of different control measures on COVID-19 epidemics</w:t>
      </w:r>
      <w:r w:rsidR="000D2268">
        <w:t xml:space="preserve">. Scenarios in which in </w:t>
      </w:r>
      <w:r>
        <w:t xml:space="preserve">which the COVID-19 epidemic is </w:t>
      </w:r>
      <w:r w:rsidR="00C01B98">
        <w:t xml:space="preserve">suppressed </w:t>
      </w:r>
      <w:r w:rsidR="00B71CEE">
        <w:t>for a period of six months before returning to pre-pandemic social contact patterns</w:t>
      </w:r>
      <w:r w:rsidR="00C01B98">
        <w:t xml:space="preserve"> leads to rapid resurgence of the virus and a delayed peaking epidemic (Figure 4A). </w:t>
      </w:r>
      <w:r w:rsidR="007111D5">
        <w:t>There is significant reduction in disease burden</w:t>
      </w:r>
      <w:r w:rsidR="00224782" w:rsidRPr="000A6643">
        <w:t xml:space="preserve"> under </w:t>
      </w:r>
      <w:r w:rsidR="00B71CEE">
        <w:t xml:space="preserve">the </w:t>
      </w:r>
      <w:r w:rsidR="00224782" w:rsidRPr="000A6643">
        <w:t xml:space="preserve">optimal mitigation </w:t>
      </w:r>
      <w:r w:rsidR="00B71CEE">
        <w:t>strategy</w:t>
      </w:r>
      <w:r w:rsidR="007111D5">
        <w:t xml:space="preserve">, which results </w:t>
      </w:r>
      <w:r w:rsidR="00CB2BDE">
        <w:t>in a single-peaked epidemic</w:t>
      </w:r>
      <w:r w:rsidR="00B83854">
        <w:t xml:space="preserve"> with a substanti</w:t>
      </w:r>
      <w:r w:rsidR="00C621D7">
        <w:t xml:space="preserve">ally lower peak compared to the unmitigated epidemic. </w:t>
      </w:r>
      <w:r w:rsidR="008D1B68">
        <w:t>It should be noted, however, that this single</w:t>
      </w:r>
      <w:r w:rsidR="00234C43">
        <w:t xml:space="preserve"> </w:t>
      </w:r>
      <w:r w:rsidR="008D1B68">
        <w:t xml:space="preserve">peak relies upon the assumption that recovery from infection </w:t>
      </w:r>
      <w:r w:rsidR="002F3065">
        <w:t>confers durable immunity to reinfection which</w:t>
      </w:r>
      <w:r w:rsidR="001E0474">
        <w:t xml:space="preserve"> has yet to have been conclusively demonstrated</w:t>
      </w:r>
      <w:r w:rsidR="00DD5B08">
        <w:t xml:space="preserve"> </w:t>
      </w:r>
      <w:r w:rsidR="00A5582D">
        <w:fldChar w:fldCharType="begin" w:fldLock="1"/>
      </w:r>
      <w:r w:rsidR="00EC39A7">
        <w:instrText>ADDIN CSL_CITATION {"citationItems":[{"id":"ITEM-1","itemData":{"DOI":"10.1016/S0140-6736(20)30985-5","ISSN":"01406736","author":[{"dropping-particle":"","family":"Altmann","given":"Daniel M","non-dropping-particle":"","parse-names":false,"suffix":""},{"dropping-particle":"","family":"Douek","given":"Daniel C","non-dropping-particle":"","parse-names":false,"suffix":""},{"dropping-particle":"","family":"Boyton","given":"Rosemary J","non-dropping-particle":"","parse-names":false,"suffix":""}],"container-title":"The Lancet","id":"ITEM-1","issue":"10236","issued":{"date-parts":[["2020","4"]]},"publisher":"Elsevier","title":"What policy makers need to know about COVID-19 protective immunity","type":"article-journal","volume":"395"},"uris":["http://www.mendeley.com/documents/?uuid=85d49c9e-8422-31ae-be35-201f7ded43c5"]}],"mendeley":{"formattedCitation":"(&lt;i&gt;16&lt;/i&gt;)","plainTextFormattedCitation":"(16)","previouslyFormattedCitation":"(&lt;i&gt;16&lt;/i&gt;)"},"properties":{"noteIndex":0},"schema":"https://github.com/citation-style-language/schema/raw/master/csl-citation.json"}</w:instrText>
      </w:r>
      <w:r w:rsidR="00A5582D">
        <w:fldChar w:fldCharType="separate"/>
      </w:r>
      <w:r w:rsidR="006A73E3" w:rsidRPr="006A73E3">
        <w:rPr>
          <w:noProof/>
        </w:rPr>
        <w:t>(</w:t>
      </w:r>
      <w:r w:rsidR="006A73E3" w:rsidRPr="006A73E3">
        <w:rPr>
          <w:i/>
          <w:noProof/>
        </w:rPr>
        <w:t>16</w:t>
      </w:r>
      <w:r w:rsidR="006A73E3" w:rsidRPr="006A73E3">
        <w:rPr>
          <w:noProof/>
        </w:rPr>
        <w:t>)</w:t>
      </w:r>
      <w:r w:rsidR="00A5582D">
        <w:fldChar w:fldCharType="end"/>
      </w:r>
      <w:r w:rsidR="001E0474">
        <w:t xml:space="preserve">. </w:t>
      </w:r>
      <w:r w:rsidR="006E1B5B">
        <w:t xml:space="preserve">Furthermore, whilst “optimal” mitigation is the strategy </w:t>
      </w:r>
      <w:r w:rsidR="00E35BC0">
        <w:t>that will minimise infections and</w:t>
      </w:r>
      <w:r w:rsidR="006E1B5B">
        <w:t xml:space="preserve"> achiev</w:t>
      </w:r>
      <w:r w:rsidR="00E35BC0">
        <w:t>e</w:t>
      </w:r>
      <w:r w:rsidR="006E1B5B">
        <w:t xml:space="preserve"> herd immunity in a single-peaked epidemic, there are multiple other strategies that can </w:t>
      </w:r>
      <w:r w:rsidR="002573D3">
        <w:t xml:space="preserve">also </w:t>
      </w:r>
      <w:r w:rsidR="006E1B5B">
        <w:t xml:space="preserve">minimise infections over a longer-term </w:t>
      </w:r>
      <w:r w:rsidR="00AA26B4">
        <w:fldChar w:fldCharType="begin" w:fldLock="1"/>
      </w:r>
      <w:r w:rsidR="009B20EE">
        <w:instrText>ADDIN CSL_CITATION {"citationItems":[{"id":"ITEM-1","itemData":{"abstract":"The COVID-19 pandemic has highlighted the need for control measures that reduce the epidemic peak (\"flattening the curve\"). Here we derive the optimal time-limited intervention for reducing peak epidemic prevalence in the standard Susceptible-Infectious-Recovered (SIR) model. We show that alternative, more practical interventions can perform nearly as well as the provably optimal strategy. However, none of these strategies are robust to implementation errors: mistiming the start of the intervention by even a single week can be enormously costly, for realistic epidemic parameters. Sustained control measures, though less efficient than optimal and near-optimal time-limited interventions, can be used in combination with time-limited strategies to mitigate the catastrophic risks of mistiming.","author":[{"dropping-particle":"","family":"Morris","given":"Dylan H.","non-dropping-particle":"","parse-names":false,"suffix":""},{"dropping-particle":"","family":"Rossine","given":"Fernando W.","non-dropping-particle":"","parse-names":false,"suffix":""},{"dropping-particle":"","family":"Plotkin","given":"Joshua B.","non-dropping-particle":"","parse-names":false,"suffix":""},{"dropping-particle":"","family":"Levin","given":"Simon A.","non-dropping-particle":"","parse-names":false,"suffix":""}],"id":"ITEM-1","issued":{"date-parts":[["2020","4","5"]]},"title":"Optimal, near-optimal, and robust epidemic control","type":"article-journal"},"uris":["http://www.mendeley.com/documents/?uuid=ec4c99ac-d5cf-34b3-a90b-4fa504695d49"]},{"id":"ITEM-2","itemData":{"DOI":"10.1101/2020.03.02.20030007","abstract":"The apparent early success in China's large-scale intervention to control the COVID-19 epidemic has led to interest in whether other countries can replicate it as well as concerns about a resurgence of the epidemic if or when China relaxes the interventions. In this paper we look at the impact of a single short-term intervention on an epidemic. We see that if an intervention cannot be sustained long-term, it has the greatest impact if it is imposed once infection levels have become large enough that there is an appreciable number of infections present. For minimising the total number infected it should start close to the peak so that there is no rebound once the intervention is stopped, while to minimise the peak prevalence, it should start earlier, allowing two peaks of comparable size rather than one very large peak. In populations with distinct subgroups, synchronized interventions are less effective than targeting the interventions in each sub-population separately. We do not attempt to clearly determine what makes an intervention sustainable or not. We believe that is a policy question. If an intervention is sustainable, it should be kept in place. Our intent is to offer insight into how best to time an intervention whose impact on society is too great to maintain. ### Competing Interest Statement The authors have declared no competing interest. ### Funding Statement This work was supported by the authors institutions. ### Author Declarations All relevant ethical guidelines have been followed; any necessary IRB and/or ethics committee approvals have been obtained and details of the IRB/oversight body are included in the manuscript. Yes All necessary patient/participant consent has been obtained and the appropriate institutional forms have been archived. Yes I understand that all clinical trials and any other prospective interventional studies must be registered with an ICMJE-approved registry, such as ClinicalTrials.gov. I confirm that any such study reported in the manuscript has been registered and the trial registration ID is provided (note: if posting a prospective study registered retrospectively, please provide a statement in the trial ID field explaining why the study was not registered in advance). Yes I have followed all appropriate research reporting guidelines and uploaded the relevant EQUATOR Network research reporting checklist(s) and other pertinent material as supplementary files, if applicable. Yes The model is entirely simulation b…","author":[{"dropping-particle":"Di","family":"Lauro","given":"Francesco","non-dropping-particle":"","parse-names":false,"suffix":""},{"dropping-particle":"","family":"Kiss","given":"István Z","non-dropping-particle":"","parse-names":false,"suffix":""},{"dropping-particle":"","family":"Miller","given":"Joel","non-dropping-particle":"","parse-names":false,"suffix":""}],"container-title":"medRxiv","id":"ITEM-2","issued":{"date-parts":[["2020","3","6"]]},"publisher":"Cold Spring Harbor Laboratory Press","title":"The timing of one-shot interventions for epidemic control","type":"article-journal"},"uris":["http://www.mendeley.com/documents/?uuid=1cb73199-dab5-308c-bfc2-dcff55cef257"]}],"mendeley":{"formattedCitation":"(&lt;i&gt;17&lt;/i&gt;, &lt;i&gt;18&lt;/i&gt;)","plainTextFormattedCitation":"(17, 18)","previouslyFormattedCitation":"(&lt;i&gt;17&lt;/i&gt;, &lt;i&gt;18&lt;/i&gt;)"},"properties":{"noteIndex":0},"schema":"https://github.com/citation-style-language/schema/raw/master/csl-citation.json"}</w:instrText>
      </w:r>
      <w:r w:rsidR="00AA26B4">
        <w:fldChar w:fldCharType="separate"/>
      </w:r>
      <w:r w:rsidR="006A73E3" w:rsidRPr="006A73E3">
        <w:rPr>
          <w:noProof/>
        </w:rPr>
        <w:t>(</w:t>
      </w:r>
      <w:r w:rsidR="006A73E3" w:rsidRPr="006A73E3">
        <w:rPr>
          <w:i/>
          <w:noProof/>
        </w:rPr>
        <w:t>17</w:t>
      </w:r>
      <w:r w:rsidR="006A73E3" w:rsidRPr="006A73E3">
        <w:rPr>
          <w:noProof/>
        </w:rPr>
        <w:t xml:space="preserve">, </w:t>
      </w:r>
      <w:r w:rsidR="006A73E3" w:rsidRPr="006A73E3">
        <w:rPr>
          <w:i/>
          <w:noProof/>
        </w:rPr>
        <w:t>18</w:t>
      </w:r>
      <w:r w:rsidR="006A73E3" w:rsidRPr="006A73E3">
        <w:rPr>
          <w:noProof/>
        </w:rPr>
        <w:t>)</w:t>
      </w:r>
      <w:r w:rsidR="00AA26B4">
        <w:fldChar w:fldCharType="end"/>
      </w:r>
      <w:r w:rsidR="006E1B5B">
        <w:t xml:space="preserve">. </w:t>
      </w:r>
      <w:r w:rsidR="00C621D7">
        <w:t xml:space="preserve">Any mitigation scenario will </w:t>
      </w:r>
      <w:r w:rsidR="001E0474">
        <w:t xml:space="preserve">also </w:t>
      </w:r>
      <w:r w:rsidR="00C621D7">
        <w:t>always be worse in terms of both the peak hospital demand and total predicted deaths than scenarios in which the epidemic is suppressed (i.e.</w:t>
      </w:r>
      <w:r w:rsidR="008E5916">
        <w:t xml:space="preserve"> the reproduction number over time,</w:t>
      </w:r>
      <w:r w:rsidR="00C621D7">
        <w:t xml:space="preserve"> </w:t>
      </w:r>
      <w:r w:rsidR="00C621D7">
        <w:lastRenderedPageBreak/>
        <w:t>R</w:t>
      </w:r>
      <w:r w:rsidR="00C621D7" w:rsidRPr="00C87552">
        <w:rPr>
          <w:vertAlign w:val="subscript"/>
        </w:rPr>
        <w:t>t</w:t>
      </w:r>
      <w:r w:rsidR="008E5916">
        <w:t>,</w:t>
      </w:r>
      <w:r w:rsidR="00C621D7">
        <w:t xml:space="preserve"> is kept below 1) (Figure 4</w:t>
      </w:r>
      <w:r w:rsidR="00E33BA0">
        <w:t xml:space="preserve"> </w:t>
      </w:r>
      <w:r w:rsidR="00C621D7">
        <w:t>A</w:t>
      </w:r>
      <w:r w:rsidR="00E33BA0">
        <w:t xml:space="preserve"> &amp; B</w:t>
      </w:r>
      <w:r w:rsidR="00C621D7">
        <w:t>).</w:t>
      </w:r>
      <w:r w:rsidR="006E1B5B">
        <w:t xml:space="preserve"> </w:t>
      </w:r>
      <w:r w:rsidR="00C621D7">
        <w:t>However, if suppression cannot be successfully maintained, then</w:t>
      </w:r>
      <w:r w:rsidR="0035229E">
        <w:t xml:space="preserve"> a delayed epidemic </w:t>
      </w:r>
      <w:r w:rsidR="00FB53E8">
        <w:t>may</w:t>
      </w:r>
      <w:r w:rsidR="0035229E">
        <w:t xml:space="preserve"> occur which </w:t>
      </w:r>
      <w:r w:rsidR="00135BEA">
        <w:t>may</w:t>
      </w:r>
      <w:r w:rsidR="0035229E">
        <w:t xml:space="preserve"> outweigh the benefits of the original suppression strategy and result in higher mortality than if a mitigation scenario had been successfully pursued. </w:t>
      </w:r>
      <w:r w:rsidR="004F2F2A">
        <w:t xml:space="preserve">Such a second peak </w:t>
      </w:r>
      <w:r w:rsidR="00D67B19">
        <w:t>is not inevitable</w:t>
      </w:r>
      <w:r w:rsidR="007D31E7">
        <w:t xml:space="preserve"> – </w:t>
      </w:r>
      <w:r w:rsidR="007856C8">
        <w:t>widescale</w:t>
      </w:r>
      <w:r w:rsidR="00B31FC5">
        <w:t xml:space="preserve"> suppression </w:t>
      </w:r>
      <w:r w:rsidR="007D31E7">
        <w:t xml:space="preserve">may provide </w:t>
      </w:r>
      <w:r w:rsidR="00B31FC5">
        <w:t>countries</w:t>
      </w:r>
      <w:r w:rsidR="00D67B19">
        <w:t xml:space="preserve"> </w:t>
      </w:r>
      <w:r w:rsidR="007D31E7">
        <w:t xml:space="preserve">with </w:t>
      </w:r>
      <w:r w:rsidR="00D67B19">
        <w:t xml:space="preserve">the </w:t>
      </w:r>
      <w:r w:rsidR="00B31FC5">
        <w:t>time to develop testing and contact tracing systems</w:t>
      </w:r>
      <w:r w:rsidR="007856C8">
        <w:t>, as well as locally targeted responses,</w:t>
      </w:r>
      <w:r w:rsidR="00470D4A">
        <w:t xml:space="preserve"> that can help to maintain lower levels of transmission</w:t>
      </w:r>
      <w:r w:rsidR="00B23B89">
        <w:t xml:space="preserve"> once the initial suppression interventions are relaxed</w:t>
      </w:r>
      <w:r w:rsidR="00470D4A">
        <w:t>.</w:t>
      </w:r>
      <w:r w:rsidR="00D67B19">
        <w:t xml:space="preserve"> </w:t>
      </w:r>
      <w:r w:rsidR="00486118">
        <w:t xml:space="preserve">It is important to note that our framework does not currently provide insights into the specific combinations of NPIs required to achieve such reductions and these are likely to differ across settings according to various factors such as school attendance and occupational factors. </w:t>
      </w:r>
      <w:r w:rsidR="00703066">
        <w:t>O</w:t>
      </w:r>
      <w:r w:rsidR="00674F5F">
        <w:t xml:space="preserve">ther factors such as reduced ability to work from home and general economic vulnerability will impact on the abilities of populations to adhere to stringent NPIs that involve restrictions in movement. </w:t>
      </w:r>
      <w:r w:rsidR="00B16A6A">
        <w:t>Meanwhile, l</w:t>
      </w:r>
      <w:r w:rsidR="00A412DC">
        <w:t>arger household sizes</w:t>
      </w:r>
      <w:r w:rsidR="00D72251">
        <w:t xml:space="preserve">, and subsequently </w:t>
      </w:r>
      <w:r w:rsidR="00543602">
        <w:t>higher</w:t>
      </w:r>
      <w:r w:rsidR="00D72251">
        <w:t xml:space="preserve"> levels of</w:t>
      </w:r>
      <w:r w:rsidR="00543602">
        <w:t xml:space="preserve"> household-based transmission</w:t>
      </w:r>
      <w:r w:rsidR="00D72251">
        <w:t xml:space="preserve">, </w:t>
      </w:r>
      <w:r w:rsidR="00B16A6A">
        <w:t>may</w:t>
      </w:r>
      <w:r w:rsidR="002825E3">
        <w:t xml:space="preserve"> </w:t>
      </w:r>
      <w:r w:rsidR="00D72251">
        <w:t xml:space="preserve">limit the impact of </w:t>
      </w:r>
      <w:r w:rsidR="00A412DC">
        <w:t>self-isolation</w:t>
      </w:r>
      <w:r w:rsidR="002825E3">
        <w:t xml:space="preserve"> and increase the </w:t>
      </w:r>
      <w:r w:rsidR="00B16A6A">
        <w:t xml:space="preserve">social and economic impact of </w:t>
      </w:r>
      <w:r w:rsidR="008B0BE9">
        <w:t>self-isolation</w:t>
      </w:r>
      <w:r w:rsidR="00A412DC">
        <w:t xml:space="preserve"> measures</w:t>
      </w:r>
      <w:r w:rsidR="004C6BE6">
        <w:t xml:space="preserve"> in lower income settings</w:t>
      </w:r>
      <w:r w:rsidR="00B16A6A">
        <w:t>.</w:t>
      </w:r>
      <w:r w:rsidR="00A412DC">
        <w:t xml:space="preserve"> </w:t>
      </w:r>
    </w:p>
    <w:p w14:paraId="16FA47EE" w14:textId="7991F7FD" w:rsidR="0059230F" w:rsidRDefault="008E0784" w:rsidP="00224782">
      <w:r>
        <w:t xml:space="preserve">The comparative benefits and drawbacks of these scenarios </w:t>
      </w:r>
      <w:r w:rsidR="00850123">
        <w:t xml:space="preserve">(in terms of direct health impact of COVID-19 disease) will differ between settings depending on their healthcare capacity and quality. </w:t>
      </w:r>
      <w:r w:rsidR="00563884">
        <w:t xml:space="preserve">In all </w:t>
      </w:r>
      <w:r w:rsidR="00D511F6">
        <w:t xml:space="preserve">settings, </w:t>
      </w:r>
      <w:r w:rsidR="006D3E4D">
        <w:t xml:space="preserve">whilst </w:t>
      </w:r>
      <w:r w:rsidR="00485408">
        <w:t>our optimised</w:t>
      </w:r>
      <w:r w:rsidR="006D3E4D">
        <w:t xml:space="preserve"> mitigation </w:t>
      </w:r>
      <w:r w:rsidR="00485408">
        <w:t xml:space="preserve">scenario </w:t>
      </w:r>
      <w:r w:rsidR="00A9094C">
        <w:t xml:space="preserve">is </w:t>
      </w:r>
      <w:r w:rsidR="00224782" w:rsidRPr="000A6643">
        <w:t>predicted to substantially reduce the gap between demand for hospital beds and capacity</w:t>
      </w:r>
      <w:r w:rsidR="006D3E4D">
        <w:t xml:space="preserve">, </w:t>
      </w:r>
      <w:r w:rsidR="00224782" w:rsidRPr="000A6643">
        <w:t>demand for critical care is still predicted to vastly exceed capacity</w:t>
      </w:r>
      <w:r w:rsidR="00796B81">
        <w:t xml:space="preserve">, leading to </w:t>
      </w:r>
      <w:r w:rsidR="00AE0BDC">
        <w:t>a substantial addition</w:t>
      </w:r>
      <w:r w:rsidR="004B62DE">
        <w:t xml:space="preserve">al burden relative to </w:t>
      </w:r>
      <w:r w:rsidR="00CE08C2">
        <w:t>a scenario with unlimited capacity (Fi</w:t>
      </w:r>
      <w:r w:rsidR="00264C1B">
        <w:t>gure 4</w:t>
      </w:r>
      <w:r w:rsidR="003F4C12">
        <w:t>B</w:t>
      </w:r>
      <w:r w:rsidR="00264C1B">
        <w:t>)</w:t>
      </w:r>
      <w:r w:rsidR="00224782" w:rsidRPr="000A6643">
        <w:t xml:space="preserve">. Although we predict lower demand for critical care in lower income settings due to their younger populations, this is likely to be offset by a </w:t>
      </w:r>
      <w:r w:rsidR="00224782" w:rsidRPr="005B203A">
        <w:t xml:space="preserve">much lower level of supply: for our mitigation scenario including population-level social distancing, peak demand for critical care in our simulation for a typical LIC outstrips supply by a factor of </w:t>
      </w:r>
      <w:r w:rsidR="005851BE" w:rsidRPr="005B203A">
        <w:t>30.7</w:t>
      </w:r>
      <w:r w:rsidR="00C44BA7" w:rsidRPr="005B203A">
        <w:t xml:space="preserve"> </w:t>
      </w:r>
      <w:r w:rsidR="00224782" w:rsidRPr="005B203A">
        <w:t>(</w:t>
      </w:r>
      <w:r w:rsidR="00D71E34" w:rsidRPr="005B203A">
        <w:t xml:space="preserve">95% UI, </w:t>
      </w:r>
      <w:r w:rsidR="005851BE" w:rsidRPr="005B203A">
        <w:t>14</w:t>
      </w:r>
      <w:r w:rsidR="00C44BA7" w:rsidRPr="005B203A">
        <w:t>.</w:t>
      </w:r>
      <w:r w:rsidR="005851BE" w:rsidRPr="005B203A">
        <w:t>7</w:t>
      </w:r>
      <w:r w:rsidR="00D71E34" w:rsidRPr="005B203A">
        <w:t xml:space="preserve"> - </w:t>
      </w:r>
      <w:r w:rsidR="005851BE" w:rsidRPr="005B203A">
        <w:t>48</w:t>
      </w:r>
      <w:r w:rsidR="00C44BA7" w:rsidRPr="005B203A">
        <w:t>.</w:t>
      </w:r>
      <w:r w:rsidR="005851BE" w:rsidRPr="005B203A">
        <w:t>8</w:t>
      </w:r>
      <w:r w:rsidR="00D71E34" w:rsidRPr="005B203A">
        <w:t>)</w:t>
      </w:r>
      <w:r w:rsidR="00224782" w:rsidRPr="005B203A">
        <w:t xml:space="preserve">, whereas for the equivalent simulation in a typical HIC this factor was </w:t>
      </w:r>
      <w:r w:rsidR="003F69F2" w:rsidRPr="005B203A">
        <w:t>7.8</w:t>
      </w:r>
      <w:r w:rsidR="00490355" w:rsidRPr="005B203A">
        <w:t xml:space="preserve"> (</w:t>
      </w:r>
      <w:r w:rsidR="00D71E34" w:rsidRPr="005B203A">
        <w:t xml:space="preserve">95% UI </w:t>
      </w:r>
      <w:r w:rsidR="003F69F2" w:rsidRPr="005B203A">
        <w:t>3.6</w:t>
      </w:r>
      <w:r w:rsidR="00D71E34" w:rsidRPr="005B203A">
        <w:t xml:space="preserve"> </w:t>
      </w:r>
      <w:r w:rsidR="00D033DD" w:rsidRPr="005B203A">
        <w:t xml:space="preserve">– </w:t>
      </w:r>
      <w:r w:rsidR="003F69F2" w:rsidRPr="005B203A">
        <w:t>13</w:t>
      </w:r>
      <w:r w:rsidR="00D033DD" w:rsidRPr="005B203A">
        <w:t>.</w:t>
      </w:r>
      <w:r w:rsidR="003F69F2" w:rsidRPr="005B203A">
        <w:t>0</w:t>
      </w:r>
      <w:r w:rsidR="00224782" w:rsidRPr="005B203A">
        <w:t>)</w:t>
      </w:r>
      <w:r w:rsidR="006D3E4D" w:rsidRPr="005B203A">
        <w:t xml:space="preserve"> (Figure 4C)</w:t>
      </w:r>
      <w:r w:rsidR="00224782" w:rsidRPr="005B203A">
        <w:t xml:space="preserve">. Typical LMIC and UMIC produced factors of over-demand of </w:t>
      </w:r>
      <w:r w:rsidR="003A3C8D" w:rsidRPr="005B203A">
        <w:t>17</w:t>
      </w:r>
      <w:r w:rsidR="00D033DD" w:rsidRPr="005B203A">
        <w:t>.</w:t>
      </w:r>
      <w:r w:rsidR="003A3C8D" w:rsidRPr="005B203A">
        <w:t>5</w:t>
      </w:r>
      <w:r w:rsidR="00D033DD" w:rsidRPr="005B203A">
        <w:t xml:space="preserve"> (</w:t>
      </w:r>
      <w:r w:rsidR="00D71E34" w:rsidRPr="005B203A">
        <w:t xml:space="preserve">95% UI </w:t>
      </w:r>
      <w:r w:rsidR="003A3C8D" w:rsidRPr="005B203A">
        <w:t>8</w:t>
      </w:r>
      <w:r w:rsidR="00D033DD" w:rsidRPr="005B203A">
        <w:t xml:space="preserve">.3 – </w:t>
      </w:r>
      <w:r w:rsidR="003A3C8D" w:rsidRPr="005B203A">
        <w:t>28</w:t>
      </w:r>
      <w:r w:rsidR="00D033DD" w:rsidRPr="005B203A">
        <w:t>.</w:t>
      </w:r>
      <w:r w:rsidR="003A3C8D" w:rsidRPr="005B203A">
        <w:t>6</w:t>
      </w:r>
      <w:r w:rsidR="00224782" w:rsidRPr="005B203A">
        <w:t xml:space="preserve">) and </w:t>
      </w:r>
      <w:r w:rsidR="00187F84" w:rsidRPr="005B203A">
        <w:t>10</w:t>
      </w:r>
      <w:r w:rsidR="00224782" w:rsidRPr="005B203A">
        <w:t>.</w:t>
      </w:r>
      <w:r w:rsidR="00187F84" w:rsidRPr="005B203A">
        <w:t>9</w:t>
      </w:r>
      <w:r w:rsidR="00224782" w:rsidRPr="005B203A">
        <w:t xml:space="preserve"> (</w:t>
      </w:r>
      <w:r w:rsidR="00D71E34" w:rsidRPr="005B203A">
        <w:t xml:space="preserve">95% UI </w:t>
      </w:r>
      <w:r w:rsidR="00187F84" w:rsidRPr="005B203A">
        <w:t>5.1</w:t>
      </w:r>
      <w:r w:rsidR="00224782" w:rsidRPr="005B203A">
        <w:t xml:space="preserve"> – </w:t>
      </w:r>
      <w:r w:rsidR="00187F84" w:rsidRPr="005B203A">
        <w:t>17</w:t>
      </w:r>
      <w:r w:rsidR="00224782" w:rsidRPr="005B203A">
        <w:t>.</w:t>
      </w:r>
      <w:r w:rsidR="00187F84" w:rsidRPr="005B203A">
        <w:t>7</w:t>
      </w:r>
      <w:r w:rsidR="00224782" w:rsidRPr="005B203A">
        <w:t>) respectively</w:t>
      </w:r>
      <w:r w:rsidR="00224782" w:rsidRPr="003C7982">
        <w:t>.</w:t>
      </w:r>
    </w:p>
    <w:p w14:paraId="613B4B08" w14:textId="621E3A9B" w:rsidR="00093147" w:rsidRDefault="00DA6B39" w:rsidP="00093147">
      <w:r>
        <w:rPr>
          <w:noProof/>
          <w:lang w:eastAsia="en-GB"/>
        </w:rPr>
        <w:drawing>
          <wp:inline distT="0" distB="0" distL="0" distR="0" wp14:anchorId="3CBB2925" wp14:editId="0160F86B">
            <wp:extent cx="5731510" cy="36442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44265"/>
                    </a:xfrm>
                    <a:prstGeom prst="rect">
                      <a:avLst/>
                    </a:prstGeom>
                  </pic:spPr>
                </pic:pic>
              </a:graphicData>
            </a:graphic>
          </wp:inline>
        </w:drawing>
      </w:r>
    </w:p>
    <w:p w14:paraId="68D63EF1" w14:textId="2717D207" w:rsidR="0005205A" w:rsidRPr="008A06A2" w:rsidRDefault="00F5387D">
      <w:pPr>
        <w:rPr>
          <w:b/>
          <w:bCs/>
          <w:i/>
          <w:iCs/>
        </w:rPr>
      </w:pPr>
      <w:r>
        <w:rPr>
          <w:i/>
          <w:iCs/>
        </w:rPr>
        <w:t xml:space="preserve">  </w:t>
      </w:r>
    </w:p>
    <w:p w14:paraId="2E29F519" w14:textId="21D5C970" w:rsidR="00224782" w:rsidRDefault="00093147" w:rsidP="00224782">
      <w:r>
        <w:lastRenderedPageBreak/>
        <w:t xml:space="preserve">We estimate that </w:t>
      </w:r>
      <w:r w:rsidR="00B028B8">
        <w:t xml:space="preserve">constraints on healthcare capacity would be likely to increase </w:t>
      </w:r>
      <w:r w:rsidR="0034525E">
        <w:t xml:space="preserve">the </w:t>
      </w:r>
      <w:r w:rsidR="00B028B8">
        <w:t xml:space="preserve">IFR </w:t>
      </w:r>
      <w:r w:rsidR="0034525E">
        <w:t xml:space="preserve">under a </w:t>
      </w:r>
      <w:r w:rsidR="00D0763B">
        <w:t xml:space="preserve">mitigation </w:t>
      </w:r>
      <w:r w:rsidR="0034525E">
        <w:t xml:space="preserve">strategy </w:t>
      </w:r>
      <w:r w:rsidR="00B028B8">
        <w:t>in all settings.</w:t>
      </w:r>
      <w:r w:rsidR="00B14226">
        <w:t xml:space="preserve"> </w:t>
      </w:r>
      <w:r w:rsidR="0034525E">
        <w:t>However, a</w:t>
      </w:r>
      <w:r w:rsidR="00B028B8">
        <w:t>s has been observed, HIC</w:t>
      </w:r>
      <w:r w:rsidR="00B14226">
        <w:t>s</w:t>
      </w:r>
      <w:r w:rsidR="00B028B8">
        <w:t xml:space="preserve"> and UMIC</w:t>
      </w:r>
      <w:r w:rsidR="00B14226">
        <w:t>s</w:t>
      </w:r>
      <w:r w:rsidR="00B028B8">
        <w:t xml:space="preserve"> are </w:t>
      </w:r>
      <w:r w:rsidR="00B14226">
        <w:t xml:space="preserve">likely </w:t>
      </w:r>
      <w:r w:rsidR="0034525E">
        <w:t xml:space="preserve">to be </w:t>
      </w:r>
      <w:r w:rsidR="00B028B8">
        <w:t xml:space="preserve">able to put in place surge capacity to </w:t>
      </w:r>
      <w:r w:rsidR="0036007F">
        <w:t>limit any impact on mortality</w:t>
      </w:r>
      <w:r w:rsidR="00186A47">
        <w:t xml:space="preserve"> </w:t>
      </w:r>
      <w:r w:rsidR="006E590D">
        <w:fldChar w:fldCharType="begin" w:fldLock="1"/>
      </w:r>
      <w:r w:rsidR="00C6002D">
        <w:instrText>ADDIN CSL_CITATION {"citationItems":[{"id":"ITEM-1","itemData":{"DOI":"10.1111/anae.15072","ISSN":"1365-2044","PMID":"32246838","abstract":"The first person-to-person transmission of the 2019-novel coronavirus in Italy on 21 February 2020 led to an infection chain that represents one of the largest known COVID-19 outbreaks outside Asia. In Northern Italy in particular, we rapidly experienced a critical care crisis due to a shortage of intensive care beds, as we expected according to data reported in China. Based on our experience of managing this surge, we produced this review to support other healthcare services in preparedness and training of hospitals during the current coronavirus outbreak. We had a dedicated task force that identified a response plan, which included: (1) establishment of dedicated, cohorted intensive care unit(s) (ICU) for COVID-19-positive patients; (2) design of appropriate procedures for pre-triage, diagnosis and isolation of suspected and confirmed cases; and (3) training of all staff to work in the dedicated ICU in personal protective equipment use and patient management. Hospital multidisciplinary and departmental collaboration was needed to work on all principles of surge capacity, including: space definition; supplies provision; staff recruitment; and ad-hoc training. Dedicated protocols were applied where full isolation of spaces, staff and patients was implemented. Opening the unit and the whole hospital emergency process required a multidisciplinary, multilevel involvement of healthcare providers and hospital managers all working towards a common goal: patient care and hospital safety. Hospitals should be prepared to face severe disruptions to their routine and it is very likely that protocols and procedures might require re-discussion and update on a daily basis.","author":[{"dropping-particle":"","family":"Carenzo","given":"L.","non-dropping-particle":"","parse-names":false,"suffix":""},{"dropping-particle":"","family":"Costantini","given":"E.","non-dropping-particle":"","parse-names":false,"suffix":""},{"dropping-particle":"","family":"Greco","given":"M.","non-dropping-particle":"","parse-names":false,"suffix":""},{"dropping-particle":"","family":"Barra","given":"F.L.","non-dropping-particle":"","parse-names":false,"suffix":""},{"dropping-particle":"","family":"Rendiniello","given":"V.","non-dropping-particle":"","parse-names":false,"suffix":""},{"dropping-particle":"","family":"Mainetti","given":"M.","non-dropping-particle":"","parse-names":false,"suffix":""},{"dropping-particle":"","family":"Bui","given":"R.","non-dropping-particle":"","parse-names":false,"suffix":""},{"dropping-particle":"","family":"Zanella","given":"A.","non-dropping-particle":"","parse-names":false,"suffix":""},{"dropping-particle":"","family":"Grasselli","given":"G.","non-dropping-particle":"","parse-names":false,"suffix":""},{"dropping-particle":"","family":"Lagioia","given":"M.","non-dropping-particle":"","parse-names":false,"suffix":""},{"dropping-particle":"","family":"Protti","given":"A.","non-dropping-particle":"","parse-names":false,"suffix":""},{"dropping-particle":"","family":"Cecconi","given":"M.","non-dropping-particle":"","parse-names":false,"suffix":""}],"container-title":"Anaesthesia","id":"ITEM-1","issued":{"date-parts":[["2020","4","4"]]},"publisher":"Wiley","title":"Hospital surge capacity in a tertiary emergency referral centre during the COVID-19 outbreak in Italy","type":"article-journal"},"uris":["http://www.mendeley.com/documents/?uuid=8d19f1bc-be35-395f-ad30-206e0378017d"]},{"id":"ITEM-2","itemData":{"ISSN":"1441-2772","PMID":"32227819","abstract":"At the end of 2019, the severe acute respiratory syndrome coronavirus 2 (SARS-CoV-2) outbreak spread from China all around the world, causing thousands of deaths. In Italy, the hardest hit region was Lombardy, with the first reported case on 20 February 2020. San Raffaele Scientific Institute — a large tertiary hospital and research centre in Milan, Italy — was immediately involved in the management of the public health emergency. Since the beginning of the outbreak, the elective surgical activity of the hospital was rapidly reduced and large areas of the hospital were simultaneously reorganised to admit and assist patients with coronavirus disease 2019 (COVID-19). In addition, the hospital became the regional referral hub for cardiovascular emergencies in order to keep ensuring a high level of health care to non-COVID-19 patients in northern Italy. In a few days, a COVID-19 emergency department was created, improving the general ward capacity to a total number of 279 beds dedicated to patients with COVID-19. Moreover, the number of intensive care unit (ICU) beds was increased from 28 to 72 (54 of them dedicated to patients with COVID-19, and 18 to cardiology and cardiac surgery hub emergencies), both converting pre-existing areas and creating new high technology spaces. All the involved health care personnel were rapidly trained to use personal protection equipment and to manage this particular category of patients both in general wards and ICUs. Furthermore, besides clinical activities, continuously important research projects were carried out in order to find new strategies and more effective therapies to better face an unprecedented health emergency in Italy.","author":[{"dropping-particle":"","family":"Zangrillo","given":"Alberto","non-dropping-particle":"","parse-names":false,"suffix":""},{"dropping-particle":"","family":"Beretta","given":"Luigi","non-dropping-particle":"","parse-names":false,"suffix":""},{"dropping-particle":"","family":"Silvani","given":"Paolo","non-dropping-particle":"","parse-names":false,"suffix":""},{"dropping-particle":"","family":"Colombo","given":"Sergio","non-dropping-particle":"","parse-names":false,"suffix":""},{"dropping-particle":"","family":"Scandroglio","given":"Anna Mara","non-dropping-particle":"","parse-names":false,"suffix":""},{"dropping-particle":"","family":"Dell’Acqua","given":"Antonio","non-dropping-particle":"","parse-names":false,"suffix":""},{"dropping-particle":"","family":"Fominskiy","given":"Evgeny","non-dropping-particle":"","parse-names":false,"suffix":""},{"dropping-particle":"","family":"Landoni","given":"Giovanni","non-dropping-particle":"","parse-names":false,"suffix":""},{"dropping-particle":"","family":"Monti","given":"Giacomo","non-dropping-particle":"","parse-names":false,"suffix":""},{"dropping-particle":"","family":"Azzolini","given":"Maria Luisa","non-dropping-particle":"","parse-names":false,"suffix":""},{"dropping-particle":"","family":"Monaco","given":"Fabrizio","non-dropping-particle":"","parse-names":false,"suffix":""},{"dropping-particle":"","family":"Oriani","given":"Alessandro","non-dropping-particle":"","parse-names":false,"suffix":""},{"dropping-particle":"","family":"Belleti","given":"Alessandro","non-dropping-particle":"","parse-names":false,"suffix":""},{"dropping-particle":"","family":"Sartorelli","given":"Marianna","non-dropping-particle":"","parse-names":false,"suffix":""},{"dropping-particle":"","family":"Pallanch","given":"Ottavia","non-dropping-particle":"","parse-names":false,"suffix":""},{"dropping-particle":"","family":"Saleh","given":"Omar","non-dropping-particle":"","parse-names":false,"suffix":""},{"dropping-particle":"","family":"Sartini","given":"Chiara","non-dropping-particle":"","parse-names":false,"suffix":""},{"dropping-particle":"","family":"Nardelli","given":"Pasquale","non-dropping-particle":"","parse-names":false,"suffix":""},{"dropping-particle":"","family":"Lombardi","given":"Gaetano","non-dropping-particle":"","parse-names":false,"suffix":""},{"dropping-particle":"","family":"Morselli","given":"Federica","non-dropping-particle":"","parse-names":false,"suffix":""},{"dropping-particle":"","family":"Scquizzato","given":"Tommaso","non-dropping-particle":"","parse-names":false,"suffix":""},{"dropping-particle":"","family":"Frontera","given":"Antonio","non-dropping-particle":"","parse-names":false,"suffix":""},{"dropping-particle":"","family":"Ruggeri","given":"Annalisa","non-dropping-particle":"","parse-names":false,"suffix":""},{"dropping-particle":"","family":"Scotti","given":"Raffaella","non-dropping-particle":"","parse-names":false,"suffix":""},{"dropping-particle":"","family":"Assanelli","given":"Andrea","non-dropping-particle":"","parse-names":false,"suffix":""},{"dropping-particle":"","family":"Dagna","given":"Lorenzo","non-dropping-particle":"","parse-names":false,"suffix":""},{"dropping-particle":"","family":"Rovere-Querini","given":"Patrizia","non-dropping-particle":"","parse-names":false,"suffix":""},{"dropping-particle":"","family":"Castagna","given":"Antonella","non-dropping-particle":"","parse-names":false,"suffix":""},{"dropping-particle":"","family":"Scarpellini","given":"Paolo","non-dropping-particle":"","parse-names":false,"suffix":""},{"dropping-particle":"","family":"Napoli","given":"Davide","non-dropping-particle":"Di","parse-names":false,"suffix":""},{"dropping-particle":"","family":"Ambrosio","given":"Alberto","non-dropping-particle":"","parse-names":false,"suffix":""},{"dropping-particle":"","family":"Ciceri","given":"Fabio","non-dropping-particle":"","parse-names":false,"suffix":""},{"dropping-particle":"","family":"Tresoldi","given":"Moreno","non-dropping-particle":"","parse-names":false,"suffix":""}],"container-title":"Critical care and resuscitation : journal of the Australasian Academy of Critical Care Medicine","id":"ITEM-2","issued":{"date-parts":[["2020","4","1"]]},"title":"Fast reshaping of intensive care unit facilities in a large metropolitan hospital in Milan, Italy: facing the COVID-19 pandemic emergency","type":"article-journal"},"uris":["http://www.mendeley.com/documents/?uuid=f022d58f-6776-3850-b731-765c107671da"]},{"id":"ITEM-3","itemData":{"DOI":"10.5694/mja2.50596","ISSN":"0025-729X","PMID":"32306408","abstract":"OBJECTIVES To assess the capacity of intensive care units (ICUs) in Australia to respond to the expected increase in demand associated with COVID-19. DESIGN Analysis of Australian and New Zealand Intensive Care Society (ANZICS) registry data, supplemented by an ICU surge capability survey and veterinary facilities survey (both March 2020). SETTINGS All Australian ICUs and veterinary facilities. MAIN OUTCOME MEASURES Baseline numbers of ICU beds, ventilators, dialysis machines, extracorporeal membrane oxygenation machines, intravenous infusion pumps, and staff (senior medical staff, registered nurses); incremental capability to increase capacity (surge) by increasing ICU bed numbers; ventilator-to-bed ratios; number of ventilators in veterinary facilities. RESULTS The 191 ICUs in Australia provide 2378 intensive care beds during baseline activity (9.3 ICU beds per 100 000 population). Of the 175 ICUs that responded to the surge survey (with 2228 intensive care beds), a maximal surge would add an additional 4258 intensive care beds (191% increase) and 2631 invasive ventilators (120% increase). This surge would require additional staffing of as many as 4092 senior doctors (245% increase over baseline) and 42 720 registered ICU nurses (269% increase over baseline). An additional 188 ventilators are available in veterinary facilities, including 179 human model ventilators. CONCLUSIONS The directors of Australian ICUs report that intensive care bed capacity could be near tripled in response to the expected increase in demand caused by COVID-19. But maximal surge in bed numbers could be hampered by a shortfall in invasive ventilators and would also require a large increase in clinician and nursing staff numbers.","author":[{"dropping-particle":"","family":"Litton","given":"Edward","non-dropping-particle":"","parse-names":false,"suffix":""},{"dropping-particle":"","family":"Bucci","given":"Tamara","non-dropping-particle":"","parse-names":false,"suffix":""},{"dropping-particle":"","family":"Chavan","given":"Shaila","non-dropping-particle":"","parse-names":false,"suffix":""},{"dropping-particle":"","family":"Ho","given":"Yvonne Y","non-dropping-particle":"","parse-names":false,"suffix":""},{"dropping-particle":"","family":"Holley","given":"Anthony","non-dropping-particle":"","parse-names":false,"suffix":""},{"dropping-particle":"","family":"Howard","given":"Gretta","non-dropping-particle":"","parse-names":false,"suffix":""},{"dropping-particle":"","family":"Huckson","given":"Sue","non-dropping-particle":"","parse-names":false,"suffix":""},{"dropping-particle":"","family":"Kwong","given":"Philomena","non-dropping-particle":"","parse-names":false,"suffix":""},{"dropping-particle":"","family":"Millar","given":"Johnny","non-dropping-particle":"","parse-names":false,"suffix":""},{"dropping-particle":"","family":"Nguyen","given":"Nhi","non-dropping-particle":"","parse-names":false,"suffix":""},{"dropping-particle":"","family":"Secombe","given":"Paul","non-dropping-particle":"","parse-names":false,"suffix":""},{"dropping-particle":"","family":"Ziegenfuss","given":"Marc","non-dropping-particle":"","parse-names":false,"suffix":""},{"dropping-particle":"","family":"Pilcher","given":"David","non-dropping-particle":"","parse-names":false,"suffix":""}],"container-title":"Medical Journal of Australia","id":"ITEM-3","issued":{"date-parts":[["2020","4","19"]]},"publisher":"AMPCo","title":" Surge capacity of intensive care units in case of acute increase in demand caused by COVID ‐19 in Australia ","type":"article-journal"},"uris":["http://www.mendeley.com/documents/?uuid=b647c5e8-3a52-3295-ac9d-571ba17848ad"]}],"mendeley":{"formattedCitation":"(&lt;i&gt;19&lt;/i&gt;–&lt;i&gt;21&lt;/i&gt;)","plainTextFormattedCitation":"(19–21)","previouslyFormattedCitation":"(&lt;i&gt;19&lt;/i&gt;–&lt;i&gt;21&lt;/i&gt;)"},"properties":{"noteIndex":0},"schema":"https://github.com/citation-style-language/schema/raw/master/csl-citation.json"}</w:instrText>
      </w:r>
      <w:r w:rsidR="006E590D">
        <w:fldChar w:fldCharType="separate"/>
      </w:r>
      <w:r w:rsidR="006A73E3" w:rsidRPr="006A73E3">
        <w:rPr>
          <w:noProof/>
        </w:rPr>
        <w:t>(</w:t>
      </w:r>
      <w:r w:rsidR="006A73E3" w:rsidRPr="006A73E3">
        <w:rPr>
          <w:i/>
          <w:noProof/>
        </w:rPr>
        <w:t>19</w:t>
      </w:r>
      <w:r w:rsidR="006A73E3" w:rsidRPr="006A73E3">
        <w:rPr>
          <w:noProof/>
        </w:rPr>
        <w:t>–</w:t>
      </w:r>
      <w:r w:rsidR="006A73E3" w:rsidRPr="006A73E3">
        <w:rPr>
          <w:i/>
          <w:noProof/>
        </w:rPr>
        <w:t>21</w:t>
      </w:r>
      <w:r w:rsidR="006A73E3" w:rsidRPr="006A73E3">
        <w:rPr>
          <w:noProof/>
        </w:rPr>
        <w:t>)</w:t>
      </w:r>
      <w:r w:rsidR="006E590D">
        <w:fldChar w:fldCharType="end"/>
      </w:r>
      <w:r w:rsidR="00B028B8">
        <w:t xml:space="preserve">. </w:t>
      </w:r>
      <w:r w:rsidR="0034525E">
        <w:t>In</w:t>
      </w:r>
      <w:r w:rsidR="00B14226">
        <w:t xml:space="preserve"> contrast</w:t>
      </w:r>
      <w:r w:rsidR="00757AC4">
        <w:t>, in LIC</w:t>
      </w:r>
      <w:r w:rsidR="00B14226">
        <w:t>s</w:t>
      </w:r>
      <w:r w:rsidR="00757AC4">
        <w:t xml:space="preserve"> and LMIC</w:t>
      </w:r>
      <w:r w:rsidR="00B14226">
        <w:t>s</w:t>
      </w:r>
      <w:r w:rsidR="00757AC4">
        <w:t xml:space="preserve"> we predict that the poorer quality of healthcare available is likely to have a greater impact on the overall IFR than </w:t>
      </w:r>
      <w:r w:rsidR="00A20B13">
        <w:t xml:space="preserve">the limits on capacity alone. </w:t>
      </w:r>
      <w:r w:rsidRPr="00A55018">
        <w:t>If the healthcare quality in these settings was at the same level as in HICs</w:t>
      </w:r>
      <w:r w:rsidR="00ED39C7">
        <w:t xml:space="preserve"> and </w:t>
      </w:r>
      <w:r w:rsidR="00B0117D">
        <w:t>not subject to capacity constraints</w:t>
      </w:r>
      <w:r w:rsidR="004F7444" w:rsidRPr="00A55018">
        <w:t xml:space="preserve">, </w:t>
      </w:r>
      <w:r w:rsidRPr="00A55018">
        <w:t xml:space="preserve">we estimate </w:t>
      </w:r>
      <w:r w:rsidR="00EA4C37">
        <w:t>2.1</w:t>
      </w:r>
      <w:r w:rsidR="00B153B7" w:rsidRPr="00A55018">
        <w:t>(</w:t>
      </w:r>
      <w:r w:rsidR="00706ECD" w:rsidRPr="00A55018">
        <w:t xml:space="preserve">95% </w:t>
      </w:r>
      <w:r w:rsidR="00056E24">
        <w:t>U</w:t>
      </w:r>
      <w:r w:rsidR="00706ECD" w:rsidRPr="00A55018">
        <w:t xml:space="preserve">I </w:t>
      </w:r>
      <w:r w:rsidR="00EA4C37">
        <w:t>1.0</w:t>
      </w:r>
      <w:r w:rsidR="008E1C74" w:rsidRPr="00A55018">
        <w:t>-</w:t>
      </w:r>
      <w:r w:rsidR="00BB010B">
        <w:t>3.3</w:t>
      </w:r>
      <w:r w:rsidR="00B153B7" w:rsidRPr="00A55018">
        <w:t xml:space="preserve">) </w:t>
      </w:r>
      <w:r w:rsidRPr="00A55018">
        <w:t xml:space="preserve">deaths per 1,000 population in an LIC and </w:t>
      </w:r>
      <w:r w:rsidR="00BB010B">
        <w:t>2.4</w:t>
      </w:r>
      <w:r w:rsidR="00E90C4A" w:rsidRPr="00A55018">
        <w:t xml:space="preserve"> (</w:t>
      </w:r>
      <w:r w:rsidR="007D3EA0" w:rsidRPr="00A55018">
        <w:t xml:space="preserve">95% </w:t>
      </w:r>
      <w:r w:rsidR="007D3EA0">
        <w:t>U</w:t>
      </w:r>
      <w:r w:rsidR="007D3EA0" w:rsidRPr="00A55018">
        <w:t xml:space="preserve">I </w:t>
      </w:r>
      <w:r w:rsidR="003E5DBD">
        <w:t>1.1</w:t>
      </w:r>
      <w:r w:rsidR="00E90C4A" w:rsidRPr="00A55018">
        <w:t>-</w:t>
      </w:r>
      <w:r w:rsidR="00BB010B">
        <w:t>3.9</w:t>
      </w:r>
      <w:r w:rsidR="00E90C4A" w:rsidRPr="00A55018">
        <w:t xml:space="preserve">) </w:t>
      </w:r>
      <w:r w:rsidRPr="00A55018">
        <w:t xml:space="preserve">deaths per 1,000 population in an LMIC. This increases to </w:t>
      </w:r>
      <w:r w:rsidR="00321628">
        <w:t>4.6</w:t>
      </w:r>
      <w:r w:rsidR="003A3561" w:rsidRPr="00A55018">
        <w:t xml:space="preserve"> (</w:t>
      </w:r>
      <w:r w:rsidR="007D3EA0" w:rsidRPr="00A55018">
        <w:t xml:space="preserve">95% </w:t>
      </w:r>
      <w:r w:rsidR="007D3EA0">
        <w:t>U</w:t>
      </w:r>
      <w:r w:rsidR="007D3EA0" w:rsidRPr="00A55018">
        <w:t xml:space="preserve">I </w:t>
      </w:r>
      <w:r w:rsidR="00026616">
        <w:t>1.4-</w:t>
      </w:r>
      <w:r w:rsidR="003B3C87">
        <w:t>10</w:t>
      </w:r>
      <w:r w:rsidR="00026616">
        <w:t>.0</w:t>
      </w:r>
      <w:r w:rsidR="00E63125" w:rsidRPr="00A55018">
        <w:t>)</w:t>
      </w:r>
      <w:r w:rsidRPr="00A55018">
        <w:t xml:space="preserve"> and </w:t>
      </w:r>
      <w:r w:rsidR="001B1C99">
        <w:t>3.9</w:t>
      </w:r>
      <w:r w:rsidR="002E71F5" w:rsidRPr="00A55018">
        <w:t xml:space="preserve"> (</w:t>
      </w:r>
      <w:r w:rsidR="007D3EA0" w:rsidRPr="00A55018">
        <w:t xml:space="preserve">95% </w:t>
      </w:r>
      <w:r w:rsidR="007D3EA0">
        <w:t>U</w:t>
      </w:r>
      <w:r w:rsidR="007D3EA0" w:rsidRPr="00A55018">
        <w:t xml:space="preserve">I </w:t>
      </w:r>
      <w:r w:rsidR="009C6EC9">
        <w:t>1.</w:t>
      </w:r>
      <w:r w:rsidR="001B1C99">
        <w:t>5</w:t>
      </w:r>
      <w:r w:rsidR="002E71F5" w:rsidRPr="00A55018">
        <w:t>-</w:t>
      </w:r>
      <w:r w:rsidR="001B1C99">
        <w:t>8.9</w:t>
      </w:r>
      <w:r w:rsidR="002E71F5" w:rsidRPr="00A55018">
        <w:t>)</w:t>
      </w:r>
      <w:r w:rsidRPr="00A55018">
        <w:t xml:space="preserve"> deaths per 1,000 population</w:t>
      </w:r>
      <w:r w:rsidR="004F7444" w:rsidRPr="00A55018">
        <w:t xml:space="preserve"> with healthcare capacity limits</w:t>
      </w:r>
      <w:r w:rsidR="00207B37">
        <w:t>, in LICs and LMICs respectively,</w:t>
      </w:r>
      <w:r w:rsidR="004F7444" w:rsidRPr="00A55018">
        <w:t xml:space="preserve"> and to </w:t>
      </w:r>
      <w:r w:rsidR="001C5363">
        <w:t>6.5</w:t>
      </w:r>
      <w:r w:rsidR="00164552" w:rsidRPr="00A55018">
        <w:t xml:space="preserve"> (</w:t>
      </w:r>
      <w:r w:rsidR="007D3EA0" w:rsidRPr="00A55018">
        <w:t xml:space="preserve">95% </w:t>
      </w:r>
      <w:r w:rsidR="007D3EA0">
        <w:t>U</w:t>
      </w:r>
      <w:r w:rsidR="007D3EA0" w:rsidRPr="00A55018">
        <w:t>I</w:t>
      </w:r>
      <w:r w:rsidR="003B3C87">
        <w:t xml:space="preserve"> </w:t>
      </w:r>
      <w:r w:rsidR="0060365D">
        <w:t>2.7-12.3</w:t>
      </w:r>
      <w:r w:rsidR="00164552" w:rsidRPr="00A55018">
        <w:t>)</w:t>
      </w:r>
      <w:r w:rsidR="004F7444" w:rsidRPr="00A55018">
        <w:t xml:space="preserve"> and </w:t>
      </w:r>
      <w:r w:rsidR="00C903D0">
        <w:t>6</w:t>
      </w:r>
      <w:r w:rsidR="002E71F5" w:rsidRPr="00A55018">
        <w:t>.</w:t>
      </w:r>
      <w:r w:rsidR="00C903D0">
        <w:t>2</w:t>
      </w:r>
      <w:r w:rsidR="002E71F5" w:rsidRPr="00A55018">
        <w:t>(</w:t>
      </w:r>
      <w:r w:rsidR="007D3EA0" w:rsidRPr="00A55018">
        <w:t xml:space="preserve">95% </w:t>
      </w:r>
      <w:r w:rsidR="007D3EA0">
        <w:t>U</w:t>
      </w:r>
      <w:r w:rsidR="007D3EA0" w:rsidRPr="00A55018">
        <w:t xml:space="preserve">I </w:t>
      </w:r>
      <w:r w:rsidR="004C250D">
        <w:t>2.8</w:t>
      </w:r>
      <w:r w:rsidR="002E71F5" w:rsidRPr="00A55018">
        <w:t>-</w:t>
      </w:r>
      <w:r w:rsidR="004C250D">
        <w:t>11.9</w:t>
      </w:r>
      <w:r w:rsidR="002E71F5" w:rsidRPr="00A55018">
        <w:t>)</w:t>
      </w:r>
      <w:r w:rsidR="004F7444" w:rsidRPr="00A55018">
        <w:t xml:space="preserve"> deaths per 1,000 population</w:t>
      </w:r>
      <w:r w:rsidR="00B46832">
        <w:t>,</w:t>
      </w:r>
      <w:r w:rsidR="004F7444" w:rsidRPr="00A55018">
        <w:t xml:space="preserve"> </w:t>
      </w:r>
      <w:r w:rsidR="00B46832">
        <w:t xml:space="preserve">respectively, </w:t>
      </w:r>
      <w:r w:rsidR="004F7444" w:rsidRPr="00A55018">
        <w:t xml:space="preserve">if the </w:t>
      </w:r>
      <w:r w:rsidR="00E25314" w:rsidRPr="00A55018">
        <w:t xml:space="preserve">poorer quality healthcare is also factored in. </w:t>
      </w:r>
      <w:r w:rsidRPr="00A55018">
        <w:t xml:space="preserve"> Overall, this represent</w:t>
      </w:r>
      <w:r w:rsidR="00A92F59">
        <w:t>s</w:t>
      </w:r>
      <w:r w:rsidR="001E0D9D" w:rsidRPr="00A55018">
        <w:t xml:space="preserve"> </w:t>
      </w:r>
      <w:r w:rsidR="0060365D">
        <w:t>4.4</w:t>
      </w:r>
      <w:r w:rsidR="001E0D9D" w:rsidRPr="00A55018">
        <w:t xml:space="preserve"> (</w:t>
      </w:r>
      <w:r w:rsidR="007D3EA0" w:rsidRPr="00A55018">
        <w:t xml:space="preserve">95% </w:t>
      </w:r>
      <w:r w:rsidR="007D3EA0">
        <w:t>U</w:t>
      </w:r>
      <w:r w:rsidR="007D3EA0" w:rsidRPr="00A55018">
        <w:t xml:space="preserve">I </w:t>
      </w:r>
      <w:r w:rsidR="00A70FAA">
        <w:t>1.</w:t>
      </w:r>
      <w:r w:rsidR="00B424CE">
        <w:t>7</w:t>
      </w:r>
      <w:r w:rsidR="008D5912" w:rsidRPr="00A55018">
        <w:t>-</w:t>
      </w:r>
      <w:r w:rsidR="00B424CE">
        <w:t>9.0</w:t>
      </w:r>
      <w:r w:rsidR="001E0D9D" w:rsidRPr="00A55018">
        <w:t xml:space="preserve">) </w:t>
      </w:r>
      <w:r w:rsidRPr="00A55018">
        <w:t xml:space="preserve">and </w:t>
      </w:r>
      <w:r w:rsidR="00D005D4">
        <w:t>3.8</w:t>
      </w:r>
      <w:r w:rsidR="00265633" w:rsidRPr="00A55018">
        <w:t xml:space="preserve"> (</w:t>
      </w:r>
      <w:r w:rsidR="007D3EA0" w:rsidRPr="00A55018">
        <w:t xml:space="preserve">95% </w:t>
      </w:r>
      <w:r w:rsidR="007D3EA0">
        <w:t>U</w:t>
      </w:r>
      <w:r w:rsidR="007D3EA0" w:rsidRPr="00A55018">
        <w:t xml:space="preserve">I </w:t>
      </w:r>
      <w:r w:rsidR="00D005D4">
        <w:t>1.</w:t>
      </w:r>
      <w:r w:rsidR="001C516F">
        <w:t>7</w:t>
      </w:r>
      <w:r w:rsidR="00265633" w:rsidRPr="00A55018">
        <w:t>-</w:t>
      </w:r>
      <w:r w:rsidR="001C516F">
        <w:t>8.0</w:t>
      </w:r>
      <w:r w:rsidR="00265633" w:rsidRPr="00A55018">
        <w:t>)</w:t>
      </w:r>
      <w:r w:rsidRPr="00A55018">
        <w:t xml:space="preserve"> excess deaths per 1,000 population due to both the poorer quality healthcare and lack of healthcare capacity</w:t>
      </w:r>
      <w:r w:rsidR="001E0D9D">
        <w:t xml:space="preserve"> in LICs and LMICs respectively</w:t>
      </w:r>
      <w:r>
        <w:t>.</w:t>
      </w:r>
      <w:r w:rsidR="0065489B">
        <w:t xml:space="preserve"> </w:t>
      </w:r>
    </w:p>
    <w:p w14:paraId="22C7C3F8" w14:textId="6B4BAADB" w:rsidR="00E93BBD" w:rsidRDefault="00B26AD9" w:rsidP="00E93BBD">
      <w:pPr>
        <w:spacing w:line="259" w:lineRule="auto"/>
        <w:jc w:val="left"/>
      </w:pPr>
      <w:r>
        <w:rPr>
          <w:b/>
          <w:bCs/>
        </w:rPr>
        <w:t xml:space="preserve">Suppression and </w:t>
      </w:r>
      <w:r w:rsidR="008C60EE">
        <w:rPr>
          <w:b/>
          <w:bCs/>
        </w:rPr>
        <w:t xml:space="preserve">Longer-Term </w:t>
      </w:r>
      <w:r>
        <w:rPr>
          <w:b/>
          <w:bCs/>
        </w:rPr>
        <w:t>Exit Strategies</w:t>
      </w:r>
    </w:p>
    <w:p w14:paraId="29835913" w14:textId="3531C96F" w:rsidR="00E93BBD" w:rsidRDefault="00E152D8" w:rsidP="009018C6">
      <w:pPr>
        <w:rPr>
          <w:b/>
          <w:bCs/>
        </w:rPr>
      </w:pPr>
      <w:r>
        <w:t xml:space="preserve">Almost all countries and territories have now reported at least </w:t>
      </w:r>
      <w:r w:rsidR="009D0ED1">
        <w:t>one</w:t>
      </w:r>
      <w:r>
        <w:t xml:space="preserve"> COVID-19 case with many now also reporting deaths. Whilst individual countries have responded differently to this threat, the majority have implemented some form of NPI to either mitigate the burden of the epidemic or to suppress transmission</w:t>
      </w:r>
      <w:r w:rsidR="00346B51">
        <w:t xml:space="preserve"> </w:t>
      </w:r>
      <w:r w:rsidR="00346B51">
        <w:fldChar w:fldCharType="begin" w:fldLock="1"/>
      </w:r>
      <w:r w:rsidR="00C6002D">
        <w:instrText>ADDIN CSL_CITATION {"citationItems":[{"id":"ITEM-1","itemData":{"author":[{"dropping-particle":"","family":"Hale","given":"Thomas","non-dropping-particle":"","parse-names":false,"suffix":""},{"dropping-particle":"","family":"Webster","given":"Sam","non-dropping-particle":"","parse-names":false,"suffix":""},{"dropping-particle":"","family":"Petherick","given":"Anna","non-dropping-particle":"","parse-names":false,"suffix":""},{"dropping-particle":"","family":"Phillips","given":"Toby","non-dropping-particle":"","parse-names":false,"suffix":""},{"dropping-particle":"","family":"Kira","given":"Beatriz","non-dropping-particle":"","parse-names":false,"suffix":""}],"id":"ITEM-1","issued":{"date-parts":[["2020"]]},"title":"Oxford COVID-19 Government Response Tracker","type":"report"},"uris":["http://www.mendeley.com/documents/?uuid=9db42ea9-ee5f-4a09-b11d-05d2ad9375b0"]},{"id":"ITEM-2","itemData":{"URL":"https://www.acaps.org/covid19-government-measures-dataset","accessed":{"date-parts":[["2020","4","20"]]},"author":[{"dropping-particle":"","family":"ACAPS","given":"","non-dropping-particle":"","parse-names":false,"suffix":""}],"id":"ITEM-2","issued":{"date-parts":[["2020"]]},"title":"#COVID19 Government Measures Dataset | ACAPS","type":"webpage"},"uris":["http://www.mendeley.com/documents/?uuid=e8a98e35-4e56-396b-974e-4e8fe21cf632"]}],"mendeley":{"formattedCitation":"(&lt;i&gt;22&lt;/i&gt;, &lt;i&gt;23&lt;/i&gt;)","plainTextFormattedCitation":"(22, 23)","previouslyFormattedCitation":"(&lt;i&gt;22&lt;/i&gt;, &lt;i&gt;23&lt;/i&gt;)"},"properties":{"noteIndex":0},"schema":"https://github.com/citation-style-language/schema/raw/master/csl-citation.json"}</w:instrText>
      </w:r>
      <w:r w:rsidR="00346B51">
        <w:fldChar w:fldCharType="separate"/>
      </w:r>
      <w:r w:rsidR="006A73E3" w:rsidRPr="006A73E3">
        <w:rPr>
          <w:noProof/>
        </w:rPr>
        <w:t>(</w:t>
      </w:r>
      <w:r w:rsidR="006A73E3" w:rsidRPr="006A73E3">
        <w:rPr>
          <w:i/>
          <w:noProof/>
        </w:rPr>
        <w:t>22</w:t>
      </w:r>
      <w:r w:rsidR="006A73E3" w:rsidRPr="006A73E3">
        <w:rPr>
          <w:noProof/>
        </w:rPr>
        <w:t xml:space="preserve">, </w:t>
      </w:r>
      <w:r w:rsidR="006A73E3" w:rsidRPr="006A73E3">
        <w:rPr>
          <w:i/>
          <w:noProof/>
        </w:rPr>
        <w:t>23</w:t>
      </w:r>
      <w:r w:rsidR="006A73E3" w:rsidRPr="006A73E3">
        <w:rPr>
          <w:noProof/>
        </w:rPr>
        <w:t>)</w:t>
      </w:r>
      <w:r w:rsidR="00346B51">
        <w:fldChar w:fldCharType="end"/>
      </w:r>
      <w:r w:rsidR="00990C11">
        <w:t xml:space="preserve"> </w:t>
      </w:r>
      <w:r>
        <w:t xml:space="preserve">. </w:t>
      </w:r>
      <w:r w:rsidR="00322E71">
        <w:t>W</w:t>
      </w:r>
      <w:r w:rsidR="00E93BBD">
        <w:t xml:space="preserve">e reviewed data on the interventions that had been collated within the ACAP COVID-19 Government Response Measures dataset </w:t>
      </w:r>
      <w:r w:rsidR="00322E71">
        <w:t xml:space="preserve">to summarise the stage of the epidemic at which countries have implemented </w:t>
      </w:r>
      <w:r w:rsidR="00C20F87">
        <w:t>suppression measures</w:t>
      </w:r>
      <w:r w:rsidR="00F2366E">
        <w:t xml:space="preserve"> </w:t>
      </w:r>
      <w:r w:rsidR="00F2366E">
        <w:fldChar w:fldCharType="begin" w:fldLock="1"/>
      </w:r>
      <w:r w:rsidR="00C6002D">
        <w:instrText>ADDIN CSL_CITATION {"citationItems":[{"id":"ITEM-1","itemData":{"URL":"https://www.acaps.org/covid19-government-measures-dataset","accessed":{"date-parts":[["2020","4","20"]]},"author":[{"dropping-particle":"","family":"ACAPS","given":"","non-dropping-particle":"","parse-names":false,"suffix":""}],"id":"ITEM-1","issued":{"date-parts":[["2020"]]},"title":"#COVID19 Government Measures Dataset | ACAPS","type":"webpage"},"uris":["http://www.mendeley.com/documents/?uuid=e8a98e35-4e56-396b-974e-4e8fe21cf632"]}],"mendeley":{"formattedCitation":"(&lt;i&gt;23&lt;/i&gt;)","plainTextFormattedCitation":"(23)","previouslyFormattedCitation":"(&lt;i&gt;23&lt;/i&gt;)"},"properties":{"noteIndex":0},"schema":"https://github.com/citation-style-language/schema/raw/master/csl-citation.json"}</w:instrText>
      </w:r>
      <w:r w:rsidR="00F2366E">
        <w:fldChar w:fldCharType="separate"/>
      </w:r>
      <w:r w:rsidR="006A73E3" w:rsidRPr="006A73E3">
        <w:rPr>
          <w:noProof/>
        </w:rPr>
        <w:t>(</w:t>
      </w:r>
      <w:r w:rsidR="006A73E3" w:rsidRPr="006A73E3">
        <w:rPr>
          <w:i/>
          <w:noProof/>
        </w:rPr>
        <w:t>23</w:t>
      </w:r>
      <w:r w:rsidR="006A73E3" w:rsidRPr="006A73E3">
        <w:rPr>
          <w:noProof/>
        </w:rPr>
        <w:t>)</w:t>
      </w:r>
      <w:r w:rsidR="00F2366E">
        <w:fldChar w:fldCharType="end"/>
      </w:r>
      <w:r w:rsidR="00B45059">
        <w:t xml:space="preserve"> (see </w:t>
      </w:r>
      <w:r w:rsidR="00D0274A">
        <w:t xml:space="preserve">Materials and </w:t>
      </w:r>
      <w:r w:rsidR="00B45059">
        <w:t>Methods)</w:t>
      </w:r>
      <w:r w:rsidR="00E93BBD">
        <w:t xml:space="preserve">. </w:t>
      </w:r>
    </w:p>
    <w:p w14:paraId="2EFCFEAD" w14:textId="066E501F" w:rsidR="00E93BBD" w:rsidRPr="00C87552" w:rsidRDefault="00E93BBD" w:rsidP="009018C6">
      <w:r>
        <w:t xml:space="preserve">Table 1 summarises the </w:t>
      </w:r>
      <w:r w:rsidRPr="008A6A8A">
        <w:t xml:space="preserve">stage of the epidemic at which those countries </w:t>
      </w:r>
      <w:r w:rsidR="00B26AD9" w:rsidRPr="008A6A8A">
        <w:t>implementing</w:t>
      </w:r>
      <w:r w:rsidRPr="008A6A8A">
        <w:t xml:space="preserve"> suppression measures did so </w:t>
      </w:r>
      <w:r w:rsidR="00B26AD9" w:rsidRPr="008A6A8A">
        <w:t>(see</w:t>
      </w:r>
      <w:r w:rsidRPr="008A6A8A">
        <w:t xml:space="preserve"> Supporting </w:t>
      </w:r>
      <w:r w:rsidR="00B26AD9" w:rsidRPr="008A6A8A">
        <w:t>Material for country-level analysis</w:t>
      </w:r>
      <w:r w:rsidRPr="008A6A8A">
        <w:t>). Across the different regions, countries in Europe and Central Asia have initiated suppression measures at a</w:t>
      </w:r>
      <w:r>
        <w:t xml:space="preserve"> later stage of their epidemics (in terms of per-capita cases </w:t>
      </w:r>
      <w:r w:rsidR="00C116B9">
        <w:t>and</w:t>
      </w:r>
      <w:r>
        <w:t xml:space="preserve"> deaths) than other regions to date. This may partly be due to censoring (i.e. other countries have yet to impose suppression measures </w:t>
      </w:r>
      <w:r w:rsidR="005B2656">
        <w:t xml:space="preserve">since the date </w:t>
      </w:r>
      <w:r w:rsidR="008A59A1">
        <w:t xml:space="preserve">the dataset was </w:t>
      </w:r>
      <w:r w:rsidR="003C4AEF">
        <w:t>downloaded</w:t>
      </w:r>
      <w:r w:rsidR="008A59A1">
        <w:t xml:space="preserve"> -</w:t>
      </w:r>
      <w:r>
        <w:t xml:space="preserve"> April </w:t>
      </w:r>
      <w:r w:rsidR="00211776">
        <w:t>20</w:t>
      </w:r>
      <w:r w:rsidRPr="00CB43BE">
        <w:rPr>
          <w:vertAlign w:val="superscript"/>
        </w:rPr>
        <w:t>th</w:t>
      </w:r>
      <w:r>
        <w:t xml:space="preserve"> 2020) as well as due to the wider recognition of the potential impact of COVID-19 that countries in other regions can observe from the ongoing epidemics in Europe. However, there is also a strong gradient </w:t>
      </w:r>
      <w:r w:rsidR="002B3764">
        <w:t>in</w:t>
      </w:r>
      <w:r>
        <w:t xml:space="preserve"> the timing of lockdowns with income status – with LIC and LMIC initiating suppression measures earlier than UMIC or HIC. </w:t>
      </w:r>
    </w:p>
    <w:p w14:paraId="21FB5FF3" w14:textId="54041ABD" w:rsidR="00D8507B" w:rsidRDefault="00295A78" w:rsidP="00D8507B">
      <w:r w:rsidRPr="008436B1">
        <w:t xml:space="preserve">We </w:t>
      </w:r>
      <w:r w:rsidR="00B2589D" w:rsidRPr="008436B1">
        <w:t>used E</w:t>
      </w:r>
      <w:r w:rsidR="00F71339">
        <w:t>uropean Centre for Disease Control (E</w:t>
      </w:r>
      <w:r w:rsidR="00B2589D" w:rsidRPr="008436B1">
        <w:t>CDC</w:t>
      </w:r>
      <w:r w:rsidR="00F71339">
        <w:t>)</w:t>
      </w:r>
      <w:r w:rsidR="00B2589D" w:rsidRPr="008436B1">
        <w:t xml:space="preserve"> data prior</w:t>
      </w:r>
      <w:r w:rsidRPr="008436B1">
        <w:t xml:space="preserve"> </w:t>
      </w:r>
      <w:r w:rsidR="00B2589D" w:rsidRPr="008436B1">
        <w:t xml:space="preserve">to </w:t>
      </w:r>
      <w:r w:rsidRPr="008436B1">
        <w:t xml:space="preserve">the date of </w:t>
      </w:r>
      <w:r w:rsidR="003E7B27" w:rsidRPr="008436B1">
        <w:t>implementation</w:t>
      </w:r>
      <w:r w:rsidR="00EC1840" w:rsidRPr="008436B1">
        <w:t xml:space="preserve"> of suppression</w:t>
      </w:r>
      <w:r w:rsidR="003E7B27" w:rsidRPr="00651708">
        <w:t xml:space="preserve"> or</w:t>
      </w:r>
      <w:r w:rsidR="00272EFC" w:rsidRPr="00651708">
        <w:t>,</w:t>
      </w:r>
      <w:r w:rsidR="003E7B27" w:rsidRPr="00651708">
        <w:t xml:space="preserve"> in the absence of </w:t>
      </w:r>
      <w:r w:rsidR="00EC1840" w:rsidRPr="00651708">
        <w:t xml:space="preserve">identified </w:t>
      </w:r>
      <w:r w:rsidR="003E7B27" w:rsidRPr="00395F57">
        <w:t>suppression</w:t>
      </w:r>
      <w:r w:rsidR="00EC1840" w:rsidRPr="00395F57">
        <w:t xml:space="preserve"> measures, the date </w:t>
      </w:r>
      <w:r w:rsidR="0096027C" w:rsidRPr="00395F57">
        <w:t>of last entry within the ACAPS dataset</w:t>
      </w:r>
      <w:r w:rsidR="0043414C" w:rsidRPr="00395F57">
        <w:t xml:space="preserve">. </w:t>
      </w:r>
      <w:r w:rsidR="008E28E9" w:rsidRPr="00395F57">
        <w:t>We then evaluated the ratio of reported cases to deaths in this period to provide a m</w:t>
      </w:r>
      <w:r w:rsidR="008E28E9" w:rsidRPr="00CA20D7">
        <w:t>easu</w:t>
      </w:r>
      <w:r w:rsidR="008E28E9" w:rsidRPr="00921ED6">
        <w:t xml:space="preserve">re of </w:t>
      </w:r>
      <w:r w:rsidR="0004180C" w:rsidRPr="00921ED6">
        <w:t xml:space="preserve">the </w:t>
      </w:r>
      <w:r w:rsidR="008E28E9" w:rsidRPr="00921ED6">
        <w:t xml:space="preserve">capacity of </w:t>
      </w:r>
      <w:r w:rsidR="00FF2C86" w:rsidRPr="00EC01F2">
        <w:t xml:space="preserve">countries to </w:t>
      </w:r>
      <w:r w:rsidR="0004180C" w:rsidRPr="00293658">
        <w:t xml:space="preserve">contain transmission </w:t>
      </w:r>
      <w:r w:rsidR="006C2A60" w:rsidRPr="00170B4C">
        <w:t>through testing-based approaches</w:t>
      </w:r>
      <w:r w:rsidR="00A13CBB" w:rsidRPr="005851BE">
        <w:t xml:space="preserve"> prio</w:t>
      </w:r>
      <w:r w:rsidR="00A13CBB" w:rsidRPr="00D65552">
        <w:t>r to, or in the absence of, suppression</w:t>
      </w:r>
      <w:r w:rsidR="006C2A60" w:rsidRPr="00D65552">
        <w:t xml:space="preserve">. </w:t>
      </w:r>
      <w:r w:rsidR="001B0246" w:rsidRPr="00ED39C7">
        <w:t xml:space="preserve">Our estimates </w:t>
      </w:r>
      <w:r w:rsidR="001B0246" w:rsidRPr="008436B1">
        <w:t>show clear differences by region and gradient across income strata</w:t>
      </w:r>
      <w:r w:rsidR="00375E1A" w:rsidRPr="008436B1">
        <w:t xml:space="preserve">: </w:t>
      </w:r>
      <w:r w:rsidR="00E87704" w:rsidRPr="008436B1">
        <w:t xml:space="preserve">LICs </w:t>
      </w:r>
      <w:r w:rsidR="005A4703" w:rsidRPr="008436B1">
        <w:t xml:space="preserve">with three or more deaths prior to suppression reported a </w:t>
      </w:r>
      <w:r w:rsidR="0083027C">
        <w:rPr>
          <w:rFonts w:eastAsia="Times New Roman" w:cstheme="minorHAnsi"/>
          <w:color w:val="000000"/>
          <w:bdr w:val="none" w:sz="0" w:space="0" w:color="auto" w:frame="1"/>
          <w:lang w:eastAsia="en-GB"/>
        </w:rPr>
        <w:t xml:space="preserve">country-level </w:t>
      </w:r>
      <w:r w:rsidR="00E569F7" w:rsidRPr="0083027C">
        <w:t xml:space="preserve">median of </w:t>
      </w:r>
      <w:r w:rsidR="007F326B" w:rsidRPr="00AD2F5A">
        <w:t xml:space="preserve">8.6 cases per reported death </w:t>
      </w:r>
      <w:r w:rsidR="00084A7F" w:rsidRPr="00AD2F5A">
        <w:t>(</w:t>
      </w:r>
      <w:r w:rsidR="0083027C">
        <w:rPr>
          <w:rFonts w:eastAsia="Times New Roman" w:cstheme="minorHAnsi"/>
          <w:color w:val="000000"/>
          <w:bdr w:val="none" w:sz="0" w:space="0" w:color="auto" w:frame="1"/>
          <w:lang w:eastAsia="en-GB"/>
        </w:rPr>
        <w:t xml:space="preserve">country-level </w:t>
      </w:r>
      <w:r w:rsidR="005A4703" w:rsidRPr="0083027C">
        <w:t xml:space="preserve">range </w:t>
      </w:r>
      <w:r w:rsidR="00084A7F" w:rsidRPr="0083027C">
        <w:t xml:space="preserve">of </w:t>
      </w:r>
      <w:r w:rsidR="005A4703" w:rsidRPr="008436B1">
        <w:rPr>
          <w:rFonts w:eastAsia="Times New Roman" w:cstheme="minorHAnsi"/>
          <w:color w:val="000000"/>
          <w:bdr w:val="none" w:sz="0" w:space="0" w:color="auto" w:frame="1"/>
          <w:lang w:eastAsia="en-GB"/>
        </w:rPr>
        <w:t>7.8 - 10.7</w:t>
      </w:r>
      <w:r w:rsidR="007F326B" w:rsidRPr="008436B1">
        <w:rPr>
          <w:rFonts w:eastAsia="Times New Roman" w:cstheme="minorHAnsi"/>
          <w:color w:val="000000"/>
          <w:bdr w:val="none" w:sz="0" w:space="0" w:color="auto" w:frame="1"/>
          <w:lang w:eastAsia="en-GB"/>
        </w:rPr>
        <w:t>, n=3</w:t>
      </w:r>
      <w:r w:rsidR="005A4703" w:rsidRPr="008436B1">
        <w:rPr>
          <w:rFonts w:eastAsia="Times New Roman" w:cstheme="minorHAnsi"/>
          <w:color w:val="000000"/>
          <w:bdr w:val="none" w:sz="0" w:space="0" w:color="auto" w:frame="1"/>
          <w:lang w:eastAsia="en-GB"/>
        </w:rPr>
        <w:t>)</w:t>
      </w:r>
      <w:r w:rsidR="007F326B" w:rsidRPr="008436B1">
        <w:rPr>
          <w:rFonts w:eastAsia="Times New Roman" w:cstheme="minorHAnsi"/>
          <w:color w:val="000000"/>
          <w:bdr w:val="none" w:sz="0" w:space="0" w:color="auto" w:frame="1"/>
          <w:lang w:eastAsia="en-GB"/>
        </w:rPr>
        <w:t xml:space="preserve"> and LMICs </w:t>
      </w:r>
      <w:r w:rsidR="00084A7F" w:rsidRPr="008436B1">
        <w:rPr>
          <w:rFonts w:eastAsia="Times New Roman" w:cstheme="minorHAnsi"/>
          <w:color w:val="000000"/>
          <w:bdr w:val="none" w:sz="0" w:space="0" w:color="auto" w:frame="1"/>
          <w:lang w:eastAsia="en-GB"/>
        </w:rPr>
        <w:t xml:space="preserve">a </w:t>
      </w:r>
      <w:r w:rsidR="0083027C">
        <w:rPr>
          <w:rFonts w:eastAsia="Times New Roman" w:cstheme="minorHAnsi"/>
          <w:color w:val="000000"/>
          <w:bdr w:val="none" w:sz="0" w:space="0" w:color="auto" w:frame="1"/>
          <w:lang w:eastAsia="en-GB"/>
        </w:rPr>
        <w:t xml:space="preserve">country-level </w:t>
      </w:r>
      <w:r w:rsidR="00084A7F" w:rsidRPr="008436B1">
        <w:rPr>
          <w:rFonts w:eastAsia="Times New Roman" w:cstheme="minorHAnsi"/>
          <w:color w:val="000000"/>
          <w:bdr w:val="none" w:sz="0" w:space="0" w:color="auto" w:frame="1"/>
          <w:lang w:eastAsia="en-GB"/>
        </w:rPr>
        <w:t xml:space="preserve">median of </w:t>
      </w:r>
      <w:r w:rsidR="00A058D6" w:rsidRPr="008436B1">
        <w:rPr>
          <w:rFonts w:eastAsia="Times New Roman" w:cstheme="minorHAnsi"/>
          <w:color w:val="000000"/>
          <w:bdr w:val="none" w:sz="0" w:space="0" w:color="auto" w:frame="1"/>
          <w:lang w:eastAsia="en-GB"/>
        </w:rPr>
        <w:t>19.3 (</w:t>
      </w:r>
      <w:r w:rsidR="0083027C">
        <w:rPr>
          <w:rFonts w:eastAsia="Times New Roman" w:cstheme="minorHAnsi"/>
          <w:color w:val="000000"/>
          <w:bdr w:val="none" w:sz="0" w:space="0" w:color="auto" w:frame="1"/>
          <w:lang w:eastAsia="en-GB"/>
        </w:rPr>
        <w:t xml:space="preserve">country-level </w:t>
      </w:r>
      <w:r w:rsidR="00A058D6" w:rsidRPr="008436B1">
        <w:t xml:space="preserve">range </w:t>
      </w:r>
      <w:r w:rsidR="00A058D6" w:rsidRPr="008436B1">
        <w:rPr>
          <w:rFonts w:eastAsia="Times New Roman" w:cstheme="minorHAnsi"/>
          <w:color w:val="000000"/>
          <w:bdr w:val="none" w:sz="0" w:space="0" w:color="auto" w:frame="1"/>
          <w:lang w:eastAsia="en-GB"/>
        </w:rPr>
        <w:t>9 – 80, n=7)</w:t>
      </w:r>
      <w:r w:rsidR="0083027C">
        <w:rPr>
          <w:rFonts w:eastAsia="Times New Roman" w:cstheme="minorHAnsi"/>
          <w:color w:val="000000"/>
          <w:bdr w:val="none" w:sz="0" w:space="0" w:color="auto" w:frame="1"/>
          <w:lang w:eastAsia="en-GB"/>
        </w:rPr>
        <w:t>.</w:t>
      </w:r>
      <w:r w:rsidR="00565C95" w:rsidRPr="008436B1">
        <w:rPr>
          <w:rFonts w:eastAsia="Times New Roman" w:cstheme="minorHAnsi"/>
          <w:color w:val="000000"/>
          <w:bdr w:val="none" w:sz="0" w:space="0" w:color="auto" w:frame="1"/>
          <w:lang w:eastAsia="en-GB"/>
        </w:rPr>
        <w:t xml:space="preserve"> </w:t>
      </w:r>
      <w:r w:rsidR="0083027C">
        <w:rPr>
          <w:rFonts w:eastAsia="Times New Roman" w:cstheme="minorHAnsi"/>
          <w:color w:val="000000"/>
          <w:bdr w:val="none" w:sz="0" w:space="0" w:color="auto" w:frame="1"/>
          <w:lang w:eastAsia="en-GB"/>
        </w:rPr>
        <w:t>I</w:t>
      </w:r>
      <w:r w:rsidR="00565C95" w:rsidRPr="008436B1">
        <w:rPr>
          <w:rFonts w:eastAsia="Times New Roman" w:cstheme="minorHAnsi"/>
          <w:color w:val="000000"/>
          <w:bdr w:val="none" w:sz="0" w:space="0" w:color="auto" w:frame="1"/>
          <w:lang w:eastAsia="en-GB"/>
        </w:rPr>
        <w:t>n contrast</w:t>
      </w:r>
      <w:r w:rsidR="0083027C">
        <w:rPr>
          <w:rFonts w:eastAsia="Times New Roman" w:cstheme="minorHAnsi"/>
          <w:color w:val="000000"/>
          <w:bdr w:val="none" w:sz="0" w:space="0" w:color="auto" w:frame="1"/>
          <w:lang w:eastAsia="en-GB"/>
        </w:rPr>
        <w:t>,</w:t>
      </w:r>
      <w:r w:rsidR="00565C95" w:rsidRPr="008436B1">
        <w:rPr>
          <w:rFonts w:eastAsia="Times New Roman" w:cstheme="minorHAnsi"/>
          <w:color w:val="000000"/>
          <w:bdr w:val="none" w:sz="0" w:space="0" w:color="auto" w:frame="1"/>
          <w:lang w:eastAsia="en-GB"/>
        </w:rPr>
        <w:t xml:space="preserve"> HICs reported </w:t>
      </w:r>
      <w:r w:rsidR="006E3DA6" w:rsidRPr="008436B1">
        <w:rPr>
          <w:rFonts w:eastAsia="Times New Roman" w:cstheme="minorHAnsi"/>
          <w:color w:val="000000"/>
          <w:bdr w:val="none" w:sz="0" w:space="0" w:color="auto" w:frame="1"/>
          <w:lang w:eastAsia="en-GB"/>
        </w:rPr>
        <w:t xml:space="preserve">a </w:t>
      </w:r>
      <w:r w:rsidR="0083027C">
        <w:rPr>
          <w:rFonts w:eastAsia="Times New Roman" w:cstheme="minorHAnsi"/>
          <w:color w:val="000000"/>
          <w:bdr w:val="none" w:sz="0" w:space="0" w:color="auto" w:frame="1"/>
          <w:lang w:eastAsia="en-GB"/>
        </w:rPr>
        <w:t xml:space="preserve">country-level </w:t>
      </w:r>
      <w:r w:rsidR="006E3DA6" w:rsidRPr="008436B1">
        <w:rPr>
          <w:rFonts w:eastAsia="Times New Roman" w:cstheme="minorHAnsi"/>
          <w:color w:val="000000"/>
          <w:bdr w:val="none" w:sz="0" w:space="0" w:color="auto" w:frame="1"/>
          <w:lang w:eastAsia="en-GB"/>
        </w:rPr>
        <w:t xml:space="preserve">median of </w:t>
      </w:r>
      <w:r w:rsidR="006E3DA6" w:rsidRPr="008436B1">
        <w:rPr>
          <w:rFonts w:eastAsia="Times New Roman" w:cstheme="minorHAnsi"/>
          <w:lang w:eastAsia="en-GB"/>
        </w:rPr>
        <w:t>72.6 (</w:t>
      </w:r>
      <w:r w:rsidR="0083027C">
        <w:rPr>
          <w:rFonts w:eastAsia="Times New Roman" w:cstheme="minorHAnsi"/>
          <w:color w:val="000000"/>
          <w:bdr w:val="none" w:sz="0" w:space="0" w:color="auto" w:frame="1"/>
          <w:lang w:eastAsia="en-GB"/>
        </w:rPr>
        <w:t xml:space="preserve">country-level </w:t>
      </w:r>
      <w:r w:rsidR="006E3DA6" w:rsidRPr="008436B1">
        <w:rPr>
          <w:rFonts w:eastAsia="Times New Roman" w:cstheme="minorHAnsi"/>
          <w:lang w:eastAsia="en-GB"/>
        </w:rPr>
        <w:t>range 9 - 325.2, n=27)</w:t>
      </w:r>
      <w:r w:rsidR="0083027C">
        <w:rPr>
          <w:rFonts w:eastAsia="Times New Roman" w:cstheme="minorHAnsi"/>
          <w:lang w:eastAsia="en-GB"/>
        </w:rPr>
        <w:t xml:space="preserve"> cases per reported death</w:t>
      </w:r>
      <w:r w:rsidR="00651708">
        <w:rPr>
          <w:rFonts w:eastAsia="Times New Roman" w:cstheme="minorHAnsi"/>
          <w:color w:val="000000"/>
          <w:bdr w:val="none" w:sz="0" w:space="0" w:color="auto" w:frame="1"/>
          <w:lang w:eastAsia="en-GB"/>
        </w:rPr>
        <w:t xml:space="preserve">. The </w:t>
      </w:r>
      <w:r w:rsidR="00107E7F">
        <w:rPr>
          <w:rFonts w:eastAsia="Times New Roman" w:cstheme="minorHAnsi"/>
          <w:color w:val="000000"/>
          <w:bdr w:val="none" w:sz="0" w:space="0" w:color="auto" w:frame="1"/>
          <w:lang w:eastAsia="en-GB"/>
        </w:rPr>
        <w:t xml:space="preserve">extent to which </w:t>
      </w:r>
      <w:r w:rsidR="008C67BF">
        <w:rPr>
          <w:rFonts w:eastAsia="Times New Roman" w:cstheme="minorHAnsi"/>
          <w:color w:val="000000"/>
          <w:bdr w:val="none" w:sz="0" w:space="0" w:color="auto" w:frame="1"/>
          <w:lang w:eastAsia="en-GB"/>
        </w:rPr>
        <w:t xml:space="preserve">reported </w:t>
      </w:r>
      <w:r w:rsidR="00107E7F">
        <w:rPr>
          <w:rFonts w:eastAsia="Times New Roman" w:cstheme="minorHAnsi"/>
          <w:color w:val="000000"/>
          <w:bdr w:val="none" w:sz="0" w:space="0" w:color="auto" w:frame="1"/>
          <w:lang w:eastAsia="en-GB"/>
        </w:rPr>
        <w:t>case</w:t>
      </w:r>
      <w:r w:rsidR="008C67BF">
        <w:rPr>
          <w:rFonts w:eastAsia="Times New Roman" w:cstheme="minorHAnsi"/>
          <w:color w:val="000000"/>
          <w:bdr w:val="none" w:sz="0" w:space="0" w:color="auto" w:frame="1"/>
          <w:lang w:eastAsia="en-GB"/>
        </w:rPr>
        <w:t>-to-death ratios are a reliabl</w:t>
      </w:r>
      <w:r w:rsidR="009E105E">
        <w:rPr>
          <w:rFonts w:eastAsia="Times New Roman" w:cstheme="minorHAnsi"/>
          <w:color w:val="000000"/>
          <w:bdr w:val="none" w:sz="0" w:space="0" w:color="auto" w:frame="1"/>
          <w:lang w:eastAsia="en-GB"/>
        </w:rPr>
        <w:t>e</w:t>
      </w:r>
      <w:r w:rsidR="008C67BF">
        <w:rPr>
          <w:rFonts w:eastAsia="Times New Roman" w:cstheme="minorHAnsi"/>
          <w:color w:val="000000"/>
          <w:bdr w:val="none" w:sz="0" w:space="0" w:color="auto" w:frame="1"/>
          <w:lang w:eastAsia="en-GB"/>
        </w:rPr>
        <w:t xml:space="preserve"> </w:t>
      </w:r>
      <w:r w:rsidR="009E105E">
        <w:rPr>
          <w:rFonts w:eastAsia="Times New Roman" w:cstheme="minorHAnsi"/>
          <w:color w:val="000000"/>
          <w:bdr w:val="none" w:sz="0" w:space="0" w:color="auto" w:frame="1"/>
          <w:lang w:eastAsia="en-GB"/>
        </w:rPr>
        <w:t xml:space="preserve">indicator of </w:t>
      </w:r>
      <w:r w:rsidR="006B3024">
        <w:rPr>
          <w:rFonts w:eastAsia="Times New Roman" w:cstheme="minorHAnsi"/>
          <w:color w:val="000000"/>
          <w:bdr w:val="none" w:sz="0" w:space="0" w:color="auto" w:frame="1"/>
          <w:lang w:eastAsia="en-GB"/>
        </w:rPr>
        <w:t xml:space="preserve">relative </w:t>
      </w:r>
      <w:r w:rsidR="009E105E">
        <w:rPr>
          <w:rFonts w:eastAsia="Times New Roman" w:cstheme="minorHAnsi"/>
          <w:color w:val="000000"/>
          <w:bdr w:val="none" w:sz="0" w:space="0" w:color="auto" w:frame="1"/>
          <w:lang w:eastAsia="en-GB"/>
        </w:rPr>
        <w:t xml:space="preserve">case or infection (including asymptomatic) </w:t>
      </w:r>
      <w:r w:rsidR="006B3024">
        <w:rPr>
          <w:rFonts w:eastAsia="Times New Roman" w:cstheme="minorHAnsi"/>
          <w:color w:val="000000"/>
          <w:bdr w:val="none" w:sz="0" w:space="0" w:color="auto" w:frame="1"/>
          <w:lang w:eastAsia="en-GB"/>
        </w:rPr>
        <w:t xml:space="preserve">ascertainment rates will depend upon </w:t>
      </w:r>
      <w:r w:rsidR="00317A73">
        <w:rPr>
          <w:rFonts w:eastAsia="Times New Roman" w:cstheme="minorHAnsi"/>
          <w:color w:val="000000"/>
          <w:bdr w:val="none" w:sz="0" w:space="0" w:color="auto" w:frame="1"/>
          <w:lang w:eastAsia="en-GB"/>
        </w:rPr>
        <w:t xml:space="preserve">trends in IFR, the reproduction number and </w:t>
      </w:r>
      <w:r w:rsidR="00395F57">
        <w:rPr>
          <w:rFonts w:eastAsia="Times New Roman" w:cstheme="minorHAnsi"/>
          <w:color w:val="000000"/>
          <w:bdr w:val="none" w:sz="0" w:space="0" w:color="auto" w:frame="1"/>
          <w:lang w:eastAsia="en-GB"/>
        </w:rPr>
        <w:t>the extent to which deaths are reported, all of which are liable to vary across income strata. However, this trend is suggestive of the extent to which</w:t>
      </w:r>
      <w:r w:rsidR="005A1640">
        <w:rPr>
          <w:rFonts w:eastAsia="Times New Roman" w:cstheme="minorHAnsi"/>
          <w:color w:val="000000"/>
          <w:bdr w:val="none" w:sz="0" w:space="0" w:color="auto" w:frame="1"/>
          <w:lang w:eastAsia="en-GB"/>
        </w:rPr>
        <w:t xml:space="preserve"> testing capacity will </w:t>
      </w:r>
      <w:r w:rsidR="00087B89">
        <w:rPr>
          <w:rFonts w:eastAsia="Times New Roman" w:cstheme="minorHAnsi"/>
          <w:color w:val="000000"/>
          <w:bdr w:val="none" w:sz="0" w:space="0" w:color="auto" w:frame="1"/>
          <w:lang w:eastAsia="en-GB"/>
        </w:rPr>
        <w:t>need to be developed in LICs/LMICs</w:t>
      </w:r>
      <w:r w:rsidR="00087B89" w:rsidRPr="00087B89">
        <w:t xml:space="preserve"> </w:t>
      </w:r>
      <w:r w:rsidR="00087B89">
        <w:lastRenderedPageBreak/>
        <w:t xml:space="preserve">settings if </w:t>
      </w:r>
      <w:r w:rsidR="00AD2F5A">
        <w:t xml:space="preserve">approaches such as </w:t>
      </w:r>
      <w:r w:rsidR="00087B89">
        <w:t xml:space="preserve">case identification coupled with contact tracing </w:t>
      </w:r>
      <w:r w:rsidR="00AD2F5A">
        <w:t>are</w:t>
      </w:r>
      <w:r w:rsidR="00087B89">
        <w:t xml:space="preserve"> to form part of a successful mitigation or exit strategy.  </w:t>
      </w:r>
    </w:p>
    <w:p w14:paraId="3AFF9572" w14:textId="5C3B1488" w:rsidR="00F3647E" w:rsidRDefault="00142386" w:rsidP="00E93BBD">
      <w:r>
        <w:t xml:space="preserve">Given our estimates suggest that even optimal mitigative </w:t>
      </w:r>
      <w:r w:rsidR="00666513">
        <w:t>strategies will lead to substantial excess mortality and exceedance of healthcare capacity, w</w:t>
      </w:r>
      <w:r w:rsidR="00D8507B">
        <w:t xml:space="preserve">e explored the impact of </w:t>
      </w:r>
      <w:r w:rsidR="00666513">
        <w:t xml:space="preserve">potentially </w:t>
      </w:r>
      <w:r w:rsidR="00D8507B">
        <w:t>different suppressive strategies</w:t>
      </w:r>
      <w:r w:rsidR="00666513">
        <w:t>,</w:t>
      </w:r>
      <w:r w:rsidR="00D8507B">
        <w:t xml:space="preserve"> </w:t>
      </w:r>
      <w:r w:rsidR="009263D8">
        <w:t>accounting for</w:t>
      </w:r>
      <w:r w:rsidR="00D8507B">
        <w:t xml:space="preserve"> the </w:t>
      </w:r>
      <w:r w:rsidR="000A188F">
        <w:t>interventions that</w:t>
      </w:r>
      <w:r w:rsidR="00D8507B">
        <w:t xml:space="preserve"> countries have </w:t>
      </w:r>
      <w:r w:rsidR="000A188F">
        <w:t xml:space="preserve">implemented </w:t>
      </w:r>
      <w:r w:rsidR="00D8507B">
        <w:t xml:space="preserve">to date. </w:t>
      </w:r>
      <w:r w:rsidR="008D2975">
        <w:t>Here we define suppression as reducing transmission to a level for which R</w:t>
      </w:r>
      <w:r w:rsidR="008D2975" w:rsidRPr="00B461BF">
        <w:rPr>
          <w:vertAlign w:val="subscript"/>
        </w:rPr>
        <w:t>t</w:t>
      </w:r>
      <w:r w:rsidR="008D2975">
        <w:t>&lt;1. To do so we model a 75% reduction in contact rates across all age-groups, giving R</w:t>
      </w:r>
      <w:r w:rsidR="008D2975" w:rsidRPr="00B461BF">
        <w:rPr>
          <w:vertAlign w:val="subscript"/>
        </w:rPr>
        <w:t>t</w:t>
      </w:r>
      <w:r w:rsidR="008D2975">
        <w:t>=</w:t>
      </w:r>
      <w:r w:rsidR="00286F95">
        <w:t>0.75 for R</w:t>
      </w:r>
      <w:r w:rsidR="00286F95" w:rsidRPr="00B461BF">
        <w:rPr>
          <w:vertAlign w:val="subscript"/>
        </w:rPr>
        <w:t>0</w:t>
      </w:r>
      <w:r w:rsidR="00286F95">
        <w:t xml:space="preserve">=3.0. </w:t>
      </w:r>
      <w:r w:rsidR="00F60179">
        <w:t>W</w:t>
      </w:r>
      <w:r w:rsidR="00F60179" w:rsidRPr="00B853B2">
        <w:t>e explore</w:t>
      </w:r>
      <w:r w:rsidR="00F60179">
        <w:t>d</w:t>
      </w:r>
      <w:r w:rsidR="00F60179" w:rsidRPr="00B853B2">
        <w:t xml:space="preserve"> different trigger</w:t>
      </w:r>
      <w:r w:rsidR="00F60179">
        <w:t xml:space="preserve"> thresholds</w:t>
      </w:r>
      <w:r w:rsidR="00F60179" w:rsidRPr="00B853B2">
        <w:t xml:space="preserve"> </w:t>
      </w:r>
      <w:r w:rsidR="00F60179">
        <w:t>based on the incidence of cases requiring critical care</w:t>
      </w:r>
      <w:r w:rsidR="00F60179" w:rsidRPr="00B853B2">
        <w:t xml:space="preserve"> per 100,000 population) for the implementation of </w:t>
      </w:r>
      <w:r w:rsidR="00F60179">
        <w:t>transmission reductions</w:t>
      </w:r>
      <w:r w:rsidR="005C2A81">
        <w:t xml:space="preserve"> and </w:t>
      </w:r>
      <w:r w:rsidR="00F60179">
        <w:t>modelled</w:t>
      </w:r>
      <w:r w:rsidR="005C2A81">
        <w:t xml:space="preserve"> these</w:t>
      </w:r>
      <w:r w:rsidR="00F60179">
        <w:t xml:space="preserve"> as lasting for 30 days before being lifted</w:t>
      </w:r>
      <w:r w:rsidR="006D7F06">
        <w:t xml:space="preserve"> (</w:t>
      </w:r>
      <w:r w:rsidR="001659E6">
        <w:t xml:space="preserve">typical of the duration of </w:t>
      </w:r>
      <w:r w:rsidR="00091A67">
        <w:t>lockdowns occurring to date</w:t>
      </w:r>
      <w:r w:rsidR="00EC6C76">
        <w:t>)</w:t>
      </w:r>
      <w:r w:rsidR="005C2A81">
        <w:t>. R</w:t>
      </w:r>
      <w:r w:rsidR="00F60179">
        <w:t>eimplementation then occurs if the trigger threshold is eclipsed again.</w:t>
      </w:r>
      <w:r w:rsidR="00FB2161">
        <w:t xml:space="preserve"> </w:t>
      </w:r>
      <w:r w:rsidR="009505C8">
        <w:t xml:space="preserve">The level of reduction in contact rates will determine the speed at which the </w:t>
      </w:r>
      <w:r w:rsidR="0041263F">
        <w:t>infected population is depleted during the intervention</w:t>
      </w:r>
      <w:r w:rsidR="00784F59">
        <w:t xml:space="preserve"> </w:t>
      </w:r>
      <w:r w:rsidR="00784F59">
        <w:fldChar w:fldCharType="begin" w:fldLock="1"/>
      </w:r>
      <w:r w:rsidR="002733BF">
        <w:instrText>ADDIN CSL_CITATION {"citationItems":[{"id":"ITEM-1","itemData":{"DOI":"10.25561/77482","abstract":"The global impact of COVID-19 has been profound, and the public health threat it represents is the most serious seen in a respiratory virus since the 1918 H1N1 influenza pandemic. Here we present the results of epidemiological modelling which has informed policymaking in the UK and other countries in recent weeks. In the absence of a COVID-19 vaccine, we assess the potential role of a number of public health measures-so-called non-pharmaceutical interventions (NPIs)-aimed at reducing contact rates in the population and thereby reducing transmission of the virus. In the results presented here, we apply a previously published microsimulation model to two countries: the UK (Great Britain specifically) and the US. We conclude that the effectiveness of any one intervention in isolation is likely to be limited, requiring multiple interventions to be combined to have a substantial impact on transmission. Two fundamental strategies are possible: (a) mitigation, which focuses on slowing but not necessarily stopping epidemic spread-reducing peak healthcare demand while protecting those most at risk of severe disease from infection, and (b) suppression, which aims to reverse epidemic growth, reducing case numbers to low levels and maintaining that situation indefinitely. Each policy has major challenges. We find that that optimal mitigation policies (combining home isolation of suspect cases, home quarantine of those living in the same household as suspect cases, and social distancing of the elderly and others at most risk of severe disease) might reduce peak healthcare demand by 2/3 and deaths by half. However, the resulting mitigated epidemic would still likely result in hundreds of thousands of deaths and health systems (most notably intensive care units) being overwhelmed many times over. For countries able to achieve it, this leaves suppression as the preferred policy option. We show that in the UK and US context, suppression will minimally require a combination of social distancing of the entire population, home isolation of cases and household quarantine of their family members. This may need to be supplemented by school and university closures, though it should be recognised that such closures may have negative impacts on health systems due to increased","author":[{"dropping-particle":"","family":"Ferguson","given":"Neil M","non-dropping-particle":"","parse-names":false,"suffix":""},{"dropping-particle":"","family":"Laydon","given":"Daniel","non-dropping-particle":"","parse-names":false,"suffix":""},{"dropping-particle":"","family":"Nedjati-Gilani","given":"Gemma","non-dropping-particle":"","parse-names":false,"suffix":""},{"dropping-particle":"","family":"Imai","given":"Natsuko","non-dropping-particle":"","parse-names":false,"suffix":""},{"dropping-particle":"","family":"Ainslie","given":"Kylie","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origatti","given":"Ilaria","non-dropping-particle":"","parse-names":false,"suffix":""},{"dropping-particle":"","family":"Fu","given":"Han","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Okell","given":"Lucy C","non-dropping-particle":"","parse-names":false,"suffix":""},{"dropping-particle":"","family":"Elsland","given":"Sabine","non-dropping-particle":"Van","parse-names":false,"suffix":""},{"dropping-particle":"","family":"Thompson","given":"Hayley","non-dropping-particle":"","parse-names":false,"suffix":""},{"dropping-particle":"","family":"Verity","given":"Robert","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Gt Walker","given":"Patrick","non-dropping-particle":"","parse-names":false,"suffix":""},{"dropping-particle":"","family":"Walters","given":"Caroline","non-dropping-particle":"","parse-names":false,"suffix":""},{"dropping-particle":"","family":"Winskill","given":"Peter","non-dropping-particle":"","parse-names":false,"suffix":""},{"dropping-particle":"","family":"Whittaker","given":"Charles","non-dropping-particle":"","parse-names":false,"suffix":""},{"dropping-particle":"","family":"Donnelly","given":"Christl A","non-dropping-particle":"","parse-names":false,"suffix":""},{"dropping-particle":"","family":"Riley","given":"Steven","non-dropping-particle":"","parse-names":false,"suffix":""},{"dropping-particle":"","family":"Ghani","given":"Azra C","non-dropping-particle":"","parse-names":false,"suffix":""}],"id":"ITEM-1","issued":{"date-parts":[["2020"]]},"title":"Impact of non-pharmaceutical interventions (NPIs) to reduce COVID-19 mortality and healthcare demand (Imperial College COVID-19 Response Team)","type":"article-journal"},"uris":["http://www.mendeley.com/documents/?uuid=36d95689-7894-3fb9-8002-8af18d5a0f61"]}],"mendeley":{"formattedCitation":"(&lt;i&gt;24&lt;/i&gt;)","plainTextFormattedCitation":"(24)","previouslyFormattedCitation":"(&lt;i&gt;24&lt;/i&gt;)"},"properties":{"noteIndex":0},"schema":"https://github.com/citation-style-language/schema/raw/master/csl-citation.json"}</w:instrText>
      </w:r>
      <w:r w:rsidR="00784F59">
        <w:fldChar w:fldCharType="separate"/>
      </w:r>
      <w:r w:rsidR="006A73E3" w:rsidRPr="006A73E3">
        <w:rPr>
          <w:noProof/>
        </w:rPr>
        <w:t>(</w:t>
      </w:r>
      <w:r w:rsidR="006A73E3" w:rsidRPr="006A73E3">
        <w:rPr>
          <w:i/>
          <w:noProof/>
        </w:rPr>
        <w:t>24</w:t>
      </w:r>
      <w:r w:rsidR="006A73E3" w:rsidRPr="006A73E3">
        <w:rPr>
          <w:noProof/>
        </w:rPr>
        <w:t>)</w:t>
      </w:r>
      <w:r w:rsidR="00784F59">
        <w:fldChar w:fldCharType="end"/>
      </w:r>
      <w:r w:rsidR="00F3647E">
        <w:t xml:space="preserve">. Thus, for a fixed period of intervention (assumed here to be 1 month) either starting earlier (i.e. at lower levels of infection) or suppressing to a greater extent (i.e. higher reductions in contact rates) will mean that interventions can be relaxed for longer before the trigger for </w:t>
      </w:r>
      <w:r w:rsidR="00504EE6">
        <w:t>reimplementation is reached</w:t>
      </w:r>
      <w:r w:rsidR="00D65D5A">
        <w:t xml:space="preserve"> (Figure 5A)</w:t>
      </w:r>
      <w:r w:rsidR="00504EE6">
        <w:t xml:space="preserve">. </w:t>
      </w:r>
      <w:r w:rsidR="0036552D">
        <w:t>Equally, if a degree of suppression is maintained during the period of relaxation (for example, a 30% reduction in contacts during relaxation compared to 7</w:t>
      </w:r>
      <w:r w:rsidR="00C01501">
        <w:t>5</w:t>
      </w:r>
      <w:r w:rsidR="0036552D">
        <w:t>% during suppression)</w:t>
      </w:r>
      <w:r w:rsidR="00C01501">
        <w:t>, then the periods in suppression will be shorter as the reduced R</w:t>
      </w:r>
      <w:r w:rsidR="00C01501" w:rsidRPr="005B203A">
        <w:rPr>
          <w:vertAlign w:val="subscript"/>
        </w:rPr>
        <w:t>t</w:t>
      </w:r>
      <w:r w:rsidR="00C01501">
        <w:t xml:space="preserve"> during relaxation will mean that it takes longer to trigger the suppression threshold. </w:t>
      </w:r>
      <w:r w:rsidR="007F0AF2">
        <w:t xml:space="preserve">Furthermore, a greater health benefit (in terms of reducing cases or deaths) will be achieved </w:t>
      </w:r>
      <w:r w:rsidR="006C78F7">
        <w:t xml:space="preserve">for lower </w:t>
      </w:r>
      <w:r w:rsidR="00D925DF">
        <w:t>trigger levels</w:t>
      </w:r>
      <w:r w:rsidR="00361B13">
        <w:t xml:space="preserve">; however, this is balanced by a slower build-up of </w:t>
      </w:r>
      <w:r w:rsidR="00286BD4">
        <w:t xml:space="preserve">herd immunity </w:t>
      </w:r>
      <w:r w:rsidR="00232D2D">
        <w:t>such that the</w:t>
      </w:r>
      <w:r w:rsidR="00DE4054">
        <w:t xml:space="preserve"> interventions would need to remain in place for longer in the absence of </w:t>
      </w:r>
      <w:r w:rsidR="00283DE9">
        <w:t>a vaccine</w:t>
      </w:r>
      <w:r w:rsidR="00C93049">
        <w:t xml:space="preserve"> </w:t>
      </w:r>
      <w:r w:rsidR="00361B13">
        <w:t>(Figure 5B)</w:t>
      </w:r>
      <w:r w:rsidR="00D925DF">
        <w:t xml:space="preserve">. </w:t>
      </w:r>
    </w:p>
    <w:p w14:paraId="343527DA" w14:textId="51F71826" w:rsidR="00D925DF" w:rsidRDefault="00283DE9" w:rsidP="00E93BBD">
      <w:r>
        <w:t>To further understand how such a strategy might differ between LIC/LIMC and UMIC/HIC</w:t>
      </w:r>
      <w:r w:rsidR="00BA38A1">
        <w:t xml:space="preserve"> we </w:t>
      </w:r>
      <w:r w:rsidR="00AC060A">
        <w:t xml:space="preserve">explored the full range of incidence thresholds that would allow ICU demand to be kept below </w:t>
      </w:r>
      <w:r w:rsidR="006678FF">
        <w:t>50% of the</w:t>
      </w:r>
      <w:r w:rsidR="00AC060A">
        <w:t xml:space="preserve"> median ICU </w:t>
      </w:r>
      <w:r w:rsidR="00DE7FCD">
        <w:t>capacity for each income strata</w:t>
      </w:r>
      <w:r w:rsidR="006678FF">
        <w:t xml:space="preserve"> (</w:t>
      </w:r>
      <w:r w:rsidR="00EC2E30">
        <w:t xml:space="preserve">setting this threshold lower than maximum capacity to </w:t>
      </w:r>
      <w:r w:rsidR="00260416">
        <w:t>allow for ongoing</w:t>
      </w:r>
      <w:r w:rsidR="00B4018A">
        <w:t xml:space="preserve"> care </w:t>
      </w:r>
      <w:r w:rsidR="00260416">
        <w:t xml:space="preserve">provision </w:t>
      </w:r>
      <w:r w:rsidR="00B4018A">
        <w:t>for non-COVID-19-related disease</w:t>
      </w:r>
      <w:r w:rsidR="002E18FC">
        <w:t>)</w:t>
      </w:r>
      <w:r w:rsidR="00DE7FCD">
        <w:t xml:space="preserve">. </w:t>
      </w:r>
      <w:r w:rsidR="00A320CA">
        <w:t>For each scenario, we modelled the first suppression to have been initiated at the median threshold for th</w:t>
      </w:r>
      <w:r w:rsidR="00260416">
        <w:t>e</w:t>
      </w:r>
      <w:r w:rsidR="00A320CA">
        <w:t xml:space="preserve"> setting</w:t>
      </w:r>
      <w:r w:rsidR="00411D0D">
        <w:t xml:space="preserve"> that has been observed to date</w:t>
      </w:r>
      <w:r w:rsidR="00A320CA">
        <w:t xml:space="preserve"> (</w:t>
      </w:r>
      <w:r w:rsidR="00411D0D">
        <w:t xml:space="preserve">i.e. LIC and LMIC initiate earlier than UMIC and HIC, </w:t>
      </w:r>
      <w:r w:rsidR="00A320CA">
        <w:t xml:space="preserve">Table 1). </w:t>
      </w:r>
      <w:r w:rsidR="00D17197">
        <w:t xml:space="preserve">We then selected the </w:t>
      </w:r>
      <w:r w:rsidR="00B344A3">
        <w:t xml:space="preserve">ICU </w:t>
      </w:r>
      <w:r w:rsidR="00D17197">
        <w:t xml:space="preserve">incidence </w:t>
      </w:r>
      <w:r w:rsidR="00B344A3">
        <w:t>trigger</w:t>
      </w:r>
      <w:r w:rsidR="00D17197">
        <w:t xml:space="preserve"> within this range that minimise</w:t>
      </w:r>
      <w:r w:rsidR="00411D0D">
        <w:t>s</w:t>
      </w:r>
      <w:r w:rsidR="00D17197">
        <w:t xml:space="preserve"> </w:t>
      </w:r>
      <w:r w:rsidR="007F51CF">
        <w:t>COVID-19 mortality</w:t>
      </w:r>
      <w:r w:rsidR="00D17197">
        <w:t xml:space="preserve"> over 18 months</w:t>
      </w:r>
      <w:r w:rsidR="00B344A3">
        <w:t xml:space="preserve"> and remains under our ICU threshold</w:t>
      </w:r>
      <w:r w:rsidR="00D17197">
        <w:t xml:space="preserve">. </w:t>
      </w:r>
      <w:r w:rsidR="00D925DF">
        <w:t xml:space="preserve">We use a time window of 18 months as representative of the timescale </w:t>
      </w:r>
      <w:r w:rsidR="00DE556A">
        <w:t>over</w:t>
      </w:r>
      <w:r w:rsidR="00D925DF">
        <w:t xml:space="preserve"> which pharmaceutical interventions (e.g. a vaccine) may be</w:t>
      </w:r>
      <w:r w:rsidR="00A44B64">
        <w:t>come available</w:t>
      </w:r>
      <w:r w:rsidR="00DE556A">
        <w:t>,</w:t>
      </w:r>
      <w:r w:rsidR="00D925DF">
        <w:t xml:space="preserve"> </w:t>
      </w:r>
      <w:r w:rsidR="00DE556A">
        <w:t>noting that</w:t>
      </w:r>
      <w:r w:rsidR="00D925DF">
        <w:t xml:space="preserve"> this duration is highly uncertai</w:t>
      </w:r>
      <w:r w:rsidR="00314878">
        <w:t xml:space="preserve">n </w:t>
      </w:r>
      <w:r w:rsidR="004A4446">
        <w:fldChar w:fldCharType="begin" w:fldLock="1"/>
      </w:r>
      <w:r w:rsidR="00C6002D">
        <w:instrText>ADDIN CSL_CITATION {"citationItems":[{"id":"ITEM-1","itemData":{"DOI":"10.1056/nejmp2005630","ISSN":"0028-4793","PMID":"32227757","abstract":"Developing Covid-19 Vaccines at Pandemic Speed An ideal vaccine platform would support development from viral sequencing to clinical trials in less than 16 weeks, demonstrate elicitation of consist...","author":[{"dropping-particle":"","family":"Lurie","given":"Nicole","non-dropping-particle":"","parse-names":false,"suffix":""},{"dropping-particle":"","family":"Saville","given":"Melanie","non-dropping-particle":"","parse-names":false,"suffix":""},{"dropping-particle":"","family":"Hatchett","given":"Richard","non-dropping-particle":"","parse-names":false,"suffix":""},{"dropping-particle":"","family":"Halton","given":"Jane","non-dropping-particle":"","parse-names":false,"suffix":""}],"container-title":"New England Journal of Medicine","id":"ITEM-1","issued":{"date-parts":[["2020","3","30"]]},"publisher":"Massachusetts Medical Society","title":"Developing Covid-19 Vaccines at Pandemic Speed","type":"article-journal"},"uris":["http://www.mendeley.com/documents/?uuid=78ffec93-3e2f-3c88-8de5-cef3dee7c987"]}],"mendeley":{"formattedCitation":"(&lt;i&gt;25&lt;/i&gt;)","plainTextFormattedCitation":"(25)","previouslyFormattedCitation":"(&lt;i&gt;25&lt;/i&gt;)"},"properties":{"noteIndex":0},"schema":"https://github.com/citation-style-language/schema/raw/master/csl-citation.json"}</w:instrText>
      </w:r>
      <w:r w:rsidR="004A4446">
        <w:fldChar w:fldCharType="separate"/>
      </w:r>
      <w:r w:rsidR="006A73E3" w:rsidRPr="006A73E3">
        <w:rPr>
          <w:noProof/>
        </w:rPr>
        <w:t>(</w:t>
      </w:r>
      <w:r w:rsidR="006A73E3" w:rsidRPr="006A73E3">
        <w:rPr>
          <w:i/>
          <w:noProof/>
        </w:rPr>
        <w:t>25</w:t>
      </w:r>
      <w:r w:rsidR="006A73E3" w:rsidRPr="006A73E3">
        <w:rPr>
          <w:noProof/>
        </w:rPr>
        <w:t>)</w:t>
      </w:r>
      <w:r w:rsidR="004A4446">
        <w:fldChar w:fldCharType="end"/>
      </w:r>
      <w:r w:rsidR="00D925DF">
        <w:t>.</w:t>
      </w:r>
    </w:p>
    <w:p w14:paraId="49EF0A80" w14:textId="0A65C453" w:rsidR="008D2975" w:rsidRDefault="00D925DF" w:rsidP="00E93BBD">
      <w:r>
        <w:t xml:space="preserve">If ICU demand is to be kept below the estimated median ICU capacity for each income strata, </w:t>
      </w:r>
      <w:r w:rsidR="00D17197">
        <w:t xml:space="preserve">all </w:t>
      </w:r>
      <w:r>
        <w:t>countries are predicted to need to spend a substantial proportion of time in suppression (Figure 5</w:t>
      </w:r>
      <w:r w:rsidR="00A44B64">
        <w:t>C</w:t>
      </w:r>
      <w:r>
        <w:t xml:space="preserve">). </w:t>
      </w:r>
      <w:r w:rsidR="00B75293">
        <w:t>In all settings</w:t>
      </w:r>
      <w:r w:rsidR="008A64CB">
        <w:t xml:space="preserve">, in the </w:t>
      </w:r>
      <w:r w:rsidR="008A64CB" w:rsidRPr="00D52E0E">
        <w:t xml:space="preserve">absence of additional effective </w:t>
      </w:r>
      <w:r w:rsidR="00616284" w:rsidRPr="00D52E0E">
        <w:t xml:space="preserve">measures, </w:t>
      </w:r>
      <w:r w:rsidR="00B75293" w:rsidRPr="00D52E0E">
        <w:t xml:space="preserve">we estimate </w:t>
      </w:r>
      <w:r w:rsidR="00616284" w:rsidRPr="00D52E0E">
        <w:t>t</w:t>
      </w:r>
      <w:r w:rsidR="007D2677" w:rsidRPr="00D52E0E">
        <w:t>h</w:t>
      </w:r>
      <w:r w:rsidR="00616284" w:rsidRPr="00D52E0E">
        <w:t>at</w:t>
      </w:r>
      <w:r w:rsidR="007D2677" w:rsidRPr="00D52E0E">
        <w:t xml:space="preserve"> </w:t>
      </w:r>
      <w:r w:rsidR="00247C03" w:rsidRPr="00D52E0E">
        <w:t xml:space="preserve">the </w:t>
      </w:r>
      <w:r w:rsidR="007D2677" w:rsidRPr="00D52E0E">
        <w:t xml:space="preserve">time </w:t>
      </w:r>
      <w:r w:rsidR="00247C03" w:rsidRPr="00D52E0E">
        <w:t xml:space="preserve">spent </w:t>
      </w:r>
      <w:r w:rsidR="007D2677" w:rsidRPr="00D52E0E">
        <w:t xml:space="preserve">in suppression to prevent health services becoming overwhelmed </w:t>
      </w:r>
      <w:r w:rsidR="00616284" w:rsidRPr="00D52E0E">
        <w:t xml:space="preserve">will </w:t>
      </w:r>
      <w:r w:rsidR="00480668" w:rsidRPr="00D52E0E">
        <w:t>need to be high across all settings</w:t>
      </w:r>
      <w:r w:rsidR="00247C03" w:rsidRPr="00D52E0E">
        <w:t>,</w:t>
      </w:r>
      <w:r w:rsidR="00480668" w:rsidRPr="00D52E0E">
        <w:t xml:space="preserve"> and marginally higher in LICs</w:t>
      </w:r>
      <w:r w:rsidR="00A55122" w:rsidRPr="00D52E0E">
        <w:t xml:space="preserve"> (</w:t>
      </w:r>
      <w:r w:rsidR="00D52E0E" w:rsidRPr="00D52E0E">
        <w:t>77</w:t>
      </w:r>
      <w:r w:rsidR="00A55122" w:rsidRPr="00D52E0E">
        <w:t xml:space="preserve">% vs </w:t>
      </w:r>
      <w:r w:rsidR="00D52E0E" w:rsidRPr="00D52E0E">
        <w:t>6</w:t>
      </w:r>
      <w:r w:rsidR="0013674D">
        <w:t>6</w:t>
      </w:r>
      <w:r w:rsidR="00A55122" w:rsidRPr="00D52E0E">
        <w:t>% in HICs</w:t>
      </w:r>
      <w:r w:rsidR="00D52E0E" w:rsidRPr="00D52E0E">
        <w:t xml:space="preserve"> over an 18-month timeframe</w:t>
      </w:r>
      <w:r w:rsidR="00A55122" w:rsidRPr="00D52E0E">
        <w:t>)</w:t>
      </w:r>
      <w:r w:rsidR="00480668" w:rsidRPr="00D52E0E">
        <w:t xml:space="preserve"> </w:t>
      </w:r>
      <w:r w:rsidR="00422BA6" w:rsidRPr="00D52E0E">
        <w:t xml:space="preserve">driven </w:t>
      </w:r>
      <w:r w:rsidR="00C77C65" w:rsidRPr="00D52E0E">
        <w:t xml:space="preserve">by the lower threshold at which suppression has to be reapplied </w:t>
      </w:r>
      <w:r w:rsidR="00247C03" w:rsidRPr="00D52E0E">
        <w:t>coupled with</w:t>
      </w:r>
      <w:r w:rsidR="00C77C65" w:rsidRPr="00D52E0E">
        <w:t xml:space="preserve"> the </w:t>
      </w:r>
      <w:r w:rsidR="00247C03" w:rsidRPr="00D52E0E">
        <w:t xml:space="preserve">resulting </w:t>
      </w:r>
      <w:r w:rsidR="008D2A3B" w:rsidRPr="00D52E0E">
        <w:t xml:space="preserve">less </w:t>
      </w:r>
      <w:r w:rsidR="001802B0" w:rsidRPr="00D52E0E">
        <w:t>rapid acquisition of immunity</w:t>
      </w:r>
      <w:r w:rsidR="00EE688A" w:rsidRPr="00D52E0E">
        <w:t xml:space="preserve">. </w:t>
      </w:r>
      <w:r w:rsidR="006C595D" w:rsidRPr="00D52E0E">
        <w:t>Assuming identical quality but not quantity of care across all settings, the mortality rate under suppression is predicted to be highest in HICs across all suppression threshold triggers considered (and by extension, time in suppression over the next 18 months) due to their older populations (Figure 5</w:t>
      </w:r>
      <w:r w:rsidR="005A650E" w:rsidRPr="00D52E0E">
        <w:t>D</w:t>
      </w:r>
      <w:r w:rsidR="006C595D" w:rsidRPr="00D52E0E">
        <w:t>, purple lines). However, once we incorporate</w:t>
      </w:r>
      <w:r w:rsidR="006C595D">
        <w:t xml:space="preserve"> our estimates of the poorer quality of care in LICs and LMICs we predict a similar number of deaths in LIC and LMIC compared to </w:t>
      </w:r>
      <w:r w:rsidR="006C595D">
        <w:lastRenderedPageBreak/>
        <w:t>HICs across all suppression triggers. Thus, in all settings, sustained periods of suppression over the next 18 months are predicted to be required if ICU demand is to be kept below capacity and large levels of excess mortality are to be averted.</w:t>
      </w:r>
      <w:r w:rsidR="007751B7">
        <w:t xml:space="preserve"> </w:t>
      </w:r>
      <w:r w:rsidR="009A142E">
        <w:t>Conversely</w:t>
      </w:r>
      <w:r w:rsidR="00E24C09">
        <w:t>,</w:t>
      </w:r>
      <w:r w:rsidR="009A142E">
        <w:t xml:space="preserve"> we </w:t>
      </w:r>
      <w:r w:rsidR="00E24C09">
        <w:t xml:space="preserve">also </w:t>
      </w:r>
      <w:r w:rsidR="009A142E">
        <w:t xml:space="preserve">estimate </w:t>
      </w:r>
      <w:r w:rsidR="00661AE5">
        <w:t xml:space="preserve">that </w:t>
      </w:r>
      <w:r w:rsidR="009A142E">
        <w:t xml:space="preserve">the risks of not maintaining suppression </w:t>
      </w:r>
      <w:r w:rsidR="00A42EC2">
        <w:t xml:space="preserve">are likely to be similarly high across all settings. </w:t>
      </w:r>
      <w:r w:rsidR="00B75DE8">
        <w:t>If su</w:t>
      </w:r>
      <w:r w:rsidR="001B195B">
        <w:t xml:space="preserve">ppression is not maintained (and hence the proportion of time spent in lockdown over the next 18 months is low), </w:t>
      </w:r>
      <w:r w:rsidR="00381868">
        <w:t xml:space="preserve">then our results suggest </w:t>
      </w:r>
      <w:r w:rsidR="00B615BC">
        <w:t xml:space="preserve">a lower </w:t>
      </w:r>
      <w:r w:rsidR="00C33A53">
        <w:t>per-cap</w:t>
      </w:r>
      <w:r w:rsidR="00C627FD">
        <w:t>i</w:t>
      </w:r>
      <w:r w:rsidR="00C33A53">
        <w:t xml:space="preserve">ta level of burden </w:t>
      </w:r>
      <w:r w:rsidR="00381868">
        <w:t>LIC/LMIC due to the younger population</w:t>
      </w:r>
      <w:r w:rsidR="00C33A53">
        <w:t xml:space="preserve">. However, </w:t>
      </w:r>
      <w:r w:rsidR="00381868">
        <w:t>the</w:t>
      </w:r>
      <w:r w:rsidR="007B157C">
        <w:t xml:space="preserve"> </w:t>
      </w:r>
      <w:r w:rsidR="00C33A53">
        <w:t xml:space="preserve">uncertainty in </w:t>
      </w:r>
      <w:r w:rsidR="007B157C">
        <w:t xml:space="preserve">our estimates of the </w:t>
      </w:r>
      <w:r w:rsidR="00C33A53">
        <w:t xml:space="preserve">quality of care </w:t>
      </w:r>
      <w:r w:rsidR="007B157C">
        <w:t>in these settings could mean that this result is reversed</w:t>
      </w:r>
      <w:r w:rsidR="000C11B4">
        <w:t xml:space="preserve"> (Figure 5D)</w:t>
      </w:r>
      <w:r w:rsidR="007B157C">
        <w:t xml:space="preserve">. </w:t>
      </w:r>
    </w:p>
    <w:p w14:paraId="526551EA" w14:textId="2EEBF922" w:rsidR="00D8507B" w:rsidRPr="00D8507B" w:rsidRDefault="00D8507B" w:rsidP="00E93BBD">
      <w:pPr>
        <w:rPr>
          <w:b/>
          <w:bCs/>
        </w:rPr>
        <w:sectPr w:rsidR="00D8507B" w:rsidRPr="00D8507B" w:rsidSect="00D51FDE">
          <w:footerReference w:type="default" r:id="rId18"/>
          <w:pgSz w:w="11906" w:h="16838"/>
          <w:pgMar w:top="1440" w:right="1440" w:bottom="1440" w:left="1440" w:header="708" w:footer="708" w:gutter="0"/>
          <w:cols w:space="708"/>
          <w:docGrid w:linePitch="360"/>
        </w:sectPr>
      </w:pPr>
    </w:p>
    <w:p w14:paraId="3AC30558" w14:textId="70B39F4C" w:rsidR="00E93BBD" w:rsidRDefault="00E93BBD" w:rsidP="00E93BBD">
      <w:pPr>
        <w:rPr>
          <w:i/>
          <w:iCs/>
        </w:rPr>
      </w:pPr>
    </w:p>
    <w:tbl>
      <w:tblPr>
        <w:tblStyle w:val="TableGrid"/>
        <w:tblW w:w="14737" w:type="dxa"/>
        <w:tblCellMar>
          <w:top w:w="28" w:type="dxa"/>
          <w:bottom w:w="28" w:type="dxa"/>
        </w:tblCellMar>
        <w:tblLook w:val="04A0" w:firstRow="1" w:lastRow="0" w:firstColumn="1" w:lastColumn="0" w:noHBand="0" w:noVBand="1"/>
      </w:tblPr>
      <w:tblGrid>
        <w:gridCol w:w="1525"/>
        <w:gridCol w:w="1313"/>
        <w:gridCol w:w="2241"/>
        <w:gridCol w:w="2256"/>
        <w:gridCol w:w="3433"/>
        <w:gridCol w:w="1560"/>
        <w:gridCol w:w="2409"/>
      </w:tblGrid>
      <w:tr w:rsidR="000C45DB" w:rsidRPr="007B1211" w14:paraId="344FC006" w14:textId="77777777" w:rsidTr="007B1211">
        <w:trPr>
          <w:trHeight w:val="20"/>
        </w:trPr>
        <w:tc>
          <w:tcPr>
            <w:tcW w:w="1525" w:type="dxa"/>
            <w:shd w:val="clear" w:color="auto" w:fill="E7E6E6" w:themeFill="background2"/>
          </w:tcPr>
          <w:p w14:paraId="12074108" w14:textId="77777777" w:rsidR="00E93BBD" w:rsidRPr="001E5ED4" w:rsidRDefault="00E93BBD" w:rsidP="00EB1700">
            <w:pPr>
              <w:spacing w:line="240" w:lineRule="auto"/>
              <w:jc w:val="left"/>
              <w:rPr>
                <w:rFonts w:cstheme="minorHAnsi"/>
                <w:b/>
                <w:bCs/>
                <w:sz w:val="20"/>
                <w:szCs w:val="20"/>
              </w:rPr>
            </w:pPr>
          </w:p>
          <w:p w14:paraId="66B0DA48" w14:textId="6D1321DE" w:rsidR="001A48CA" w:rsidRPr="001E5ED4" w:rsidRDefault="001A48CA" w:rsidP="00EB1700">
            <w:pPr>
              <w:spacing w:line="240" w:lineRule="auto"/>
              <w:jc w:val="left"/>
              <w:rPr>
                <w:rFonts w:cstheme="minorHAnsi"/>
                <w:b/>
                <w:bCs/>
                <w:sz w:val="20"/>
                <w:szCs w:val="20"/>
              </w:rPr>
            </w:pPr>
          </w:p>
        </w:tc>
        <w:tc>
          <w:tcPr>
            <w:tcW w:w="1313" w:type="dxa"/>
            <w:shd w:val="clear" w:color="auto" w:fill="E7E6E6" w:themeFill="background2"/>
          </w:tcPr>
          <w:p w14:paraId="29B2E9C7" w14:textId="76DCBCB8"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 xml:space="preserve">Countries </w:t>
            </w:r>
            <w:r w:rsidR="00EB1700" w:rsidRPr="001E5ED4">
              <w:rPr>
                <w:rFonts w:cstheme="minorHAnsi"/>
                <w:b/>
                <w:bCs/>
                <w:sz w:val="20"/>
                <w:szCs w:val="20"/>
              </w:rPr>
              <w:t xml:space="preserve">initiating </w:t>
            </w:r>
            <w:r w:rsidRPr="001E5ED4">
              <w:rPr>
                <w:rFonts w:cstheme="minorHAnsi"/>
                <w:b/>
                <w:bCs/>
                <w:sz w:val="20"/>
                <w:szCs w:val="20"/>
              </w:rPr>
              <w:t>suppression measures</w:t>
            </w:r>
            <w:r w:rsidRPr="001E5ED4">
              <w:rPr>
                <w:rFonts w:cstheme="minorHAnsi"/>
                <w:b/>
                <w:bCs/>
                <w:sz w:val="20"/>
                <w:szCs w:val="20"/>
                <w:vertAlign w:val="superscript"/>
              </w:rPr>
              <w:t>¥</w:t>
            </w:r>
          </w:p>
        </w:tc>
        <w:tc>
          <w:tcPr>
            <w:tcW w:w="2241" w:type="dxa"/>
            <w:shd w:val="clear" w:color="auto" w:fill="E7E6E6" w:themeFill="background2"/>
          </w:tcPr>
          <w:p w14:paraId="4FBF472A" w14:textId="77777777"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Median date suppression implemented</w:t>
            </w:r>
          </w:p>
          <w:p w14:paraId="781A0838" w14:textId="77777777"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(range)</w:t>
            </w:r>
          </w:p>
        </w:tc>
        <w:tc>
          <w:tcPr>
            <w:tcW w:w="2256" w:type="dxa"/>
            <w:shd w:val="clear" w:color="auto" w:fill="E7E6E6" w:themeFill="background2"/>
          </w:tcPr>
          <w:p w14:paraId="19BA571D" w14:textId="77777777"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Median Cases/million prior to suppression (range)</w:t>
            </w:r>
          </w:p>
        </w:tc>
        <w:tc>
          <w:tcPr>
            <w:tcW w:w="3433" w:type="dxa"/>
            <w:shd w:val="clear" w:color="auto" w:fill="E7E6E6" w:themeFill="background2"/>
          </w:tcPr>
          <w:p w14:paraId="1CACB64C" w14:textId="77777777"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Median Deaths/million prior to suppression (range)</w:t>
            </w:r>
          </w:p>
        </w:tc>
        <w:tc>
          <w:tcPr>
            <w:tcW w:w="1560" w:type="dxa"/>
            <w:shd w:val="clear" w:color="auto" w:fill="E7E6E6" w:themeFill="background2"/>
          </w:tcPr>
          <w:p w14:paraId="28DA5562" w14:textId="6DF1C195" w:rsidR="00E93BBD" w:rsidRPr="001E5ED4" w:rsidRDefault="00E93BBD" w:rsidP="00EB1700">
            <w:pPr>
              <w:spacing w:line="240" w:lineRule="auto"/>
              <w:jc w:val="left"/>
              <w:rPr>
                <w:rFonts w:cstheme="minorHAnsi"/>
                <w:b/>
                <w:bCs/>
                <w:sz w:val="20"/>
                <w:szCs w:val="20"/>
              </w:rPr>
            </w:pPr>
            <w:r w:rsidRPr="001E5ED4">
              <w:rPr>
                <w:rFonts w:cstheme="minorHAnsi"/>
                <w:b/>
                <w:bCs/>
                <w:sz w:val="20"/>
                <w:szCs w:val="20"/>
              </w:rPr>
              <w:t xml:space="preserve">With &gt;=3 deaths </w:t>
            </w:r>
            <w:r w:rsidR="00157351">
              <w:rPr>
                <w:rFonts w:cstheme="minorHAnsi"/>
                <w:b/>
                <w:bCs/>
                <w:sz w:val="20"/>
                <w:szCs w:val="20"/>
              </w:rPr>
              <w:t>prior to suppression</w:t>
            </w:r>
            <w:r w:rsidRPr="001E5ED4">
              <w:rPr>
                <w:rFonts w:cstheme="minorHAnsi"/>
                <w:b/>
                <w:bCs/>
                <w:sz w:val="20"/>
                <w:szCs w:val="20"/>
                <w:vertAlign w:val="superscript"/>
              </w:rPr>
              <w:t>€</w:t>
            </w:r>
          </w:p>
        </w:tc>
        <w:tc>
          <w:tcPr>
            <w:tcW w:w="2409" w:type="dxa"/>
            <w:shd w:val="clear" w:color="auto" w:fill="E7E6E6" w:themeFill="background2"/>
          </w:tcPr>
          <w:p w14:paraId="5B0A46EC" w14:textId="0C6925AE" w:rsidR="00E93BBD" w:rsidRPr="001E5ED4" w:rsidRDefault="00FB50AC" w:rsidP="00EB1700">
            <w:pPr>
              <w:spacing w:line="240" w:lineRule="auto"/>
              <w:jc w:val="left"/>
              <w:rPr>
                <w:rFonts w:cstheme="minorHAnsi"/>
                <w:b/>
                <w:bCs/>
                <w:sz w:val="20"/>
                <w:szCs w:val="20"/>
              </w:rPr>
            </w:pPr>
            <w:r>
              <w:rPr>
                <w:rFonts w:cstheme="minorHAnsi"/>
                <w:b/>
                <w:bCs/>
                <w:sz w:val="20"/>
                <w:szCs w:val="20"/>
              </w:rPr>
              <w:t>Median ratio of cases to deaths</w:t>
            </w:r>
          </w:p>
        </w:tc>
      </w:tr>
      <w:tr w:rsidR="000C45DB" w:rsidRPr="007B1211" w14:paraId="146EF2BA" w14:textId="77777777" w:rsidTr="007B1211">
        <w:trPr>
          <w:trHeight w:val="20"/>
        </w:trPr>
        <w:tc>
          <w:tcPr>
            <w:tcW w:w="1525" w:type="dxa"/>
            <w:vAlign w:val="center"/>
          </w:tcPr>
          <w:p w14:paraId="72867C6B"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Worldwide</w:t>
            </w:r>
          </w:p>
        </w:tc>
        <w:tc>
          <w:tcPr>
            <w:tcW w:w="1313" w:type="dxa"/>
            <w:vAlign w:val="center"/>
          </w:tcPr>
          <w:p w14:paraId="2C6017B3" w14:textId="20AB7C60" w:rsidR="00E93BBD" w:rsidRPr="007B1211" w:rsidRDefault="00B8332F" w:rsidP="007B1211">
            <w:pPr>
              <w:spacing w:line="240" w:lineRule="auto"/>
              <w:jc w:val="center"/>
              <w:rPr>
                <w:rFonts w:cstheme="minorHAnsi"/>
                <w:sz w:val="20"/>
                <w:szCs w:val="20"/>
              </w:rPr>
            </w:pPr>
            <w:r w:rsidRPr="007B1211">
              <w:rPr>
                <w:rFonts w:cstheme="minorHAnsi"/>
                <w:sz w:val="20"/>
                <w:szCs w:val="20"/>
              </w:rPr>
              <w:t>121</w:t>
            </w:r>
          </w:p>
        </w:tc>
        <w:tc>
          <w:tcPr>
            <w:tcW w:w="2241" w:type="dxa"/>
            <w:vAlign w:val="center"/>
          </w:tcPr>
          <w:p w14:paraId="7D79E732"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24/03 (08/03-19/04)</w:t>
            </w:r>
          </w:p>
        </w:tc>
        <w:tc>
          <w:tcPr>
            <w:tcW w:w="2256" w:type="dxa"/>
            <w:vAlign w:val="center"/>
          </w:tcPr>
          <w:p w14:paraId="48A759B5" w14:textId="3F7C7BD3" w:rsidR="00E93BBD" w:rsidRPr="007B1211" w:rsidRDefault="00705DF7" w:rsidP="007B1211">
            <w:pPr>
              <w:spacing w:line="240" w:lineRule="auto"/>
              <w:jc w:val="center"/>
              <w:rPr>
                <w:rFonts w:cstheme="minorHAnsi"/>
                <w:sz w:val="20"/>
                <w:szCs w:val="20"/>
              </w:rPr>
            </w:pPr>
            <w:r w:rsidRPr="007B1211">
              <w:rPr>
                <w:rFonts w:cstheme="minorHAnsi"/>
                <w:sz w:val="20"/>
                <w:szCs w:val="20"/>
              </w:rPr>
              <w:t>6</w:t>
            </w:r>
            <w:r w:rsidR="00E93BBD" w:rsidRPr="007B1211">
              <w:rPr>
                <w:rFonts w:cstheme="minorHAnsi"/>
                <w:sz w:val="20"/>
                <w:szCs w:val="20"/>
              </w:rPr>
              <w:t>.</w:t>
            </w:r>
            <w:r w:rsidR="00597911" w:rsidRPr="007B1211">
              <w:rPr>
                <w:rFonts w:cstheme="minorHAnsi"/>
                <w:sz w:val="20"/>
                <w:szCs w:val="20"/>
              </w:rPr>
              <w:t xml:space="preserve">01 </w:t>
            </w:r>
            <w:r w:rsidR="00E93BBD" w:rsidRPr="007B1211">
              <w:rPr>
                <w:rFonts w:cstheme="minorHAnsi"/>
                <w:sz w:val="20"/>
                <w:szCs w:val="20"/>
              </w:rPr>
              <w:t>(</w:t>
            </w:r>
            <w:r w:rsidR="004C05FA" w:rsidRPr="007B1211">
              <w:rPr>
                <w:rFonts w:cstheme="minorHAnsi"/>
                <w:sz w:val="20"/>
                <w:szCs w:val="20"/>
              </w:rPr>
              <w:t>0</w:t>
            </w:r>
            <w:r w:rsidR="001551CC" w:rsidRPr="007B1211">
              <w:rPr>
                <w:rFonts w:cstheme="minorHAnsi"/>
                <w:sz w:val="20"/>
                <w:szCs w:val="20"/>
              </w:rPr>
              <w:t xml:space="preserve"> </w:t>
            </w:r>
            <w:r w:rsidR="00E93BBD" w:rsidRPr="007B1211">
              <w:rPr>
                <w:rFonts w:cstheme="minorHAnsi"/>
                <w:sz w:val="20"/>
                <w:szCs w:val="20"/>
              </w:rPr>
              <w:t>-449.24)</w:t>
            </w:r>
          </w:p>
        </w:tc>
        <w:tc>
          <w:tcPr>
            <w:tcW w:w="3433" w:type="dxa"/>
            <w:vAlign w:val="center"/>
          </w:tcPr>
          <w:p w14:paraId="57294800" w14:textId="0F0242EE" w:rsidR="00E93BBD" w:rsidRPr="007B1211" w:rsidRDefault="00E93BBD" w:rsidP="007B1211">
            <w:pPr>
              <w:spacing w:line="240" w:lineRule="auto"/>
              <w:jc w:val="center"/>
              <w:rPr>
                <w:rFonts w:cstheme="minorHAnsi"/>
                <w:sz w:val="20"/>
                <w:szCs w:val="20"/>
              </w:rPr>
            </w:pPr>
            <w:r w:rsidRPr="007B1211">
              <w:rPr>
                <w:rFonts w:cstheme="minorHAnsi"/>
                <w:sz w:val="20"/>
                <w:szCs w:val="20"/>
              </w:rPr>
              <w:t>0 (0-10.447)</w:t>
            </w:r>
          </w:p>
        </w:tc>
        <w:tc>
          <w:tcPr>
            <w:tcW w:w="1560" w:type="dxa"/>
            <w:vAlign w:val="center"/>
          </w:tcPr>
          <w:p w14:paraId="65BBFA45" w14:textId="03A2A920" w:rsidR="00E93BBD" w:rsidRPr="007B1211" w:rsidRDefault="00FB50AC" w:rsidP="007B1211">
            <w:pPr>
              <w:spacing w:line="240" w:lineRule="auto"/>
              <w:jc w:val="center"/>
              <w:rPr>
                <w:rFonts w:cstheme="minorHAnsi"/>
                <w:sz w:val="20"/>
                <w:szCs w:val="20"/>
              </w:rPr>
            </w:pPr>
            <w:r>
              <w:rPr>
                <w:rFonts w:cstheme="minorHAnsi"/>
                <w:sz w:val="20"/>
                <w:szCs w:val="20"/>
              </w:rPr>
              <w:t>50</w:t>
            </w:r>
          </w:p>
        </w:tc>
        <w:tc>
          <w:tcPr>
            <w:tcW w:w="2409" w:type="dxa"/>
            <w:vAlign w:val="center"/>
          </w:tcPr>
          <w:p w14:paraId="777D13D6" w14:textId="3C2DD54E" w:rsidR="00E93BBD" w:rsidRPr="007B1211" w:rsidRDefault="00261D4A" w:rsidP="007B1211">
            <w:pPr>
              <w:spacing w:line="240" w:lineRule="auto"/>
              <w:jc w:val="center"/>
              <w:rPr>
                <w:rFonts w:cstheme="minorHAnsi"/>
                <w:sz w:val="20"/>
                <w:szCs w:val="20"/>
              </w:rPr>
            </w:pPr>
            <w:r w:rsidRPr="00261D4A">
              <w:rPr>
                <w:rFonts w:cstheme="minorHAnsi"/>
                <w:sz w:val="20"/>
                <w:szCs w:val="20"/>
              </w:rPr>
              <w:t>45.8 (5.1 - 325.2)</w:t>
            </w:r>
          </w:p>
        </w:tc>
      </w:tr>
      <w:tr w:rsidR="00E93BBD" w:rsidRPr="007B1211" w14:paraId="047A57F6" w14:textId="77777777" w:rsidTr="007B1211">
        <w:trPr>
          <w:trHeight w:val="20"/>
        </w:trPr>
        <w:tc>
          <w:tcPr>
            <w:tcW w:w="14737" w:type="dxa"/>
            <w:gridSpan w:val="7"/>
            <w:shd w:val="clear" w:color="auto" w:fill="E7E6E6" w:themeFill="background2"/>
            <w:vAlign w:val="center"/>
          </w:tcPr>
          <w:p w14:paraId="7F629851" w14:textId="77777777" w:rsidR="00E93BBD" w:rsidRPr="001E5ED4" w:rsidRDefault="00E93BBD" w:rsidP="007B1211">
            <w:pPr>
              <w:spacing w:line="240" w:lineRule="auto"/>
              <w:jc w:val="center"/>
              <w:rPr>
                <w:rFonts w:cstheme="minorHAnsi"/>
                <w:b/>
                <w:bCs/>
                <w:sz w:val="20"/>
                <w:szCs w:val="20"/>
              </w:rPr>
            </w:pPr>
            <w:r w:rsidRPr="001E5ED4">
              <w:rPr>
                <w:rFonts w:cstheme="minorHAnsi"/>
                <w:b/>
                <w:bCs/>
                <w:sz w:val="20"/>
                <w:szCs w:val="20"/>
              </w:rPr>
              <w:t>Region</w:t>
            </w:r>
          </w:p>
        </w:tc>
      </w:tr>
      <w:tr w:rsidR="000C45DB" w:rsidRPr="007B1211" w14:paraId="429E9A82" w14:textId="77777777" w:rsidTr="007B1211">
        <w:trPr>
          <w:trHeight w:val="20"/>
        </w:trPr>
        <w:tc>
          <w:tcPr>
            <w:tcW w:w="1525" w:type="dxa"/>
            <w:vAlign w:val="center"/>
          </w:tcPr>
          <w:p w14:paraId="648D27A5"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East Asia &amp; Pacific</w:t>
            </w:r>
          </w:p>
        </w:tc>
        <w:tc>
          <w:tcPr>
            <w:tcW w:w="1313" w:type="dxa"/>
            <w:vAlign w:val="center"/>
          </w:tcPr>
          <w:p w14:paraId="1636D663" w14:textId="2EE9AFC0" w:rsidR="00E93BBD" w:rsidRPr="007B1211" w:rsidRDefault="001D39E9" w:rsidP="007B1211">
            <w:pPr>
              <w:spacing w:line="240" w:lineRule="auto"/>
              <w:jc w:val="center"/>
              <w:rPr>
                <w:rFonts w:cstheme="minorHAnsi"/>
                <w:sz w:val="20"/>
                <w:szCs w:val="20"/>
              </w:rPr>
            </w:pPr>
            <w:r w:rsidRPr="007B1211">
              <w:rPr>
                <w:rFonts w:cstheme="minorHAnsi"/>
                <w:sz w:val="20"/>
                <w:szCs w:val="20"/>
              </w:rPr>
              <w:t>10</w:t>
            </w:r>
          </w:p>
        </w:tc>
        <w:tc>
          <w:tcPr>
            <w:tcW w:w="2241" w:type="dxa"/>
            <w:vAlign w:val="center"/>
          </w:tcPr>
          <w:p w14:paraId="50CB4797" w14:textId="560818D0" w:rsidR="00E93BBD" w:rsidRPr="007B1211" w:rsidRDefault="00E93BBD" w:rsidP="007B1211">
            <w:pPr>
              <w:spacing w:line="240" w:lineRule="auto"/>
              <w:jc w:val="center"/>
              <w:rPr>
                <w:rFonts w:cstheme="minorHAnsi"/>
                <w:sz w:val="20"/>
                <w:szCs w:val="20"/>
              </w:rPr>
            </w:pPr>
            <w:r w:rsidRPr="007B1211">
              <w:rPr>
                <w:rFonts w:cstheme="minorHAnsi"/>
                <w:sz w:val="20"/>
                <w:szCs w:val="20"/>
              </w:rPr>
              <w:t xml:space="preserve">25/03 (14/03 – </w:t>
            </w:r>
            <w:r w:rsidR="00CB64CA" w:rsidRPr="007B1211">
              <w:rPr>
                <w:rFonts w:cstheme="minorHAnsi"/>
                <w:sz w:val="20"/>
                <w:szCs w:val="20"/>
              </w:rPr>
              <w:t>10</w:t>
            </w:r>
            <w:r w:rsidRPr="007B1211">
              <w:rPr>
                <w:rFonts w:cstheme="minorHAnsi"/>
                <w:sz w:val="20"/>
                <w:szCs w:val="20"/>
              </w:rPr>
              <w:t>/04)</w:t>
            </w:r>
          </w:p>
        </w:tc>
        <w:tc>
          <w:tcPr>
            <w:tcW w:w="2256" w:type="dxa"/>
            <w:vAlign w:val="center"/>
          </w:tcPr>
          <w:p w14:paraId="21864B77" w14:textId="72A8760B" w:rsidR="00E93BBD" w:rsidRPr="007B1211" w:rsidRDefault="00640EA8" w:rsidP="007B1211">
            <w:pPr>
              <w:spacing w:line="240" w:lineRule="auto"/>
              <w:jc w:val="center"/>
              <w:rPr>
                <w:rFonts w:cstheme="minorHAnsi"/>
                <w:sz w:val="20"/>
                <w:szCs w:val="20"/>
              </w:rPr>
            </w:pPr>
            <w:r w:rsidRPr="007B1211">
              <w:rPr>
                <w:rFonts w:eastAsia="Times New Roman" w:cstheme="minorHAnsi"/>
                <w:sz w:val="20"/>
                <w:szCs w:val="20"/>
                <w:lang w:eastAsia="en-GB"/>
              </w:rPr>
              <w:t>3.08</w:t>
            </w:r>
            <w:r w:rsidR="00E93BBD" w:rsidRPr="007B1211">
              <w:rPr>
                <w:rFonts w:eastAsia="Times New Roman" w:cstheme="minorHAnsi"/>
                <w:sz w:val="20"/>
                <w:szCs w:val="20"/>
                <w:lang w:eastAsia="en-GB"/>
              </w:rPr>
              <w:t xml:space="preserve"> (0-149.37)</w:t>
            </w:r>
          </w:p>
        </w:tc>
        <w:tc>
          <w:tcPr>
            <w:tcW w:w="3433" w:type="dxa"/>
            <w:vAlign w:val="center"/>
          </w:tcPr>
          <w:p w14:paraId="3809E561" w14:textId="079EF60B"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 (0-0.549)</w:t>
            </w:r>
          </w:p>
        </w:tc>
        <w:tc>
          <w:tcPr>
            <w:tcW w:w="1560" w:type="dxa"/>
            <w:vAlign w:val="center"/>
          </w:tcPr>
          <w:p w14:paraId="6EB18936" w14:textId="7851C6FB" w:rsidR="00E93BBD" w:rsidRPr="007B1211" w:rsidRDefault="00851930" w:rsidP="007B1211">
            <w:pPr>
              <w:spacing w:line="240" w:lineRule="auto"/>
              <w:jc w:val="center"/>
              <w:rPr>
                <w:rFonts w:cstheme="minorHAnsi"/>
                <w:sz w:val="20"/>
                <w:szCs w:val="20"/>
              </w:rPr>
            </w:pPr>
            <w:r w:rsidRPr="007B1211">
              <w:rPr>
                <w:rFonts w:eastAsia="Times New Roman" w:cstheme="minorHAnsi"/>
                <w:sz w:val="20"/>
                <w:szCs w:val="20"/>
                <w:lang w:eastAsia="en-GB"/>
              </w:rPr>
              <w:t>9</w:t>
            </w:r>
          </w:p>
        </w:tc>
        <w:tc>
          <w:tcPr>
            <w:tcW w:w="2409" w:type="dxa"/>
            <w:vAlign w:val="center"/>
          </w:tcPr>
          <w:p w14:paraId="2BE9C7B1" w14:textId="23F83166" w:rsidR="00E93BBD" w:rsidRPr="007B1211" w:rsidRDefault="00AE31DC"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hAnsiTheme="majorHAnsi" w:cstheme="majorHAnsi"/>
                <w:sz w:val="20"/>
                <w:szCs w:val="20"/>
              </w:rPr>
            </w:pPr>
            <w:r w:rsidRPr="00AE31DC">
              <w:rPr>
                <w:rFonts w:asciiTheme="majorHAnsi" w:hAnsiTheme="majorHAnsi" w:cstheme="majorHAnsi"/>
                <w:sz w:val="20"/>
                <w:szCs w:val="20"/>
              </w:rPr>
              <w:t>47.3 (9 - 325.2)</w:t>
            </w:r>
          </w:p>
        </w:tc>
      </w:tr>
      <w:tr w:rsidR="000C45DB" w:rsidRPr="007B1211" w14:paraId="60C2390A" w14:textId="77777777" w:rsidTr="007B1211">
        <w:trPr>
          <w:trHeight w:val="20"/>
        </w:trPr>
        <w:tc>
          <w:tcPr>
            <w:tcW w:w="1525" w:type="dxa"/>
            <w:vAlign w:val="center"/>
          </w:tcPr>
          <w:p w14:paraId="599A3276"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Europe &amp; Central Asia</w:t>
            </w:r>
          </w:p>
        </w:tc>
        <w:tc>
          <w:tcPr>
            <w:tcW w:w="1313" w:type="dxa"/>
            <w:vAlign w:val="center"/>
          </w:tcPr>
          <w:p w14:paraId="0B8EAC6A"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34</w:t>
            </w:r>
          </w:p>
        </w:tc>
        <w:tc>
          <w:tcPr>
            <w:tcW w:w="2241" w:type="dxa"/>
            <w:vAlign w:val="center"/>
          </w:tcPr>
          <w:p w14:paraId="7B792649"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22/03 (08/03- 03/04)</w:t>
            </w:r>
          </w:p>
        </w:tc>
        <w:tc>
          <w:tcPr>
            <w:tcW w:w="2256" w:type="dxa"/>
            <w:vAlign w:val="center"/>
          </w:tcPr>
          <w:p w14:paraId="71BEBF2B"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72.08 (0.07-449.24)</w:t>
            </w:r>
          </w:p>
        </w:tc>
        <w:tc>
          <w:tcPr>
            <w:tcW w:w="3433" w:type="dxa"/>
            <w:vAlign w:val="center"/>
          </w:tcPr>
          <w:p w14:paraId="3DB8D02E" w14:textId="51A7E975"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0.34</w:t>
            </w:r>
            <w:r w:rsidR="00A110C4" w:rsidRPr="007B1211">
              <w:rPr>
                <w:rFonts w:eastAsia="Times New Roman" w:cstheme="minorHAnsi"/>
                <w:sz w:val="20"/>
                <w:szCs w:val="20"/>
                <w:lang w:eastAsia="en-GB"/>
              </w:rPr>
              <w:t>0</w:t>
            </w:r>
            <w:r w:rsidRPr="007B1211">
              <w:rPr>
                <w:rFonts w:eastAsia="Times New Roman" w:cstheme="minorHAnsi"/>
                <w:sz w:val="20"/>
                <w:szCs w:val="20"/>
                <w:lang w:eastAsia="en-GB"/>
              </w:rPr>
              <w:t xml:space="preserve"> (0-10.447)</w:t>
            </w:r>
          </w:p>
        </w:tc>
        <w:tc>
          <w:tcPr>
            <w:tcW w:w="1560" w:type="dxa"/>
            <w:vAlign w:val="center"/>
          </w:tcPr>
          <w:p w14:paraId="76173C6A"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20</w:t>
            </w:r>
          </w:p>
        </w:tc>
        <w:tc>
          <w:tcPr>
            <w:tcW w:w="2409" w:type="dxa"/>
            <w:vAlign w:val="center"/>
          </w:tcPr>
          <w:p w14:paraId="7475A830" w14:textId="3CF56C34" w:rsidR="00E93BBD" w:rsidRPr="007B1211" w:rsidRDefault="00797AB2"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797AB2">
              <w:rPr>
                <w:rFonts w:asciiTheme="majorHAnsi" w:eastAsia="Times New Roman" w:hAnsiTheme="majorHAnsi" w:cstheme="majorHAnsi"/>
                <w:color w:val="000000"/>
                <w:sz w:val="20"/>
                <w:szCs w:val="20"/>
                <w:lang w:eastAsia="en-GB"/>
              </w:rPr>
              <w:t>46.7 (9 - 320.3)</w:t>
            </w:r>
          </w:p>
        </w:tc>
      </w:tr>
      <w:tr w:rsidR="000C45DB" w:rsidRPr="007B1211" w14:paraId="0F337492" w14:textId="77777777" w:rsidTr="007B1211">
        <w:trPr>
          <w:trHeight w:val="20"/>
        </w:trPr>
        <w:tc>
          <w:tcPr>
            <w:tcW w:w="1525" w:type="dxa"/>
            <w:vAlign w:val="center"/>
          </w:tcPr>
          <w:p w14:paraId="16131B5D"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Latin America &amp; Caribbean</w:t>
            </w:r>
          </w:p>
        </w:tc>
        <w:tc>
          <w:tcPr>
            <w:tcW w:w="1313" w:type="dxa"/>
            <w:vAlign w:val="center"/>
          </w:tcPr>
          <w:p w14:paraId="760D7362"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21</w:t>
            </w:r>
          </w:p>
        </w:tc>
        <w:tc>
          <w:tcPr>
            <w:tcW w:w="2241" w:type="dxa"/>
            <w:vAlign w:val="center"/>
          </w:tcPr>
          <w:p w14:paraId="7D106412"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22/03 (16/03- 08/04)</w:t>
            </w:r>
          </w:p>
        </w:tc>
        <w:tc>
          <w:tcPr>
            <w:tcW w:w="2256" w:type="dxa"/>
            <w:vAlign w:val="center"/>
          </w:tcPr>
          <w:p w14:paraId="78DBEEE9"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6.01 (0.18-156.59)</w:t>
            </w:r>
          </w:p>
        </w:tc>
        <w:tc>
          <w:tcPr>
            <w:tcW w:w="3433" w:type="dxa"/>
            <w:vAlign w:val="center"/>
          </w:tcPr>
          <w:p w14:paraId="286961E6"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 (0-0.393)</w:t>
            </w:r>
          </w:p>
        </w:tc>
        <w:tc>
          <w:tcPr>
            <w:tcW w:w="1560" w:type="dxa"/>
            <w:vAlign w:val="center"/>
          </w:tcPr>
          <w:p w14:paraId="6DDD74C4" w14:textId="168F12E2" w:rsidR="00E93BBD" w:rsidRPr="007B1211" w:rsidRDefault="00851930" w:rsidP="007B1211">
            <w:pPr>
              <w:spacing w:line="240" w:lineRule="auto"/>
              <w:jc w:val="center"/>
              <w:rPr>
                <w:rFonts w:cstheme="minorHAnsi"/>
                <w:sz w:val="20"/>
                <w:szCs w:val="20"/>
              </w:rPr>
            </w:pPr>
            <w:r w:rsidRPr="007B1211">
              <w:rPr>
                <w:rFonts w:eastAsia="Times New Roman" w:cstheme="minorHAnsi"/>
                <w:sz w:val="20"/>
                <w:szCs w:val="20"/>
                <w:lang w:eastAsia="en-GB"/>
              </w:rPr>
              <w:t>6</w:t>
            </w:r>
          </w:p>
        </w:tc>
        <w:tc>
          <w:tcPr>
            <w:tcW w:w="2409" w:type="dxa"/>
            <w:vAlign w:val="center"/>
          </w:tcPr>
          <w:p w14:paraId="63D57697" w14:textId="2987C0FD" w:rsidR="00E93BBD" w:rsidRPr="007B1211" w:rsidRDefault="009F16D0"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9F16D0">
              <w:rPr>
                <w:rFonts w:asciiTheme="majorHAnsi" w:eastAsia="Times New Roman" w:hAnsiTheme="majorHAnsi" w:cstheme="majorHAnsi"/>
                <w:color w:val="000000"/>
                <w:sz w:val="20"/>
                <w:szCs w:val="20"/>
                <w:lang w:eastAsia="en-GB"/>
              </w:rPr>
              <w:t xml:space="preserve">63.9 (30.2 </w:t>
            </w:r>
            <w:r>
              <w:rPr>
                <w:rFonts w:asciiTheme="majorHAnsi" w:eastAsia="Times New Roman" w:hAnsiTheme="majorHAnsi" w:cstheme="majorHAnsi"/>
                <w:color w:val="000000"/>
                <w:sz w:val="20"/>
                <w:szCs w:val="20"/>
                <w:lang w:eastAsia="en-GB"/>
              </w:rPr>
              <w:t>–</w:t>
            </w:r>
            <w:r w:rsidRPr="009F16D0">
              <w:rPr>
                <w:rFonts w:asciiTheme="majorHAnsi" w:eastAsia="Times New Roman" w:hAnsiTheme="majorHAnsi" w:cstheme="majorHAnsi"/>
                <w:color w:val="000000"/>
                <w:sz w:val="20"/>
                <w:szCs w:val="20"/>
                <w:lang w:eastAsia="en-GB"/>
              </w:rPr>
              <w:t xml:space="preserve"> 102)</w:t>
            </w:r>
          </w:p>
        </w:tc>
      </w:tr>
      <w:tr w:rsidR="000C45DB" w:rsidRPr="007B1211" w14:paraId="0C9E6342" w14:textId="77777777" w:rsidTr="007B1211">
        <w:trPr>
          <w:trHeight w:val="20"/>
        </w:trPr>
        <w:tc>
          <w:tcPr>
            <w:tcW w:w="1525" w:type="dxa"/>
            <w:vAlign w:val="center"/>
          </w:tcPr>
          <w:p w14:paraId="440BC63A"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Middle East &amp; North Africa</w:t>
            </w:r>
          </w:p>
        </w:tc>
        <w:tc>
          <w:tcPr>
            <w:tcW w:w="1313" w:type="dxa"/>
            <w:vAlign w:val="center"/>
          </w:tcPr>
          <w:p w14:paraId="12C079F6" w14:textId="2D407FC1" w:rsidR="00E93BBD" w:rsidRPr="007B1211" w:rsidRDefault="00C961DE" w:rsidP="007B1211">
            <w:pPr>
              <w:spacing w:line="240" w:lineRule="auto"/>
              <w:jc w:val="center"/>
              <w:rPr>
                <w:rFonts w:cstheme="minorHAnsi"/>
                <w:sz w:val="20"/>
                <w:szCs w:val="20"/>
              </w:rPr>
            </w:pPr>
            <w:r w:rsidRPr="007B1211">
              <w:rPr>
                <w:rFonts w:cstheme="minorHAnsi"/>
                <w:sz w:val="20"/>
                <w:szCs w:val="20"/>
              </w:rPr>
              <w:t>1</w:t>
            </w:r>
            <w:r w:rsidR="001D39E9" w:rsidRPr="007B1211">
              <w:rPr>
                <w:rFonts w:cstheme="minorHAnsi"/>
                <w:sz w:val="20"/>
                <w:szCs w:val="20"/>
              </w:rPr>
              <w:t>4</w:t>
            </w:r>
          </w:p>
        </w:tc>
        <w:tc>
          <w:tcPr>
            <w:tcW w:w="2241" w:type="dxa"/>
            <w:vAlign w:val="center"/>
          </w:tcPr>
          <w:p w14:paraId="7D139281"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23/03 (17/03 – 30/03)</w:t>
            </w:r>
          </w:p>
        </w:tc>
        <w:tc>
          <w:tcPr>
            <w:tcW w:w="2256" w:type="dxa"/>
            <w:vAlign w:val="center"/>
          </w:tcPr>
          <w:p w14:paraId="72E84B48" w14:textId="25C6863F" w:rsidR="00E93BBD" w:rsidRPr="007B1211" w:rsidRDefault="0019039E" w:rsidP="007B1211">
            <w:pPr>
              <w:spacing w:line="240" w:lineRule="auto"/>
              <w:jc w:val="center"/>
              <w:rPr>
                <w:rFonts w:cstheme="minorHAnsi"/>
                <w:sz w:val="20"/>
                <w:szCs w:val="20"/>
              </w:rPr>
            </w:pPr>
            <w:r w:rsidRPr="007B1211">
              <w:rPr>
                <w:rFonts w:eastAsia="Times New Roman" w:cstheme="minorHAnsi"/>
                <w:sz w:val="20"/>
                <w:szCs w:val="20"/>
                <w:lang w:eastAsia="en-GB"/>
              </w:rPr>
              <w:t>1</w:t>
            </w:r>
            <w:r w:rsidR="00BE2E13" w:rsidRPr="007B1211">
              <w:rPr>
                <w:rFonts w:eastAsia="Times New Roman" w:cstheme="minorHAnsi"/>
                <w:sz w:val="20"/>
                <w:szCs w:val="20"/>
                <w:lang w:eastAsia="en-GB"/>
              </w:rPr>
              <w:t>2</w:t>
            </w:r>
            <w:r w:rsidR="00E93BBD" w:rsidRPr="007B1211">
              <w:rPr>
                <w:rFonts w:eastAsia="Times New Roman" w:cstheme="minorHAnsi"/>
                <w:sz w:val="20"/>
                <w:szCs w:val="20"/>
                <w:lang w:eastAsia="en-GB"/>
              </w:rPr>
              <w:t>.</w:t>
            </w:r>
            <w:r w:rsidR="00BE2E13" w:rsidRPr="007B1211">
              <w:rPr>
                <w:rFonts w:eastAsia="Times New Roman" w:cstheme="minorHAnsi"/>
                <w:sz w:val="20"/>
                <w:szCs w:val="20"/>
                <w:lang w:eastAsia="en-GB"/>
              </w:rPr>
              <w:t>44</w:t>
            </w:r>
            <w:r w:rsidR="00E93BBD" w:rsidRPr="007B1211">
              <w:rPr>
                <w:rFonts w:eastAsia="Times New Roman" w:cstheme="minorHAnsi"/>
                <w:sz w:val="20"/>
                <w:szCs w:val="20"/>
                <w:lang w:eastAsia="en-GB"/>
              </w:rPr>
              <w:t xml:space="preserve"> (</w:t>
            </w:r>
            <w:r w:rsidR="004C05FA" w:rsidRPr="007B1211">
              <w:rPr>
                <w:rFonts w:eastAsia="Times New Roman" w:cstheme="minorHAnsi"/>
                <w:sz w:val="20"/>
                <w:szCs w:val="20"/>
                <w:lang w:eastAsia="en-GB"/>
              </w:rPr>
              <w:t>0</w:t>
            </w:r>
            <w:r w:rsidR="00E93BBD" w:rsidRPr="007B1211">
              <w:rPr>
                <w:rFonts w:eastAsia="Times New Roman" w:cstheme="minorHAnsi"/>
                <w:sz w:val="20"/>
                <w:szCs w:val="20"/>
                <w:lang w:eastAsia="en-GB"/>
              </w:rPr>
              <w:t>-3</w:t>
            </w:r>
            <w:r w:rsidR="00624562" w:rsidRPr="007B1211">
              <w:rPr>
                <w:rFonts w:eastAsia="Times New Roman" w:cstheme="minorHAnsi"/>
                <w:sz w:val="20"/>
                <w:szCs w:val="20"/>
                <w:lang w:eastAsia="en-GB"/>
              </w:rPr>
              <w:t>53</w:t>
            </w:r>
            <w:r w:rsidR="00E93BBD" w:rsidRPr="007B1211">
              <w:rPr>
                <w:rFonts w:eastAsia="Times New Roman" w:cstheme="minorHAnsi"/>
                <w:sz w:val="20"/>
                <w:szCs w:val="20"/>
                <w:lang w:eastAsia="en-GB"/>
              </w:rPr>
              <w:t>.</w:t>
            </w:r>
            <w:r w:rsidR="00624562" w:rsidRPr="007B1211">
              <w:rPr>
                <w:rFonts w:eastAsia="Times New Roman" w:cstheme="minorHAnsi"/>
                <w:sz w:val="20"/>
                <w:szCs w:val="20"/>
                <w:lang w:eastAsia="en-GB"/>
              </w:rPr>
              <w:t>31</w:t>
            </w:r>
            <w:r w:rsidR="00E93BBD" w:rsidRPr="007B1211">
              <w:rPr>
                <w:rFonts w:eastAsia="Times New Roman" w:cstheme="minorHAnsi"/>
                <w:sz w:val="20"/>
                <w:szCs w:val="20"/>
                <w:lang w:eastAsia="en-GB"/>
              </w:rPr>
              <w:t>)</w:t>
            </w:r>
          </w:p>
        </w:tc>
        <w:tc>
          <w:tcPr>
            <w:tcW w:w="3433" w:type="dxa"/>
            <w:vAlign w:val="center"/>
          </w:tcPr>
          <w:p w14:paraId="549D0310"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 (0-1.763)</w:t>
            </w:r>
          </w:p>
        </w:tc>
        <w:tc>
          <w:tcPr>
            <w:tcW w:w="1560" w:type="dxa"/>
            <w:vAlign w:val="center"/>
          </w:tcPr>
          <w:p w14:paraId="268B6B09" w14:textId="4C18F188" w:rsidR="00E93BBD" w:rsidRPr="007B1211" w:rsidRDefault="00851930" w:rsidP="007B1211">
            <w:pPr>
              <w:spacing w:line="240" w:lineRule="auto"/>
              <w:jc w:val="center"/>
              <w:rPr>
                <w:rFonts w:cstheme="minorHAnsi"/>
                <w:sz w:val="20"/>
                <w:szCs w:val="20"/>
              </w:rPr>
            </w:pPr>
            <w:r w:rsidRPr="007B1211">
              <w:rPr>
                <w:rFonts w:eastAsia="Times New Roman" w:cstheme="minorHAnsi"/>
                <w:sz w:val="20"/>
                <w:szCs w:val="20"/>
                <w:lang w:eastAsia="en-GB"/>
              </w:rPr>
              <w:t>6</w:t>
            </w:r>
          </w:p>
        </w:tc>
        <w:tc>
          <w:tcPr>
            <w:tcW w:w="2409" w:type="dxa"/>
            <w:vAlign w:val="center"/>
          </w:tcPr>
          <w:p w14:paraId="4D95F32A" w14:textId="76E51AC7" w:rsidR="00E93BBD" w:rsidRPr="007B1211" w:rsidRDefault="009F16D0"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9F16D0">
              <w:rPr>
                <w:rFonts w:asciiTheme="majorHAnsi" w:eastAsia="Times New Roman" w:hAnsiTheme="majorHAnsi" w:cstheme="majorHAnsi"/>
                <w:color w:val="000000"/>
                <w:sz w:val="20"/>
                <w:szCs w:val="20"/>
                <w:bdr w:val="none" w:sz="0" w:space="0" w:color="auto" w:frame="1"/>
                <w:lang w:eastAsia="en-GB"/>
              </w:rPr>
              <w:t>16.5 (5.1 - 139.7)</w:t>
            </w:r>
          </w:p>
        </w:tc>
      </w:tr>
      <w:tr w:rsidR="000C45DB" w:rsidRPr="007B1211" w14:paraId="5E451A53" w14:textId="77777777" w:rsidTr="007B1211">
        <w:trPr>
          <w:trHeight w:val="20"/>
        </w:trPr>
        <w:tc>
          <w:tcPr>
            <w:tcW w:w="1525" w:type="dxa"/>
            <w:vAlign w:val="center"/>
          </w:tcPr>
          <w:p w14:paraId="33529C04"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North America</w:t>
            </w:r>
          </w:p>
        </w:tc>
        <w:tc>
          <w:tcPr>
            <w:tcW w:w="1313" w:type="dxa"/>
            <w:vAlign w:val="center"/>
          </w:tcPr>
          <w:p w14:paraId="03381269"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0</w:t>
            </w:r>
          </w:p>
        </w:tc>
        <w:tc>
          <w:tcPr>
            <w:tcW w:w="2241" w:type="dxa"/>
            <w:vAlign w:val="center"/>
          </w:tcPr>
          <w:p w14:paraId="1926E82A"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NA</w:t>
            </w:r>
          </w:p>
        </w:tc>
        <w:tc>
          <w:tcPr>
            <w:tcW w:w="2256" w:type="dxa"/>
            <w:vAlign w:val="center"/>
          </w:tcPr>
          <w:p w14:paraId="04A55893"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NA</w:t>
            </w:r>
          </w:p>
        </w:tc>
        <w:tc>
          <w:tcPr>
            <w:tcW w:w="3433" w:type="dxa"/>
            <w:vAlign w:val="center"/>
          </w:tcPr>
          <w:p w14:paraId="5643A431"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NA</w:t>
            </w:r>
          </w:p>
        </w:tc>
        <w:tc>
          <w:tcPr>
            <w:tcW w:w="1560" w:type="dxa"/>
            <w:vAlign w:val="center"/>
          </w:tcPr>
          <w:p w14:paraId="7BFECCC1"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w:t>
            </w:r>
          </w:p>
        </w:tc>
        <w:tc>
          <w:tcPr>
            <w:tcW w:w="2409" w:type="dxa"/>
            <w:vAlign w:val="center"/>
          </w:tcPr>
          <w:p w14:paraId="790209F6" w14:textId="133FC32D" w:rsidR="00E93BBD" w:rsidRPr="007B1211" w:rsidRDefault="0014475F"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14475F">
              <w:rPr>
                <w:rFonts w:asciiTheme="majorHAnsi" w:eastAsia="Times New Roman" w:hAnsiTheme="majorHAnsi" w:cstheme="majorHAnsi"/>
                <w:color w:val="000000"/>
                <w:sz w:val="20"/>
                <w:szCs w:val="20"/>
                <w:bdr w:val="none" w:sz="0" w:space="0" w:color="auto" w:frame="1"/>
                <w:lang w:eastAsia="en-GB"/>
              </w:rPr>
              <w:t>43.5 (14.5 - 72.6)</w:t>
            </w:r>
          </w:p>
        </w:tc>
      </w:tr>
      <w:tr w:rsidR="000C45DB" w:rsidRPr="007B1211" w14:paraId="5E17EF77" w14:textId="77777777" w:rsidTr="007B1211">
        <w:trPr>
          <w:trHeight w:val="20"/>
        </w:trPr>
        <w:tc>
          <w:tcPr>
            <w:tcW w:w="1525" w:type="dxa"/>
            <w:vAlign w:val="center"/>
          </w:tcPr>
          <w:p w14:paraId="1C0FDB04"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South Asia</w:t>
            </w:r>
          </w:p>
        </w:tc>
        <w:tc>
          <w:tcPr>
            <w:tcW w:w="1313" w:type="dxa"/>
            <w:vAlign w:val="center"/>
          </w:tcPr>
          <w:p w14:paraId="2751DB68"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4</w:t>
            </w:r>
          </w:p>
        </w:tc>
        <w:tc>
          <w:tcPr>
            <w:tcW w:w="2241" w:type="dxa"/>
            <w:vAlign w:val="center"/>
          </w:tcPr>
          <w:p w14:paraId="0A5AEC0B"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26/03 (20/03-02/04)</w:t>
            </w:r>
          </w:p>
        </w:tc>
        <w:tc>
          <w:tcPr>
            <w:tcW w:w="2256" w:type="dxa"/>
            <w:vAlign w:val="center"/>
          </w:tcPr>
          <w:p w14:paraId="5D1E0B81"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2.41 (0.07-35.15)</w:t>
            </w:r>
          </w:p>
        </w:tc>
        <w:tc>
          <w:tcPr>
            <w:tcW w:w="3433" w:type="dxa"/>
            <w:vAlign w:val="center"/>
          </w:tcPr>
          <w:p w14:paraId="64AC45D4"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 (0-0.051)</w:t>
            </w:r>
          </w:p>
        </w:tc>
        <w:tc>
          <w:tcPr>
            <w:tcW w:w="1560" w:type="dxa"/>
            <w:vAlign w:val="center"/>
          </w:tcPr>
          <w:p w14:paraId="3FFFBA6B"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1</w:t>
            </w:r>
          </w:p>
        </w:tc>
        <w:tc>
          <w:tcPr>
            <w:tcW w:w="2409" w:type="dxa"/>
            <w:vAlign w:val="center"/>
          </w:tcPr>
          <w:p w14:paraId="1297A169" w14:textId="42E5BFA5" w:rsidR="00E93BBD" w:rsidRPr="007B1211" w:rsidRDefault="0014475F"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14475F">
              <w:rPr>
                <w:rFonts w:asciiTheme="majorHAnsi" w:eastAsia="Times New Roman" w:hAnsiTheme="majorHAnsi" w:cstheme="majorHAnsi"/>
                <w:color w:val="000000"/>
                <w:sz w:val="20"/>
                <w:szCs w:val="20"/>
                <w:bdr w:val="none" w:sz="0" w:space="0" w:color="auto" w:frame="1"/>
                <w:lang w:eastAsia="en-GB"/>
              </w:rPr>
              <w:t xml:space="preserve">80 </w:t>
            </w:r>
            <w:r w:rsidR="00E93BBD" w:rsidRPr="007B1211">
              <w:rPr>
                <w:rFonts w:asciiTheme="majorHAnsi" w:eastAsia="Times New Roman" w:hAnsiTheme="majorHAnsi" w:cstheme="majorHAnsi"/>
                <w:color w:val="000000"/>
                <w:sz w:val="20"/>
                <w:szCs w:val="20"/>
                <w:bdr w:val="none" w:sz="0" w:space="0" w:color="auto" w:frame="1"/>
                <w:lang w:eastAsia="en-GB"/>
              </w:rPr>
              <w:t>(NA)</w:t>
            </w:r>
          </w:p>
        </w:tc>
      </w:tr>
      <w:tr w:rsidR="000C45DB" w:rsidRPr="007B1211" w14:paraId="6CD0B89B" w14:textId="77777777" w:rsidTr="007B1211">
        <w:trPr>
          <w:trHeight w:val="20"/>
        </w:trPr>
        <w:tc>
          <w:tcPr>
            <w:tcW w:w="1525" w:type="dxa"/>
            <w:vAlign w:val="center"/>
          </w:tcPr>
          <w:p w14:paraId="574A9C85"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Sub-Saharan Africa</w:t>
            </w:r>
          </w:p>
        </w:tc>
        <w:tc>
          <w:tcPr>
            <w:tcW w:w="1313" w:type="dxa"/>
            <w:vAlign w:val="center"/>
          </w:tcPr>
          <w:p w14:paraId="6463708F" w14:textId="34BC50FF" w:rsidR="00E93BBD" w:rsidRPr="007B1211" w:rsidRDefault="00E22C98" w:rsidP="007B1211">
            <w:pPr>
              <w:spacing w:line="240" w:lineRule="auto"/>
              <w:jc w:val="center"/>
              <w:rPr>
                <w:rFonts w:cstheme="minorHAnsi"/>
                <w:sz w:val="20"/>
                <w:szCs w:val="20"/>
              </w:rPr>
            </w:pPr>
            <w:r w:rsidRPr="007B1211">
              <w:rPr>
                <w:rFonts w:cstheme="minorHAnsi"/>
                <w:sz w:val="20"/>
                <w:szCs w:val="20"/>
              </w:rPr>
              <w:t>3</w:t>
            </w:r>
            <w:r w:rsidR="00797F1D" w:rsidRPr="007B1211">
              <w:rPr>
                <w:rFonts w:cstheme="minorHAnsi"/>
                <w:sz w:val="20"/>
                <w:szCs w:val="20"/>
              </w:rPr>
              <w:t>8</w:t>
            </w:r>
          </w:p>
        </w:tc>
        <w:tc>
          <w:tcPr>
            <w:tcW w:w="2241" w:type="dxa"/>
            <w:vAlign w:val="center"/>
          </w:tcPr>
          <w:p w14:paraId="55E1FA69" w14:textId="0434D653"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w:t>
            </w:r>
            <w:r w:rsidR="000F3E9B" w:rsidRPr="007B1211">
              <w:rPr>
                <w:rFonts w:eastAsia="Times New Roman" w:cstheme="minorHAnsi"/>
                <w:sz w:val="20"/>
                <w:szCs w:val="20"/>
                <w:lang w:eastAsia="en-GB"/>
              </w:rPr>
              <w:t>8</w:t>
            </w:r>
            <w:r w:rsidRPr="007B1211">
              <w:rPr>
                <w:rFonts w:eastAsia="Times New Roman" w:cstheme="minorHAnsi"/>
                <w:sz w:val="20"/>
                <w:szCs w:val="20"/>
                <w:lang w:eastAsia="en-GB"/>
              </w:rPr>
              <w:t>/03 (21/03 – 19/04)</w:t>
            </w:r>
          </w:p>
        </w:tc>
        <w:tc>
          <w:tcPr>
            <w:tcW w:w="2256" w:type="dxa"/>
            <w:vAlign w:val="center"/>
          </w:tcPr>
          <w:p w14:paraId="59506D87" w14:textId="377C2413"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0.9</w:t>
            </w:r>
            <w:r w:rsidR="00A05DDF" w:rsidRPr="007B1211">
              <w:rPr>
                <w:rFonts w:eastAsia="Times New Roman" w:cstheme="minorHAnsi"/>
                <w:sz w:val="20"/>
                <w:szCs w:val="20"/>
                <w:lang w:eastAsia="en-GB"/>
              </w:rPr>
              <w:t>2</w:t>
            </w:r>
            <w:r w:rsidRPr="007B1211">
              <w:rPr>
                <w:rFonts w:eastAsia="Times New Roman" w:cstheme="minorHAnsi"/>
                <w:sz w:val="20"/>
                <w:szCs w:val="20"/>
                <w:lang w:eastAsia="en-GB"/>
              </w:rPr>
              <w:t xml:space="preserve"> (</w:t>
            </w:r>
            <w:r w:rsidR="004C05FA" w:rsidRPr="007B1211">
              <w:rPr>
                <w:rFonts w:eastAsia="Times New Roman" w:cstheme="minorHAnsi"/>
                <w:sz w:val="20"/>
                <w:szCs w:val="20"/>
                <w:lang w:eastAsia="en-GB"/>
              </w:rPr>
              <w:t>0</w:t>
            </w:r>
            <w:r w:rsidRPr="007B1211">
              <w:rPr>
                <w:rFonts w:eastAsia="Times New Roman" w:cstheme="minorHAnsi"/>
                <w:sz w:val="20"/>
                <w:szCs w:val="20"/>
                <w:lang w:eastAsia="en-GB"/>
              </w:rPr>
              <w:t>-101.68)</w:t>
            </w:r>
          </w:p>
        </w:tc>
        <w:tc>
          <w:tcPr>
            <w:tcW w:w="3433" w:type="dxa"/>
            <w:vAlign w:val="center"/>
          </w:tcPr>
          <w:p w14:paraId="7D86B6A5" w14:textId="6B634192"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w:t>
            </w:r>
            <w:r w:rsidR="003E3C21">
              <w:rPr>
                <w:rFonts w:eastAsia="Times New Roman" w:cstheme="minorHAnsi"/>
                <w:sz w:val="20"/>
                <w:szCs w:val="20"/>
                <w:lang w:eastAsia="en-GB"/>
              </w:rPr>
              <w:t>.0</w:t>
            </w:r>
            <w:r w:rsidR="009975B6">
              <w:rPr>
                <w:rFonts w:eastAsia="Times New Roman" w:cstheme="minorHAnsi"/>
                <w:sz w:val="20"/>
                <w:szCs w:val="20"/>
                <w:lang w:eastAsia="en-GB"/>
              </w:rPr>
              <w:t>02</w:t>
            </w:r>
            <w:r w:rsidR="00EA7793" w:rsidRPr="007B1211">
              <w:rPr>
                <w:rFonts w:eastAsia="Times New Roman" w:cstheme="minorHAnsi"/>
                <w:sz w:val="20"/>
                <w:szCs w:val="20"/>
                <w:lang w:eastAsia="en-GB"/>
              </w:rPr>
              <w:t xml:space="preserve"> </w:t>
            </w:r>
            <w:r w:rsidRPr="007B1211">
              <w:rPr>
                <w:rFonts w:eastAsia="Times New Roman" w:cstheme="minorHAnsi"/>
                <w:sz w:val="20"/>
                <w:szCs w:val="20"/>
                <w:lang w:eastAsia="en-GB"/>
              </w:rPr>
              <w:t>(0-1.799)</w:t>
            </w:r>
          </w:p>
        </w:tc>
        <w:tc>
          <w:tcPr>
            <w:tcW w:w="1560" w:type="dxa"/>
            <w:vAlign w:val="center"/>
          </w:tcPr>
          <w:p w14:paraId="3419D9A5" w14:textId="0338298A" w:rsidR="00E93BBD" w:rsidRPr="007B1211" w:rsidRDefault="00851930" w:rsidP="007B1211">
            <w:pPr>
              <w:spacing w:line="240" w:lineRule="auto"/>
              <w:jc w:val="center"/>
              <w:rPr>
                <w:rFonts w:cstheme="minorHAnsi"/>
                <w:sz w:val="20"/>
                <w:szCs w:val="20"/>
              </w:rPr>
            </w:pPr>
            <w:r w:rsidRPr="007B1211">
              <w:rPr>
                <w:rFonts w:eastAsia="Times New Roman" w:cstheme="minorHAnsi"/>
                <w:sz w:val="20"/>
                <w:szCs w:val="20"/>
                <w:lang w:eastAsia="en-GB"/>
              </w:rPr>
              <w:t>5</w:t>
            </w:r>
          </w:p>
        </w:tc>
        <w:tc>
          <w:tcPr>
            <w:tcW w:w="2409" w:type="dxa"/>
            <w:vAlign w:val="center"/>
          </w:tcPr>
          <w:p w14:paraId="5EBF529A" w14:textId="1BB18FE0" w:rsidR="00E93BBD" w:rsidRPr="007B1211" w:rsidRDefault="0014475F"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asciiTheme="majorHAnsi" w:eastAsia="Times New Roman" w:hAnsiTheme="majorHAnsi" w:cstheme="majorHAnsi"/>
                <w:color w:val="000000"/>
                <w:sz w:val="20"/>
                <w:szCs w:val="20"/>
                <w:lang w:eastAsia="en-GB"/>
              </w:rPr>
            </w:pPr>
            <w:r w:rsidRPr="0014475F">
              <w:rPr>
                <w:rFonts w:asciiTheme="majorHAnsi" w:eastAsia="Times New Roman" w:hAnsiTheme="majorHAnsi" w:cstheme="majorHAnsi"/>
                <w:color w:val="000000"/>
                <w:sz w:val="20"/>
                <w:szCs w:val="20"/>
                <w:bdr w:val="none" w:sz="0" w:space="0" w:color="auto" w:frame="1"/>
                <w:lang w:eastAsia="en-GB"/>
              </w:rPr>
              <w:t>10.7 (7.8 - 63.6)</w:t>
            </w:r>
          </w:p>
        </w:tc>
      </w:tr>
      <w:tr w:rsidR="00E93BBD" w:rsidRPr="007B1211" w14:paraId="2661CB90" w14:textId="77777777" w:rsidTr="007B1211">
        <w:trPr>
          <w:trHeight w:val="20"/>
        </w:trPr>
        <w:tc>
          <w:tcPr>
            <w:tcW w:w="14737" w:type="dxa"/>
            <w:gridSpan w:val="7"/>
            <w:shd w:val="clear" w:color="auto" w:fill="E7E6E6" w:themeFill="background2"/>
            <w:vAlign w:val="center"/>
          </w:tcPr>
          <w:p w14:paraId="1E470A45" w14:textId="77777777" w:rsidR="00E93BBD" w:rsidRPr="001E5ED4" w:rsidRDefault="00E93BBD" w:rsidP="007B1211">
            <w:pPr>
              <w:spacing w:line="240" w:lineRule="auto"/>
              <w:jc w:val="center"/>
              <w:rPr>
                <w:rFonts w:eastAsia="Times New Roman" w:cstheme="minorHAnsi"/>
                <w:sz w:val="20"/>
                <w:szCs w:val="20"/>
                <w:lang w:eastAsia="en-GB"/>
              </w:rPr>
            </w:pPr>
            <w:r w:rsidRPr="001E5ED4">
              <w:rPr>
                <w:rFonts w:cstheme="minorHAnsi"/>
                <w:b/>
                <w:bCs/>
                <w:sz w:val="20"/>
                <w:szCs w:val="20"/>
              </w:rPr>
              <w:t>Income Strata</w:t>
            </w:r>
          </w:p>
        </w:tc>
      </w:tr>
      <w:tr w:rsidR="000C45DB" w:rsidRPr="007B1211" w14:paraId="35E88059" w14:textId="77777777" w:rsidTr="007B1211">
        <w:trPr>
          <w:trHeight w:val="20"/>
        </w:trPr>
        <w:tc>
          <w:tcPr>
            <w:tcW w:w="1525" w:type="dxa"/>
            <w:vAlign w:val="center"/>
          </w:tcPr>
          <w:p w14:paraId="10CB2CA1"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Low income</w:t>
            </w:r>
          </w:p>
        </w:tc>
        <w:tc>
          <w:tcPr>
            <w:tcW w:w="1313" w:type="dxa"/>
            <w:vAlign w:val="center"/>
          </w:tcPr>
          <w:p w14:paraId="5D7BE3BE" w14:textId="33A39EA7" w:rsidR="00E93BBD" w:rsidRPr="007B1211" w:rsidRDefault="00B1225E" w:rsidP="007B1211">
            <w:pPr>
              <w:spacing w:line="240" w:lineRule="auto"/>
              <w:jc w:val="center"/>
              <w:rPr>
                <w:rFonts w:cstheme="minorHAnsi"/>
                <w:sz w:val="20"/>
                <w:szCs w:val="20"/>
              </w:rPr>
            </w:pPr>
            <w:r w:rsidRPr="007B1211">
              <w:rPr>
                <w:rFonts w:cstheme="minorHAnsi"/>
                <w:sz w:val="20"/>
                <w:szCs w:val="20"/>
              </w:rPr>
              <w:t>23</w:t>
            </w:r>
          </w:p>
        </w:tc>
        <w:tc>
          <w:tcPr>
            <w:tcW w:w="2241" w:type="dxa"/>
            <w:vAlign w:val="center"/>
          </w:tcPr>
          <w:p w14:paraId="74DCE642"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28/03 (20/03-19/04)</w:t>
            </w:r>
          </w:p>
        </w:tc>
        <w:tc>
          <w:tcPr>
            <w:tcW w:w="2256" w:type="dxa"/>
            <w:vAlign w:val="center"/>
          </w:tcPr>
          <w:p w14:paraId="597A63F1" w14:textId="504B3A61"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w:t>
            </w:r>
            <w:r w:rsidR="00E00B93" w:rsidRPr="007B1211">
              <w:rPr>
                <w:rFonts w:eastAsia="Times New Roman" w:cstheme="minorHAnsi"/>
                <w:sz w:val="20"/>
                <w:szCs w:val="20"/>
                <w:lang w:eastAsia="en-GB"/>
              </w:rPr>
              <w:t xml:space="preserve">57 </w:t>
            </w:r>
            <w:r w:rsidRPr="007B1211">
              <w:rPr>
                <w:rFonts w:eastAsia="Times New Roman" w:cstheme="minorHAnsi"/>
                <w:sz w:val="20"/>
                <w:szCs w:val="20"/>
                <w:lang w:eastAsia="en-GB"/>
              </w:rPr>
              <w:t>(</w:t>
            </w:r>
            <w:r w:rsidR="004F7DF6" w:rsidRPr="007B1211">
              <w:rPr>
                <w:rFonts w:eastAsia="Times New Roman" w:cstheme="minorHAnsi"/>
                <w:sz w:val="20"/>
                <w:szCs w:val="20"/>
                <w:lang w:eastAsia="en-GB"/>
              </w:rPr>
              <w:t>0</w:t>
            </w:r>
            <w:r w:rsidRPr="007B1211">
              <w:rPr>
                <w:rFonts w:eastAsia="Times New Roman" w:cstheme="minorHAnsi"/>
                <w:sz w:val="20"/>
                <w:szCs w:val="20"/>
                <w:lang w:eastAsia="en-GB"/>
              </w:rPr>
              <w:t>-6.13)</w:t>
            </w:r>
          </w:p>
        </w:tc>
        <w:tc>
          <w:tcPr>
            <w:tcW w:w="3433" w:type="dxa"/>
            <w:vAlign w:val="center"/>
          </w:tcPr>
          <w:p w14:paraId="4758F908"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 (0-0.791)</w:t>
            </w:r>
          </w:p>
        </w:tc>
        <w:tc>
          <w:tcPr>
            <w:tcW w:w="1560" w:type="dxa"/>
            <w:vAlign w:val="center"/>
          </w:tcPr>
          <w:p w14:paraId="3B5671A3" w14:textId="5E27E5A2" w:rsidR="00E93BBD" w:rsidRPr="007B1211" w:rsidRDefault="00144529" w:rsidP="007B1211">
            <w:pPr>
              <w:spacing w:line="240" w:lineRule="auto"/>
              <w:jc w:val="center"/>
              <w:rPr>
                <w:rFonts w:cstheme="minorHAnsi"/>
                <w:sz w:val="20"/>
                <w:szCs w:val="20"/>
              </w:rPr>
            </w:pPr>
            <w:r>
              <w:rPr>
                <w:rFonts w:cstheme="minorHAnsi"/>
                <w:sz w:val="20"/>
                <w:szCs w:val="20"/>
              </w:rPr>
              <w:t>3</w:t>
            </w:r>
          </w:p>
        </w:tc>
        <w:tc>
          <w:tcPr>
            <w:tcW w:w="2409" w:type="dxa"/>
            <w:vAlign w:val="center"/>
          </w:tcPr>
          <w:p w14:paraId="7E5249DC" w14:textId="433B17E5" w:rsidR="00E93BBD" w:rsidRPr="007B1211" w:rsidRDefault="00CC16F8"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eastAsia="Times New Roman" w:cstheme="minorHAnsi"/>
                <w:color w:val="000000"/>
                <w:sz w:val="20"/>
                <w:szCs w:val="20"/>
                <w:lang w:eastAsia="en-GB"/>
              </w:rPr>
            </w:pPr>
            <w:r w:rsidRPr="00CC16F8">
              <w:rPr>
                <w:rFonts w:eastAsia="Times New Roman" w:cstheme="minorHAnsi"/>
                <w:color w:val="000000"/>
                <w:sz w:val="20"/>
                <w:szCs w:val="20"/>
                <w:bdr w:val="none" w:sz="0" w:space="0" w:color="auto" w:frame="1"/>
                <w:lang w:eastAsia="en-GB"/>
              </w:rPr>
              <w:t>8.6 (7.8 - 10.7)</w:t>
            </w:r>
          </w:p>
        </w:tc>
      </w:tr>
      <w:tr w:rsidR="000C45DB" w:rsidRPr="007B1211" w14:paraId="0CAE68B5" w14:textId="77777777" w:rsidTr="007B1211">
        <w:trPr>
          <w:trHeight w:val="20"/>
        </w:trPr>
        <w:tc>
          <w:tcPr>
            <w:tcW w:w="1525" w:type="dxa"/>
            <w:vAlign w:val="center"/>
          </w:tcPr>
          <w:p w14:paraId="3390A0E3"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Lower middle income</w:t>
            </w:r>
          </w:p>
        </w:tc>
        <w:tc>
          <w:tcPr>
            <w:tcW w:w="1313" w:type="dxa"/>
            <w:vAlign w:val="center"/>
          </w:tcPr>
          <w:p w14:paraId="4E78F40A" w14:textId="62CD6CF3" w:rsidR="00E93BBD" w:rsidRPr="007B1211" w:rsidRDefault="00205CB7" w:rsidP="007B1211">
            <w:pPr>
              <w:spacing w:line="240" w:lineRule="auto"/>
              <w:jc w:val="center"/>
              <w:rPr>
                <w:rFonts w:cstheme="minorHAnsi"/>
                <w:sz w:val="20"/>
                <w:szCs w:val="20"/>
              </w:rPr>
            </w:pPr>
            <w:r w:rsidRPr="007B1211">
              <w:rPr>
                <w:rFonts w:cstheme="minorHAnsi"/>
                <w:sz w:val="20"/>
                <w:szCs w:val="20"/>
              </w:rPr>
              <w:t>22</w:t>
            </w:r>
          </w:p>
        </w:tc>
        <w:tc>
          <w:tcPr>
            <w:tcW w:w="2241" w:type="dxa"/>
            <w:vAlign w:val="center"/>
          </w:tcPr>
          <w:p w14:paraId="1136F9BB" w14:textId="1D9BBEFC" w:rsidR="00E93BBD" w:rsidRPr="007B1211" w:rsidRDefault="000524F1" w:rsidP="007B1211">
            <w:pPr>
              <w:spacing w:line="240" w:lineRule="auto"/>
              <w:jc w:val="center"/>
              <w:rPr>
                <w:rFonts w:cstheme="minorHAnsi"/>
                <w:sz w:val="20"/>
                <w:szCs w:val="20"/>
              </w:rPr>
            </w:pPr>
            <w:r w:rsidRPr="007B1211">
              <w:rPr>
                <w:rFonts w:eastAsia="Times New Roman" w:cstheme="minorHAnsi"/>
                <w:sz w:val="20"/>
                <w:szCs w:val="20"/>
                <w:lang w:eastAsia="en-GB"/>
              </w:rPr>
              <w:t>25</w:t>
            </w:r>
            <w:r w:rsidR="00E93BBD" w:rsidRPr="007B1211">
              <w:rPr>
                <w:rFonts w:eastAsia="Times New Roman" w:cstheme="minorHAnsi"/>
                <w:sz w:val="20"/>
                <w:szCs w:val="20"/>
                <w:lang w:eastAsia="en-GB"/>
              </w:rPr>
              <w:t>/03 (14/03-</w:t>
            </w:r>
            <w:r w:rsidRPr="007B1211">
              <w:rPr>
                <w:rFonts w:eastAsia="Times New Roman" w:cstheme="minorHAnsi"/>
                <w:sz w:val="20"/>
                <w:szCs w:val="20"/>
                <w:lang w:eastAsia="en-GB"/>
              </w:rPr>
              <w:t>10</w:t>
            </w:r>
            <w:r w:rsidR="00E93BBD" w:rsidRPr="007B1211">
              <w:rPr>
                <w:rFonts w:eastAsia="Times New Roman" w:cstheme="minorHAnsi"/>
                <w:sz w:val="20"/>
                <w:szCs w:val="20"/>
                <w:lang w:eastAsia="en-GB"/>
              </w:rPr>
              <w:t>/04)</w:t>
            </w:r>
          </w:p>
        </w:tc>
        <w:tc>
          <w:tcPr>
            <w:tcW w:w="2256" w:type="dxa"/>
            <w:vAlign w:val="center"/>
          </w:tcPr>
          <w:p w14:paraId="05172319" w14:textId="7AFA8BB5"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0.5</w:t>
            </w:r>
            <w:r w:rsidR="000524F1" w:rsidRPr="007B1211">
              <w:rPr>
                <w:rFonts w:eastAsia="Times New Roman" w:cstheme="minorHAnsi"/>
                <w:sz w:val="20"/>
                <w:szCs w:val="20"/>
                <w:lang w:eastAsia="en-GB"/>
              </w:rPr>
              <w:t>8</w:t>
            </w:r>
            <w:r w:rsidRPr="007B1211">
              <w:rPr>
                <w:rFonts w:eastAsia="Times New Roman" w:cstheme="minorHAnsi"/>
                <w:sz w:val="20"/>
                <w:szCs w:val="20"/>
                <w:lang w:eastAsia="en-GB"/>
              </w:rPr>
              <w:t xml:space="preserve"> (0.05-30.99)</w:t>
            </w:r>
          </w:p>
        </w:tc>
        <w:tc>
          <w:tcPr>
            <w:tcW w:w="3433" w:type="dxa"/>
            <w:vAlign w:val="center"/>
          </w:tcPr>
          <w:p w14:paraId="63AA3758" w14:textId="0F2E9245"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w:t>
            </w:r>
            <w:r w:rsidR="00F42964">
              <w:rPr>
                <w:rFonts w:eastAsia="Times New Roman" w:cstheme="minorHAnsi"/>
                <w:sz w:val="20"/>
                <w:szCs w:val="20"/>
                <w:lang w:eastAsia="en-GB"/>
              </w:rPr>
              <w:t xml:space="preserve"> </w:t>
            </w:r>
            <w:r w:rsidRPr="007B1211">
              <w:rPr>
                <w:rFonts w:eastAsia="Times New Roman" w:cstheme="minorHAnsi"/>
                <w:sz w:val="20"/>
                <w:szCs w:val="20"/>
                <w:lang w:eastAsia="en-GB"/>
              </w:rPr>
              <w:t>(0-1.799)</w:t>
            </w:r>
          </w:p>
        </w:tc>
        <w:tc>
          <w:tcPr>
            <w:tcW w:w="1560" w:type="dxa"/>
            <w:vAlign w:val="center"/>
          </w:tcPr>
          <w:p w14:paraId="141A0CD4" w14:textId="27CFFD62" w:rsidR="00E93BBD" w:rsidRPr="007B1211" w:rsidRDefault="00D41DD2" w:rsidP="007B1211">
            <w:pPr>
              <w:spacing w:line="240" w:lineRule="auto"/>
              <w:jc w:val="center"/>
              <w:rPr>
                <w:rFonts w:cstheme="minorHAnsi"/>
                <w:sz w:val="20"/>
                <w:szCs w:val="20"/>
              </w:rPr>
            </w:pPr>
            <w:r>
              <w:rPr>
                <w:rFonts w:eastAsia="Times New Roman" w:cstheme="minorHAnsi"/>
                <w:sz w:val="20"/>
                <w:szCs w:val="20"/>
                <w:lang w:eastAsia="en-GB"/>
              </w:rPr>
              <w:t>7</w:t>
            </w:r>
          </w:p>
        </w:tc>
        <w:tc>
          <w:tcPr>
            <w:tcW w:w="2409" w:type="dxa"/>
            <w:vAlign w:val="center"/>
          </w:tcPr>
          <w:p w14:paraId="466ADD08" w14:textId="2324F77C" w:rsidR="00E93BBD" w:rsidRPr="007B1211" w:rsidRDefault="00B73000"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eastAsia="Times New Roman" w:cstheme="minorHAnsi"/>
                <w:color w:val="000000"/>
                <w:sz w:val="20"/>
                <w:szCs w:val="20"/>
                <w:lang w:eastAsia="en-GB"/>
              </w:rPr>
            </w:pPr>
            <w:r w:rsidRPr="00B73000">
              <w:rPr>
                <w:rFonts w:eastAsia="Times New Roman" w:cstheme="minorHAnsi"/>
                <w:color w:val="000000"/>
                <w:sz w:val="20"/>
                <w:szCs w:val="20"/>
                <w:bdr w:val="none" w:sz="0" w:space="0" w:color="auto" w:frame="1"/>
                <w:lang w:eastAsia="en-GB"/>
              </w:rPr>
              <w:t>19.3 (9 - 80)</w:t>
            </w:r>
          </w:p>
        </w:tc>
      </w:tr>
      <w:tr w:rsidR="000C45DB" w:rsidRPr="007B1211" w14:paraId="0443B437" w14:textId="77777777" w:rsidTr="007B1211">
        <w:trPr>
          <w:trHeight w:val="20"/>
        </w:trPr>
        <w:tc>
          <w:tcPr>
            <w:tcW w:w="1525" w:type="dxa"/>
            <w:vAlign w:val="center"/>
          </w:tcPr>
          <w:p w14:paraId="19F39157"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Upper middle income</w:t>
            </w:r>
          </w:p>
        </w:tc>
        <w:tc>
          <w:tcPr>
            <w:tcW w:w="1313" w:type="dxa"/>
            <w:vAlign w:val="center"/>
          </w:tcPr>
          <w:p w14:paraId="301B892E" w14:textId="72966292" w:rsidR="00E93BBD" w:rsidRPr="007B1211" w:rsidRDefault="002D4C05" w:rsidP="007B1211">
            <w:pPr>
              <w:spacing w:line="240" w:lineRule="auto"/>
              <w:jc w:val="center"/>
              <w:rPr>
                <w:rFonts w:cstheme="minorHAnsi"/>
                <w:sz w:val="20"/>
                <w:szCs w:val="20"/>
              </w:rPr>
            </w:pPr>
            <w:r w:rsidRPr="007B1211">
              <w:rPr>
                <w:rFonts w:cstheme="minorHAnsi"/>
                <w:sz w:val="20"/>
                <w:szCs w:val="20"/>
              </w:rPr>
              <w:t>41</w:t>
            </w:r>
          </w:p>
        </w:tc>
        <w:tc>
          <w:tcPr>
            <w:tcW w:w="2241" w:type="dxa"/>
            <w:vAlign w:val="center"/>
          </w:tcPr>
          <w:p w14:paraId="2B6A63A2"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24/03 (16/03- 08/04)</w:t>
            </w:r>
          </w:p>
        </w:tc>
        <w:tc>
          <w:tcPr>
            <w:tcW w:w="2256" w:type="dxa"/>
            <w:vAlign w:val="center"/>
          </w:tcPr>
          <w:p w14:paraId="2B7D00FD" w14:textId="3C6D3B1F" w:rsidR="00E93BBD" w:rsidRPr="007B1211" w:rsidRDefault="002D4C05" w:rsidP="007B1211">
            <w:pPr>
              <w:spacing w:line="240" w:lineRule="auto"/>
              <w:jc w:val="center"/>
              <w:rPr>
                <w:rFonts w:cstheme="minorHAnsi"/>
                <w:sz w:val="20"/>
                <w:szCs w:val="20"/>
              </w:rPr>
            </w:pPr>
            <w:r w:rsidRPr="007B1211">
              <w:rPr>
                <w:rFonts w:eastAsia="Times New Roman" w:cstheme="minorHAnsi"/>
                <w:sz w:val="20"/>
                <w:szCs w:val="20"/>
                <w:lang w:eastAsia="en-GB"/>
              </w:rPr>
              <w:t>9.98</w:t>
            </w:r>
            <w:r w:rsidR="00E93BBD" w:rsidRPr="007B1211">
              <w:rPr>
                <w:rFonts w:eastAsia="Times New Roman" w:cstheme="minorHAnsi"/>
                <w:sz w:val="20"/>
                <w:szCs w:val="20"/>
                <w:lang w:eastAsia="en-GB"/>
              </w:rPr>
              <w:t xml:space="preserve"> (</w:t>
            </w:r>
            <w:r w:rsidR="008E06ED" w:rsidRPr="007B1211">
              <w:rPr>
                <w:rFonts w:eastAsia="Times New Roman" w:cstheme="minorHAnsi"/>
                <w:sz w:val="20"/>
                <w:szCs w:val="20"/>
                <w:lang w:eastAsia="en-GB"/>
              </w:rPr>
              <w:t>0</w:t>
            </w:r>
            <w:r w:rsidR="00E93BBD" w:rsidRPr="007B1211">
              <w:rPr>
                <w:rFonts w:eastAsia="Times New Roman" w:cstheme="minorHAnsi"/>
                <w:sz w:val="20"/>
                <w:szCs w:val="20"/>
                <w:lang w:eastAsia="en-GB"/>
              </w:rPr>
              <w:t>-135.34)</w:t>
            </w:r>
          </w:p>
        </w:tc>
        <w:tc>
          <w:tcPr>
            <w:tcW w:w="3433" w:type="dxa"/>
            <w:vAlign w:val="center"/>
          </w:tcPr>
          <w:p w14:paraId="759BBA28" w14:textId="4581EAE1"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0.0</w:t>
            </w:r>
            <w:r w:rsidR="002D4C05" w:rsidRPr="007B1211">
              <w:rPr>
                <w:rFonts w:eastAsia="Times New Roman" w:cstheme="minorHAnsi"/>
                <w:sz w:val="20"/>
                <w:szCs w:val="20"/>
                <w:lang w:eastAsia="en-GB"/>
              </w:rPr>
              <w:t>44</w:t>
            </w:r>
            <w:r w:rsidRPr="007B1211">
              <w:rPr>
                <w:rFonts w:eastAsia="Times New Roman" w:cstheme="minorHAnsi"/>
                <w:sz w:val="20"/>
                <w:szCs w:val="20"/>
                <w:lang w:eastAsia="en-GB"/>
              </w:rPr>
              <w:t xml:space="preserve"> (0-3.548)</w:t>
            </w:r>
          </w:p>
        </w:tc>
        <w:tc>
          <w:tcPr>
            <w:tcW w:w="1560" w:type="dxa"/>
            <w:vAlign w:val="center"/>
          </w:tcPr>
          <w:p w14:paraId="72417EF9" w14:textId="19ED945E"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1</w:t>
            </w:r>
            <w:r w:rsidR="00D41DD2">
              <w:rPr>
                <w:rFonts w:eastAsia="Times New Roman" w:cstheme="minorHAnsi"/>
                <w:sz w:val="20"/>
                <w:szCs w:val="20"/>
                <w:lang w:eastAsia="en-GB"/>
              </w:rPr>
              <w:t>3</w:t>
            </w:r>
          </w:p>
        </w:tc>
        <w:tc>
          <w:tcPr>
            <w:tcW w:w="2409" w:type="dxa"/>
            <w:vAlign w:val="center"/>
          </w:tcPr>
          <w:p w14:paraId="55B10CC5" w14:textId="79A520C7" w:rsidR="00E93BBD" w:rsidRPr="007B1211" w:rsidRDefault="00B73000" w:rsidP="007B12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jc w:val="center"/>
              <w:rPr>
                <w:rFonts w:eastAsia="Times New Roman" w:cstheme="minorHAnsi"/>
                <w:color w:val="000000"/>
                <w:sz w:val="20"/>
                <w:szCs w:val="20"/>
                <w:lang w:eastAsia="en-GB"/>
              </w:rPr>
            </w:pPr>
            <w:r w:rsidRPr="00B73000">
              <w:rPr>
                <w:rFonts w:eastAsia="Times New Roman" w:cstheme="minorHAnsi"/>
                <w:color w:val="000000"/>
                <w:sz w:val="20"/>
                <w:szCs w:val="20"/>
                <w:bdr w:val="none" w:sz="0" w:space="0" w:color="auto" w:frame="1"/>
                <w:lang w:eastAsia="en-GB"/>
              </w:rPr>
              <w:t>38.8 (5.1 - 191.8)</w:t>
            </w:r>
          </w:p>
        </w:tc>
      </w:tr>
      <w:tr w:rsidR="000C45DB" w:rsidRPr="007B1211" w14:paraId="62618471" w14:textId="77777777" w:rsidTr="007B1211">
        <w:trPr>
          <w:trHeight w:val="20"/>
        </w:trPr>
        <w:tc>
          <w:tcPr>
            <w:tcW w:w="1525" w:type="dxa"/>
            <w:vAlign w:val="center"/>
          </w:tcPr>
          <w:p w14:paraId="346562DF" w14:textId="77777777" w:rsidR="00E93BBD" w:rsidRPr="001E5ED4" w:rsidRDefault="00E93BBD" w:rsidP="007B1211">
            <w:pPr>
              <w:spacing w:line="240" w:lineRule="auto"/>
              <w:jc w:val="center"/>
              <w:rPr>
                <w:rFonts w:cstheme="minorHAnsi"/>
                <w:sz w:val="20"/>
                <w:szCs w:val="20"/>
              </w:rPr>
            </w:pPr>
            <w:r w:rsidRPr="001E5ED4">
              <w:rPr>
                <w:rFonts w:cstheme="minorHAnsi"/>
                <w:sz w:val="20"/>
                <w:szCs w:val="20"/>
              </w:rPr>
              <w:t>High income</w:t>
            </w:r>
          </w:p>
        </w:tc>
        <w:tc>
          <w:tcPr>
            <w:tcW w:w="1313" w:type="dxa"/>
            <w:vAlign w:val="center"/>
          </w:tcPr>
          <w:p w14:paraId="308EC407" w14:textId="77777777" w:rsidR="00E93BBD" w:rsidRPr="007B1211" w:rsidRDefault="00E93BBD" w:rsidP="007B1211">
            <w:pPr>
              <w:spacing w:line="240" w:lineRule="auto"/>
              <w:jc w:val="center"/>
              <w:rPr>
                <w:rFonts w:cstheme="minorHAnsi"/>
                <w:sz w:val="20"/>
                <w:szCs w:val="20"/>
              </w:rPr>
            </w:pPr>
            <w:r w:rsidRPr="007B1211">
              <w:rPr>
                <w:rFonts w:cstheme="minorHAnsi"/>
                <w:sz w:val="20"/>
                <w:szCs w:val="20"/>
              </w:rPr>
              <w:t>35</w:t>
            </w:r>
          </w:p>
        </w:tc>
        <w:tc>
          <w:tcPr>
            <w:tcW w:w="2241" w:type="dxa"/>
            <w:vAlign w:val="center"/>
          </w:tcPr>
          <w:p w14:paraId="7003112A"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23/03 (08/03-08/04)</w:t>
            </w:r>
          </w:p>
        </w:tc>
        <w:tc>
          <w:tcPr>
            <w:tcW w:w="2256" w:type="dxa"/>
            <w:vAlign w:val="center"/>
          </w:tcPr>
          <w:p w14:paraId="40B6632E"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97.30 (5.14-449.24)</w:t>
            </w:r>
          </w:p>
        </w:tc>
        <w:tc>
          <w:tcPr>
            <w:tcW w:w="3433" w:type="dxa"/>
            <w:vAlign w:val="center"/>
          </w:tcPr>
          <w:p w14:paraId="3007BD58" w14:textId="77777777"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0.202 (0-10.447)</w:t>
            </w:r>
          </w:p>
        </w:tc>
        <w:tc>
          <w:tcPr>
            <w:tcW w:w="1560" w:type="dxa"/>
            <w:vAlign w:val="center"/>
          </w:tcPr>
          <w:p w14:paraId="33F7A672" w14:textId="4B2F94C6" w:rsidR="00E93BBD" w:rsidRPr="007B1211" w:rsidRDefault="00E93BBD" w:rsidP="007B1211">
            <w:pPr>
              <w:spacing w:line="240" w:lineRule="auto"/>
              <w:jc w:val="center"/>
              <w:rPr>
                <w:rFonts w:cstheme="minorHAnsi"/>
                <w:sz w:val="20"/>
                <w:szCs w:val="20"/>
              </w:rPr>
            </w:pPr>
            <w:r w:rsidRPr="007B1211">
              <w:rPr>
                <w:rFonts w:eastAsia="Times New Roman" w:cstheme="minorHAnsi"/>
                <w:sz w:val="20"/>
                <w:szCs w:val="20"/>
                <w:lang w:eastAsia="en-GB"/>
              </w:rPr>
              <w:t>2</w:t>
            </w:r>
            <w:r w:rsidR="00144529">
              <w:rPr>
                <w:rFonts w:eastAsia="Times New Roman" w:cstheme="minorHAnsi"/>
                <w:sz w:val="20"/>
                <w:szCs w:val="20"/>
                <w:lang w:eastAsia="en-GB"/>
              </w:rPr>
              <w:t>7</w:t>
            </w:r>
          </w:p>
        </w:tc>
        <w:tc>
          <w:tcPr>
            <w:tcW w:w="2409" w:type="dxa"/>
            <w:vAlign w:val="center"/>
          </w:tcPr>
          <w:p w14:paraId="3EB93636" w14:textId="45809E00" w:rsidR="00E93BBD" w:rsidRPr="007B1211" w:rsidRDefault="00562EEA" w:rsidP="007B1211">
            <w:pPr>
              <w:spacing w:line="240" w:lineRule="auto"/>
              <w:jc w:val="center"/>
              <w:rPr>
                <w:rFonts w:cstheme="minorHAnsi"/>
                <w:sz w:val="20"/>
                <w:szCs w:val="20"/>
              </w:rPr>
            </w:pPr>
            <w:r w:rsidRPr="00562EEA">
              <w:rPr>
                <w:rFonts w:eastAsia="Times New Roman" w:cstheme="minorHAnsi"/>
                <w:sz w:val="20"/>
                <w:szCs w:val="20"/>
                <w:lang w:eastAsia="en-GB"/>
              </w:rPr>
              <w:t>72.6 (9 - 325.2)</w:t>
            </w:r>
          </w:p>
        </w:tc>
      </w:tr>
    </w:tbl>
    <w:p w14:paraId="5222C030" w14:textId="4006684D" w:rsidR="00E93BBD" w:rsidRPr="001A48CA" w:rsidRDefault="00E93BBD" w:rsidP="00E93BBD">
      <w:pPr>
        <w:spacing w:after="0" w:line="240" w:lineRule="auto"/>
        <w:jc w:val="left"/>
        <w:rPr>
          <w:rFonts w:cstheme="minorHAnsi"/>
          <w:i/>
          <w:iCs/>
          <w:sz w:val="20"/>
          <w:szCs w:val="20"/>
        </w:rPr>
      </w:pPr>
      <w:r w:rsidRPr="001A48CA">
        <w:rPr>
          <w:rFonts w:cstheme="minorHAnsi"/>
          <w:i/>
          <w:iCs/>
          <w:sz w:val="20"/>
          <w:szCs w:val="20"/>
          <w:vertAlign w:val="superscript"/>
        </w:rPr>
        <w:t>¥</w:t>
      </w:r>
      <w:r w:rsidRPr="001A48CA">
        <w:rPr>
          <w:rFonts w:cstheme="minorHAnsi"/>
          <w:i/>
          <w:iCs/>
          <w:sz w:val="20"/>
          <w:szCs w:val="20"/>
        </w:rPr>
        <w:t xml:space="preserve">Does not include countries implementing suppression not listed in ACAP data as of April </w:t>
      </w:r>
      <w:r w:rsidR="004C083B">
        <w:rPr>
          <w:rFonts w:cstheme="minorHAnsi"/>
          <w:i/>
          <w:iCs/>
          <w:sz w:val="20"/>
          <w:szCs w:val="20"/>
        </w:rPr>
        <w:t>1</w:t>
      </w:r>
      <w:r w:rsidR="001E5ED4">
        <w:rPr>
          <w:rFonts w:cstheme="minorHAnsi"/>
          <w:i/>
          <w:iCs/>
          <w:sz w:val="20"/>
          <w:szCs w:val="20"/>
        </w:rPr>
        <w:t>7</w:t>
      </w:r>
      <w:r w:rsidRPr="001A48CA">
        <w:rPr>
          <w:rFonts w:cstheme="minorHAnsi"/>
          <w:i/>
          <w:iCs/>
          <w:sz w:val="20"/>
          <w:szCs w:val="20"/>
          <w:vertAlign w:val="superscript"/>
        </w:rPr>
        <w:t>th</w:t>
      </w:r>
      <w:r w:rsidRPr="001A48CA">
        <w:rPr>
          <w:rFonts w:cstheme="minorHAnsi"/>
          <w:i/>
          <w:iCs/>
          <w:sz w:val="20"/>
          <w:szCs w:val="20"/>
        </w:rPr>
        <w:t xml:space="preserve"> 2020</w:t>
      </w:r>
    </w:p>
    <w:p w14:paraId="1A33C2D0" w14:textId="50DC3135" w:rsidR="00E93BBD" w:rsidRPr="001A48CA" w:rsidRDefault="00E93BBD" w:rsidP="00E93BBD">
      <w:pPr>
        <w:spacing w:after="0" w:line="240" w:lineRule="auto"/>
        <w:jc w:val="left"/>
        <w:rPr>
          <w:rFonts w:cstheme="minorHAnsi"/>
          <w:i/>
          <w:iCs/>
          <w:sz w:val="20"/>
          <w:szCs w:val="20"/>
        </w:rPr>
      </w:pPr>
      <w:r w:rsidRPr="001A48CA">
        <w:rPr>
          <w:rFonts w:cstheme="minorHAnsi"/>
          <w:i/>
          <w:iCs/>
          <w:sz w:val="20"/>
          <w:szCs w:val="20"/>
          <w:vertAlign w:val="superscript"/>
        </w:rPr>
        <w:t>€</w:t>
      </w:r>
      <w:r w:rsidRPr="001A48CA">
        <w:rPr>
          <w:rFonts w:cstheme="minorHAnsi"/>
          <w:i/>
          <w:iCs/>
          <w:sz w:val="20"/>
          <w:szCs w:val="20"/>
        </w:rPr>
        <w:t xml:space="preserve">Includes countries who have not yet implemented suppression in ACAP data as of April </w:t>
      </w:r>
      <w:r w:rsidR="001E5ED4">
        <w:rPr>
          <w:rFonts w:cstheme="minorHAnsi"/>
          <w:i/>
          <w:iCs/>
          <w:sz w:val="20"/>
          <w:szCs w:val="20"/>
        </w:rPr>
        <w:t>17</w:t>
      </w:r>
      <w:r w:rsidRPr="001A48CA">
        <w:rPr>
          <w:rFonts w:cstheme="minorHAnsi"/>
          <w:i/>
          <w:iCs/>
          <w:sz w:val="20"/>
          <w:szCs w:val="20"/>
          <w:vertAlign w:val="superscript"/>
        </w:rPr>
        <w:t>th</w:t>
      </w:r>
      <w:r w:rsidRPr="001A48CA">
        <w:rPr>
          <w:rFonts w:cstheme="minorHAnsi"/>
          <w:i/>
          <w:iCs/>
          <w:sz w:val="20"/>
          <w:szCs w:val="20"/>
        </w:rPr>
        <w:t xml:space="preserve"> 2020 where infections are assumed to have grown exponentially until the date of most recent measure reported in ACAP. For countries excluded from suppression analysis (Brazil, China, Iran, Japan, Singapore, South Korea and the United States of America) analysis was restricted to the time prior to 10 cumulative deaths reported.</w:t>
      </w:r>
    </w:p>
    <w:p w14:paraId="04913E2F" w14:textId="77777777" w:rsidR="00EB1700" w:rsidRDefault="00EB1700" w:rsidP="00E93BBD">
      <w:pPr>
        <w:spacing w:line="259" w:lineRule="auto"/>
        <w:jc w:val="left"/>
        <w:rPr>
          <w:rFonts w:cstheme="minorHAnsi"/>
          <w:b/>
          <w:bCs/>
          <w:i/>
          <w:iCs/>
        </w:rPr>
        <w:sectPr w:rsidR="00EB1700" w:rsidSect="00EB1700">
          <w:pgSz w:w="16838" w:h="11906" w:orient="landscape"/>
          <w:pgMar w:top="1440" w:right="1440" w:bottom="1440" w:left="1440" w:header="708" w:footer="708" w:gutter="0"/>
          <w:cols w:space="708"/>
          <w:docGrid w:linePitch="360"/>
        </w:sectPr>
      </w:pPr>
    </w:p>
    <w:p w14:paraId="4B5A6BF3" w14:textId="32EC519F" w:rsidR="00EF31E7" w:rsidRDefault="00EC38DE" w:rsidP="00012CB7">
      <w:r>
        <w:lastRenderedPageBreak/>
        <w:t xml:space="preserve">Our estimates </w:t>
      </w:r>
      <w:r w:rsidR="001E4777">
        <w:t>of increasin</w:t>
      </w:r>
      <w:r w:rsidR="004B55AD">
        <w:t>g time between suppression triggers in HICs in Figure 5</w:t>
      </w:r>
      <w:r w:rsidR="00883E86">
        <w:t>E</w:t>
      </w:r>
      <w:r w:rsidR="004B55AD">
        <w:t xml:space="preserve"> </w:t>
      </w:r>
      <w:r w:rsidR="00883E86">
        <w:t>assume that there is</w:t>
      </w:r>
      <w:r w:rsidR="004B55AD">
        <w:t xml:space="preserve"> durable immunity</w:t>
      </w:r>
      <w:r w:rsidR="00193BE9">
        <w:t xml:space="preserve"> to reinfection</w:t>
      </w:r>
      <w:r w:rsidR="00883E86">
        <w:t xml:space="preserve"> – this </w:t>
      </w:r>
      <w:r w:rsidR="000A391C">
        <w:t>remains uncertain</w:t>
      </w:r>
      <w:r w:rsidR="002816BD">
        <w:t xml:space="preserve"> </w:t>
      </w:r>
      <w:r w:rsidR="002816BD">
        <w:fldChar w:fldCharType="begin" w:fldLock="1"/>
      </w:r>
      <w:r w:rsidR="00EC39A7">
        <w:instrText>ADDIN CSL_CITATION {"citationItems":[{"id":"ITEM-1","itemData":{"DOI":"10.1016/S0140-6736(20)30985-5","ISSN":"01406736","author":[{"dropping-particle":"","family":"Altmann","given":"Daniel M","non-dropping-particle":"","parse-names":false,"suffix":""},{"dropping-particle":"","family":"Douek","given":"Daniel C","non-dropping-particle":"","parse-names":false,"suffix":""},{"dropping-particle":"","family":"Boyton","given":"Rosemary J","non-dropping-particle":"","parse-names":false,"suffix":""}],"container-title":"The Lancet","id":"ITEM-1","issue":"10236","issued":{"date-parts":[["2020","4"]]},"publisher":"Elsevier","title":"What policy makers need to know about COVID-19 protective immunity","type":"article-journal","volume":"395"},"uris":["http://www.mendeley.com/documents/?uuid=85d49c9e-8422-31ae-be35-201f7ded43c5"]}],"mendeley":{"formattedCitation":"(&lt;i&gt;16&lt;/i&gt;)","plainTextFormattedCitation":"(16)","previouslyFormattedCitation":"(&lt;i&gt;16&lt;/i&gt;)"},"properties":{"noteIndex":0},"schema":"https://github.com/citation-style-language/schema/raw/master/csl-citation.json"}</w:instrText>
      </w:r>
      <w:r w:rsidR="002816BD">
        <w:fldChar w:fldCharType="separate"/>
      </w:r>
      <w:r w:rsidR="006A73E3" w:rsidRPr="006A73E3">
        <w:rPr>
          <w:noProof/>
        </w:rPr>
        <w:t>(</w:t>
      </w:r>
      <w:r w:rsidR="006A73E3" w:rsidRPr="006A73E3">
        <w:rPr>
          <w:i/>
          <w:noProof/>
        </w:rPr>
        <w:t>16</w:t>
      </w:r>
      <w:r w:rsidR="006A73E3" w:rsidRPr="006A73E3">
        <w:rPr>
          <w:noProof/>
        </w:rPr>
        <w:t>)</w:t>
      </w:r>
      <w:r w:rsidR="002816BD">
        <w:fldChar w:fldCharType="end"/>
      </w:r>
      <w:r w:rsidR="000A391C">
        <w:t xml:space="preserve">. However, </w:t>
      </w:r>
      <w:r w:rsidR="00E02D88">
        <w:t xml:space="preserve">given the very low levels of population immunity in LIC/LMICs at 18 months in the presence of this assumption, </w:t>
      </w:r>
      <w:r w:rsidR="006D41CE">
        <w:t xml:space="preserve">our results </w:t>
      </w:r>
      <w:r w:rsidR="00671275">
        <w:t>indicate</w:t>
      </w:r>
      <w:r w:rsidR="00E02D88">
        <w:t xml:space="preserve"> that</w:t>
      </w:r>
      <w:r w:rsidR="001F4877">
        <w:t xml:space="preserve"> in these settings</w:t>
      </w:r>
      <w:r w:rsidR="00D66BBE">
        <w:t xml:space="preserve"> measures would have to remain in place well beyond the time window of our simulations in the absence o</w:t>
      </w:r>
      <w:r w:rsidR="00064529">
        <w:t xml:space="preserve">f </w:t>
      </w:r>
      <w:r w:rsidR="00671275">
        <w:t>a vaccine in order to achieve herd immunity</w:t>
      </w:r>
      <w:r w:rsidR="002204D2">
        <w:t xml:space="preserve">, or </w:t>
      </w:r>
      <w:r w:rsidR="009C5DF4">
        <w:t xml:space="preserve">equivalent </w:t>
      </w:r>
      <w:r w:rsidR="00064529">
        <w:t xml:space="preserve">effective exit strategy </w:t>
      </w:r>
      <w:r w:rsidR="00F35661">
        <w:t>able to</w:t>
      </w:r>
      <w:r w:rsidR="00064529">
        <w:t xml:space="preserve"> maintain </w:t>
      </w:r>
      <w:r w:rsidR="00F35661">
        <w:t>control of the epidemic</w:t>
      </w:r>
      <w:r w:rsidR="00064529">
        <w:t xml:space="preserve"> </w:t>
      </w:r>
      <w:r w:rsidR="00EC2FD5">
        <w:t>for values of R</w:t>
      </w:r>
      <w:r w:rsidR="00EC2FD5" w:rsidRPr="00C87552">
        <w:rPr>
          <w:vertAlign w:val="subscript"/>
        </w:rPr>
        <w:t>t</w:t>
      </w:r>
      <w:r w:rsidR="00EC2FD5" w:rsidRPr="00EC2FD5">
        <w:t xml:space="preserve"> </w:t>
      </w:r>
      <w:r w:rsidR="00EC2FD5">
        <w:t>that remain close to</w:t>
      </w:r>
      <w:r w:rsidR="00EC2FD5" w:rsidRPr="00EC2FD5">
        <w:t xml:space="preserve"> </w:t>
      </w:r>
      <w:r w:rsidR="00EC2FD5">
        <w:t>R</w:t>
      </w:r>
      <w:r w:rsidR="00EC2FD5">
        <w:rPr>
          <w:vertAlign w:val="subscript"/>
        </w:rPr>
        <w:t>0.</w:t>
      </w:r>
      <w:r w:rsidR="00EC2FD5">
        <w:t xml:space="preserve"> </w:t>
      </w:r>
    </w:p>
    <w:p w14:paraId="71D3E6A0" w14:textId="1D9CFDAA" w:rsidR="005524AA" w:rsidRDefault="00E33121" w:rsidP="00012CB7">
      <w:r>
        <w:t>Important</w:t>
      </w:r>
      <w:r w:rsidR="006E7936">
        <w:t>ly</w:t>
      </w:r>
      <w:r w:rsidR="005524AA">
        <w:t>,</w:t>
      </w:r>
      <w:r w:rsidR="006E7936">
        <w:t xml:space="preserve"> however, these results </w:t>
      </w:r>
      <w:r w:rsidR="00FA1825">
        <w:t xml:space="preserve">do </w:t>
      </w:r>
      <w:r w:rsidR="007F178F">
        <w:t xml:space="preserve">not account for </w:t>
      </w:r>
      <w:r w:rsidR="00E36BEF">
        <w:t>other interventions</w:t>
      </w:r>
      <w:r w:rsidR="007F178F">
        <w:t xml:space="preserve"> that could be implemented during periods where suppressive measures are not in place</w:t>
      </w:r>
      <w:r w:rsidR="0059132B">
        <w:t>.</w:t>
      </w:r>
      <w:r w:rsidR="00001E9B">
        <w:t xml:space="preserve"> Once the number of new infections drops to a manageable level, it is likely that more widespread testing and isolation of cases coupled with contact tracing can help to</w:t>
      </w:r>
      <w:r w:rsidR="00354189">
        <w:t xml:space="preserve"> prevent a resurgence of transmission, as has been observed in countries such as South Korea</w:t>
      </w:r>
      <w:r w:rsidR="00FE00A6">
        <w:t xml:space="preserve"> </w:t>
      </w:r>
      <w:r w:rsidR="00FE00A6">
        <w:fldChar w:fldCharType="begin" w:fldLock="1"/>
      </w:r>
      <w:r w:rsidR="007537FA">
        <w:instrText>ADDIN CSL_CITATION {"citationItems":[{"id":"ITEM-1","itemData":{"author":[{"dropping-particle":"","family":"Consulate General of the Republic of Korea","given":"","non-dropping-particle":"","parse-names":false,"suffix":""}],"id":"ITEM-1","issued":{"date-parts":[["2020"]]},"title":"Flattening the curve on COVID-19 - How Korea responded to a pandemic using ICT","type":"report"},"uris":["http://www.mendeley.com/documents/?uuid=0497c257-2b8e-3f7c-af1f-63a6af229950"]},{"id":"ITEM-2","itemData":{"DOI":"10.24171/j.phrp.2020.11.1.09","ISSN":"2210-9099","PMID":"32149043","abstract":"In the epidemiological investigation of an infectious disease, investigating, classifying, tracking, and managing contacts by identifying the patient's route are important for preventing further transmission of the disease. However, omissions and errors in previous activities can occur when the investigation is performed through only a proxy interview with the patient. To overcome these limitations, methods that can objectively verify the patient's claims (medical facility records, Global Positioning System, card transactions, and closed-circuit television) were used for the recent ongoing coronavirus disease 2019 contact investigations in South Korea.","author":[{"dropping-particle":"","family":"Korea Centers for Disease Control &amp; Prevention","given":"","non-dropping-particle":"","parse-names":false,"suffix":""}],"container-title":"Osong Public Health and Research Perspectives","id":"ITEM-2","issue":"1","issued":{"date-parts":[["2020","2"]]},"page":"60-63","publisher":"Korea Centers for Disease Control and Prevention","title":"Contact Transmission of COVID-19 in South Korea: Novel Investigation Techniques for Tracing Contacts.","type":"article-journal","volume":"11"},"uris":["http://www.mendeley.com/documents/?uuid=1ce6c3d7-c00c-3e4a-a9c9-86f60024a25c"]},{"id":"ITEM-3","itemData":{"DOI":"10.12688/wellcomeopenres.15843.1","abstract":" Background : The COVID-19 epidemic was declared a Global Pandemic by WHO on 11 March 2020. By 24 March 2020, over 440,000 cases and almost 20,000 deaths had been reported worldwide. In response to the fast-growing epidemic, which began in the Chinese city of Wuhan, Hubei, China imposed strict social distancing in Wuhan on 23 January 2020 followed closely by similar measures in other provinces. These interventions have impacted economic productivity in China, and the ability of the Chinese economy to resume without restarting the epidemic was not clear.  Methods : Using daily reported cases from mainland China and Hong Kong SAR, we estimated transmissibility over time and compared it to daily within-city movement, as a proxy for economic activity.  Results : Initially, within-city movement and transmission were very strongly correlated in the five mainland provinces most affected by the epidemic and Beijing. However, that correlation decreased rapidly after the initial sharp fall in transmissibility. In general, towards the end of the study period, the correlation was no longer apparent, despite substantial increases in within-city movement. A similar analysis for Hong Kong shows that intermediate levels of local activity were maintained while avoiding a large outbreak. At the very end of the study period, when China began to experience the re-introduction of a small number of cases from Europe and the United States, there is an apparent up-tick in transmission.  Conclusions: Although these results do not preclude future substantial increases in incidence, they suggest that after very intense social distancing (which resulted in containment), China successfully exited its lockdown to some degree. Elsewhere, movement data are being used as proxies for economic activity to assess the impact of interventions. The results presented here illustrate how the eventual decorrelation between transmission and movement is likely a key feature of successful COVID-19 exit strategies. ","author":[{"dropping-particle":"","family":"Ainslie","given":"Kylie E C","non-dropping-particle":"","parse-names":false,"suffix":""},{"dropping-particle":"","family":"Walters","given":"Caroline E.","non-dropping-particle":"","parse-names":false,"suffix":""},{"dropping-particle":"","family":"Fu","given":"Han","non-dropping-particle":"","parse-names":false,"suffix":""},{"dropping-particle":"","family":"Bhatia","given":"Sangeeta","non-dropping-particle":"","parse-names":false,"suffix":""},{"dropping-particle":"","family":"Wang","given":"Haowei","non-dropping-particle":"","parse-names":false,"suffix":""},{"dropping-particle":"","family":"Xi","given":"Xiaoyue","non-dropping-particle":"","parse-names":false,"suffix":""},{"dropping-particle":"","family":"Baguelin","given":"Marc","non-dropping-particle":"","parse-names":false,"suffix":""},{"dropping-particle":"","family":"Bhatt","given":"Samir","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iavarella","given":"Constanze","non-dropping-particle":"","parse-names":false,"suffix":""},{"dropping-particle":"","family":"Cucunuba","given":"Zulma","non-dropping-particle":"","parse-names":false,"suffix":""},{"dropping-particle":"","family":"Cuomo-Dannenburg","given":"Gina","non-dropping-particle":"","parse-names":false,"suffix":""},{"dropping-particle":"","family":"Dighe","given":"Amy","non-dropping-particle":"","parse-names":false,"suffix":""},{"dropping-particle":"","family":"Dorigatti","given":"Ilaria","non-dropping-particle":"","parse-names":false,"suffix":""},{"dropping-particle":"","family":"Elsland","given":"Sabine L","non-dropping-particle":"van","parse-names":false,"suffix":""},{"dropping-particle":"","family":"FitzJohn","given":"Rich","non-dropping-particle":"","parse-names":false,"suffix":""},{"dropping-particle":"","family":"Gaythorpe","given":"Katy","non-dropping-particle":"","parse-names":false,"suffix":""},{"dropping-particle":"","family":"Ghani","given":"Azra C","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Imai","given":"Natsuko","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Nedjati-Gilani","given":"Gemma","non-dropping-particle":"","parse-names":false,"suffix":""},{"dropping-particle":"","family":"Okell","given":"Lucy C","non-dropping-particle":"","parse-names":false,"suffix":""},{"dropping-particle":"","family":"Siveroni","given":"Igor","non-dropping-particle":"","parse-names":false,"suffix":""},{"dropping-particle":"","family":"Thompson","given":"Hayley A","non-dropping-particle":"","parse-names":false,"suffix":""},{"dropping-particle":"","family":"Unwin","given":"H Juliette T","non-dropping-particle":"","parse-names":false,"suffix":""},{"dropping-particle":"","family":"Verity","given":"Robert","non-dropping-particle":"","parse-names":false,"suffix":""},{"dropping-particle":"","family":"Vollmer","given":"Michaela","non-dropping-particle":"","parse-names":false,"suffix":""},{"dropping-particle":"","family":"Walker","given":"Patrick G T","non-dropping-particle":"","parse-names":false,"suffix":""},{"dropping-particle":"","family":"Wang","given":"Yuanrong","non-dropping-particle":"","parse-names":false,"suffix":""},{"dropping-particle":"","family":"Watson","given":"Oliver J","non-dropping-particle":"","parse-names":false,"suffix":""},{"dropping-particle":"","family":"Whittaker","given":"Charles","non-dropping-particle":"","parse-names":false,"suffix":""},{"dropping-particle":"","family":"Winskill","given":"Peter","non-dropping-particle":"","parse-names":false,"suffix":""},{"dropping-particle":"","family":"Donnelly","given":"Christl A","non-dropping-particle":"","parse-names":false,"suffix":""},{"dropping-particle":"","family":"Ferguson","given":"Neil M","non-dropping-particle":"","parse-names":false,"suffix":""},{"dropping-particle":"","family":"Riley","given":"Steven","non-dropping-particle":"","parse-names":false,"suffix":""}],"container-title":"Wellcome Open Research","id":"ITEM-3","issued":{"date-parts":[["2020","4","28"]]},"page":"81","publisher":"F1000 Research Ltd","title":"Evidence of initial success for China exiting COVID-19 social distancing policy after achieving containment","type":"article-journal","volume":"5"},"uris":["http://www.mendeley.com/documents/?uuid=4ddd0d7e-b9eb-3f40-b80e-4bb39d31fed3"]}],"mendeley":{"formattedCitation":"(&lt;i&gt;26&lt;/i&gt;–&lt;i&gt;28&lt;/i&gt;)","plainTextFormattedCitation":"(26–28)","previouslyFormattedCitation":"(&lt;i&gt;26&lt;/i&gt;–&lt;i&gt;28&lt;/i&gt;)"},"properties":{"noteIndex":0},"schema":"https://github.com/citation-style-language/schema/raw/master/csl-citation.json"}</w:instrText>
      </w:r>
      <w:r w:rsidR="00FE00A6">
        <w:fldChar w:fldCharType="separate"/>
      </w:r>
      <w:r w:rsidR="006A73E3" w:rsidRPr="006A73E3">
        <w:rPr>
          <w:noProof/>
        </w:rPr>
        <w:t>(</w:t>
      </w:r>
      <w:r w:rsidR="006A73E3" w:rsidRPr="006A73E3">
        <w:rPr>
          <w:i/>
          <w:noProof/>
        </w:rPr>
        <w:t>26</w:t>
      </w:r>
      <w:r w:rsidR="006A73E3" w:rsidRPr="006A73E3">
        <w:rPr>
          <w:noProof/>
        </w:rPr>
        <w:t>–</w:t>
      </w:r>
      <w:r w:rsidR="006A73E3" w:rsidRPr="006A73E3">
        <w:rPr>
          <w:i/>
          <w:noProof/>
        </w:rPr>
        <w:t>28</w:t>
      </w:r>
      <w:r w:rsidR="006A73E3" w:rsidRPr="006A73E3">
        <w:rPr>
          <w:noProof/>
        </w:rPr>
        <w:t>)</w:t>
      </w:r>
      <w:r w:rsidR="00FE00A6">
        <w:fldChar w:fldCharType="end"/>
      </w:r>
      <w:r w:rsidR="00C6478A">
        <w:t xml:space="preserve">. </w:t>
      </w:r>
      <w:r w:rsidR="00C818D5">
        <w:t xml:space="preserve">However, </w:t>
      </w:r>
      <w:r w:rsidR="000522B2">
        <w:t xml:space="preserve">given the low </w:t>
      </w:r>
      <w:r w:rsidR="008021E9">
        <w:t xml:space="preserve">reported case to reported death ratios in LICs/LMICs during the early stage of the pandemic, </w:t>
      </w:r>
      <w:r w:rsidR="00C818D5">
        <w:t xml:space="preserve">for such strategies to be successful it is likely that </w:t>
      </w:r>
      <w:r w:rsidR="003E07C9">
        <w:t xml:space="preserve">support to enhance surveillance will be required to increase </w:t>
      </w:r>
      <w:r w:rsidR="00040EA2">
        <w:t xml:space="preserve">infection ascertainment rates </w:t>
      </w:r>
      <w:r w:rsidR="008021E9">
        <w:t>substantially</w:t>
      </w:r>
      <w:r w:rsidR="00354189">
        <w:t xml:space="preserve">. </w:t>
      </w:r>
      <w:r w:rsidR="003E07C9">
        <w:t xml:space="preserve">Such testing strategies </w:t>
      </w:r>
      <w:r w:rsidR="001118D5">
        <w:t>could</w:t>
      </w:r>
      <w:r w:rsidR="00354189">
        <w:t xml:space="preserve"> be suppl</w:t>
      </w:r>
      <w:r w:rsidR="001118D5">
        <w:t xml:space="preserve">emented by </w:t>
      </w:r>
      <w:r w:rsidR="0094645C">
        <w:t xml:space="preserve">the additional use of </w:t>
      </w:r>
      <w:r w:rsidR="001118D5">
        <w:t>technology including digital apps</w:t>
      </w:r>
      <w:r w:rsidR="00232AF3">
        <w:t xml:space="preserve"> </w:t>
      </w:r>
      <w:r w:rsidR="00FE4FBD">
        <w:fldChar w:fldCharType="begin" w:fldLock="1"/>
      </w:r>
      <w:r w:rsidR="001D6FE0">
        <w:instrText>ADDIN CSL_CITATION {"citationItems":[{"id":"ITEM-1","itemData":{"DOI":"10.1126/science.abb6936","abstract":"The newly emergent human virus SARS-CoV-2 is resulting in high fatality rates and incapacitated health systems. Preventing further transmission is a priority. We analyzed key parameters of epidemic spread to estimate the contribution of different transmission routes and determine requirements for case isolation and contact-tracing needed to stop the epidemic. We conclude that viral spread is too fast to be contained by manual contact tracing, but could be controlled if this process was faster, more efficient and happened at scale. A contact-tracing App which builds a memory of proximity contacts and immediately notifies contacts of positive cases can achieve epidemic control if used by enough people. By targeting recommendations to only those at risk, epidemics could be contained without need for mass quarantines (‘lock-downs’) that are harmful to society. We discuss the ethical requirements for an intervention of this kind.","author":[{"dropping-particle":"","family":"Ferretti","given":"Luca","non-dropping-particle":"","parse-names":false,"suffix":""},{"dropping-particle":"","family":"Wymant","given":"Chris","non-dropping-particle":"","parse-names":false,"suffix":""},{"dropping-particle":"","family":"Kendall","given":"Michelle","non-dropping-particle":"","parse-names":false,"suffix":""},{"dropping-particle":"","family":"Zhao","given":"Lele","non-dropping-particle":"","parse-names":false,"suffix":""},{"dropping-particle":"","family":"Nurtay","given":"Anel","non-dropping-particle":"","parse-names":false,"suffix":""},{"dropping-particle":"","family":"Abeler-Dörner","given":"Lucie","non-dropping-particle":"","parse-names":false,"suffix":""},{"dropping-particle":"","family":"Parker","given":"Michael","non-dropping-particle":"","parse-names":false,"suffix":""},{"dropping-particle":"","family":"Bonsall","given":"David","non-dropping-particle":"","parse-names":false,"suffix":""},{"dropping-particle":"","family":"Fraser","given":"Christophe","non-dropping-particle":"","parse-names":false,"suffix":""}],"container-title":"Science","id":"ITEM-1","issue":"6491","issued":{"date-parts":[["2020","3","31"]]},"page":"eabb6936","publisher":"American Association for the Advancement of Science (AAAS)","title":"Quantifying SARS-CoV-2 transmission suggests epidemic control with digital contact tracing","type":"article-journal","volume":"368"},"uris":["http://www.mendeley.com/documents/?uuid=f3a5effd-cf53-3393-bcae-24cc3ce001ed"]}],"mendeley":{"formattedCitation":"(&lt;i&gt;29&lt;/i&gt;)","plainTextFormattedCitation":"(29)","previouslyFormattedCitation":"(&lt;i&gt;29&lt;/i&gt;)"},"properties":{"noteIndex":0},"schema":"https://github.com/citation-style-language/schema/raw/master/csl-citation.json"}</w:instrText>
      </w:r>
      <w:r w:rsidR="00FE4FBD">
        <w:fldChar w:fldCharType="separate"/>
      </w:r>
      <w:r w:rsidR="006A73E3" w:rsidRPr="006A73E3">
        <w:rPr>
          <w:noProof/>
        </w:rPr>
        <w:t>(</w:t>
      </w:r>
      <w:r w:rsidR="006A73E3" w:rsidRPr="006A73E3">
        <w:rPr>
          <w:i/>
          <w:noProof/>
        </w:rPr>
        <w:t>29</w:t>
      </w:r>
      <w:r w:rsidR="006A73E3" w:rsidRPr="006A73E3">
        <w:rPr>
          <w:noProof/>
        </w:rPr>
        <w:t>)</w:t>
      </w:r>
      <w:r w:rsidR="00FE4FBD">
        <w:fldChar w:fldCharType="end"/>
      </w:r>
      <w:r w:rsidR="001118D5">
        <w:t xml:space="preserve">. </w:t>
      </w:r>
      <w:r w:rsidR="008630AE">
        <w:t>The appropriateness of these different interventions will be context-specific and hence it is likely that each country will</w:t>
      </w:r>
      <w:r w:rsidR="00B611A3">
        <w:t xml:space="preserve"> need to develop strategies </w:t>
      </w:r>
      <w:r w:rsidR="00CC32CD">
        <w:t>based on an understanding of the underlying principles outlined here</w:t>
      </w:r>
      <w:r w:rsidR="00506340">
        <w:t xml:space="preserve"> but adapted to suit their </w:t>
      </w:r>
      <w:r w:rsidR="00D34B9E">
        <w:t>needs.</w:t>
      </w:r>
    </w:p>
    <w:p w14:paraId="2F70F6AB" w14:textId="77777777" w:rsidR="005524AA" w:rsidRDefault="005524AA">
      <w:pPr>
        <w:spacing w:line="259" w:lineRule="auto"/>
        <w:jc w:val="left"/>
      </w:pPr>
      <w:r>
        <w:br w:type="page"/>
      </w:r>
    </w:p>
    <w:p w14:paraId="2E45DA68" w14:textId="3EA51DE2" w:rsidR="00DE0E3E" w:rsidRDefault="005D739E" w:rsidP="00C53D75">
      <w:pPr>
        <w:rPr>
          <w:b/>
          <w:bCs/>
          <w:i/>
          <w:iCs/>
        </w:rPr>
      </w:pPr>
      <w:r>
        <w:rPr>
          <w:noProof/>
          <w:lang w:eastAsia="en-GB"/>
        </w:rPr>
        <w:lastRenderedPageBreak/>
        <w:drawing>
          <wp:inline distT="0" distB="0" distL="0" distR="0" wp14:anchorId="5F7846C9" wp14:editId="7CDF9BB2">
            <wp:extent cx="5731510" cy="43376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337685"/>
                    </a:xfrm>
                    <a:prstGeom prst="rect">
                      <a:avLst/>
                    </a:prstGeom>
                  </pic:spPr>
                </pic:pic>
              </a:graphicData>
            </a:graphic>
          </wp:inline>
        </w:drawing>
      </w:r>
    </w:p>
    <w:p w14:paraId="0DF14F7A" w14:textId="77777777" w:rsidR="006869FE" w:rsidRDefault="006869FE" w:rsidP="00D51FDE">
      <w:pPr>
        <w:rPr>
          <w:b/>
          <w:bCs/>
          <w:i/>
          <w:iCs/>
          <w:lang w:val="en-US"/>
        </w:rPr>
      </w:pPr>
    </w:p>
    <w:p w14:paraId="26D9AE20" w14:textId="7B192019" w:rsidR="0096322F" w:rsidRPr="005524AA" w:rsidRDefault="0096322F" w:rsidP="006869FE">
      <w:pPr>
        <w:pStyle w:val="Heading2"/>
        <w:rPr>
          <w:lang w:val="en-US"/>
        </w:rPr>
      </w:pPr>
      <w:r w:rsidRPr="005524AA">
        <w:rPr>
          <w:lang w:val="en-US"/>
        </w:rPr>
        <w:t>Conclusions</w:t>
      </w:r>
    </w:p>
    <w:p w14:paraId="54540E7C" w14:textId="31E39235" w:rsidR="00CF3DB3" w:rsidRDefault="00D51FDE" w:rsidP="00D51FDE">
      <w:pPr>
        <w:rPr>
          <w:lang w:val="en-US"/>
        </w:rPr>
      </w:pPr>
      <w:r w:rsidRPr="000A6643">
        <w:rPr>
          <w:lang w:val="en-US"/>
        </w:rPr>
        <w:t xml:space="preserve">The results presented here illustrate the potential impact of the COVID-19 pandemic </w:t>
      </w:r>
      <w:r w:rsidR="00863AB1">
        <w:rPr>
          <w:lang w:val="en-US"/>
        </w:rPr>
        <w:t>in LIC</w:t>
      </w:r>
      <w:r w:rsidR="000D080F">
        <w:rPr>
          <w:lang w:val="en-US"/>
        </w:rPr>
        <w:t>s</w:t>
      </w:r>
      <w:r w:rsidR="00863AB1">
        <w:rPr>
          <w:lang w:val="en-US"/>
        </w:rPr>
        <w:t xml:space="preserve"> and LMIC</w:t>
      </w:r>
      <w:r w:rsidR="000D080F">
        <w:rPr>
          <w:lang w:val="en-US"/>
        </w:rPr>
        <w:t>s</w:t>
      </w:r>
      <w:r w:rsidR="00863AB1">
        <w:rPr>
          <w:lang w:val="en-US"/>
        </w:rPr>
        <w:t xml:space="preserve"> </w:t>
      </w:r>
      <w:r w:rsidR="001420EC">
        <w:rPr>
          <w:lang w:val="en-US"/>
        </w:rPr>
        <w:t>compared to the epidemics that have occurred to date in UMIC</w:t>
      </w:r>
      <w:r w:rsidR="000D080F">
        <w:rPr>
          <w:lang w:val="en-US"/>
        </w:rPr>
        <w:t>s</w:t>
      </w:r>
      <w:r w:rsidR="001420EC">
        <w:rPr>
          <w:lang w:val="en-US"/>
        </w:rPr>
        <w:t xml:space="preserve"> and HIC</w:t>
      </w:r>
      <w:r w:rsidR="000D080F">
        <w:rPr>
          <w:lang w:val="en-US"/>
        </w:rPr>
        <w:t>s</w:t>
      </w:r>
      <w:r w:rsidRPr="000A6643">
        <w:rPr>
          <w:lang w:val="en-US"/>
        </w:rPr>
        <w:t xml:space="preserve">. </w:t>
      </w:r>
      <w:r>
        <w:rPr>
          <w:lang w:val="en-US"/>
        </w:rPr>
        <w:t>Our analyses</w:t>
      </w:r>
      <w:r w:rsidRPr="000A6643">
        <w:rPr>
          <w:lang w:val="en-US"/>
        </w:rPr>
        <w:t xml:space="preserve"> give insight into </w:t>
      </w:r>
      <w:r w:rsidR="00FD618A">
        <w:rPr>
          <w:lang w:val="en-US"/>
        </w:rPr>
        <w:t xml:space="preserve">how </w:t>
      </w:r>
      <w:r w:rsidR="001420EC">
        <w:rPr>
          <w:lang w:val="en-US"/>
        </w:rPr>
        <w:t xml:space="preserve">differences </w:t>
      </w:r>
      <w:r w:rsidR="00FD618A">
        <w:rPr>
          <w:lang w:val="en-US"/>
        </w:rPr>
        <w:t>in</w:t>
      </w:r>
      <w:r w:rsidR="001420EC">
        <w:rPr>
          <w:lang w:val="en-US"/>
        </w:rPr>
        <w:t xml:space="preserve"> demography, social structure and </w:t>
      </w:r>
      <w:r w:rsidR="007B6E10">
        <w:rPr>
          <w:lang w:val="en-US"/>
        </w:rPr>
        <w:t xml:space="preserve">healthcare availability and quality combine and potentially influence </w:t>
      </w:r>
      <w:r w:rsidRPr="000A6643">
        <w:rPr>
          <w:lang w:val="en-US"/>
        </w:rPr>
        <w:t>the impact of measures that can help reduce the spread of the virus. </w:t>
      </w:r>
      <w:r w:rsidR="007B6E10">
        <w:rPr>
          <w:lang w:val="en-US"/>
        </w:rPr>
        <w:t>A</w:t>
      </w:r>
      <w:r w:rsidRPr="000A6643">
        <w:rPr>
          <w:lang w:val="en-US"/>
        </w:rPr>
        <w:t>t the current time, it is not possible to predict with any certainty the exact number of cases for any given country</w:t>
      </w:r>
      <w:r w:rsidR="00C13B7C">
        <w:rPr>
          <w:lang w:val="en-US"/>
        </w:rPr>
        <w:t xml:space="preserve">, </w:t>
      </w:r>
      <w:r>
        <w:rPr>
          <w:lang w:val="en-US"/>
        </w:rPr>
        <w:t>the precise mortality and disease burden that will result</w:t>
      </w:r>
      <w:r w:rsidR="00C13B7C">
        <w:rPr>
          <w:lang w:val="en-US"/>
        </w:rPr>
        <w:t xml:space="preserve"> or the benefits and drawbacks of the different approaches to control of the virus that are currently being implemented</w:t>
      </w:r>
      <w:r w:rsidRPr="000A6643">
        <w:rPr>
          <w:lang w:val="en-US"/>
        </w:rPr>
        <w:t xml:space="preserve">. </w:t>
      </w:r>
      <w:r>
        <w:rPr>
          <w:lang w:val="en-US"/>
        </w:rPr>
        <w:t xml:space="preserve">A full understanding of </w:t>
      </w:r>
      <w:r w:rsidR="00C13B7C">
        <w:rPr>
          <w:lang w:val="en-US"/>
        </w:rPr>
        <w:t xml:space="preserve">these </w:t>
      </w:r>
      <w:r>
        <w:rPr>
          <w:lang w:val="en-US"/>
        </w:rPr>
        <w:t>will only be available retrospectively</w:t>
      </w:r>
      <w:r w:rsidRPr="000A6643">
        <w:rPr>
          <w:lang w:val="en-US"/>
        </w:rPr>
        <w:t xml:space="preserve">. </w:t>
      </w:r>
    </w:p>
    <w:p w14:paraId="2C45C828" w14:textId="3A3A0FB3" w:rsidR="00D50B46" w:rsidRDefault="00603773" w:rsidP="00AE11F4">
      <w:r>
        <w:t xml:space="preserve">Whilst our results illustrate the challenges that many countries will face in attempting to mitigate the impact of local COVID-19 epidemics, it is important to bear in mind that even moderate levels of changes in behaviour can avert many infections and hence save </w:t>
      </w:r>
      <w:r w:rsidR="00F67D7F">
        <w:t xml:space="preserve">millions of </w:t>
      </w:r>
      <w:r>
        <w:t>lives</w:t>
      </w:r>
      <w:r w:rsidR="00C44E15">
        <w:t xml:space="preserve"> </w:t>
      </w:r>
      <w:r w:rsidR="00C44E15">
        <w:fldChar w:fldCharType="begin" w:fldLock="1"/>
      </w:r>
      <w:r w:rsidR="002733BF">
        <w:instrText>ADDIN CSL_CITATION {"citationItems":[{"id":"ITEM-1","itemData":{"DOI":"10.25561/77735","abstract":"The world faces a severe and acute public health emergency due to the ongoing COVID-19 global pandemic. How individual countries respond in the coming weeks will be critical in influencing the trajectory of national epidemics. Here we combine data on age-specific contact patterns and COVID-19 severity to project the health impact of the pandemic in 202 countries. We compare predicted mortality impacts in the absence of interventions or spontaneous social distancing with what might be achieved with policies aimed at mitigating or suppressing transmission. Our estimates of mortality and healthcare demand are based on data from China and high-income countries; differences in underlying health conditions and healthcare system capacity will likely result in different patterns in low income settings. We estimate that in the absence of interventions, COVID-19 would have resulted in 7.0 billion infections and 40 million deaths globally this year. Mitigation strategies focussing on shielding the elderly (60% reduction in social contacts) and slowing but not interrupting transmission (40% reduction in social contacts for wider population) could reduce this burden by half, saving 20 million lives, but we predict that even in this scenario, health systems in all countries will be quickly overwhelmed. This effect is likely to be most severe in lower income settings where capacity is lowest: our mitigated scenarios lead to peak demand for critical care beds in a typical low-income setting outstripping supply by a factor of 25, in contrast to a typical high-income setting where this factor is 7. As a result, we anticipate that the true burden in low income settings pursuing mitigation strategies could be substantially higher than reflected in these estimates. Our analysis therefore suggests that healthcare demand can only be kept within manageable levels through the rapid adoption of public health measures (including testing and isolation of cases and wider social distancing measures) to suppress transmission, similar to those Page 2 of 18 countries at the current time. If a suppression strategy is implemented early (at 0.2 deaths per 100,000 population per week) and sustained, then 38.7 million lives could be saved whilst if it is initiated when death numbers are higher (1.6 deaths per 100,000 population per week) then 30.7 million lives could be saved. Delays in implementing strategies to suppress transmission will lead to worse outcomes and fewer lives saved. We do…","author":[{"dropping-particle":"","family":"Walker","given":"Patrick GT","non-dropping-particle":"","parse-names":false,"suffix":""},{"dropping-particle":"","family":"Whittaker","given":"Charles","non-dropping-particle":"","parse-names":false,"suffix":""},{"dropping-particle":"","family":"Watson","given":"Oliver","non-dropping-particle":"","parse-names":false,"suffix":""},{"dropping-particle":"","family":"Baguelin","given":"Marc","non-dropping-particle":"","parse-names":false,"suffix":""},{"dropping-particle":"","family":"Ainslie","given":"Kylie E C","non-dropping-particle":"","parse-names":false,"suffix":""},{"dropping-particle":"","family":"Bhatia","given":"Sangeeta","non-dropping-particle":"","parse-names":false,"suffix":""},{"dropping-particle":"","family":"Bhatt","given":"Samir","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onnelly","given":"Christl A","non-dropping-particle":"","parse-names":false,"suffix":""},{"dropping-particle":"","family":"Dorigatti","given":"Ilaria","non-dropping-particle":"","parse-names":false,"suffix":""},{"dropping-particle":"","family":"Elsland","given":"Sabine","non-dropping-particle":"Van","parse-names":false,"suffix":""},{"dropping-particle":"","family":"Fitzjohn","given":"Rich","non-dropping-particle":"","parse-names":false,"suffix":""},{"dropping-particle":"","family":"Flaxman","given":"Seth","non-dropping-particle":"","parse-names":false,"suffix":""},{"dropping-particle":"","family":"Fu","given":"Han","non-dropping-particle":"","parse-names":false,"suffix":""},{"dropping-particle":"","family":"Gaythorpe","given":"Katy","non-dropping-particle":"","parse-names":false,"suffix":""},{"dropping-particle":"","family":"Geidelberg","given":"Lily","non-dropping-particle":"","parse-names":false,"suffix":""},{"dropping-particle":"","family":"Grassly","given":"Nicholas","non-dropping-particle":"","parse-names":false,"suffix":""},{"dropping-particle":"","family":"Green","given":"Will","non-dropping-particle":"","parse-names":false,"suffix":""},{"dropping-particle":"","family":"Hamlet","given":"Arran","non-dropping-particle":"","parse-names":false,"suffix":""},{"dropping-particle":"","family":"Hauck","given":"Katharina","non-dropping-particle":"","parse-names":false,"suffix":""},{"dropping-particle":"","family":"Haw","given":"David","non-dropping-particle":"","parse-names":false,"suffix":""},{"dropping-particle":"","family":"Hayes","given":"Sarah","non-dropping-particle":"","parse-names":false,"suffix":""},{"dropping-particle":"","family":"Hinsley","given":"Wes","non-dropping-particle":"","parse-names":false,"suffix":""},{"dropping-particle":"","family":"Imai","given":"Natsuko","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Mishra","given":"Swapnil","non-dropping-particle":"","parse-names":false,"suffix":""},{"dropping-particle":"","family":"Nedjati-Gilani","given":"Gemma","non-dropping-particle":"","parse-names":false,"suffix":""},{"dropping-particle":"","family":"Okell","given":"Lucy C","non-dropping-particle":"","parse-names":false,"suffix":""},{"dropping-particle":"","family":"Riley","given":"Steven","non-dropping-particle":"","parse-names":false,"suffix":""},{"dropping-particle":"","family":"Thompson","given":"Hayley","non-dropping-particle":"","parse-names":false,"suffix":""},{"dropping-particle":"","family":"Unwin","given":"Juliette","non-dropping-particle":"","parse-names":false,"suffix":""},{"dropping-particle":"","family":"Verity","given":"Robert","non-dropping-particle":"","parse-names":false,"suffix":""},{"dropping-particle":"","family":"Vollmer","given":"Michaela","non-dropping-particle":"","parse-names":false,"suffix":""},{"dropping-particle":"","family":"Walters","given":"Caroline","non-dropping-particle":"","parse-names":false,"suffix":""},{"dropping-particle":"","family":"Wang","given":"Wei","non-dropping-particle":"","parse-names":false,"suffix":""},{"dropping-particle":"","family":"Wang","given":"Yuanrong","non-dropping-particle":"","parse-names":false,"suffix":""},{"dropping-particle":"","family":"Winskill","given":"Peter","non-dropping-particle":"","parse-names":false,"suffix":""},{"dropping-particle":"","family":"Xi","given":"Xiaoyue","non-dropping-particle":"","parse-names":false,"suffix":""},{"dropping-particle":"","family":"Ferguson","given":"Neil M","non-dropping-particle":"","parse-names":false,"suffix":""},{"dropping-particle":"","family":"Ghani","given":"Azra C","non-dropping-particle":"","parse-names":false,"suffix":""}],"id":"ITEM-1","issued":{"date-parts":[["2020"]]},"title":"The Global Impact of COVID-19 and Strategies for Mitigation and Suppression (Imperial College COVID-19 Response Team)","type":"article-journal"},"uris":["http://www.mendeley.com/documents/?uuid=1aefa87f-c6c0-385e-8d47-646f584ea84a"]}],"mendeley":{"formattedCitation":"(&lt;i&gt;30&lt;/i&gt;)","plainTextFormattedCitation":"(30)","previouslyFormattedCitation":"(&lt;i&gt;30&lt;/i&gt;)"},"properties":{"noteIndex":0},"schema":"https://github.com/citation-style-language/schema/raw/master/csl-citation.json"}</w:instrText>
      </w:r>
      <w:r w:rsidR="00C44E15">
        <w:fldChar w:fldCharType="separate"/>
      </w:r>
      <w:r w:rsidR="006A73E3" w:rsidRPr="006A73E3">
        <w:rPr>
          <w:noProof/>
        </w:rPr>
        <w:t>(</w:t>
      </w:r>
      <w:r w:rsidR="006A73E3" w:rsidRPr="006A73E3">
        <w:rPr>
          <w:i/>
          <w:noProof/>
        </w:rPr>
        <w:t>30</w:t>
      </w:r>
      <w:r w:rsidR="006A73E3" w:rsidRPr="006A73E3">
        <w:rPr>
          <w:noProof/>
        </w:rPr>
        <w:t>)</w:t>
      </w:r>
      <w:r w:rsidR="00C44E15">
        <w:fldChar w:fldCharType="end"/>
      </w:r>
      <w:r>
        <w:t>. Whilst suppression</w:t>
      </w:r>
      <w:r w:rsidR="00580CA1">
        <w:t xml:space="preserve"> will always have the greatest impact on COVID-related morbidity and mortality, the intensity of interventions required needs to be balanced against the wider health risks that </w:t>
      </w:r>
      <w:r w:rsidR="00B05D8E">
        <w:t>di</w:t>
      </w:r>
      <w:r w:rsidR="00580CA1">
        <w:t xml:space="preserve">verting </w:t>
      </w:r>
      <w:r w:rsidR="009135C4">
        <w:t xml:space="preserve">all </w:t>
      </w:r>
      <w:r w:rsidR="00580CA1">
        <w:t>attention to a single disease could entail</w:t>
      </w:r>
      <w:r w:rsidR="000E7346">
        <w:t xml:space="preserve"> </w:t>
      </w:r>
      <w:r w:rsidR="00CA20D7">
        <w:fldChar w:fldCharType="begin" w:fldLock="1"/>
      </w:r>
      <w:r w:rsidR="007B2231">
        <w:instrText>ADDIN CSL_CITATION {"citationItems":[{"id":"ITEM-1","itemData":{"DOI":"10.25561/78670","abstract":"COVID-19 has the potential to cause disruptions to health services in different ways; through the health system becoming overwhelmed with COVID-19 patients, through the intervention used to slow transmission of COVID-19 inhibiting access to preventative interventions and services, and through supplies of medicine being interrupted. We aim to quantify the extent to which such disruptions in services for HIV, TB and malaria in high burden low-and middle-income countries could lead to additional loss of life. In high burden settings, HIV, TB and malaria related deaths over 5 years may be increased by up to 10%, 20% and 36%, respectively, compared to if there were no COVID-19 epidemic. We estimate the greatest impact on HIV to be from interruption to ART, which may occur during a period of high or extremely high health system demand; for TB, we estimate the greatest impact is from reductions in timely diagnosis and treatment of new cases, which may result from a long period of COVID-19 suppression interventions; for malaria, we estimate that the greatest impact could come from reduced prevention activities including interruption of planned net campaigns, through all phases of the COVID-19 epidemic. In high burden settings, the impact of each type of disruption could be significant and lead to a loss of life-years over five years that is of the same order of magnitude as the direct impact from COVID-19 in places with a high burden of malaria and large HIV/TB epidemics. Maintaining the most critical prevention activities and healthcare services for HIV, TB and malaria could significantly reduce the overall impact of the COVID-19 epidemic.","author":[{"dropping-particle":"","family":"Hogan","given":"Alexandra B","non-dropping-particle":"","parse-names":false,"suffix":""},{"dropping-particle":"","family":"Jewell","given":"Britta","non-dropping-particle":"","parse-names":false,"suffix":""},{"dropping-particle":"","family":"Sherrard-Smith","given":"Ellie","non-dropping-particle":"","parse-names":false,"suffix":""},{"dropping-particle":"","family":"Vesga","given":"Juan","non-dropping-particle":"","parse-names":false,"suffix":""},{"dropping-particle":"","family":"Watson","given":"Oliver J","non-dropping-particle":"","parse-names":false,"suffix":""},{"dropping-particle":"","family":"Whittaker","given":"Charles","non-dropping-particle":"","parse-names":false,"suffix":""},{"dropping-particle":"","family":"Hamlet","given":"Arran","non-dropping-particle":"","parse-names":false,"suffix":""},{"dropping-particle":"","family":"Smith","given":"Jennifer","non-dropping-particle":"","parse-names":false,"suffix":""},{"dropping-particle":"","family":"Ainslie","given":"Kylie","non-dropping-particle":"","parse-names":false,"suffix":""},{"dropping-particle":"","family":"Baguelin","given":"Marc","non-dropping-particle":"","parse-names":false,"suffix":""},{"dropping-particle":"","family":"Bhatt","given":"Samir","non-dropping-particle":"","parse-names":false,"suffix":""},{"dropping-particle":"","family":"Boonyasiri","given":"Adhiratha","non-dropping-particle":"","parse-names":false,"suffix":""},{"dropping-particle":"","family":"Brazeau","given":"Nicholas F","non-dropping-particle":"","parse-names":false,"suffix":""},{"dropping-particle":"","family":"Cattarino","given":"Lorenzo","non-dropping-particle":"","parse-names":false,"suffix":""},{"dropping-particle":"","family":"Charles","given":"Giovanni","non-dropping-particle":"","parse-names":false,"suffix":""},{"dropping-particle":"V","family":"Cooper","given":"Laura","non-dropping-particle":"","parse-names":false,"suffix":""},{"dropping-particle":"","family":"Coupland","given":"Helen","non-dropping-particle":"","parse-names":false,"suffix":""},{"dropping-particle":"","family":"Cuomo-Dannenburg","given":"Gina","non-dropping-particle":"","parse-names":false,"suffix":""},{"dropping-particle":"","family":"Dighe","given":"Amy","non-dropping-particle":"","parse-names":false,"suffix":""},{"dropping-particle":"","family":"Djaafara","given":"Bimandra","non-dropping-particle":"","parse-names":false,"suffix":""},{"dropping-particle":"","family":"Donnelly","given":"Christl A","non-dropping-particle":"","parse-names":false,"suffix":""},{"dropping-particle":"","family":"Dorigatti","given":"Ilaria","non-dropping-particle":"","parse-names":false,"suffix":""},{"dropping-particle":"","family":"Eaton","given":"Jeff W","non-dropping-particle":"","parse-names":false,"suffix":""},{"dropping-particle":"","family":"Elsland","given":"Sabine L","non-dropping-particle":"Van","parse-names":false,"suffix":""},{"dropping-particle":"","family":"Fitzjohn","given":"Richard","non-dropping-particle":"","parse-names":false,"suffix":""},{"dropping-particle":"","family":"Fu","given":"Han","non-dropping-particle":"","parse-names":false,"suffix":""},{"dropping-particle":"","family":"Gaythorpe","given":"Katy","non-dropping-particle":"","parse-names":false,"suffix":""},{"dropping-particle":"","family":"Green","given":"Will","non-dropping-particle":"","parse-names":false,"suffix":""},{"dropping-particle":"","family":"Haw","given":"David J","non-dropping-particle":"","parse-names":false,"suffix":""},{"dropping-particle":"","family":"Hayes","given":"Sarah","non-dropping-particle":"","parse-names":false,"suffix":""},{"dropping-particle":"","family":"Hinsley","given":"Wes","non-dropping-particle":"","parse-names":false,"suffix":""},{"dropping-particle":"","family":"Imai","given":"Natsuko","non-dropping-particle":"","parse-names":false,"suffix":""},{"dropping-particle":"","family":"Knock","given":"Edward","non-dropping-particle":"","parse-names":false,"suffix":""},{"dropping-particle":"","family":"Laydon","given":"Daniel","non-dropping-particle":"","parse-names":false,"suffix":""},{"dropping-particle":"","family":"Lees","given":"John","non-dropping-particle":"","parse-names":false,"suffix":""},{"dropping-particle":"","family":"Mangal","given":"Tara","non-dropping-particle":"","parse-names":false,"suffix":""},{"dropping-particle":"","family":"Mellan","given":"Thomas","non-dropping-particle":"","parse-names":false,"suffix":""},{"dropping-particle":"","family":"Mishra","given":"Swapnil","non-dropping-particle":"","parse-names":false,"suffix":""},{"dropping-particle":"","family":"Nedjati-Gilani","given":"Gemma","non-dropping-particle":"","parse-names":false,"suffix":""},{"dropping-particle":"","family":"Nouvellet","given":"Pierre","non-dropping-particle":"","parse-names":false,"suffix":""},{"dropping-particle":"","family":"Okell","given":"Lucy","non-dropping-particle":"","parse-names":false,"suffix":""},{"dropping-particle":"","family":"Ower","given":"Alison","non-dropping-particle":"","parse-names":false,"suffix":""},{"dropping-particle":"V","family":"Parag","given":"Kris","non-dropping-particle":"","parse-names":false,"suffix":""},{"dropping-particle":"","family":"Pickles","given":"Michael","non-dropping-particle":"","parse-names":false,"suffix":""},{"dropping-particle":"","family":"Stopard","given":"Isaac","non-dropping-particle":"","parse-names":false,"suffix":""},{"dropping-particle":"","family":"Thompson","given":"Hayley A","non-dropping-particle":"","parse-names":false,"suffix":""},{"dropping-particle":"","family":"Juliette","given":"H","non-dropping-particle":"","parse-names":false,"suffix":""},{"dropping-particle":"","family":"Unwin","given":"T","non-dropping-particle":"","parse-names":false,"suffix":""},{"dropping-particle":"","family":"Verity","given":"Robert","non-dropping-particle":"","parse-names":false,"suffix":""},{"dropping-particle":"","family":"Vollmer","given":"Michaela","non-dropping-particle":"","parse-names":false,"suffix":""},{"dropping-particle":"","family":"Walters","given":"Caroline","non-dropping-particle":"","parse-names":false,"suffix":""},{"dropping-particle":"","family":"Wang","given":"Haowei","non-dropping-particle":"","parse-names":false,"suffix":""},{"dropping-particle":"","family":"Wang","given":"Yuanrong","non-dropping-particle":"","parse-names":false,"suffix":""},{"dropping-particle":"","family":"Whittles","given":"Lilith","non-dropping-particle":"","parse-names":false,"suffix":""},{"dropping-particle":"","family":"Winskill","given":"Peter","non-dropping-particle":"","parse-names":false,"suffix":""},{"dropping-particle":"","family":"Xi","given":"Xiaoyue","non-dropping-particle":"","parse-names":false,"suffix":""},{"dropping-particle":"","family":"Ferguson","given":"Neil M","non-dropping-particle":"","parse-names":false,"suffix":""},{"dropping-particle":"","family":"Churcher","given":"Thomas","non-dropping-particle":"","parse-names":false,"suffix":""},{"dropping-particle":"","family":"Arinaminpathy","given":"Nimalan","non-dropping-particle":"","parse-names":false,"suffix":""},{"dropping-particle":"","family":"Ghani","given":"Azra","non-dropping-particle":"","parse-names":false,"suffix":""},{"dropping-particle":"","family":"Walker","given":"Patrick","non-dropping-particle":"","parse-names":false,"suffix":""},{"dropping-particle":"","family":"Hallett","given":"Timothy B","non-dropping-particle":"","parse-names":false,"suffix":""}],"id":"ITEM-1","issued":{"date-parts":[["2020"]]},"title":"The Potential Impact of the COVID-19 Epidemic on HIV, TB and Malaria in Low-and Middle-Income Countries (Imperial College COVID-19 Response Team)","type":"article-journal"},"uris":["http://www.mendeley.com/documents/?uuid=0c5eb46b-cc9a-3c81-87ec-f7c6b7bef066"]},{"id":"ITEM-2","itemData":{"DOI":"10.1186/1475-2875-11-94","ISSN":"1475-2875","PMID":"22455309","abstract":"Lives saved have become a standard metric to express health benefits across interventions and diseases. Recent estimates of malaria-attributable under-five deaths prevented using the Lives Saved tool (LiST), extrapolating effectiveness estimates from community-randomized trials of scale-up of insecticide-treated nets (ITNs) in the 1990s, confirm the substantial impact and good cost-effectiveness that ITNs have achieved in high-endemic sub-Saharan Africa. An even higher cost-effectiveness would likely have been found if the modelling had included the additional indirect mortality impact of ITNs on preventing deaths from other common child illnesses, to which malaria contributes as a risk factor. As conventional ITNs are being replaced by long-lasting insecticidal nets and scale-up is expanded to target universal coverage for full, all-age populations at risk, enhanced transmission reduction may--above certain thresholds--enhance the mortality impact beyond that observed in the trials of the 1990s. On the other hand, lives saved by ITNs might fall if improved malaria case management with artemisinin-based combination therapy averts the deaths that ITNs would otherwise prevent.Validation and updating of LiST's simple assumption of a universal, fixed coverage-to-mortality-reduction ratio will require enhanced national programme and impact monitoring and evaluation. Key indicators for time trend analysis include malaria-related mortality from population-based surveys and vital registration, vector control and treatment coverage from surveys, and parasitologically-confirmed malaria cases and deaths recorded in health facilities. Indispensable is triangulation with dynamic transmission models, fitted to long-term trend data on vector, parasite and human populations over successive phases of malaria control and elimination.Sound, locally optimized budget allocation including on monitoring and evaluation priorities will benefit much if policy makers and programme planners use planning tools such as LiST - even when predictions are less certain than often understood. The ultimate success of LiST for supporting malaria prevention may be to prove its linear predictions less and less relevant.","author":[{"dropping-particle":"","family":"Korenromp","given":"Eline L","non-dropping-particle":"","parse-names":false,"suffix":""}],"container-title":"Malaria journal","id":"ITEM-2","issued":{"date-parts":[["2012"]]},"page":"94","title":"Lives saved from malaria prevention in Africa--evidence to sustain cost-effective gains.","type":"article-journal","volume":"11"},"uris":["http://www.mendeley.com/documents/?uuid=9a2eaeb0-8dfd-3af0-8d19-7017f3328c3e"]}],"mendeley":{"formattedCitation":"(&lt;i&gt;31&lt;/i&gt;, &lt;i&gt;32&lt;/i&gt;)","plainTextFormattedCitation":"(31, 32)","previouslyFormattedCitation":"(&lt;i&gt;31&lt;/i&gt;, &lt;i&gt;32&lt;/i&gt;)"},"properties":{"noteIndex":0},"schema":"https://github.com/citation-style-language/schema/raw/master/csl-citation.json"}</w:instrText>
      </w:r>
      <w:r w:rsidR="00CA20D7">
        <w:fldChar w:fldCharType="separate"/>
      </w:r>
      <w:r w:rsidR="006A73E3" w:rsidRPr="006A73E3">
        <w:rPr>
          <w:noProof/>
        </w:rPr>
        <w:t>(</w:t>
      </w:r>
      <w:r w:rsidR="006A73E3" w:rsidRPr="006A73E3">
        <w:rPr>
          <w:i/>
          <w:noProof/>
        </w:rPr>
        <w:t>31</w:t>
      </w:r>
      <w:r w:rsidR="006A73E3" w:rsidRPr="006A73E3">
        <w:rPr>
          <w:noProof/>
        </w:rPr>
        <w:t xml:space="preserve">, </w:t>
      </w:r>
      <w:r w:rsidR="006A73E3" w:rsidRPr="006A73E3">
        <w:rPr>
          <w:i/>
          <w:noProof/>
        </w:rPr>
        <w:t>32</w:t>
      </w:r>
      <w:r w:rsidR="006A73E3" w:rsidRPr="006A73E3">
        <w:rPr>
          <w:noProof/>
        </w:rPr>
        <w:t>)</w:t>
      </w:r>
      <w:r w:rsidR="00CA20D7">
        <w:fldChar w:fldCharType="end"/>
      </w:r>
      <w:r w:rsidR="00580CA1">
        <w:t xml:space="preserve">. </w:t>
      </w:r>
    </w:p>
    <w:p w14:paraId="608E2652" w14:textId="56B3EA9E" w:rsidR="00D63B6C" w:rsidRDefault="00D51FDE" w:rsidP="00AE11F4">
      <w:r w:rsidRPr="000A6643">
        <w:t xml:space="preserve">It is </w:t>
      </w:r>
      <w:r>
        <w:t xml:space="preserve">also </w:t>
      </w:r>
      <w:r w:rsidRPr="000A6643">
        <w:t xml:space="preserve">important to note that we do not quantify the wider societal and economic impact of </w:t>
      </w:r>
      <w:r>
        <w:t>the intensive mitigation or</w:t>
      </w:r>
      <w:r w:rsidRPr="000A6643">
        <w:t xml:space="preserve"> suppression approaches</w:t>
      </w:r>
      <w:r w:rsidR="00C9059C">
        <w:t xml:space="preserve">, nor address the challenge of intensive suppression initiatives in LIC and LIMC where </w:t>
      </w:r>
      <w:r w:rsidR="00B43CFB">
        <w:t>a high degree of informal labour makes such</w:t>
      </w:r>
      <w:r w:rsidR="008A1BEC">
        <w:t xml:space="preserve"> interventions challenging</w:t>
      </w:r>
      <w:r w:rsidR="00687B6A">
        <w:t xml:space="preserve"> and may limit the extent to which they ca</w:t>
      </w:r>
      <w:r w:rsidR="0003720B">
        <w:t>n reduce R</w:t>
      </w:r>
      <w:r w:rsidR="0003720B" w:rsidRPr="00B461BF">
        <w:rPr>
          <w:vertAlign w:val="subscript"/>
        </w:rPr>
        <w:t>t</w:t>
      </w:r>
      <w:r w:rsidR="0003720B">
        <w:t xml:space="preserve"> below one</w:t>
      </w:r>
      <w:r w:rsidR="0072383A">
        <w:t xml:space="preserve"> </w:t>
      </w:r>
      <w:r w:rsidR="0072383A">
        <w:fldChar w:fldCharType="begin" w:fldLock="1"/>
      </w:r>
      <w:r w:rsidR="00A63F21">
        <w:instrText>ADDIN CSL_CITATION {"citationItems":[{"id":"ITEM-1","itemData":{"abstract":"The world is experiencing the worst pandemic crisis in one hundred years. By mid-April 2020, more than 80 percent of countries around the world had imposed strict containment and mitigation measures to control the spread of the disease. The economic fallout has been immense, with dire consequences for poverty and welfare, particularly in developing countries. This Brief first documents the global economic contraction and its potential impact on developing countries regarding macroeconomic performance, poverty rates, and incomes of the poor and vulnerable. It then argues that the pandemic crisis may hurt low- and middle-income countries disproportionately because most of them lack the resources and capacity to deal with a systemic shock of this nature. Their large informal sectors, limited fiscal space, and poor governance make developing countries particularly vulnerable to the pandemic and the measures to contain it. Next, the Brief reviews recent epidemiological and macroeconomic modelling and evidence on the costs and benefits of different mitigation and suppression strategies. It explores how these cost-benefit considerations vary across countries at different income levels. The Brief argues that, having more limited resources and capabilities but also younger populations, developing countries face different trade-offs in their fight against COVID-19 (coronavirus)than advanced countries do. For developing countries, the trade-off is not just between lives and the economy; rather, the challenge is preserving lives and avoiding crushed livelihoods. Different trade-offs call for context-specific strategies. For countries with older populations and higher incomes, more radical suppression measures may be optimal; while for poorer, younger countries, more moderate measures may be best. Having different trade-offs, however, provides no grounds for complacency for developing countries. The Brief concludes that the goal of saving lives and livelihoods is possible with economic and public health policies tailored to the reality of developing countries. Since","author":[{"dropping-particle":"V.","family":"Loayza","given":"Norman","non-dropping-particle":"","parse-names":false,"suffix":""}],"container-title":"Research &amp; Policy Briefs'","id":"ITEM-1","issued":{"date-parts":[["2020"]]},"number-of-pages":"1-9","publisher-place":"Washington, D.C","title":"Costs and Trade-Offs in the Fight Against the COVID-19 Pandemic : A Developing Country Perspective","type":"report","volume":"35"},"uris":["http://www.mendeley.com/documents/?uuid=154256de-b01c-39f5-a7b1-dba5705b2dbd"]}],"mendeley":{"formattedCitation":"(&lt;i&gt;33&lt;/i&gt;)","plainTextFormattedCitation":"(33)","previouslyFormattedCitation":"(&lt;i&gt;33&lt;/i&gt;)"},"properties":{"noteIndex":0},"schema":"https://github.com/citation-style-language/schema/raw/master/csl-citation.json"}</w:instrText>
      </w:r>
      <w:r w:rsidR="0072383A">
        <w:fldChar w:fldCharType="separate"/>
      </w:r>
      <w:r w:rsidR="006A73E3" w:rsidRPr="006A73E3">
        <w:rPr>
          <w:noProof/>
        </w:rPr>
        <w:t>(</w:t>
      </w:r>
      <w:r w:rsidR="006A73E3" w:rsidRPr="006A73E3">
        <w:rPr>
          <w:i/>
          <w:noProof/>
        </w:rPr>
        <w:t>33</w:t>
      </w:r>
      <w:r w:rsidR="006A73E3" w:rsidRPr="006A73E3">
        <w:rPr>
          <w:noProof/>
        </w:rPr>
        <w:t>)</w:t>
      </w:r>
      <w:r w:rsidR="0072383A">
        <w:fldChar w:fldCharType="end"/>
      </w:r>
      <w:r w:rsidR="000A2495">
        <w:t xml:space="preserve">. </w:t>
      </w:r>
      <w:r w:rsidR="000A2495" w:rsidRPr="0027041B">
        <w:t>T</w:t>
      </w:r>
      <w:r w:rsidRPr="0027041B">
        <w:t xml:space="preserve">hese are likely to </w:t>
      </w:r>
      <w:r w:rsidRPr="0027041B">
        <w:lastRenderedPageBreak/>
        <w:t>be substantial</w:t>
      </w:r>
      <w:r w:rsidR="000A2495" w:rsidRPr="0027041B">
        <w:t xml:space="preserve">, particularly in </w:t>
      </w:r>
      <w:r w:rsidR="003B6482" w:rsidRPr="0027041B">
        <w:t xml:space="preserve">lower income countries </w:t>
      </w:r>
      <w:r w:rsidR="007238A5" w:rsidRPr="0027041B">
        <w:t>where</w:t>
      </w:r>
      <w:r w:rsidR="003B6482" w:rsidRPr="0027041B">
        <w:t xml:space="preserve"> the capacity to provide support in ensuring the livelihoods of the poorest and most </w:t>
      </w:r>
      <w:r w:rsidR="007238A5" w:rsidRPr="0027041B">
        <w:t xml:space="preserve">vulnerable </w:t>
      </w:r>
      <w:r w:rsidR="00BE0804" w:rsidRPr="0027041B">
        <w:t>is most marginal.</w:t>
      </w:r>
      <w:r w:rsidRPr="000A6643">
        <w:t xml:space="preserve"> Moreover, for countries lacking the infrastructure capable of implementing technology-led </w:t>
      </w:r>
      <w:r>
        <w:t xml:space="preserve">suppression </w:t>
      </w:r>
      <w:r w:rsidRPr="000A6643">
        <w:t xml:space="preserve">strategies such as those currently being pursued in </w:t>
      </w:r>
      <w:r w:rsidRPr="00931300">
        <w:t>Asia</w:t>
      </w:r>
      <w:r w:rsidR="00931300" w:rsidRPr="00931300">
        <w:t xml:space="preserve"> </w:t>
      </w:r>
      <w:r w:rsidRPr="00931300">
        <w:fldChar w:fldCharType="begin" w:fldLock="1"/>
      </w:r>
      <w:r w:rsidR="007537FA">
        <w:instrText>ADDIN CSL_CITATION {"citationItems":[{"id":"ITEM-1","itemData":{"URL":"https://www.who.int/publications-detail/report-of-the-who-china-joint-mission-on-coronavirus-disease-2019-(covid-19)","accessed":{"date-parts":[["2020","3","22"]]},"author":[{"dropping-particle":"","family":"WHO","given":"","non-dropping-particle":"","parse-names":false,"suffix":""}],"id":"ITEM-1","issued":{"date-parts":[["2020"]]},"title":"Report of the WHO-China Joint Mission on Coronavirus Disease 2019 (COVID-19)","type":"webpage"},"uris":["http://www.mendeley.com/documents/?uuid=d9f00419-c0b7-3aa8-8273-b26c8e799215"]},{"id":"ITEM-2","itemData":{"DOI":"10.24171/j.phrp.2020.11.1.09","ISSN":"2210-9099","PMID":"32149043","abstract":"In the epidemiological investigation of an infectious disease, investigating, classifying, tracking, and managing contacts by identifying the patient's route are important for preventing further transmission of the disease. However, omissions and errors in previous activities can occur when the investigation is performed through only a proxy interview with the patient. To overcome these limitations, methods that can objectively verify the patient's claims (medical facility records, Global Positioning System, card transactions, and closed-circuit television) were used for the recent ongoing coronavirus disease 2019 contact investigations in South Korea.","author":[{"dropping-particle":"","family":"Korea Centers for Disease Control &amp; Prevention","given":"","non-dropping-particle":"","parse-names":false,"suffix":""}],"container-title":"Osong Public Health and Research Perspectives","id":"ITEM-2","issue":"1","issued":{"date-parts":[["2020","2"]]},"page":"60-63","publisher":"Korea Centers for Disease Control and Prevention","title":"Contact Transmission of COVID-19 in South Korea: Novel Investigation Techniques for Tracing Contacts.","type":"article-journal","volume":"11"},"uris":["http://www.mendeley.com/documents/?uuid=1ce6c3d7-c00c-3e4a-a9c9-86f60024a25c"]}],"mendeley":{"formattedCitation":"(&lt;i&gt;7&lt;/i&gt;, &lt;i&gt;27&lt;/i&gt;)","plainTextFormattedCitation":"(7, 27)","previouslyFormattedCitation":"(&lt;i&gt;7&lt;/i&gt;, &lt;i&gt;27&lt;/i&gt;)"},"properties":{"noteIndex":0},"schema":"https://github.com/citation-style-language/schema/raw/master/csl-citation.json"}</w:instrText>
      </w:r>
      <w:r w:rsidRPr="00931300">
        <w:fldChar w:fldCharType="separate"/>
      </w:r>
      <w:r w:rsidR="006A73E3" w:rsidRPr="006A73E3">
        <w:rPr>
          <w:noProof/>
        </w:rPr>
        <w:t>(</w:t>
      </w:r>
      <w:r w:rsidR="006A73E3" w:rsidRPr="006A73E3">
        <w:rPr>
          <w:i/>
          <w:noProof/>
        </w:rPr>
        <w:t>7</w:t>
      </w:r>
      <w:r w:rsidR="006A73E3" w:rsidRPr="006A73E3">
        <w:rPr>
          <w:noProof/>
        </w:rPr>
        <w:t xml:space="preserve">, </w:t>
      </w:r>
      <w:r w:rsidR="006A73E3" w:rsidRPr="006A73E3">
        <w:rPr>
          <w:i/>
          <w:noProof/>
        </w:rPr>
        <w:t>27</w:t>
      </w:r>
      <w:r w:rsidR="006A73E3" w:rsidRPr="006A73E3">
        <w:rPr>
          <w:noProof/>
        </w:rPr>
        <w:t>)</w:t>
      </w:r>
      <w:r w:rsidRPr="00931300">
        <w:fldChar w:fldCharType="end"/>
      </w:r>
      <w:r w:rsidRPr="00931300">
        <w:t>,</w:t>
      </w:r>
      <w:r w:rsidRPr="000A6643">
        <w:t xml:space="preserve"> and in the absence of a vaccine or other effective therapy</w:t>
      </w:r>
      <w:r>
        <w:t>,</w:t>
      </w:r>
      <w:r w:rsidRPr="000A6643">
        <w:t xml:space="preserve"> careful thought will need to be given to pursuing such strategies in order to avoid a high risk of future health system failure once suppression measures are lifted.</w:t>
      </w:r>
      <w:r>
        <w:t xml:space="preserve"> </w:t>
      </w:r>
    </w:p>
    <w:p w14:paraId="0A238E45" w14:textId="735299B0" w:rsidR="0087399C" w:rsidRDefault="005010CD" w:rsidP="00AE11F4">
      <w:r>
        <w:t xml:space="preserve">Our results highlight the </w:t>
      </w:r>
      <w:r w:rsidR="002B7DAC">
        <w:t xml:space="preserve">difficult decisions countries are faced with </w:t>
      </w:r>
      <w:r w:rsidR="00E80034">
        <w:t xml:space="preserve">in the coming weeks </w:t>
      </w:r>
      <w:r w:rsidR="008468B3">
        <w:t>and</w:t>
      </w:r>
      <w:r w:rsidR="00E80034">
        <w:t xml:space="preserve"> months </w:t>
      </w:r>
      <w:r w:rsidR="00794492">
        <w:t>irrespective of region or income status</w:t>
      </w:r>
      <w:r w:rsidR="007B2FD2">
        <w:t xml:space="preserve">. </w:t>
      </w:r>
      <w:r w:rsidR="009B76A3">
        <w:t>G</w:t>
      </w:r>
      <w:r w:rsidR="007B2FD2">
        <w:t xml:space="preserve">iven the </w:t>
      </w:r>
      <w:r w:rsidR="00B24658">
        <w:t>likely worse prognosis of severe</w:t>
      </w:r>
      <w:r w:rsidR="009B76A3">
        <w:t xml:space="preserve"> </w:t>
      </w:r>
      <w:r w:rsidR="00F04A55">
        <w:t>COVID-19</w:t>
      </w:r>
      <w:r w:rsidR="00B24658">
        <w:t xml:space="preserve"> cases in settings </w:t>
      </w:r>
      <w:r w:rsidR="002364AA">
        <w:t xml:space="preserve">with weaker health systems </w:t>
      </w:r>
      <w:r w:rsidR="009B76A3">
        <w:t>coupled with</w:t>
      </w:r>
      <w:r w:rsidR="00FD1D7F">
        <w:t xml:space="preserve"> </w:t>
      </w:r>
      <w:r w:rsidR="002364AA">
        <w:t xml:space="preserve">the </w:t>
      </w:r>
      <w:r w:rsidR="00492CD3">
        <w:t xml:space="preserve">higher vulnerability of developing economies to the </w:t>
      </w:r>
      <w:r w:rsidR="00794492">
        <w:t xml:space="preserve">negative </w:t>
      </w:r>
      <w:r w:rsidR="00492CD3">
        <w:t xml:space="preserve">effects of </w:t>
      </w:r>
      <w:r w:rsidR="00794492">
        <w:t xml:space="preserve">stringent </w:t>
      </w:r>
      <w:r w:rsidR="00492CD3">
        <w:t>NPIs</w:t>
      </w:r>
      <w:r w:rsidR="00794492">
        <w:t>,</w:t>
      </w:r>
      <w:r w:rsidR="00492CD3">
        <w:t xml:space="preserve"> the trade-offs </w:t>
      </w:r>
      <w:r w:rsidR="008468B3">
        <w:t xml:space="preserve">lower income </w:t>
      </w:r>
      <w:r w:rsidR="00492CD3">
        <w:t xml:space="preserve">countries face </w:t>
      </w:r>
      <w:r w:rsidR="003E6F32">
        <w:t xml:space="preserve">are </w:t>
      </w:r>
      <w:r w:rsidR="009B76A3">
        <w:t>complex given the ongoing uncertainty in the most appropriate and</w:t>
      </w:r>
      <w:r w:rsidR="003E6F32">
        <w:t xml:space="preserve"> effective exit strategies. </w:t>
      </w:r>
      <w:r w:rsidR="009B76A3">
        <w:t>In the interim, the priority should be to i</w:t>
      </w:r>
      <w:r w:rsidR="003E6F32">
        <w:t>ncreas</w:t>
      </w:r>
      <w:r w:rsidR="009B76A3">
        <w:t xml:space="preserve">e the </w:t>
      </w:r>
      <w:r w:rsidR="00794492">
        <w:t xml:space="preserve">availability of oxygen </w:t>
      </w:r>
      <w:r w:rsidR="009B76A3">
        <w:t xml:space="preserve">support </w:t>
      </w:r>
      <w:r w:rsidR="00914096">
        <w:t xml:space="preserve">to mitigate the health impact </w:t>
      </w:r>
      <w:r w:rsidR="00794492">
        <w:t>a</w:t>
      </w:r>
      <w:r w:rsidR="009B76A3">
        <w:t>longside enhancing the</w:t>
      </w:r>
      <w:r w:rsidR="00794492">
        <w:t xml:space="preserve"> </w:t>
      </w:r>
      <w:r w:rsidR="003E6F32">
        <w:t xml:space="preserve">capacity for </w:t>
      </w:r>
      <w:r w:rsidR="009B76A3">
        <w:t>surveillance</w:t>
      </w:r>
      <w:r w:rsidR="00AA02D2">
        <w:t xml:space="preserve"> and widescale testing</w:t>
      </w:r>
      <w:r w:rsidR="00914096">
        <w:t xml:space="preserve"> to reduce the spread of infection</w:t>
      </w:r>
      <w:r w:rsidR="00D07A1B">
        <w:t xml:space="preserve"> </w:t>
      </w:r>
      <w:r w:rsidR="003E6F32">
        <w:t xml:space="preserve">and </w:t>
      </w:r>
      <w:r w:rsidR="00D07A1B">
        <w:t xml:space="preserve">tailor </w:t>
      </w:r>
      <w:r w:rsidR="00402CB8">
        <w:t xml:space="preserve">appropriate </w:t>
      </w:r>
      <w:r w:rsidR="00D07A1B">
        <w:t>NPIs</w:t>
      </w:r>
      <w:r w:rsidR="00402CB8">
        <w:t xml:space="preserve">. In the longer-term, </w:t>
      </w:r>
      <w:r w:rsidR="005A58EE">
        <w:t>ensuring equitable provision of pharmaceutical interventions</w:t>
      </w:r>
      <w:r w:rsidR="00794492">
        <w:t xml:space="preserve"> </w:t>
      </w:r>
      <w:r w:rsidR="00DE3BF2">
        <w:t>to lower income countries</w:t>
      </w:r>
      <w:r w:rsidR="005A58EE">
        <w:t xml:space="preserve"> </w:t>
      </w:r>
      <w:r w:rsidR="00794492">
        <w:t>once they are developed</w:t>
      </w:r>
      <w:r w:rsidR="00FA0C81">
        <w:t xml:space="preserve"> should be a global priority</w:t>
      </w:r>
      <w:r w:rsidR="00794492">
        <w:t xml:space="preserve">. </w:t>
      </w:r>
    </w:p>
    <w:p w14:paraId="5A4711BF" w14:textId="42DEFB6F" w:rsidR="00AE11F4" w:rsidRPr="0024258D" w:rsidRDefault="00AE11F4" w:rsidP="00AE11F4">
      <w:pPr>
        <w:sectPr w:rsidR="00AE11F4" w:rsidRPr="0024258D" w:rsidSect="00D51FDE">
          <w:pgSz w:w="11906" w:h="16838"/>
          <w:pgMar w:top="1440" w:right="1440" w:bottom="1440" w:left="1440" w:header="708" w:footer="708" w:gutter="0"/>
          <w:cols w:space="708"/>
          <w:docGrid w:linePitch="360"/>
        </w:sectPr>
      </w:pPr>
      <w:r>
        <w:t>Our analysis</w:t>
      </w:r>
      <w:r w:rsidRPr="000A6643">
        <w:t xml:space="preserve"> </w:t>
      </w:r>
      <w:r w:rsidR="009C7C73">
        <w:t>demonstrates the extent to which</w:t>
      </w:r>
      <w:r w:rsidR="00960B2E">
        <w:t xml:space="preserve"> </w:t>
      </w:r>
      <w:r w:rsidR="009C7C73">
        <w:t xml:space="preserve">countries have </w:t>
      </w:r>
      <w:r w:rsidR="00B247C7">
        <w:t>mobilised</w:t>
      </w:r>
      <w:r w:rsidR="009C7C73">
        <w:t xml:space="preserve"> </w:t>
      </w:r>
      <w:r w:rsidR="00CE29C6">
        <w:t>to</w:t>
      </w:r>
      <w:r w:rsidR="009C7C73">
        <w:t xml:space="preserve"> </w:t>
      </w:r>
      <w:r w:rsidR="00CE29C6">
        <w:t>combat</w:t>
      </w:r>
      <w:r w:rsidR="009C7C73">
        <w:t xml:space="preserve"> the COVID-19 pandemi</w:t>
      </w:r>
      <w:r w:rsidR="00A52F97">
        <w:t xml:space="preserve">c. </w:t>
      </w:r>
      <w:r w:rsidR="006F762C">
        <w:t>M</w:t>
      </w:r>
      <w:r w:rsidR="009724A7">
        <w:t xml:space="preserve">any </w:t>
      </w:r>
      <w:r w:rsidR="009C7C73">
        <w:t xml:space="preserve">lower income </w:t>
      </w:r>
      <w:r w:rsidR="00CE29C6">
        <w:t>countries</w:t>
      </w:r>
      <w:r w:rsidR="009C7C73">
        <w:t xml:space="preserve"> </w:t>
      </w:r>
      <w:r w:rsidR="009724A7">
        <w:t>have acted whilst transmission remains at low levels</w:t>
      </w:r>
      <w:r w:rsidR="00CE29C6">
        <w:t xml:space="preserve"> which is likely to have substantially slowed the spread of the virus.</w:t>
      </w:r>
      <w:r w:rsidR="00B969A6">
        <w:t xml:space="preserve"> </w:t>
      </w:r>
      <w:r w:rsidR="00095DFA">
        <w:t>I</w:t>
      </w:r>
      <w:r w:rsidR="00B969A6">
        <w:t xml:space="preserve">n the absence of a vaccine, </w:t>
      </w:r>
      <w:r w:rsidR="005B201D" w:rsidRPr="000A6643">
        <w:t>all governments</w:t>
      </w:r>
      <w:r w:rsidR="005B201D">
        <w:t xml:space="preserve"> </w:t>
      </w:r>
      <w:r w:rsidR="00CE29C6">
        <w:t xml:space="preserve">are likely to </w:t>
      </w:r>
      <w:r w:rsidR="005B201D">
        <w:t xml:space="preserve">face challenging decisions </w:t>
      </w:r>
      <w:r w:rsidR="00B969A6">
        <w:t xml:space="preserve">around intervention strategies </w:t>
      </w:r>
      <w:r w:rsidR="00CE29C6">
        <w:t xml:space="preserve">for the </w:t>
      </w:r>
      <w:r w:rsidR="00A52F97">
        <w:t>foreseeable future</w:t>
      </w:r>
      <w:r w:rsidRPr="000A6643">
        <w:t xml:space="preserve">. However, </w:t>
      </w:r>
      <w:r w:rsidR="0050784E">
        <w:t>the</w:t>
      </w:r>
      <w:r w:rsidR="0050784E" w:rsidRPr="000A6643">
        <w:t xml:space="preserve"> </w:t>
      </w:r>
      <w:r w:rsidR="00A52F97">
        <w:t xml:space="preserve">still relevant </w:t>
      </w:r>
      <w:r w:rsidRPr="000A6643">
        <w:t>counterfactual of a</w:t>
      </w:r>
      <w:r w:rsidR="00A52F97">
        <w:t xml:space="preserve"> largely</w:t>
      </w:r>
      <w:r w:rsidRPr="000A6643">
        <w:t xml:space="preserve"> unmitigated pandemic clearly demonstrates the extent to which rapid, decisive and collective action </w:t>
      </w:r>
      <w:r>
        <w:t xml:space="preserve">remains critical to </w:t>
      </w:r>
      <w:r w:rsidRPr="000A6643">
        <w:t>save lives globally.</w:t>
      </w:r>
    </w:p>
    <w:p w14:paraId="1FFA46FF" w14:textId="7380B762" w:rsidR="00D51FDE" w:rsidRDefault="00D51FDE" w:rsidP="00D51FDE"/>
    <w:p w14:paraId="7F687A68" w14:textId="6A490F1F" w:rsidR="00500BA6" w:rsidRPr="009A6DC0" w:rsidRDefault="00061460" w:rsidP="00BE0321">
      <w:pPr>
        <w:pStyle w:val="Heading2"/>
      </w:pPr>
      <w:r w:rsidRPr="009A6DC0">
        <w:t>References</w:t>
      </w:r>
    </w:p>
    <w:p w14:paraId="6C8DF996" w14:textId="5B8B3AE9" w:rsidR="007537FA" w:rsidRPr="007537FA" w:rsidRDefault="00500BA6" w:rsidP="007537FA">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7537FA" w:rsidRPr="007537FA">
        <w:rPr>
          <w:rFonts w:ascii="Calibri" w:hAnsi="Calibri" w:cs="Calibri"/>
          <w:noProof/>
          <w:szCs w:val="24"/>
        </w:rPr>
        <w:t xml:space="preserve">1. </w:t>
      </w:r>
      <w:r w:rsidR="007537FA" w:rsidRPr="007537FA">
        <w:rPr>
          <w:rFonts w:ascii="Calibri" w:hAnsi="Calibri" w:cs="Calibri"/>
          <w:noProof/>
          <w:szCs w:val="24"/>
        </w:rPr>
        <w:tab/>
        <w:t>WHO, “Coronavirus disease (COVID-19) Situation Report-127” (2020), (available at https://www.who.int/docs/default-source/coronaviruse/situation-reports/20200526-covid-19-sitrep-127.pdf?sfvrsn=7b6655ab_8).</w:t>
      </w:r>
    </w:p>
    <w:p w14:paraId="1DACDADE"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 </w:t>
      </w:r>
      <w:r w:rsidRPr="007537FA">
        <w:rPr>
          <w:rFonts w:ascii="Calibri" w:hAnsi="Calibri" w:cs="Calibri"/>
          <w:noProof/>
          <w:szCs w:val="24"/>
        </w:rPr>
        <w:tab/>
        <w:t xml:space="preserve">A. Remuzzi, G. Remuzzi, COVID-19 and Italy: what next?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doi:10.1016/S0140-6736(20)30627-9.</w:t>
      </w:r>
    </w:p>
    <w:p w14:paraId="0B55355E"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 </w:t>
      </w:r>
      <w:r w:rsidRPr="007537FA">
        <w:rPr>
          <w:rFonts w:ascii="Calibri" w:hAnsi="Calibri" w:cs="Calibri"/>
          <w:noProof/>
          <w:szCs w:val="24"/>
        </w:rPr>
        <w:tab/>
        <w:t xml:space="preserve">A. S. Ginsburg, W. C. Van Cleve, M. I. W. Thompson, M. English, Oxygen and pulse oximetry in childhood pneumonia: a survey of healthcare providers in resource-limited settings. </w:t>
      </w:r>
      <w:r w:rsidRPr="007537FA">
        <w:rPr>
          <w:rFonts w:ascii="Calibri" w:hAnsi="Calibri" w:cs="Calibri"/>
          <w:i/>
          <w:iCs/>
          <w:noProof/>
          <w:szCs w:val="24"/>
        </w:rPr>
        <w:t>J. Trop. Pediatr.</w:t>
      </w:r>
      <w:r w:rsidRPr="007537FA">
        <w:rPr>
          <w:rFonts w:ascii="Calibri" w:hAnsi="Calibri" w:cs="Calibri"/>
          <w:noProof/>
          <w:szCs w:val="24"/>
        </w:rPr>
        <w:t xml:space="preserve"> </w:t>
      </w:r>
      <w:r w:rsidRPr="007537FA">
        <w:rPr>
          <w:rFonts w:ascii="Calibri" w:hAnsi="Calibri" w:cs="Calibri"/>
          <w:b/>
          <w:bCs/>
          <w:noProof/>
          <w:szCs w:val="24"/>
        </w:rPr>
        <w:t>58</w:t>
      </w:r>
      <w:r w:rsidRPr="007537FA">
        <w:rPr>
          <w:rFonts w:ascii="Calibri" w:hAnsi="Calibri" w:cs="Calibri"/>
          <w:noProof/>
          <w:szCs w:val="24"/>
        </w:rPr>
        <w:t>, 389–93 (2012).</w:t>
      </w:r>
    </w:p>
    <w:p w14:paraId="5EED0BE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 </w:t>
      </w:r>
      <w:r w:rsidRPr="007537FA">
        <w:rPr>
          <w:rFonts w:ascii="Calibri" w:hAnsi="Calibri" w:cs="Calibri"/>
          <w:noProof/>
          <w:szCs w:val="24"/>
        </w:rPr>
        <w:tab/>
        <w:t xml:space="preserve">J. Cui, Y. Zhang, Z. Feng, Influence of non-homogeneous mixing on final epidemic size in a meta-population model. </w:t>
      </w:r>
      <w:r w:rsidRPr="007537FA">
        <w:rPr>
          <w:rFonts w:ascii="Calibri" w:hAnsi="Calibri" w:cs="Calibri"/>
          <w:i/>
          <w:iCs/>
          <w:noProof/>
          <w:szCs w:val="24"/>
        </w:rPr>
        <w:t>J. Biol. Dyn.</w:t>
      </w:r>
      <w:r w:rsidRPr="007537FA">
        <w:rPr>
          <w:rFonts w:ascii="Calibri" w:hAnsi="Calibri" w:cs="Calibri"/>
          <w:noProof/>
          <w:szCs w:val="24"/>
        </w:rPr>
        <w:t xml:space="preserve"> </w:t>
      </w:r>
      <w:r w:rsidRPr="007537FA">
        <w:rPr>
          <w:rFonts w:ascii="Calibri" w:hAnsi="Calibri" w:cs="Calibri"/>
          <w:b/>
          <w:bCs/>
          <w:noProof/>
          <w:szCs w:val="24"/>
        </w:rPr>
        <w:t>13</w:t>
      </w:r>
      <w:r w:rsidRPr="007537FA">
        <w:rPr>
          <w:rFonts w:ascii="Calibri" w:hAnsi="Calibri" w:cs="Calibri"/>
          <w:noProof/>
          <w:szCs w:val="24"/>
        </w:rPr>
        <w:t>, 31–46 (2019).</w:t>
      </w:r>
    </w:p>
    <w:p w14:paraId="46EE4B9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 </w:t>
      </w:r>
      <w:r w:rsidRPr="007537FA">
        <w:rPr>
          <w:rFonts w:ascii="Calibri" w:hAnsi="Calibri" w:cs="Calibri"/>
          <w:noProof/>
          <w:szCs w:val="24"/>
        </w:rPr>
        <w:tab/>
        <w:t xml:space="preserve">R. Verity, L. C. Okell, I. Dorigatti, P. Winskill, C. Whittaker, N. Imai, </w:t>
      </w:r>
      <w:r w:rsidRPr="007537FA">
        <w:rPr>
          <w:rFonts w:ascii="Calibri" w:hAnsi="Calibri" w:cs="Calibri"/>
          <w:i/>
          <w:iCs/>
          <w:noProof/>
          <w:szCs w:val="24"/>
        </w:rPr>
        <w:t>et al.</w:t>
      </w:r>
      <w:r w:rsidRPr="007537FA">
        <w:rPr>
          <w:rFonts w:ascii="Calibri" w:hAnsi="Calibri" w:cs="Calibri"/>
          <w:noProof/>
          <w:szCs w:val="24"/>
        </w:rPr>
        <w:t xml:space="preserve">, Estimates of the severity of coronavirus disease 2019 : a model-based analysis. </w:t>
      </w:r>
      <w:r w:rsidRPr="007537FA">
        <w:rPr>
          <w:rFonts w:ascii="Calibri" w:hAnsi="Calibri" w:cs="Calibri"/>
          <w:i/>
          <w:iCs/>
          <w:noProof/>
          <w:szCs w:val="24"/>
        </w:rPr>
        <w:t>Lancet Infect. Dis.</w:t>
      </w:r>
      <w:r w:rsidRPr="007537FA">
        <w:rPr>
          <w:rFonts w:ascii="Calibri" w:hAnsi="Calibri" w:cs="Calibri"/>
          <w:noProof/>
          <w:szCs w:val="24"/>
        </w:rPr>
        <w:t xml:space="preserve"> </w:t>
      </w:r>
      <w:r w:rsidRPr="007537FA">
        <w:rPr>
          <w:rFonts w:ascii="Calibri" w:hAnsi="Calibri" w:cs="Calibri"/>
          <w:b/>
          <w:bCs/>
          <w:noProof/>
          <w:szCs w:val="24"/>
        </w:rPr>
        <w:t>3099</w:t>
      </w:r>
      <w:r w:rsidRPr="007537FA">
        <w:rPr>
          <w:rFonts w:ascii="Calibri" w:hAnsi="Calibri" w:cs="Calibri"/>
          <w:noProof/>
          <w:szCs w:val="24"/>
        </w:rPr>
        <w:t>, 1–9 (2020).</w:t>
      </w:r>
    </w:p>
    <w:p w14:paraId="3ED70CA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6. </w:t>
      </w:r>
      <w:r w:rsidRPr="007537FA">
        <w:rPr>
          <w:rFonts w:ascii="Calibri" w:hAnsi="Calibri" w:cs="Calibri"/>
          <w:noProof/>
          <w:szCs w:val="24"/>
        </w:rPr>
        <w:tab/>
        <w:t xml:space="preserve">S. Flaxman, S. Mishra, A. Gandy, J. T. Unwin, H. Coupland, T. A. Mellan, </w:t>
      </w:r>
      <w:r w:rsidRPr="007537FA">
        <w:rPr>
          <w:rFonts w:ascii="Calibri" w:hAnsi="Calibri" w:cs="Calibri"/>
          <w:i/>
          <w:iCs/>
          <w:noProof/>
          <w:szCs w:val="24"/>
        </w:rPr>
        <w:t>et al.</w:t>
      </w:r>
      <w:r w:rsidRPr="007537FA">
        <w:rPr>
          <w:rFonts w:ascii="Calibri" w:hAnsi="Calibri" w:cs="Calibri"/>
          <w:noProof/>
          <w:szCs w:val="24"/>
        </w:rPr>
        <w:t>, Estimating the number of infections and the impact of non-pharmaceutical interventions on COVID-19 in 11 European countries. (Imperial College COVID-19 Response Team) (2020), doi:https://doi.org/10.25561/77731.</w:t>
      </w:r>
    </w:p>
    <w:p w14:paraId="5B0CC42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7. </w:t>
      </w:r>
      <w:r w:rsidRPr="007537FA">
        <w:rPr>
          <w:rFonts w:ascii="Calibri" w:hAnsi="Calibri" w:cs="Calibri"/>
          <w:noProof/>
          <w:szCs w:val="24"/>
        </w:rPr>
        <w:tab/>
        <w:t>WHO, Report of the WHO-China Joint Mission on Coronavirus Disease 2019 (COVID-19) (2020), (available at https://www.who.int/publications-detail/report-of-the-who-china-joint-mission-on-coronavirus-disease-2019-(covid-19)).</w:t>
      </w:r>
    </w:p>
    <w:p w14:paraId="13CEA89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8. </w:t>
      </w:r>
      <w:r w:rsidRPr="007537FA">
        <w:rPr>
          <w:rFonts w:ascii="Calibri" w:hAnsi="Calibri" w:cs="Calibri"/>
          <w:noProof/>
          <w:szCs w:val="24"/>
        </w:rPr>
        <w:tab/>
        <w:t xml:space="preserve">J. Phua, M. O. Faruq, A. P. Kulkarni, I. S. Redjeki, K. Detleuxay, N. Mendsaikhan, </w:t>
      </w:r>
      <w:r w:rsidRPr="007537FA">
        <w:rPr>
          <w:rFonts w:ascii="Calibri" w:hAnsi="Calibri" w:cs="Calibri"/>
          <w:i/>
          <w:iCs/>
          <w:noProof/>
          <w:szCs w:val="24"/>
        </w:rPr>
        <w:t>et al.</w:t>
      </w:r>
      <w:r w:rsidRPr="007537FA">
        <w:rPr>
          <w:rFonts w:ascii="Calibri" w:hAnsi="Calibri" w:cs="Calibri"/>
          <w:noProof/>
          <w:szCs w:val="24"/>
        </w:rPr>
        <w:t xml:space="preserve">, Critical Care Bed Capacity in Asian Countries and Regions. </w:t>
      </w:r>
      <w:r w:rsidRPr="007537FA">
        <w:rPr>
          <w:rFonts w:ascii="Calibri" w:hAnsi="Calibri" w:cs="Calibri"/>
          <w:i/>
          <w:iCs/>
          <w:noProof/>
          <w:szCs w:val="24"/>
        </w:rPr>
        <w:t>Crit. Care Med.</w:t>
      </w:r>
      <w:r w:rsidRPr="007537FA">
        <w:rPr>
          <w:rFonts w:ascii="Calibri" w:hAnsi="Calibri" w:cs="Calibri"/>
          <w:noProof/>
          <w:szCs w:val="24"/>
        </w:rPr>
        <w:t xml:space="preserve"> </w:t>
      </w:r>
      <w:r w:rsidRPr="007537FA">
        <w:rPr>
          <w:rFonts w:ascii="Calibri" w:hAnsi="Calibri" w:cs="Calibri"/>
          <w:b/>
          <w:bCs/>
          <w:noProof/>
          <w:szCs w:val="24"/>
        </w:rPr>
        <w:t>48</w:t>
      </w:r>
      <w:r w:rsidRPr="007537FA">
        <w:rPr>
          <w:rFonts w:ascii="Calibri" w:hAnsi="Calibri" w:cs="Calibri"/>
          <w:noProof/>
          <w:szCs w:val="24"/>
        </w:rPr>
        <w:t>, 654–662 (2020).</w:t>
      </w:r>
    </w:p>
    <w:p w14:paraId="7A26BC8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9. </w:t>
      </w:r>
      <w:r w:rsidRPr="007537FA">
        <w:rPr>
          <w:rFonts w:ascii="Calibri" w:hAnsi="Calibri" w:cs="Calibri"/>
          <w:noProof/>
          <w:szCs w:val="24"/>
        </w:rPr>
        <w:tab/>
        <w:t>Intensive Care National Audit &amp; Research Centre (ICNARC), ICNARC report on COVID-19 in critical care 10 April 2020 (2020) (available at https://www.icnarc.org/About/Latest-News/2020/04/04/Report-On-2249-Patients-Critically-Ill-With-Covid-19).</w:t>
      </w:r>
    </w:p>
    <w:p w14:paraId="3B1BD47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10. </w:t>
      </w:r>
      <w:r w:rsidRPr="007537FA">
        <w:rPr>
          <w:rFonts w:ascii="Calibri" w:hAnsi="Calibri" w:cs="Calibri"/>
          <w:noProof/>
          <w:szCs w:val="24"/>
        </w:rPr>
        <w:tab/>
        <w:t xml:space="preserve">K. Houreld, D. Lewis, R. McNeill, S. Granados, Virus exposes gaping holes in Africa’s health systems. </w:t>
      </w:r>
      <w:r w:rsidRPr="007537FA">
        <w:rPr>
          <w:rFonts w:ascii="Calibri" w:hAnsi="Calibri" w:cs="Calibri"/>
          <w:i/>
          <w:iCs/>
          <w:noProof/>
          <w:szCs w:val="24"/>
        </w:rPr>
        <w:t>Reuters</w:t>
      </w:r>
      <w:r w:rsidRPr="007537FA">
        <w:rPr>
          <w:rFonts w:ascii="Calibri" w:hAnsi="Calibri" w:cs="Calibri"/>
          <w:noProof/>
          <w:szCs w:val="24"/>
        </w:rPr>
        <w:t xml:space="preserve"> (2020), (available at https://graphics.reuters.com/HEALTH-CORONAVIRUS/AFRICA/yzdpxoqbdvx/).</w:t>
      </w:r>
    </w:p>
    <w:p w14:paraId="35B3E86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11. </w:t>
      </w:r>
      <w:r w:rsidRPr="007537FA">
        <w:rPr>
          <w:rFonts w:ascii="Calibri" w:hAnsi="Calibri" w:cs="Calibri"/>
          <w:noProof/>
          <w:szCs w:val="24"/>
        </w:rPr>
        <w:tab/>
        <w:t xml:space="preserve">F. Zhou, T. Yu, R. Du, G. Fan, Y. Liu, Z. Liu, </w:t>
      </w:r>
      <w:r w:rsidRPr="007537FA">
        <w:rPr>
          <w:rFonts w:ascii="Calibri" w:hAnsi="Calibri" w:cs="Calibri"/>
          <w:i/>
          <w:iCs/>
          <w:noProof/>
          <w:szCs w:val="24"/>
        </w:rPr>
        <w:t>et al.</w:t>
      </w:r>
      <w:r w:rsidRPr="007537FA">
        <w:rPr>
          <w:rFonts w:ascii="Calibri" w:hAnsi="Calibri" w:cs="Calibri"/>
          <w:noProof/>
          <w:szCs w:val="24"/>
        </w:rPr>
        <w:t xml:space="preserve">, Articles Clinical course and risk factors for mortality of adult inpatients with COVID-19 in Wuhan , China : a retrospective cohort study.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6736</w:t>
      </w:r>
      <w:r w:rsidRPr="007537FA">
        <w:rPr>
          <w:rFonts w:ascii="Calibri" w:hAnsi="Calibri" w:cs="Calibri"/>
          <w:noProof/>
          <w:szCs w:val="24"/>
        </w:rPr>
        <w:t>, 1–9 (2020).</w:t>
      </w:r>
    </w:p>
    <w:p w14:paraId="51E6755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12. </w:t>
      </w:r>
      <w:r w:rsidRPr="007537FA">
        <w:rPr>
          <w:rFonts w:ascii="Calibri" w:hAnsi="Calibri" w:cs="Calibri"/>
          <w:noProof/>
          <w:szCs w:val="24"/>
        </w:rPr>
        <w:tab/>
        <w:t xml:space="preserve">S. L. James, D. Abate, K. H. Abate, S. M. Abay, C. Abbafati, N. Abbasi, </w:t>
      </w:r>
      <w:r w:rsidRPr="007537FA">
        <w:rPr>
          <w:rFonts w:ascii="Calibri" w:hAnsi="Calibri" w:cs="Calibri"/>
          <w:i/>
          <w:iCs/>
          <w:noProof/>
          <w:szCs w:val="24"/>
        </w:rPr>
        <w:t>et al.</w:t>
      </w:r>
      <w:r w:rsidRPr="007537FA">
        <w:rPr>
          <w:rFonts w:ascii="Calibri" w:hAnsi="Calibri" w:cs="Calibri"/>
          <w:noProof/>
          <w:szCs w:val="24"/>
        </w:rPr>
        <w:t xml:space="preserve">, Global, regional, and national incidence, prevalence, and years lived with disability for 354 Diseases and Injuries for 195 countries and territories, 1990-2017: A systematic analysis for the Global Burden of Disease Study 2017.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392</w:t>
      </w:r>
      <w:r w:rsidRPr="007537FA">
        <w:rPr>
          <w:rFonts w:ascii="Calibri" w:hAnsi="Calibri" w:cs="Calibri"/>
          <w:noProof/>
          <w:szCs w:val="24"/>
        </w:rPr>
        <w:t>, 1789–1858 (2018).</w:t>
      </w:r>
    </w:p>
    <w:p w14:paraId="1130ECA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13. </w:t>
      </w:r>
      <w:r w:rsidRPr="007537FA">
        <w:rPr>
          <w:rFonts w:ascii="Calibri" w:hAnsi="Calibri" w:cs="Calibri"/>
          <w:noProof/>
          <w:szCs w:val="24"/>
        </w:rPr>
        <w:tab/>
        <w:t xml:space="preserve">A. B. Docherty, E. M. Harrison, C. A. Green, H. E. Hardwick, R. Pius, L. Norman, </w:t>
      </w:r>
      <w:r w:rsidRPr="007537FA">
        <w:rPr>
          <w:rFonts w:ascii="Calibri" w:hAnsi="Calibri" w:cs="Calibri"/>
          <w:i/>
          <w:iCs/>
          <w:noProof/>
          <w:szCs w:val="24"/>
        </w:rPr>
        <w:t>et al.</w:t>
      </w:r>
      <w:r w:rsidRPr="007537FA">
        <w:rPr>
          <w:rFonts w:ascii="Calibri" w:hAnsi="Calibri" w:cs="Calibri"/>
          <w:noProof/>
          <w:szCs w:val="24"/>
        </w:rPr>
        <w:t xml:space="preserve">, Features of 16,749 hospitalised UK patients with COVID-19 using the ISARIC WHO Clinical Characterisation Protocol. </w:t>
      </w:r>
      <w:r w:rsidRPr="007537FA">
        <w:rPr>
          <w:rFonts w:ascii="Calibri" w:hAnsi="Calibri" w:cs="Calibri"/>
          <w:i/>
          <w:iCs/>
          <w:noProof/>
          <w:szCs w:val="24"/>
        </w:rPr>
        <w:t>medRxiv</w:t>
      </w:r>
      <w:r w:rsidRPr="007537FA">
        <w:rPr>
          <w:rFonts w:ascii="Calibri" w:hAnsi="Calibri" w:cs="Calibri"/>
          <w:noProof/>
          <w:szCs w:val="24"/>
        </w:rPr>
        <w:t xml:space="preserve"> (2020), doi:10.1101/2020.04.23.20076042.</w:t>
      </w:r>
    </w:p>
    <w:p w14:paraId="1CF40FF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14. </w:t>
      </w:r>
      <w:r w:rsidRPr="007537FA">
        <w:rPr>
          <w:rFonts w:ascii="Calibri" w:hAnsi="Calibri" w:cs="Calibri"/>
          <w:noProof/>
          <w:szCs w:val="24"/>
        </w:rPr>
        <w:tab/>
        <w:t xml:space="preserve">T. D. Hollingsworth, D. Klinkenberg, H. Heesterbeek, R. M. Anderson, Mitigation strategies for pandemic influenza a: Balancing conflicting policy objectives. </w:t>
      </w:r>
      <w:r w:rsidRPr="007537FA">
        <w:rPr>
          <w:rFonts w:ascii="Calibri" w:hAnsi="Calibri" w:cs="Calibri"/>
          <w:i/>
          <w:iCs/>
          <w:noProof/>
          <w:szCs w:val="24"/>
        </w:rPr>
        <w:t>PLoS Comput. Biol.</w:t>
      </w:r>
      <w:r w:rsidRPr="007537FA">
        <w:rPr>
          <w:rFonts w:ascii="Calibri" w:hAnsi="Calibri" w:cs="Calibri"/>
          <w:noProof/>
          <w:szCs w:val="24"/>
        </w:rPr>
        <w:t xml:space="preserve"> </w:t>
      </w:r>
      <w:r w:rsidRPr="007537FA">
        <w:rPr>
          <w:rFonts w:ascii="Calibri" w:hAnsi="Calibri" w:cs="Calibri"/>
          <w:b/>
          <w:bCs/>
          <w:noProof/>
          <w:szCs w:val="24"/>
        </w:rPr>
        <w:t>7</w:t>
      </w:r>
      <w:r w:rsidRPr="007537FA">
        <w:rPr>
          <w:rFonts w:ascii="Calibri" w:hAnsi="Calibri" w:cs="Calibri"/>
          <w:noProof/>
          <w:szCs w:val="24"/>
        </w:rPr>
        <w:t xml:space="preserve"> (2011), </w:t>
      </w:r>
      <w:r w:rsidRPr="007537FA">
        <w:rPr>
          <w:rFonts w:ascii="Calibri" w:hAnsi="Calibri" w:cs="Calibri"/>
          <w:noProof/>
          <w:szCs w:val="24"/>
        </w:rPr>
        <w:lastRenderedPageBreak/>
        <w:t>doi:10.1371/journal.pcbi.1001076.</w:t>
      </w:r>
    </w:p>
    <w:p w14:paraId="5A15919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15. </w:t>
      </w:r>
      <w:r w:rsidRPr="007537FA">
        <w:rPr>
          <w:rFonts w:ascii="Calibri" w:hAnsi="Calibri" w:cs="Calibri"/>
          <w:noProof/>
          <w:szCs w:val="24"/>
        </w:rPr>
        <w:tab/>
        <w:t xml:space="preserve">R. M. Anderson, H. Heesterbeek, D. Klinkenberg, T. D. Hollingsworth, How will country-based mitigation measures influence the course of the COVID-19 epidemic?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pp. 931–934.</w:t>
      </w:r>
    </w:p>
    <w:p w14:paraId="087FD276"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16. </w:t>
      </w:r>
      <w:r w:rsidRPr="007537FA">
        <w:rPr>
          <w:rFonts w:ascii="Calibri" w:hAnsi="Calibri" w:cs="Calibri"/>
          <w:noProof/>
          <w:szCs w:val="24"/>
        </w:rPr>
        <w:tab/>
        <w:t xml:space="preserve">D. M. Altmann, D. C. Douek, R. J. Boyton, What policy makers need to know about COVID-19 protective immunity.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doi:10.1016/S0140-6736(20)30985-5.</w:t>
      </w:r>
    </w:p>
    <w:p w14:paraId="2AB9A29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17. </w:t>
      </w:r>
      <w:r w:rsidRPr="007537FA">
        <w:rPr>
          <w:rFonts w:ascii="Calibri" w:hAnsi="Calibri" w:cs="Calibri"/>
          <w:noProof/>
          <w:szCs w:val="24"/>
        </w:rPr>
        <w:tab/>
        <w:t>D. H. Morris, F. W. Rossine, J. B. Plotkin, S. A. Levin, Optimal, near-optimal, and robust epidemic control (2020) (available at http://arxiv.org/abs/2004.02209).</w:t>
      </w:r>
    </w:p>
    <w:p w14:paraId="2E9FCE7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18. </w:t>
      </w:r>
      <w:r w:rsidRPr="007537FA">
        <w:rPr>
          <w:rFonts w:ascii="Calibri" w:hAnsi="Calibri" w:cs="Calibri"/>
          <w:noProof/>
          <w:szCs w:val="24"/>
        </w:rPr>
        <w:tab/>
        <w:t xml:space="preserve">F. Di Lauro, I. Z. Kiss, J. Miller, The timing of one-shot interventions for epidemic control. </w:t>
      </w:r>
      <w:r w:rsidRPr="007537FA">
        <w:rPr>
          <w:rFonts w:ascii="Calibri" w:hAnsi="Calibri" w:cs="Calibri"/>
          <w:i/>
          <w:iCs/>
          <w:noProof/>
          <w:szCs w:val="24"/>
        </w:rPr>
        <w:t>medRxiv</w:t>
      </w:r>
      <w:r w:rsidRPr="007537FA">
        <w:rPr>
          <w:rFonts w:ascii="Calibri" w:hAnsi="Calibri" w:cs="Calibri"/>
          <w:noProof/>
          <w:szCs w:val="24"/>
        </w:rPr>
        <w:t xml:space="preserve"> (2020), doi:10.1101/2020.03.02.20030007.</w:t>
      </w:r>
    </w:p>
    <w:p w14:paraId="43C0102E"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19. </w:t>
      </w:r>
      <w:r w:rsidRPr="007537FA">
        <w:rPr>
          <w:rFonts w:ascii="Calibri" w:hAnsi="Calibri" w:cs="Calibri"/>
          <w:noProof/>
          <w:szCs w:val="24"/>
        </w:rPr>
        <w:tab/>
        <w:t xml:space="preserve">L. Carenzo, E. Costantini, M. Greco, F. L. Barra, V. Rendiniello, M. Mainetti, </w:t>
      </w:r>
      <w:r w:rsidRPr="007537FA">
        <w:rPr>
          <w:rFonts w:ascii="Calibri" w:hAnsi="Calibri" w:cs="Calibri"/>
          <w:i/>
          <w:iCs/>
          <w:noProof/>
          <w:szCs w:val="24"/>
        </w:rPr>
        <w:t>et al.</w:t>
      </w:r>
      <w:r w:rsidRPr="007537FA">
        <w:rPr>
          <w:rFonts w:ascii="Calibri" w:hAnsi="Calibri" w:cs="Calibri"/>
          <w:noProof/>
          <w:szCs w:val="24"/>
        </w:rPr>
        <w:t xml:space="preserve">, Hospital surge capacity in a tertiary emergency referral centre during the COVID-19 outbreak in Italy. </w:t>
      </w:r>
      <w:r w:rsidRPr="007537FA">
        <w:rPr>
          <w:rFonts w:ascii="Calibri" w:hAnsi="Calibri" w:cs="Calibri"/>
          <w:i/>
          <w:iCs/>
          <w:noProof/>
          <w:szCs w:val="24"/>
        </w:rPr>
        <w:t>Anaesthesia</w:t>
      </w:r>
      <w:r w:rsidRPr="007537FA">
        <w:rPr>
          <w:rFonts w:ascii="Calibri" w:hAnsi="Calibri" w:cs="Calibri"/>
          <w:noProof/>
          <w:szCs w:val="24"/>
        </w:rPr>
        <w:t xml:space="preserve"> (2020), doi:10.1111/anae.15072.</w:t>
      </w:r>
    </w:p>
    <w:p w14:paraId="3A399EF6"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20. </w:t>
      </w:r>
      <w:r w:rsidRPr="007537FA">
        <w:rPr>
          <w:rFonts w:ascii="Calibri" w:hAnsi="Calibri" w:cs="Calibri"/>
          <w:noProof/>
          <w:szCs w:val="24"/>
        </w:rPr>
        <w:tab/>
        <w:t xml:space="preserve">A. Zangrillo, L. Beretta, P. Silvani, S. Colombo, A. M. Scandroglio, A. Dell’Acqua, </w:t>
      </w:r>
      <w:r w:rsidRPr="007537FA">
        <w:rPr>
          <w:rFonts w:ascii="Calibri" w:hAnsi="Calibri" w:cs="Calibri"/>
          <w:i/>
          <w:iCs/>
          <w:noProof/>
          <w:szCs w:val="24"/>
        </w:rPr>
        <w:t>et al.</w:t>
      </w:r>
      <w:r w:rsidRPr="007537FA">
        <w:rPr>
          <w:rFonts w:ascii="Calibri" w:hAnsi="Calibri" w:cs="Calibri"/>
          <w:noProof/>
          <w:szCs w:val="24"/>
        </w:rPr>
        <w:t xml:space="preserve">, Fast reshaping of intensive care unit facilities in a large metropolitan hospital in Milan, Italy: facing the COVID-19 pandemic emergency. </w:t>
      </w:r>
      <w:r w:rsidRPr="007537FA">
        <w:rPr>
          <w:rFonts w:ascii="Calibri" w:hAnsi="Calibri" w:cs="Calibri"/>
          <w:i/>
          <w:iCs/>
          <w:noProof/>
          <w:szCs w:val="24"/>
        </w:rPr>
        <w:t>Crit. Care Resusc.</w:t>
      </w:r>
      <w:r w:rsidRPr="007537FA">
        <w:rPr>
          <w:rFonts w:ascii="Calibri" w:hAnsi="Calibri" w:cs="Calibri"/>
          <w:noProof/>
          <w:szCs w:val="24"/>
        </w:rPr>
        <w:t xml:space="preserve"> (2020) (available at http://www.ncbi.nlm.nih.gov/pubmed/32227819).</w:t>
      </w:r>
    </w:p>
    <w:p w14:paraId="4F940C9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21. </w:t>
      </w:r>
      <w:r w:rsidRPr="007537FA">
        <w:rPr>
          <w:rFonts w:ascii="Calibri" w:hAnsi="Calibri" w:cs="Calibri"/>
          <w:noProof/>
          <w:szCs w:val="24"/>
        </w:rPr>
        <w:tab/>
        <w:t xml:space="preserve">E. Litton, T. Bucci, S. Chavan, Y. Y. Ho, A. Holley, G. Howard, </w:t>
      </w:r>
      <w:r w:rsidRPr="007537FA">
        <w:rPr>
          <w:rFonts w:ascii="Calibri" w:hAnsi="Calibri" w:cs="Calibri"/>
          <w:i/>
          <w:iCs/>
          <w:noProof/>
          <w:szCs w:val="24"/>
        </w:rPr>
        <w:t>et al.</w:t>
      </w:r>
      <w:r w:rsidRPr="007537FA">
        <w:rPr>
          <w:rFonts w:ascii="Calibri" w:hAnsi="Calibri" w:cs="Calibri"/>
          <w:noProof/>
          <w:szCs w:val="24"/>
        </w:rPr>
        <w:t xml:space="preserve">,  Surge capacity of intensive care units in case of acute increase in demand caused by COVID ‐19 in Australia . </w:t>
      </w:r>
      <w:r w:rsidRPr="007537FA">
        <w:rPr>
          <w:rFonts w:ascii="Calibri" w:hAnsi="Calibri" w:cs="Calibri"/>
          <w:i/>
          <w:iCs/>
          <w:noProof/>
          <w:szCs w:val="24"/>
        </w:rPr>
        <w:t>Med. J. Aust.</w:t>
      </w:r>
      <w:r w:rsidRPr="007537FA">
        <w:rPr>
          <w:rFonts w:ascii="Calibri" w:hAnsi="Calibri" w:cs="Calibri"/>
          <w:noProof/>
          <w:szCs w:val="24"/>
        </w:rPr>
        <w:t xml:space="preserve"> (2020), doi:10.5694/mja2.50596.</w:t>
      </w:r>
    </w:p>
    <w:p w14:paraId="7DB328A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22. </w:t>
      </w:r>
      <w:r w:rsidRPr="007537FA">
        <w:rPr>
          <w:rFonts w:ascii="Calibri" w:hAnsi="Calibri" w:cs="Calibri"/>
          <w:noProof/>
          <w:szCs w:val="24"/>
        </w:rPr>
        <w:tab/>
        <w:t>T. Hale, S. Webster, A. Petherick, T. Phillips, B. Kira, “Oxford COVID-19 Government Response Tracker” (2020), (available at https://www.bsg.ox.ac.uk/research/research-projects/coronavirus-government-response-tracker).</w:t>
      </w:r>
    </w:p>
    <w:p w14:paraId="5D2AC8C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23. </w:t>
      </w:r>
      <w:r w:rsidRPr="007537FA">
        <w:rPr>
          <w:rFonts w:ascii="Calibri" w:hAnsi="Calibri" w:cs="Calibri"/>
          <w:noProof/>
          <w:szCs w:val="24"/>
        </w:rPr>
        <w:tab/>
        <w:t>ACAPS, #COVID19 Government Measures Dataset | ACAPS (2020), (available at https://www.acaps.org/covid19-government-measures-dataset).</w:t>
      </w:r>
    </w:p>
    <w:p w14:paraId="4D64A8B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24. </w:t>
      </w:r>
      <w:r w:rsidRPr="007537FA">
        <w:rPr>
          <w:rFonts w:ascii="Calibri" w:hAnsi="Calibri" w:cs="Calibri"/>
          <w:noProof/>
          <w:szCs w:val="24"/>
        </w:rPr>
        <w:tab/>
        <w:t xml:space="preserve">N. M. Ferguson, D. Laydon, G. Nedjati-Gilani, N. Imai, K. Ainslie, M. Baguelin, </w:t>
      </w:r>
      <w:r w:rsidRPr="007537FA">
        <w:rPr>
          <w:rFonts w:ascii="Calibri" w:hAnsi="Calibri" w:cs="Calibri"/>
          <w:i/>
          <w:iCs/>
          <w:noProof/>
          <w:szCs w:val="24"/>
        </w:rPr>
        <w:t>et al.</w:t>
      </w:r>
      <w:r w:rsidRPr="007537FA">
        <w:rPr>
          <w:rFonts w:ascii="Calibri" w:hAnsi="Calibri" w:cs="Calibri"/>
          <w:noProof/>
          <w:szCs w:val="24"/>
        </w:rPr>
        <w:t>, Impact of non-pharmaceutical interventions (NPIs) to reduce COVID-19 mortality and healthcare demand (Imperial College COVID-19 Response Team) (2020), doi:10.25561/77482.</w:t>
      </w:r>
    </w:p>
    <w:p w14:paraId="29A895E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25. </w:t>
      </w:r>
      <w:r w:rsidRPr="007537FA">
        <w:rPr>
          <w:rFonts w:ascii="Calibri" w:hAnsi="Calibri" w:cs="Calibri"/>
          <w:noProof/>
          <w:szCs w:val="24"/>
        </w:rPr>
        <w:tab/>
        <w:t xml:space="preserve">N. Lurie, M. Saville, R. Hatchett, J. Halton, Developing Covid-19 Vaccines at Pandemic Speed. </w:t>
      </w:r>
      <w:r w:rsidRPr="007537FA">
        <w:rPr>
          <w:rFonts w:ascii="Calibri" w:hAnsi="Calibri" w:cs="Calibri"/>
          <w:i/>
          <w:iCs/>
          <w:noProof/>
          <w:szCs w:val="24"/>
        </w:rPr>
        <w:t>N. Engl. J. Med.</w:t>
      </w:r>
      <w:r w:rsidRPr="007537FA">
        <w:rPr>
          <w:rFonts w:ascii="Calibri" w:hAnsi="Calibri" w:cs="Calibri"/>
          <w:noProof/>
          <w:szCs w:val="24"/>
        </w:rPr>
        <w:t xml:space="preserve"> (2020), doi:10.1056/nejmp2005630.</w:t>
      </w:r>
    </w:p>
    <w:p w14:paraId="438C4FB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26. </w:t>
      </w:r>
      <w:r w:rsidRPr="007537FA">
        <w:rPr>
          <w:rFonts w:ascii="Calibri" w:hAnsi="Calibri" w:cs="Calibri"/>
          <w:noProof/>
          <w:szCs w:val="24"/>
        </w:rPr>
        <w:tab/>
        <w:t>Consulate General of the Republic of Korea, “Flattening the curve on COVID-19 - How Korea responded to a pandemic using ICT” (2020), (available at http://overseas.mofa.go.kr/us-houston-en/brd/m_5573/view.do?seq=759765).</w:t>
      </w:r>
    </w:p>
    <w:p w14:paraId="78DBA05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27. </w:t>
      </w:r>
      <w:r w:rsidRPr="007537FA">
        <w:rPr>
          <w:rFonts w:ascii="Calibri" w:hAnsi="Calibri" w:cs="Calibri"/>
          <w:noProof/>
          <w:szCs w:val="24"/>
        </w:rPr>
        <w:tab/>
        <w:t xml:space="preserve">Korea Centers for Disease Control &amp; Prevention, Contact Transmission of COVID-19 in South Korea: Novel Investigation Techniques for Tracing Contacts. </w:t>
      </w:r>
      <w:r w:rsidRPr="007537FA">
        <w:rPr>
          <w:rFonts w:ascii="Calibri" w:hAnsi="Calibri" w:cs="Calibri"/>
          <w:i/>
          <w:iCs/>
          <w:noProof/>
          <w:szCs w:val="24"/>
        </w:rPr>
        <w:t>Osong Public Heal. Res. Perspect.</w:t>
      </w:r>
      <w:r w:rsidRPr="007537FA">
        <w:rPr>
          <w:rFonts w:ascii="Calibri" w:hAnsi="Calibri" w:cs="Calibri"/>
          <w:noProof/>
          <w:szCs w:val="24"/>
        </w:rPr>
        <w:t xml:space="preserve"> </w:t>
      </w:r>
      <w:r w:rsidRPr="007537FA">
        <w:rPr>
          <w:rFonts w:ascii="Calibri" w:hAnsi="Calibri" w:cs="Calibri"/>
          <w:b/>
          <w:bCs/>
          <w:noProof/>
          <w:szCs w:val="24"/>
        </w:rPr>
        <w:t>11</w:t>
      </w:r>
      <w:r w:rsidRPr="007537FA">
        <w:rPr>
          <w:rFonts w:ascii="Calibri" w:hAnsi="Calibri" w:cs="Calibri"/>
          <w:noProof/>
          <w:szCs w:val="24"/>
        </w:rPr>
        <w:t>, 60–63 (2020).</w:t>
      </w:r>
    </w:p>
    <w:p w14:paraId="1CA2D03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28. </w:t>
      </w:r>
      <w:r w:rsidRPr="007537FA">
        <w:rPr>
          <w:rFonts w:ascii="Calibri" w:hAnsi="Calibri" w:cs="Calibri"/>
          <w:noProof/>
          <w:szCs w:val="24"/>
        </w:rPr>
        <w:tab/>
        <w:t xml:space="preserve">K. E. C. Ainslie, C. E. Walters, H. Fu, S. Bhatia, H. Wang, X. Xi, </w:t>
      </w:r>
      <w:r w:rsidRPr="007537FA">
        <w:rPr>
          <w:rFonts w:ascii="Calibri" w:hAnsi="Calibri" w:cs="Calibri"/>
          <w:i/>
          <w:iCs/>
          <w:noProof/>
          <w:szCs w:val="24"/>
        </w:rPr>
        <w:t>et al.</w:t>
      </w:r>
      <w:r w:rsidRPr="007537FA">
        <w:rPr>
          <w:rFonts w:ascii="Calibri" w:hAnsi="Calibri" w:cs="Calibri"/>
          <w:noProof/>
          <w:szCs w:val="24"/>
        </w:rPr>
        <w:t xml:space="preserve">, Evidence of initial success for China exiting COVID-19 social distancing policy after achieving containment. </w:t>
      </w:r>
      <w:r w:rsidRPr="007537FA">
        <w:rPr>
          <w:rFonts w:ascii="Calibri" w:hAnsi="Calibri" w:cs="Calibri"/>
          <w:i/>
          <w:iCs/>
          <w:noProof/>
          <w:szCs w:val="24"/>
        </w:rPr>
        <w:t>Wellcome Open Res.</w:t>
      </w:r>
      <w:r w:rsidRPr="007537FA">
        <w:rPr>
          <w:rFonts w:ascii="Calibri" w:hAnsi="Calibri" w:cs="Calibri"/>
          <w:noProof/>
          <w:szCs w:val="24"/>
        </w:rPr>
        <w:t xml:space="preserve"> </w:t>
      </w:r>
      <w:r w:rsidRPr="007537FA">
        <w:rPr>
          <w:rFonts w:ascii="Calibri" w:hAnsi="Calibri" w:cs="Calibri"/>
          <w:b/>
          <w:bCs/>
          <w:noProof/>
          <w:szCs w:val="24"/>
        </w:rPr>
        <w:t>5</w:t>
      </w:r>
      <w:r w:rsidRPr="007537FA">
        <w:rPr>
          <w:rFonts w:ascii="Calibri" w:hAnsi="Calibri" w:cs="Calibri"/>
          <w:noProof/>
          <w:szCs w:val="24"/>
        </w:rPr>
        <w:t>, 81 (2020).</w:t>
      </w:r>
    </w:p>
    <w:p w14:paraId="2D19D69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29. </w:t>
      </w:r>
      <w:r w:rsidRPr="007537FA">
        <w:rPr>
          <w:rFonts w:ascii="Calibri" w:hAnsi="Calibri" w:cs="Calibri"/>
          <w:noProof/>
          <w:szCs w:val="24"/>
        </w:rPr>
        <w:tab/>
        <w:t xml:space="preserve">L. Ferretti, C. Wymant, M. Kendall, L. Zhao, A. Nurtay, L. Abeler-Dörner, </w:t>
      </w:r>
      <w:r w:rsidRPr="007537FA">
        <w:rPr>
          <w:rFonts w:ascii="Calibri" w:hAnsi="Calibri" w:cs="Calibri"/>
          <w:i/>
          <w:iCs/>
          <w:noProof/>
          <w:szCs w:val="24"/>
        </w:rPr>
        <w:t>et al.</w:t>
      </w:r>
      <w:r w:rsidRPr="007537FA">
        <w:rPr>
          <w:rFonts w:ascii="Calibri" w:hAnsi="Calibri" w:cs="Calibri"/>
          <w:noProof/>
          <w:szCs w:val="24"/>
        </w:rPr>
        <w:t xml:space="preserve">, Quantifying SARS-CoV-2 transmission suggests epidemic control with digital contact tracing. </w:t>
      </w:r>
      <w:r w:rsidRPr="007537FA">
        <w:rPr>
          <w:rFonts w:ascii="Calibri" w:hAnsi="Calibri" w:cs="Calibri"/>
          <w:i/>
          <w:iCs/>
          <w:noProof/>
          <w:szCs w:val="24"/>
        </w:rPr>
        <w:t>Science.</w:t>
      </w:r>
      <w:r w:rsidRPr="007537FA">
        <w:rPr>
          <w:rFonts w:ascii="Calibri" w:hAnsi="Calibri" w:cs="Calibri"/>
          <w:noProof/>
          <w:szCs w:val="24"/>
        </w:rPr>
        <w:t xml:space="preserve"> </w:t>
      </w:r>
      <w:r w:rsidRPr="007537FA">
        <w:rPr>
          <w:rFonts w:ascii="Calibri" w:hAnsi="Calibri" w:cs="Calibri"/>
          <w:b/>
          <w:bCs/>
          <w:noProof/>
          <w:szCs w:val="24"/>
        </w:rPr>
        <w:t>368</w:t>
      </w:r>
      <w:r w:rsidRPr="007537FA">
        <w:rPr>
          <w:rFonts w:ascii="Calibri" w:hAnsi="Calibri" w:cs="Calibri"/>
          <w:noProof/>
          <w:szCs w:val="24"/>
        </w:rPr>
        <w:t>, eabb6936 (2020).</w:t>
      </w:r>
    </w:p>
    <w:p w14:paraId="534B5E0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lastRenderedPageBreak/>
        <w:t xml:space="preserve">30. </w:t>
      </w:r>
      <w:r w:rsidRPr="007537FA">
        <w:rPr>
          <w:rFonts w:ascii="Calibri" w:hAnsi="Calibri" w:cs="Calibri"/>
          <w:noProof/>
          <w:szCs w:val="24"/>
        </w:rPr>
        <w:tab/>
        <w:t xml:space="preserve">P. G. Walker, C. Whittaker, O. Watson, M. Baguelin, K. E. C. Ainslie, S. Bhatia, </w:t>
      </w:r>
      <w:r w:rsidRPr="007537FA">
        <w:rPr>
          <w:rFonts w:ascii="Calibri" w:hAnsi="Calibri" w:cs="Calibri"/>
          <w:i/>
          <w:iCs/>
          <w:noProof/>
          <w:szCs w:val="24"/>
        </w:rPr>
        <w:t>et al.</w:t>
      </w:r>
      <w:r w:rsidRPr="007537FA">
        <w:rPr>
          <w:rFonts w:ascii="Calibri" w:hAnsi="Calibri" w:cs="Calibri"/>
          <w:noProof/>
          <w:szCs w:val="24"/>
        </w:rPr>
        <w:t>, The Global Impact of COVID-19 and Strategies for Mitigation and Suppression (Imperial College COVID-19 Response Team) (2020), doi:10.25561/77735.</w:t>
      </w:r>
    </w:p>
    <w:p w14:paraId="0D637C0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31. </w:t>
      </w:r>
      <w:r w:rsidRPr="007537FA">
        <w:rPr>
          <w:rFonts w:ascii="Calibri" w:hAnsi="Calibri" w:cs="Calibri"/>
          <w:noProof/>
          <w:szCs w:val="24"/>
        </w:rPr>
        <w:tab/>
        <w:t xml:space="preserve">A. B. Hogan, B. Jewell, E. Sherrard-Smith, J. Vesga, O. J. Watson, C. Whittaker, </w:t>
      </w:r>
      <w:r w:rsidRPr="007537FA">
        <w:rPr>
          <w:rFonts w:ascii="Calibri" w:hAnsi="Calibri" w:cs="Calibri"/>
          <w:i/>
          <w:iCs/>
          <w:noProof/>
          <w:szCs w:val="24"/>
        </w:rPr>
        <w:t>et al.</w:t>
      </w:r>
      <w:r w:rsidRPr="007537FA">
        <w:rPr>
          <w:rFonts w:ascii="Calibri" w:hAnsi="Calibri" w:cs="Calibri"/>
          <w:noProof/>
          <w:szCs w:val="24"/>
        </w:rPr>
        <w:t>, The Potential Impact of the COVID-19 Epidemic on HIV, TB and Malaria in Low-and Middle-Income Countries (Imperial College COVID-19 Response Team) (2020), doi:10.25561/78670.</w:t>
      </w:r>
    </w:p>
    <w:p w14:paraId="3C99DC9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32. </w:t>
      </w:r>
      <w:r w:rsidRPr="007537FA">
        <w:rPr>
          <w:rFonts w:ascii="Calibri" w:hAnsi="Calibri" w:cs="Calibri"/>
          <w:noProof/>
          <w:szCs w:val="24"/>
        </w:rPr>
        <w:tab/>
        <w:t xml:space="preserve">E. L. Korenromp, Lives saved from malaria prevention in Africa--evidence to sustain cost-effective gains. </w:t>
      </w:r>
      <w:r w:rsidRPr="007537FA">
        <w:rPr>
          <w:rFonts w:ascii="Calibri" w:hAnsi="Calibri" w:cs="Calibri"/>
          <w:i/>
          <w:iCs/>
          <w:noProof/>
          <w:szCs w:val="24"/>
        </w:rPr>
        <w:t>Malar. J.</w:t>
      </w:r>
      <w:r w:rsidRPr="007537FA">
        <w:rPr>
          <w:rFonts w:ascii="Calibri" w:hAnsi="Calibri" w:cs="Calibri"/>
          <w:noProof/>
          <w:szCs w:val="24"/>
        </w:rPr>
        <w:t xml:space="preserve"> </w:t>
      </w:r>
      <w:r w:rsidRPr="007537FA">
        <w:rPr>
          <w:rFonts w:ascii="Calibri" w:hAnsi="Calibri" w:cs="Calibri"/>
          <w:b/>
          <w:bCs/>
          <w:noProof/>
          <w:szCs w:val="24"/>
        </w:rPr>
        <w:t>11</w:t>
      </w:r>
      <w:r w:rsidRPr="007537FA">
        <w:rPr>
          <w:rFonts w:ascii="Calibri" w:hAnsi="Calibri" w:cs="Calibri"/>
          <w:noProof/>
          <w:szCs w:val="24"/>
        </w:rPr>
        <w:t>, 94 (2012).</w:t>
      </w:r>
    </w:p>
    <w:p w14:paraId="75AFF0E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33. </w:t>
      </w:r>
      <w:r w:rsidRPr="007537FA">
        <w:rPr>
          <w:rFonts w:ascii="Calibri" w:hAnsi="Calibri" w:cs="Calibri"/>
          <w:noProof/>
          <w:szCs w:val="24"/>
        </w:rPr>
        <w:tab/>
        <w:t>N. V. Loayza, “Costs and Trade-Offs in the Fight Against the COVID-19 Pandemic : A Developing Country Perspective” (Washington, D.C, 2020), (available at http://documents.worldbank.org/curated/en/799701589552654684/Costs-and-Trade-Offs-in-the-Fight-Against-the-COVID-19-Pandemic-A-Developing-Country-Perspective).</w:t>
      </w:r>
    </w:p>
    <w:p w14:paraId="79B9D7A2" w14:textId="582586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34. </w:t>
      </w:r>
      <w:r w:rsidRPr="007537FA">
        <w:rPr>
          <w:rFonts w:ascii="Calibri" w:hAnsi="Calibri" w:cs="Calibri"/>
          <w:noProof/>
          <w:szCs w:val="24"/>
        </w:rPr>
        <w:tab/>
        <w:t xml:space="preserve">O. J. Watson, P. G. Walker, P. Winskill, M. Baguelin, E. Knock, J. Lees, </w:t>
      </w:r>
      <w:r w:rsidRPr="007537FA">
        <w:rPr>
          <w:rFonts w:ascii="Calibri" w:hAnsi="Calibri" w:cs="Calibri"/>
          <w:i/>
          <w:iCs/>
          <w:noProof/>
          <w:szCs w:val="24"/>
        </w:rPr>
        <w:t>et al.</w:t>
      </w:r>
      <w:r w:rsidRPr="007537FA">
        <w:rPr>
          <w:rFonts w:ascii="Calibri" w:hAnsi="Calibri" w:cs="Calibri"/>
          <w:noProof/>
          <w:szCs w:val="24"/>
        </w:rPr>
        <w:t>, Squire (2020),  doi:10.5281/zenodo.3872340.</w:t>
      </w:r>
    </w:p>
    <w:p w14:paraId="69925CA8" w14:textId="2F9DE9F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35. </w:t>
      </w:r>
      <w:r w:rsidRPr="007537FA">
        <w:rPr>
          <w:rFonts w:ascii="Calibri" w:hAnsi="Calibri" w:cs="Calibri"/>
          <w:noProof/>
          <w:szCs w:val="24"/>
        </w:rPr>
        <w:tab/>
        <w:t>covid_global_impact (2020),  doi:10.5281/zenodo.3872387.</w:t>
      </w:r>
    </w:p>
    <w:p w14:paraId="2EF98E2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36. </w:t>
      </w:r>
      <w:r w:rsidRPr="007537FA">
        <w:rPr>
          <w:rFonts w:ascii="Calibri" w:hAnsi="Calibri" w:cs="Calibri"/>
          <w:noProof/>
          <w:szCs w:val="24"/>
        </w:rPr>
        <w:tab/>
        <w:t xml:space="preserve">O. J. Watson, R. FitzJohn, J. W. Eaton, rdhs: an R package to interact with The Demographic and Health Surveys (DHS) Program datasets. </w:t>
      </w:r>
      <w:r w:rsidRPr="007537FA">
        <w:rPr>
          <w:rFonts w:ascii="Calibri" w:hAnsi="Calibri" w:cs="Calibri"/>
          <w:i/>
          <w:iCs/>
          <w:noProof/>
          <w:szCs w:val="24"/>
        </w:rPr>
        <w:t>Wellcome Open Res.</w:t>
      </w:r>
      <w:r w:rsidRPr="007537FA">
        <w:rPr>
          <w:rFonts w:ascii="Calibri" w:hAnsi="Calibri" w:cs="Calibri"/>
          <w:noProof/>
          <w:szCs w:val="24"/>
        </w:rPr>
        <w:t xml:space="preserve"> </w:t>
      </w:r>
      <w:r w:rsidRPr="007537FA">
        <w:rPr>
          <w:rFonts w:ascii="Calibri" w:hAnsi="Calibri" w:cs="Calibri"/>
          <w:b/>
          <w:bCs/>
          <w:noProof/>
          <w:szCs w:val="24"/>
        </w:rPr>
        <w:t>4</w:t>
      </w:r>
      <w:r w:rsidRPr="007537FA">
        <w:rPr>
          <w:rFonts w:ascii="Calibri" w:hAnsi="Calibri" w:cs="Calibri"/>
          <w:noProof/>
          <w:szCs w:val="24"/>
        </w:rPr>
        <w:t>, 103 (2019).</w:t>
      </w:r>
    </w:p>
    <w:p w14:paraId="36CEF79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37. </w:t>
      </w:r>
      <w:r w:rsidRPr="007537FA">
        <w:rPr>
          <w:rFonts w:ascii="Calibri" w:hAnsi="Calibri" w:cs="Calibri"/>
          <w:noProof/>
          <w:szCs w:val="24"/>
        </w:rPr>
        <w:tab/>
        <w:t>Office for National Statistics, 2011 Census - household type, household size and age of usual residents (people) - England and Wales - (2018), (available at https://www.ons.gov.uk/peoplepopulationandcommunity/housing/adhocs/008635ct08202011censushouseholdtypehouseholdsizeandageofusualresidentspeopleenglandandwales?:uri=peoplepopulationandcommunity/housing/adhocs/008635ct08202011censushouseholdtypehouseholdsiz).</w:t>
      </w:r>
    </w:p>
    <w:p w14:paraId="3CFDF12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38. </w:t>
      </w:r>
      <w:r w:rsidRPr="007537FA">
        <w:rPr>
          <w:rFonts w:ascii="Calibri" w:hAnsi="Calibri" w:cs="Calibri"/>
          <w:noProof/>
          <w:szCs w:val="24"/>
        </w:rPr>
        <w:tab/>
        <w:t xml:space="preserve">T. Hoang, P. Coletti, A. Melegaro, J. Wallinga, C. G. Grijalva, J. W. Edmunds, </w:t>
      </w:r>
      <w:r w:rsidRPr="007537FA">
        <w:rPr>
          <w:rFonts w:ascii="Calibri" w:hAnsi="Calibri" w:cs="Calibri"/>
          <w:i/>
          <w:iCs/>
          <w:noProof/>
          <w:szCs w:val="24"/>
        </w:rPr>
        <w:t>et al.</w:t>
      </w:r>
      <w:r w:rsidRPr="007537FA">
        <w:rPr>
          <w:rFonts w:ascii="Calibri" w:hAnsi="Calibri" w:cs="Calibri"/>
          <w:noProof/>
          <w:szCs w:val="24"/>
        </w:rPr>
        <w:t xml:space="preserve">, A Systematic Review of Social Contact Surveys to Inform Transmission Models of Close-contact Infections. </w:t>
      </w:r>
      <w:r w:rsidRPr="007537FA">
        <w:rPr>
          <w:rFonts w:ascii="Calibri" w:hAnsi="Calibri" w:cs="Calibri"/>
          <w:i/>
          <w:iCs/>
          <w:noProof/>
          <w:szCs w:val="24"/>
        </w:rPr>
        <w:t>Epidemiology</w:t>
      </w:r>
      <w:r w:rsidRPr="007537FA">
        <w:rPr>
          <w:rFonts w:ascii="Calibri" w:hAnsi="Calibri" w:cs="Calibri"/>
          <w:noProof/>
          <w:szCs w:val="24"/>
        </w:rPr>
        <w:t xml:space="preserve">. </w:t>
      </w:r>
      <w:r w:rsidRPr="007537FA">
        <w:rPr>
          <w:rFonts w:ascii="Calibri" w:hAnsi="Calibri" w:cs="Calibri"/>
          <w:b/>
          <w:bCs/>
          <w:noProof/>
          <w:szCs w:val="24"/>
        </w:rPr>
        <w:t>30</w:t>
      </w:r>
      <w:r w:rsidRPr="007537FA">
        <w:rPr>
          <w:rFonts w:ascii="Calibri" w:hAnsi="Calibri" w:cs="Calibri"/>
          <w:noProof/>
          <w:szCs w:val="24"/>
        </w:rPr>
        <w:t>, 723–736 (2019).</w:t>
      </w:r>
    </w:p>
    <w:p w14:paraId="7519BBC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39. </w:t>
      </w:r>
      <w:r w:rsidRPr="007537FA">
        <w:rPr>
          <w:rFonts w:ascii="Calibri" w:hAnsi="Calibri" w:cs="Calibri"/>
          <w:noProof/>
          <w:szCs w:val="24"/>
        </w:rPr>
        <w:tab/>
        <w:t xml:space="preserve">D. Moher, L. Shamseer, M. Clarke, D. Ghersi, A. Liberatî, M. Petticrew, </w:t>
      </w:r>
      <w:r w:rsidRPr="007537FA">
        <w:rPr>
          <w:rFonts w:ascii="Calibri" w:hAnsi="Calibri" w:cs="Calibri"/>
          <w:i/>
          <w:iCs/>
          <w:noProof/>
          <w:szCs w:val="24"/>
        </w:rPr>
        <w:t>et al.</w:t>
      </w:r>
      <w:r w:rsidRPr="007537FA">
        <w:rPr>
          <w:rFonts w:ascii="Calibri" w:hAnsi="Calibri" w:cs="Calibri"/>
          <w:noProof/>
          <w:szCs w:val="24"/>
        </w:rPr>
        <w:t xml:space="preserve">, Preferred reporting items for systematic review and meta-analysis protocols (PRISMA-P) 2015 statement. </w:t>
      </w:r>
      <w:r w:rsidRPr="007537FA">
        <w:rPr>
          <w:rFonts w:ascii="Calibri" w:hAnsi="Calibri" w:cs="Calibri"/>
          <w:i/>
          <w:iCs/>
          <w:noProof/>
          <w:szCs w:val="24"/>
        </w:rPr>
        <w:t>Syst. Rev.</w:t>
      </w:r>
      <w:r w:rsidRPr="007537FA">
        <w:rPr>
          <w:rFonts w:ascii="Calibri" w:hAnsi="Calibri" w:cs="Calibri"/>
          <w:noProof/>
          <w:szCs w:val="24"/>
        </w:rPr>
        <w:t xml:space="preserve"> </w:t>
      </w:r>
      <w:r w:rsidRPr="007537FA">
        <w:rPr>
          <w:rFonts w:ascii="Calibri" w:hAnsi="Calibri" w:cs="Calibri"/>
          <w:b/>
          <w:bCs/>
          <w:noProof/>
          <w:szCs w:val="24"/>
        </w:rPr>
        <w:t>4</w:t>
      </w:r>
      <w:r w:rsidRPr="007537FA">
        <w:rPr>
          <w:rFonts w:ascii="Calibri" w:hAnsi="Calibri" w:cs="Calibri"/>
          <w:noProof/>
          <w:szCs w:val="24"/>
        </w:rPr>
        <w:t>, 1–9 (2015).</w:t>
      </w:r>
    </w:p>
    <w:p w14:paraId="77450A1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40. </w:t>
      </w:r>
      <w:r w:rsidRPr="007537FA">
        <w:rPr>
          <w:rFonts w:ascii="Calibri" w:hAnsi="Calibri" w:cs="Calibri"/>
          <w:noProof/>
          <w:szCs w:val="24"/>
        </w:rPr>
        <w:tab/>
        <w:t xml:space="preserve">S. Kumarid, M. Gosain, H. Sharma, E. Swetts, R. Amarchand, R. Kumar, </w:t>
      </w:r>
      <w:r w:rsidRPr="007537FA">
        <w:rPr>
          <w:rFonts w:ascii="Calibri" w:hAnsi="Calibri" w:cs="Calibri"/>
          <w:i/>
          <w:iCs/>
          <w:noProof/>
          <w:szCs w:val="24"/>
        </w:rPr>
        <w:t>et al.</w:t>
      </w:r>
      <w:r w:rsidRPr="007537FA">
        <w:rPr>
          <w:rFonts w:ascii="Calibri" w:hAnsi="Calibri" w:cs="Calibri"/>
          <w:noProof/>
          <w:szCs w:val="24"/>
        </w:rPr>
        <w:t xml:space="preserve">, Who interacts with whom? Social mixing insights from a rural population in India.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13</w:t>
      </w:r>
      <w:r w:rsidRPr="007537FA">
        <w:rPr>
          <w:rFonts w:ascii="Calibri" w:hAnsi="Calibri" w:cs="Calibri"/>
          <w:noProof/>
          <w:szCs w:val="24"/>
        </w:rPr>
        <w:t xml:space="preserve"> (2018), doi:10.1371/journal.pone.0209039.</w:t>
      </w:r>
    </w:p>
    <w:p w14:paraId="2EA0337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41. </w:t>
      </w:r>
      <w:r w:rsidRPr="007537FA">
        <w:rPr>
          <w:rFonts w:ascii="Calibri" w:hAnsi="Calibri" w:cs="Calibri"/>
          <w:noProof/>
          <w:szCs w:val="24"/>
        </w:rPr>
        <w:tab/>
        <w:t xml:space="preserve">O. le Polain de Waroux, S. Cohuet, D. Ndazima, A. J. Kucharski, A. Juan-Giner, S. Flasche, </w:t>
      </w:r>
      <w:r w:rsidRPr="007537FA">
        <w:rPr>
          <w:rFonts w:ascii="Calibri" w:hAnsi="Calibri" w:cs="Calibri"/>
          <w:i/>
          <w:iCs/>
          <w:noProof/>
          <w:szCs w:val="24"/>
        </w:rPr>
        <w:t>et al.</w:t>
      </w:r>
      <w:r w:rsidRPr="007537FA">
        <w:rPr>
          <w:rFonts w:ascii="Calibri" w:hAnsi="Calibri" w:cs="Calibri"/>
          <w:noProof/>
          <w:szCs w:val="24"/>
        </w:rPr>
        <w:t xml:space="preserve">, Characteristics of human encounters and social mixing patterns relevant to infectious diseases spread by close contact: A survey in Southwest Uganda. </w:t>
      </w:r>
      <w:r w:rsidRPr="007537FA">
        <w:rPr>
          <w:rFonts w:ascii="Calibri" w:hAnsi="Calibri" w:cs="Calibri"/>
          <w:i/>
          <w:iCs/>
          <w:noProof/>
          <w:szCs w:val="24"/>
        </w:rPr>
        <w:t>BMC Infect. Dis.</w:t>
      </w:r>
      <w:r w:rsidRPr="007537FA">
        <w:rPr>
          <w:rFonts w:ascii="Calibri" w:hAnsi="Calibri" w:cs="Calibri"/>
          <w:noProof/>
          <w:szCs w:val="24"/>
        </w:rPr>
        <w:t xml:space="preserve"> </w:t>
      </w:r>
      <w:r w:rsidRPr="007537FA">
        <w:rPr>
          <w:rFonts w:ascii="Calibri" w:hAnsi="Calibri" w:cs="Calibri"/>
          <w:b/>
          <w:bCs/>
          <w:noProof/>
          <w:szCs w:val="24"/>
        </w:rPr>
        <w:t>18</w:t>
      </w:r>
      <w:r w:rsidRPr="007537FA">
        <w:rPr>
          <w:rFonts w:ascii="Calibri" w:hAnsi="Calibri" w:cs="Calibri"/>
          <w:noProof/>
          <w:szCs w:val="24"/>
        </w:rPr>
        <w:t>, 172 (2018).</w:t>
      </w:r>
    </w:p>
    <w:p w14:paraId="52E3883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42. </w:t>
      </w:r>
      <w:r w:rsidRPr="007537FA">
        <w:rPr>
          <w:rFonts w:ascii="Calibri" w:hAnsi="Calibri" w:cs="Calibri"/>
          <w:noProof/>
          <w:szCs w:val="24"/>
        </w:rPr>
        <w:tab/>
        <w:t xml:space="preserve">J. Mossong, N. Hens, M. Jit, P. Beutels, K. Auranen, R. Mikolajczyk, </w:t>
      </w:r>
      <w:r w:rsidRPr="007537FA">
        <w:rPr>
          <w:rFonts w:ascii="Calibri" w:hAnsi="Calibri" w:cs="Calibri"/>
          <w:i/>
          <w:iCs/>
          <w:noProof/>
          <w:szCs w:val="24"/>
        </w:rPr>
        <w:t>et al.</w:t>
      </w:r>
      <w:r w:rsidRPr="007537FA">
        <w:rPr>
          <w:rFonts w:ascii="Calibri" w:hAnsi="Calibri" w:cs="Calibri"/>
          <w:noProof/>
          <w:szCs w:val="24"/>
        </w:rPr>
        <w:t xml:space="preserve">, Social Contacts and Mixing Patterns Relevant to the Spread of Infectious Diseases. </w:t>
      </w:r>
      <w:r w:rsidRPr="007537FA">
        <w:rPr>
          <w:rFonts w:ascii="Calibri" w:hAnsi="Calibri" w:cs="Calibri"/>
          <w:i/>
          <w:iCs/>
          <w:noProof/>
          <w:szCs w:val="24"/>
        </w:rPr>
        <w:t>PLoS Med.</w:t>
      </w:r>
      <w:r w:rsidRPr="007537FA">
        <w:rPr>
          <w:rFonts w:ascii="Calibri" w:hAnsi="Calibri" w:cs="Calibri"/>
          <w:noProof/>
          <w:szCs w:val="24"/>
        </w:rPr>
        <w:t xml:space="preserve"> </w:t>
      </w:r>
      <w:r w:rsidRPr="007537FA">
        <w:rPr>
          <w:rFonts w:ascii="Calibri" w:hAnsi="Calibri" w:cs="Calibri"/>
          <w:b/>
          <w:bCs/>
          <w:noProof/>
          <w:szCs w:val="24"/>
        </w:rPr>
        <w:t>5</w:t>
      </w:r>
      <w:r w:rsidRPr="007537FA">
        <w:rPr>
          <w:rFonts w:ascii="Calibri" w:hAnsi="Calibri" w:cs="Calibri"/>
          <w:noProof/>
          <w:szCs w:val="24"/>
        </w:rPr>
        <w:t>, e74 (2008).</w:t>
      </w:r>
    </w:p>
    <w:p w14:paraId="7DEC947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43. </w:t>
      </w:r>
      <w:r w:rsidRPr="007537FA">
        <w:rPr>
          <w:rFonts w:ascii="Calibri" w:hAnsi="Calibri" w:cs="Calibri"/>
          <w:noProof/>
          <w:szCs w:val="24"/>
        </w:rPr>
        <w:tab/>
        <w:t xml:space="preserve">G. Béraud, S. Kazmercziak, P. Beutels, D. Levy-Bruhl, X. Lenne, N. Mielcarek, </w:t>
      </w:r>
      <w:r w:rsidRPr="007537FA">
        <w:rPr>
          <w:rFonts w:ascii="Calibri" w:hAnsi="Calibri" w:cs="Calibri"/>
          <w:i/>
          <w:iCs/>
          <w:noProof/>
          <w:szCs w:val="24"/>
        </w:rPr>
        <w:t>et al.</w:t>
      </w:r>
      <w:r w:rsidRPr="007537FA">
        <w:rPr>
          <w:rFonts w:ascii="Calibri" w:hAnsi="Calibri" w:cs="Calibri"/>
          <w:noProof/>
          <w:szCs w:val="24"/>
        </w:rPr>
        <w:t xml:space="preserve">, The French Connection: The First Large Population-Based Contact Survey in France Relevant for the Spread of Infectious Diseases.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e0133203 (2015).</w:t>
      </w:r>
    </w:p>
    <w:p w14:paraId="7808A32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44. </w:t>
      </w:r>
      <w:r w:rsidRPr="007537FA">
        <w:rPr>
          <w:rFonts w:ascii="Calibri" w:hAnsi="Calibri" w:cs="Calibri"/>
          <w:noProof/>
          <w:szCs w:val="24"/>
        </w:rPr>
        <w:tab/>
        <w:t xml:space="preserve">K. Leung, M. Jit, E. H. Y. Lau, J. T. Wu, Social contact patterns relevant to the spread of respiratory infectious diseases in Hong Kong. </w:t>
      </w:r>
      <w:r w:rsidRPr="007537FA">
        <w:rPr>
          <w:rFonts w:ascii="Calibri" w:hAnsi="Calibri" w:cs="Calibri"/>
          <w:i/>
          <w:iCs/>
          <w:noProof/>
          <w:szCs w:val="24"/>
        </w:rPr>
        <w:t>Sci. Rep.</w:t>
      </w:r>
      <w:r w:rsidRPr="007537FA">
        <w:rPr>
          <w:rFonts w:ascii="Calibri" w:hAnsi="Calibri" w:cs="Calibri"/>
          <w:noProof/>
          <w:szCs w:val="24"/>
        </w:rPr>
        <w:t xml:space="preserve"> </w:t>
      </w:r>
      <w:r w:rsidRPr="007537FA">
        <w:rPr>
          <w:rFonts w:ascii="Calibri" w:hAnsi="Calibri" w:cs="Calibri"/>
          <w:b/>
          <w:bCs/>
          <w:noProof/>
          <w:szCs w:val="24"/>
        </w:rPr>
        <w:t>7</w:t>
      </w:r>
      <w:r w:rsidRPr="007537FA">
        <w:rPr>
          <w:rFonts w:ascii="Calibri" w:hAnsi="Calibri" w:cs="Calibri"/>
          <w:noProof/>
          <w:szCs w:val="24"/>
        </w:rPr>
        <w:t>, 1–12 (2017).</w:t>
      </w:r>
    </w:p>
    <w:p w14:paraId="7E68B84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45. </w:t>
      </w:r>
      <w:r w:rsidRPr="007537FA">
        <w:rPr>
          <w:rFonts w:ascii="Calibri" w:hAnsi="Calibri" w:cs="Calibri"/>
          <w:noProof/>
          <w:szCs w:val="24"/>
        </w:rPr>
        <w:tab/>
        <w:t xml:space="preserve">J. Zhang, P. Klepac, J. M. Read, A. Rosello, X. Wang, S. Lai, </w:t>
      </w:r>
      <w:r w:rsidRPr="007537FA">
        <w:rPr>
          <w:rFonts w:ascii="Calibri" w:hAnsi="Calibri" w:cs="Calibri"/>
          <w:i/>
          <w:iCs/>
          <w:noProof/>
          <w:szCs w:val="24"/>
        </w:rPr>
        <w:t>et al.</w:t>
      </w:r>
      <w:r w:rsidRPr="007537FA">
        <w:rPr>
          <w:rFonts w:ascii="Calibri" w:hAnsi="Calibri" w:cs="Calibri"/>
          <w:noProof/>
          <w:szCs w:val="24"/>
        </w:rPr>
        <w:t xml:space="preserve">, Patterns of human social </w:t>
      </w:r>
      <w:r w:rsidRPr="007537FA">
        <w:rPr>
          <w:rFonts w:ascii="Calibri" w:hAnsi="Calibri" w:cs="Calibri"/>
          <w:noProof/>
          <w:szCs w:val="24"/>
        </w:rPr>
        <w:lastRenderedPageBreak/>
        <w:t xml:space="preserve">contact and contact with animals in Shanghai, China. </w:t>
      </w:r>
      <w:r w:rsidRPr="007537FA">
        <w:rPr>
          <w:rFonts w:ascii="Calibri" w:hAnsi="Calibri" w:cs="Calibri"/>
          <w:i/>
          <w:iCs/>
          <w:noProof/>
          <w:szCs w:val="24"/>
        </w:rPr>
        <w:t>Sci. Rep.</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1–11 (2019).</w:t>
      </w:r>
    </w:p>
    <w:p w14:paraId="12719DC3"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46. </w:t>
      </w:r>
      <w:r w:rsidRPr="007537FA">
        <w:rPr>
          <w:rFonts w:ascii="Calibri" w:hAnsi="Calibri" w:cs="Calibri"/>
          <w:noProof/>
          <w:szCs w:val="24"/>
        </w:rPr>
        <w:tab/>
        <w:t xml:space="preserve">C. G. Grijalva, N. Goeyvaerts, H. Verastegui, K. M. Edwards, A. I. Gil, C. F. Lanata, </w:t>
      </w:r>
      <w:r w:rsidRPr="007537FA">
        <w:rPr>
          <w:rFonts w:ascii="Calibri" w:hAnsi="Calibri" w:cs="Calibri"/>
          <w:i/>
          <w:iCs/>
          <w:noProof/>
          <w:szCs w:val="24"/>
        </w:rPr>
        <w:t>et al.</w:t>
      </w:r>
      <w:r w:rsidRPr="007537FA">
        <w:rPr>
          <w:rFonts w:ascii="Calibri" w:hAnsi="Calibri" w:cs="Calibri"/>
          <w:noProof/>
          <w:szCs w:val="24"/>
        </w:rPr>
        <w:t xml:space="preserve">, A household-based study of contact networks relevant for the spread of infectious diseases in the highlands of peru.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xml:space="preserve"> (2015), doi:10.1371/journal.pone.0118457.</w:t>
      </w:r>
    </w:p>
    <w:p w14:paraId="2BBDF6F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47. </w:t>
      </w:r>
      <w:r w:rsidRPr="007537FA">
        <w:rPr>
          <w:rFonts w:ascii="Calibri" w:hAnsi="Calibri" w:cs="Calibri"/>
          <w:noProof/>
          <w:szCs w:val="24"/>
        </w:rPr>
        <w:tab/>
        <w:t xml:space="preserve">M. Ajelli, M. Litvinova, Estimating contact patterns relevant to the spread of infectious diseases in Russia. </w:t>
      </w:r>
      <w:r w:rsidRPr="007537FA">
        <w:rPr>
          <w:rFonts w:ascii="Calibri" w:hAnsi="Calibri" w:cs="Calibri"/>
          <w:i/>
          <w:iCs/>
          <w:noProof/>
          <w:szCs w:val="24"/>
        </w:rPr>
        <w:t>J. Theor. Biol.</w:t>
      </w:r>
      <w:r w:rsidRPr="007537FA">
        <w:rPr>
          <w:rFonts w:ascii="Calibri" w:hAnsi="Calibri" w:cs="Calibri"/>
          <w:noProof/>
          <w:szCs w:val="24"/>
        </w:rPr>
        <w:t xml:space="preserve"> </w:t>
      </w:r>
      <w:r w:rsidRPr="007537FA">
        <w:rPr>
          <w:rFonts w:ascii="Calibri" w:hAnsi="Calibri" w:cs="Calibri"/>
          <w:b/>
          <w:bCs/>
          <w:noProof/>
          <w:szCs w:val="24"/>
        </w:rPr>
        <w:t>419</w:t>
      </w:r>
      <w:r w:rsidRPr="007537FA">
        <w:rPr>
          <w:rFonts w:ascii="Calibri" w:hAnsi="Calibri" w:cs="Calibri"/>
          <w:noProof/>
          <w:szCs w:val="24"/>
        </w:rPr>
        <w:t>, 1–7 (2017).</w:t>
      </w:r>
    </w:p>
    <w:p w14:paraId="31B8334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48. </w:t>
      </w:r>
      <w:r w:rsidRPr="007537FA">
        <w:rPr>
          <w:rFonts w:ascii="Calibri" w:hAnsi="Calibri" w:cs="Calibri"/>
          <w:noProof/>
          <w:szCs w:val="24"/>
        </w:rPr>
        <w:tab/>
        <w:t xml:space="preserve">S. P. Johnstone-Robertson, D. Mark, C. Morrow, K. Middelkoop, M. Chiswell, L. D. H. Aquino, </w:t>
      </w:r>
      <w:r w:rsidRPr="007537FA">
        <w:rPr>
          <w:rFonts w:ascii="Calibri" w:hAnsi="Calibri" w:cs="Calibri"/>
          <w:i/>
          <w:iCs/>
          <w:noProof/>
          <w:szCs w:val="24"/>
        </w:rPr>
        <w:t>et al.</w:t>
      </w:r>
      <w:r w:rsidRPr="007537FA">
        <w:rPr>
          <w:rFonts w:ascii="Calibri" w:hAnsi="Calibri" w:cs="Calibri"/>
          <w:noProof/>
          <w:szCs w:val="24"/>
        </w:rPr>
        <w:t xml:space="preserve">, Social mixing patterns within a South African township community: implications for respiratory disease transmission and control. </w:t>
      </w:r>
      <w:r w:rsidRPr="007537FA">
        <w:rPr>
          <w:rFonts w:ascii="Calibri" w:hAnsi="Calibri" w:cs="Calibri"/>
          <w:i/>
          <w:iCs/>
          <w:noProof/>
          <w:szCs w:val="24"/>
        </w:rPr>
        <w:t>Am. J. Epidemiol.</w:t>
      </w:r>
      <w:r w:rsidRPr="007537FA">
        <w:rPr>
          <w:rFonts w:ascii="Calibri" w:hAnsi="Calibri" w:cs="Calibri"/>
          <w:noProof/>
          <w:szCs w:val="24"/>
        </w:rPr>
        <w:t xml:space="preserve"> </w:t>
      </w:r>
      <w:r w:rsidRPr="007537FA">
        <w:rPr>
          <w:rFonts w:ascii="Calibri" w:hAnsi="Calibri" w:cs="Calibri"/>
          <w:b/>
          <w:bCs/>
          <w:noProof/>
          <w:szCs w:val="24"/>
        </w:rPr>
        <w:t>174</w:t>
      </w:r>
      <w:r w:rsidRPr="007537FA">
        <w:rPr>
          <w:rFonts w:ascii="Calibri" w:hAnsi="Calibri" w:cs="Calibri"/>
          <w:noProof/>
          <w:szCs w:val="24"/>
        </w:rPr>
        <w:t>, 1246–55 (2011).</w:t>
      </w:r>
    </w:p>
    <w:p w14:paraId="0293101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49. </w:t>
      </w:r>
      <w:r w:rsidRPr="007537FA">
        <w:rPr>
          <w:rFonts w:ascii="Calibri" w:hAnsi="Calibri" w:cs="Calibri"/>
          <w:noProof/>
          <w:szCs w:val="24"/>
        </w:rPr>
        <w:tab/>
        <w:t xml:space="preserve">M. C. Kiti, T. M. Kinyanjui, D. C. Koech, P. K. Munywoki, G. F. Medley, D. J. Nokes, Quantifying Age-Related Rates of Social Contact Using Diaries in a Rural Coastal Population of Kenya.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e104786 (2014).</w:t>
      </w:r>
    </w:p>
    <w:p w14:paraId="5EDC32A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50. </w:t>
      </w:r>
      <w:r w:rsidRPr="007537FA">
        <w:rPr>
          <w:rFonts w:ascii="Calibri" w:hAnsi="Calibri" w:cs="Calibri"/>
          <w:noProof/>
          <w:szCs w:val="24"/>
        </w:rPr>
        <w:tab/>
        <w:t xml:space="preserve">A. Melegaro, E. Del Fava, P. Poletti, S. Merler, C. Nyamukapa, J. Williams, </w:t>
      </w:r>
      <w:r w:rsidRPr="007537FA">
        <w:rPr>
          <w:rFonts w:ascii="Calibri" w:hAnsi="Calibri" w:cs="Calibri"/>
          <w:i/>
          <w:iCs/>
          <w:noProof/>
          <w:szCs w:val="24"/>
        </w:rPr>
        <w:t>et al.</w:t>
      </w:r>
      <w:r w:rsidRPr="007537FA">
        <w:rPr>
          <w:rFonts w:ascii="Calibri" w:hAnsi="Calibri" w:cs="Calibri"/>
          <w:noProof/>
          <w:szCs w:val="24"/>
        </w:rPr>
        <w:t xml:space="preserve">, Social Contact Structures and Time Use Patterns in the Manicaland Province of Zimbabwe.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12</w:t>
      </w:r>
      <w:r w:rsidRPr="007537FA">
        <w:rPr>
          <w:rFonts w:ascii="Calibri" w:hAnsi="Calibri" w:cs="Calibri"/>
          <w:noProof/>
          <w:szCs w:val="24"/>
        </w:rPr>
        <w:t>, e0170459 (2017).</w:t>
      </w:r>
    </w:p>
    <w:p w14:paraId="408FAEF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51. </w:t>
      </w:r>
      <w:r w:rsidRPr="007537FA">
        <w:rPr>
          <w:rFonts w:ascii="Calibri" w:hAnsi="Calibri" w:cs="Calibri"/>
          <w:noProof/>
          <w:szCs w:val="24"/>
        </w:rPr>
        <w:tab/>
        <w:t xml:space="preserve">K. O. Kwok, B. Cowling, V. Wei, S. Riley, J. M. Read, Temporal variation of human encounters and the number of locations in which they occur: A longitudinal study of Hong Kong residents. </w:t>
      </w:r>
      <w:r w:rsidRPr="007537FA">
        <w:rPr>
          <w:rFonts w:ascii="Calibri" w:hAnsi="Calibri" w:cs="Calibri"/>
          <w:i/>
          <w:iCs/>
          <w:noProof/>
          <w:szCs w:val="24"/>
        </w:rPr>
        <w:t>J. R. Soc. Interface</w:t>
      </w:r>
      <w:r w:rsidRPr="007537FA">
        <w:rPr>
          <w:rFonts w:ascii="Calibri" w:hAnsi="Calibri" w:cs="Calibri"/>
          <w:noProof/>
          <w:szCs w:val="24"/>
        </w:rPr>
        <w:t xml:space="preserve">. </w:t>
      </w:r>
      <w:r w:rsidRPr="007537FA">
        <w:rPr>
          <w:rFonts w:ascii="Calibri" w:hAnsi="Calibri" w:cs="Calibri"/>
          <w:b/>
          <w:bCs/>
          <w:noProof/>
          <w:szCs w:val="24"/>
        </w:rPr>
        <w:t>15</w:t>
      </w:r>
      <w:r w:rsidRPr="007537FA">
        <w:rPr>
          <w:rFonts w:ascii="Calibri" w:hAnsi="Calibri" w:cs="Calibri"/>
          <w:noProof/>
          <w:szCs w:val="24"/>
        </w:rPr>
        <w:t xml:space="preserve"> (2018), doi:10.1098/rsif.2017.0838.</w:t>
      </w:r>
    </w:p>
    <w:p w14:paraId="633763F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52. </w:t>
      </w:r>
      <w:r w:rsidRPr="007537FA">
        <w:rPr>
          <w:rFonts w:ascii="Calibri" w:hAnsi="Calibri" w:cs="Calibri"/>
          <w:noProof/>
          <w:szCs w:val="24"/>
        </w:rPr>
        <w:tab/>
        <w:t xml:space="preserve">Y. Ibuka, Y. Ohkusa, T. Sugawara, G. B. Chapman, D. Yamin, K. E. Atkins, </w:t>
      </w:r>
      <w:r w:rsidRPr="007537FA">
        <w:rPr>
          <w:rFonts w:ascii="Calibri" w:hAnsi="Calibri" w:cs="Calibri"/>
          <w:i/>
          <w:iCs/>
          <w:noProof/>
          <w:szCs w:val="24"/>
        </w:rPr>
        <w:t>et al.</w:t>
      </w:r>
      <w:r w:rsidRPr="007537FA">
        <w:rPr>
          <w:rFonts w:ascii="Calibri" w:hAnsi="Calibri" w:cs="Calibri"/>
          <w:noProof/>
          <w:szCs w:val="24"/>
        </w:rPr>
        <w:t xml:space="preserve">, Social contacts, vaccination decisions and influenza in Japan. </w:t>
      </w:r>
      <w:r w:rsidRPr="007537FA">
        <w:rPr>
          <w:rFonts w:ascii="Calibri" w:hAnsi="Calibri" w:cs="Calibri"/>
          <w:i/>
          <w:iCs/>
          <w:noProof/>
          <w:szCs w:val="24"/>
        </w:rPr>
        <w:t>J. Epidemiol. Community Health</w:t>
      </w:r>
      <w:r w:rsidRPr="007537FA">
        <w:rPr>
          <w:rFonts w:ascii="Calibri" w:hAnsi="Calibri" w:cs="Calibri"/>
          <w:noProof/>
          <w:szCs w:val="24"/>
        </w:rPr>
        <w:t xml:space="preserve">. </w:t>
      </w:r>
      <w:r w:rsidRPr="007537FA">
        <w:rPr>
          <w:rFonts w:ascii="Calibri" w:hAnsi="Calibri" w:cs="Calibri"/>
          <w:b/>
          <w:bCs/>
          <w:noProof/>
          <w:szCs w:val="24"/>
        </w:rPr>
        <w:t>70</w:t>
      </w:r>
      <w:r w:rsidRPr="007537FA">
        <w:rPr>
          <w:rFonts w:ascii="Calibri" w:hAnsi="Calibri" w:cs="Calibri"/>
          <w:noProof/>
          <w:szCs w:val="24"/>
        </w:rPr>
        <w:t>, 162–167 (2016).</w:t>
      </w:r>
    </w:p>
    <w:p w14:paraId="5F01C8D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53. </w:t>
      </w:r>
      <w:r w:rsidRPr="007537FA">
        <w:rPr>
          <w:rFonts w:ascii="Calibri" w:hAnsi="Calibri" w:cs="Calibri"/>
          <w:noProof/>
          <w:szCs w:val="24"/>
        </w:rPr>
        <w:tab/>
        <w:t>International Monetary Fund, World Economic Outlook (2016) (available at https://web.archive.org/web/20160421023851/http://www.imf.org/external/pubs/ft/weo/2016/01/pdf/text.pdf).</w:t>
      </w:r>
    </w:p>
    <w:p w14:paraId="628324C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54. </w:t>
      </w:r>
      <w:r w:rsidRPr="007537FA">
        <w:rPr>
          <w:rFonts w:ascii="Calibri" w:hAnsi="Calibri" w:cs="Calibri"/>
          <w:noProof/>
          <w:szCs w:val="24"/>
        </w:rPr>
        <w:tab/>
        <w:t>Database of Global Administrative Areas, (available at https://gadm.org/).</w:t>
      </w:r>
    </w:p>
    <w:p w14:paraId="5C27522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55. </w:t>
      </w:r>
      <w:r w:rsidRPr="007537FA">
        <w:rPr>
          <w:rFonts w:ascii="Calibri" w:hAnsi="Calibri" w:cs="Calibri"/>
          <w:noProof/>
          <w:szCs w:val="24"/>
        </w:rPr>
        <w:tab/>
        <w:t>R. Hijmans, S. Phillips, J. Leathwick, J. Elith, dismo:Species Distribution Modeling. R package (2017), (available at https://rspatial.org/raster/sdm/index.html).</w:t>
      </w:r>
    </w:p>
    <w:p w14:paraId="6B880DF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56. </w:t>
      </w:r>
      <w:r w:rsidRPr="007537FA">
        <w:rPr>
          <w:rFonts w:ascii="Calibri" w:hAnsi="Calibri" w:cs="Calibri"/>
          <w:noProof/>
          <w:szCs w:val="24"/>
        </w:rPr>
        <w:tab/>
        <w:t xml:space="preserve">S. Murthy, A. Leligdowicz, N. K. J. Adhikari, Intensive Care Unit Capacity in Low-Income Countries: A Systematic Review.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e0116949 (2015).</w:t>
      </w:r>
    </w:p>
    <w:p w14:paraId="5D8CAE78"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57. </w:t>
      </w:r>
      <w:r w:rsidRPr="007537FA">
        <w:rPr>
          <w:rFonts w:ascii="Calibri" w:hAnsi="Calibri" w:cs="Calibri"/>
          <w:noProof/>
          <w:szCs w:val="24"/>
        </w:rPr>
        <w:tab/>
        <w:t>European Centre for Disease Control, Situation update worldwide, as of 27 April 2020 (2020), (available at https://www.ecdc.europa.eu/en/geographical-distribution-2019-ncov-cases).</w:t>
      </w:r>
    </w:p>
    <w:p w14:paraId="790E279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58. </w:t>
      </w:r>
      <w:r w:rsidRPr="007537FA">
        <w:rPr>
          <w:rFonts w:ascii="Calibri" w:hAnsi="Calibri" w:cs="Calibri"/>
          <w:noProof/>
          <w:szCs w:val="24"/>
        </w:rPr>
        <w:tab/>
        <w:t xml:space="preserve">N. M. Linton, T. Kobayashi, Y. Yang, K. Hayashi, A. R. Akhmetzhanov, S. Jung, </w:t>
      </w:r>
      <w:r w:rsidRPr="007537FA">
        <w:rPr>
          <w:rFonts w:ascii="Calibri" w:hAnsi="Calibri" w:cs="Calibri"/>
          <w:i/>
          <w:iCs/>
          <w:noProof/>
          <w:szCs w:val="24"/>
        </w:rPr>
        <w:t>et al.</w:t>
      </w:r>
      <w:r w:rsidRPr="007537FA">
        <w:rPr>
          <w:rFonts w:ascii="Calibri" w:hAnsi="Calibri" w:cs="Calibri"/>
          <w:noProof/>
          <w:szCs w:val="24"/>
        </w:rPr>
        <w:t xml:space="preserve">, Incubation Period and Other Epidemiological Characteristics of 2019 Novel Coronavirus Infections with Right Truncation: A Statistical Analysis of Publicly Available Case Data. </w:t>
      </w:r>
      <w:r w:rsidRPr="007537FA">
        <w:rPr>
          <w:rFonts w:ascii="Calibri" w:hAnsi="Calibri" w:cs="Calibri"/>
          <w:i/>
          <w:iCs/>
          <w:noProof/>
          <w:szCs w:val="24"/>
        </w:rPr>
        <w:t>J. Clin. Med.</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538 (2020).</w:t>
      </w:r>
    </w:p>
    <w:p w14:paraId="2F12425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59. </w:t>
      </w:r>
      <w:r w:rsidRPr="007537FA">
        <w:rPr>
          <w:rFonts w:ascii="Calibri" w:hAnsi="Calibri" w:cs="Calibri"/>
          <w:noProof/>
          <w:szCs w:val="24"/>
        </w:rPr>
        <w:tab/>
        <w:t xml:space="preserve">S. A. Lauer, K. H. Grantz, Q. Bi, F. K. Jones, Q. Zheng, H. R. Meredith, </w:t>
      </w:r>
      <w:r w:rsidRPr="007537FA">
        <w:rPr>
          <w:rFonts w:ascii="Calibri" w:hAnsi="Calibri" w:cs="Calibri"/>
          <w:i/>
          <w:iCs/>
          <w:noProof/>
          <w:szCs w:val="24"/>
        </w:rPr>
        <w:t>et al.</w:t>
      </w:r>
      <w:r w:rsidRPr="007537FA">
        <w:rPr>
          <w:rFonts w:ascii="Calibri" w:hAnsi="Calibri" w:cs="Calibri"/>
          <w:noProof/>
          <w:szCs w:val="24"/>
        </w:rPr>
        <w:t xml:space="preserve">, The Incubation Period of Coronavirus Disease 2019 (COVID-19) From Publicly Reported Confirmed Cases: Estimation and Application. </w:t>
      </w:r>
      <w:r w:rsidRPr="007537FA">
        <w:rPr>
          <w:rFonts w:ascii="Calibri" w:hAnsi="Calibri" w:cs="Calibri"/>
          <w:i/>
          <w:iCs/>
          <w:noProof/>
          <w:szCs w:val="24"/>
        </w:rPr>
        <w:t>Ann. Intern. Med.</w:t>
      </w:r>
      <w:r w:rsidRPr="007537FA">
        <w:rPr>
          <w:rFonts w:ascii="Calibri" w:hAnsi="Calibri" w:cs="Calibri"/>
          <w:noProof/>
          <w:szCs w:val="24"/>
        </w:rPr>
        <w:t xml:space="preserve"> (2020), doi:10.7326/M20-0504.</w:t>
      </w:r>
    </w:p>
    <w:p w14:paraId="6A89011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60. </w:t>
      </w:r>
      <w:r w:rsidRPr="007537FA">
        <w:rPr>
          <w:rFonts w:ascii="Calibri" w:hAnsi="Calibri" w:cs="Calibri"/>
          <w:noProof/>
          <w:szCs w:val="24"/>
        </w:rPr>
        <w:tab/>
        <w:t xml:space="preserve">Q. Bi, Y. Wu, S. Mei, C. Ye, X. Zou, Z. Zhang, </w:t>
      </w:r>
      <w:r w:rsidRPr="007537FA">
        <w:rPr>
          <w:rFonts w:ascii="Calibri" w:hAnsi="Calibri" w:cs="Calibri"/>
          <w:i/>
          <w:iCs/>
          <w:noProof/>
          <w:szCs w:val="24"/>
        </w:rPr>
        <w:t>et al.</w:t>
      </w:r>
      <w:r w:rsidRPr="007537FA">
        <w:rPr>
          <w:rFonts w:ascii="Calibri" w:hAnsi="Calibri" w:cs="Calibri"/>
          <w:noProof/>
          <w:szCs w:val="24"/>
        </w:rPr>
        <w:t xml:space="preserve">, Epidemiology and transmission of COVID-19 in 391 cases and 1286 of their close contacts in Shenzhen, China: a retrospective cohort study. </w:t>
      </w:r>
      <w:r w:rsidRPr="007537FA">
        <w:rPr>
          <w:rFonts w:ascii="Calibri" w:hAnsi="Calibri" w:cs="Calibri"/>
          <w:i/>
          <w:iCs/>
          <w:noProof/>
          <w:szCs w:val="24"/>
        </w:rPr>
        <w:t>Lancet Infect. Dis.</w:t>
      </w:r>
      <w:r w:rsidRPr="007537FA">
        <w:rPr>
          <w:rFonts w:ascii="Calibri" w:hAnsi="Calibri" w:cs="Calibri"/>
          <w:noProof/>
          <w:szCs w:val="24"/>
        </w:rPr>
        <w:t xml:space="preserve"> </w:t>
      </w:r>
      <w:r w:rsidRPr="007537FA">
        <w:rPr>
          <w:rFonts w:ascii="Calibri" w:hAnsi="Calibri" w:cs="Calibri"/>
          <w:b/>
          <w:bCs/>
          <w:noProof/>
          <w:szCs w:val="24"/>
        </w:rPr>
        <w:t>0</w:t>
      </w:r>
      <w:r w:rsidRPr="007537FA">
        <w:rPr>
          <w:rFonts w:ascii="Calibri" w:hAnsi="Calibri" w:cs="Calibri"/>
          <w:noProof/>
          <w:szCs w:val="24"/>
        </w:rPr>
        <w:t xml:space="preserve"> (2020), doi:10.1016/S1473-3099(20)30287-5.</w:t>
      </w:r>
    </w:p>
    <w:p w14:paraId="24FAB8C0" w14:textId="51111A98" w:rsidR="007537FA" w:rsidRPr="007537FA" w:rsidRDefault="007537FA" w:rsidP="007537FA">
      <w:pPr>
        <w:widowControl w:val="0"/>
        <w:autoSpaceDE w:val="0"/>
        <w:autoSpaceDN w:val="0"/>
        <w:adjustRightInd w:val="0"/>
        <w:spacing w:line="240" w:lineRule="auto"/>
        <w:ind w:left="640" w:hanging="640"/>
        <w:rPr>
          <w:rFonts w:ascii="Calibri" w:hAnsi="Calibri" w:cs="Calibri"/>
          <w:noProof/>
        </w:rPr>
      </w:pPr>
      <w:r w:rsidRPr="007537FA">
        <w:rPr>
          <w:rFonts w:ascii="Calibri" w:hAnsi="Calibri" w:cs="Calibri"/>
          <w:noProof/>
          <w:szCs w:val="24"/>
        </w:rPr>
        <w:t xml:space="preserve">61. </w:t>
      </w:r>
      <w:r w:rsidRPr="007537FA">
        <w:rPr>
          <w:rFonts w:ascii="Calibri" w:hAnsi="Calibri" w:cs="Calibri"/>
          <w:noProof/>
          <w:szCs w:val="24"/>
        </w:rPr>
        <w:tab/>
        <w:t xml:space="preserve">H. Salje, C. Tran Kiem, N. Lefrancq, N. Courtejoie, P. Bosetti, J. Paireau, </w:t>
      </w:r>
      <w:r w:rsidRPr="007537FA">
        <w:rPr>
          <w:rFonts w:ascii="Calibri" w:hAnsi="Calibri" w:cs="Calibri"/>
          <w:i/>
          <w:iCs/>
          <w:noProof/>
          <w:szCs w:val="24"/>
        </w:rPr>
        <w:t>et al.</w:t>
      </w:r>
      <w:r w:rsidRPr="007537FA">
        <w:rPr>
          <w:rFonts w:ascii="Calibri" w:hAnsi="Calibri" w:cs="Calibri"/>
          <w:noProof/>
          <w:szCs w:val="24"/>
        </w:rPr>
        <w:t xml:space="preserve">, Estimating the </w:t>
      </w:r>
      <w:r w:rsidRPr="007537FA">
        <w:rPr>
          <w:rFonts w:ascii="Calibri" w:hAnsi="Calibri" w:cs="Calibri"/>
          <w:noProof/>
          <w:szCs w:val="24"/>
        </w:rPr>
        <w:lastRenderedPageBreak/>
        <w:t xml:space="preserve">burden of SARS-CoV-2 in France. </w:t>
      </w:r>
      <w:r w:rsidRPr="007537FA">
        <w:rPr>
          <w:rFonts w:ascii="Calibri" w:hAnsi="Calibri" w:cs="Calibri"/>
          <w:i/>
          <w:iCs/>
          <w:noProof/>
          <w:szCs w:val="24"/>
        </w:rPr>
        <w:t>Science.</w:t>
      </w:r>
      <w:r w:rsidRPr="007537FA">
        <w:rPr>
          <w:rFonts w:ascii="Calibri" w:hAnsi="Calibri" w:cs="Calibri"/>
          <w:noProof/>
          <w:szCs w:val="24"/>
        </w:rPr>
        <w:t xml:space="preserve"> (2020) </w:t>
      </w:r>
      <w:r w:rsidR="00862DD4">
        <w:rPr>
          <w:rFonts w:ascii="Calibri" w:hAnsi="Calibri" w:cs="Calibri"/>
          <w:noProof/>
          <w:szCs w:val="24"/>
        </w:rPr>
        <w:t>(</w:t>
      </w:r>
      <w:r w:rsidR="001841D8">
        <w:t xml:space="preserve">13 May 2020: eabc3517; </w:t>
      </w:r>
      <w:r w:rsidRPr="007537FA">
        <w:rPr>
          <w:rFonts w:ascii="Calibri" w:hAnsi="Calibri" w:cs="Calibri"/>
          <w:noProof/>
          <w:szCs w:val="24"/>
        </w:rPr>
        <w:t>doi:10.1126/science.abc3517.</w:t>
      </w:r>
    </w:p>
    <w:p w14:paraId="390D0412" w14:textId="77777777" w:rsidR="00372654" w:rsidRDefault="00500BA6" w:rsidP="00FD7505">
      <w:pPr>
        <w:pStyle w:val="Heading2"/>
      </w:pPr>
      <w:r>
        <w:fldChar w:fldCharType="end"/>
      </w:r>
    </w:p>
    <w:p w14:paraId="0125E34A" w14:textId="4361F690" w:rsidR="00181F71" w:rsidRDefault="00C9086F" w:rsidP="00C87552">
      <w:pPr>
        <w:pStyle w:val="Heading2"/>
      </w:pPr>
      <w:r>
        <w:t>Acknowledgements</w:t>
      </w:r>
    </w:p>
    <w:p w14:paraId="778B8486" w14:textId="0E74D4DD" w:rsidR="00C9086F" w:rsidRDefault="00B67760" w:rsidP="008D5571">
      <w:r>
        <w:t xml:space="preserve">Dr Sabine van Elsand is also affiliated to the Department of Paediatrics and Child Health, Stellenbosch University, Tygerberg Hospital, South Africa. </w:t>
      </w:r>
      <w:r w:rsidR="00AB40AE">
        <w:t xml:space="preserve">We are grateful for the </w:t>
      </w:r>
      <w:r w:rsidR="008408EA">
        <w:t xml:space="preserve">constructive </w:t>
      </w:r>
      <w:r w:rsidR="00AB40AE">
        <w:t xml:space="preserve">feedback </w:t>
      </w:r>
      <w:r w:rsidR="008408EA">
        <w:t xml:space="preserve">from those that reviewed </w:t>
      </w:r>
      <w:r w:rsidR="002B29B7">
        <w:t xml:space="preserve">a </w:t>
      </w:r>
      <w:r w:rsidR="00155068">
        <w:t>preprint</w:t>
      </w:r>
      <w:r w:rsidR="008408EA">
        <w:t xml:space="preserve"> of </w:t>
      </w:r>
      <w:r w:rsidR="002B29B7">
        <w:t xml:space="preserve">a previous version of </w:t>
      </w:r>
      <w:r w:rsidR="008408EA">
        <w:t xml:space="preserve">this </w:t>
      </w:r>
      <w:r w:rsidR="002409C2">
        <w:t>manuscript</w:t>
      </w:r>
      <w:r w:rsidR="008408EA">
        <w:t xml:space="preserve"> that was posted on </w:t>
      </w:r>
      <w:r w:rsidR="002409C2">
        <w:t>26</w:t>
      </w:r>
      <w:r w:rsidR="002409C2" w:rsidRPr="002409C2">
        <w:rPr>
          <w:vertAlign w:val="superscript"/>
        </w:rPr>
        <w:t>th</w:t>
      </w:r>
      <w:r w:rsidR="002409C2">
        <w:t xml:space="preserve"> </w:t>
      </w:r>
      <w:r w:rsidR="008408EA">
        <w:t xml:space="preserve">March 2020. </w:t>
      </w:r>
    </w:p>
    <w:p w14:paraId="6B6EC28E" w14:textId="2EC827A5" w:rsidR="00A65651" w:rsidRDefault="00705BB5" w:rsidP="008D5571">
      <w:r>
        <w:rPr>
          <w:rFonts w:eastAsia="Times New Roman"/>
        </w:rPr>
        <w:t xml:space="preserve">This work is licensed under a Creative Commons Attribution 4.0 International (CC BY 4.0) license, which permits unrestricted use, distribution, and reproduction in any medium, provided the original work is properly cited. To view a copy of this license, visit </w:t>
      </w:r>
      <w:hyperlink r:id="rId20" w:history="1">
        <w:r>
          <w:rPr>
            <w:rStyle w:val="Hyperlink"/>
          </w:rPr>
          <w:t>https://creativecommons.org/licenses/by/4.0/</w:t>
        </w:r>
      </w:hyperlink>
      <w:r>
        <w:rPr>
          <w:rFonts w:eastAsia="Times New Roman"/>
        </w:rPr>
        <w:t>. This license does not apply to figures/photos/artwork or other content included in the article that is credited to a third party; obtain authorization from the rights holder before using such material.</w:t>
      </w:r>
    </w:p>
    <w:p w14:paraId="67B5B272" w14:textId="03AE6397" w:rsidR="00A65651" w:rsidRDefault="00A65651" w:rsidP="00A65651">
      <w:pPr>
        <w:pStyle w:val="Heading2"/>
      </w:pPr>
      <w:r>
        <w:t>List of Supplementary Materials</w:t>
      </w:r>
    </w:p>
    <w:p w14:paraId="542F3753" w14:textId="732FB772" w:rsidR="00A65651" w:rsidRDefault="00FF18EF" w:rsidP="008D5571">
      <w:r>
        <w:t>Materials and Methods</w:t>
      </w:r>
    </w:p>
    <w:p w14:paraId="72CB4811" w14:textId="77777777" w:rsidR="008A53A6" w:rsidRDefault="008A53A6" w:rsidP="008A53A6">
      <w:r w:rsidRPr="00112E9A">
        <w:rPr>
          <w:b/>
        </w:rPr>
        <w:t>Table S1:</w:t>
      </w:r>
      <w:r w:rsidRPr="008B30DE">
        <w:t xml:space="preserve"> Parameter descriptions and values. </w:t>
      </w:r>
    </w:p>
    <w:p w14:paraId="7B98A0AB" w14:textId="77777777" w:rsidR="008A53A6" w:rsidRPr="00F408E7" w:rsidRDefault="008A53A6" w:rsidP="008A53A6">
      <w:r w:rsidRPr="00112E9A">
        <w:rPr>
          <w:b/>
        </w:rPr>
        <w:t>Table S2:</w:t>
      </w:r>
      <w:r>
        <w:t xml:space="preserve"> Age-stratified parameters including IFR, the proportion of infections hospitalised, the proportion of hospitalised cases requiring critical care and the proportion of non-critical care cases that die. </w:t>
      </w:r>
    </w:p>
    <w:p w14:paraId="2958C0ED" w14:textId="77777777" w:rsidR="008A53A6" w:rsidRPr="00F408E7" w:rsidRDefault="008A53A6" w:rsidP="008A53A6">
      <w:r w:rsidRPr="00112E9A">
        <w:rPr>
          <w:b/>
        </w:rPr>
        <w:t>Table S3:</w:t>
      </w:r>
      <w:r w:rsidRPr="00F408E7">
        <w:t xml:space="preserve"> </w:t>
      </w:r>
      <w:r>
        <w:t>Expert Clinical Opinion for Severity Outcomes</w:t>
      </w:r>
    </w:p>
    <w:p w14:paraId="4CEE00DD" w14:textId="77777777" w:rsidR="008A53A6" w:rsidRPr="0065570D" w:rsidRDefault="008A53A6" w:rsidP="008A53A6">
      <w:r w:rsidRPr="00112E9A">
        <w:rPr>
          <w:b/>
        </w:rPr>
        <w:t>Table S4:</w:t>
      </w:r>
      <w:r w:rsidRPr="0065570D">
        <w:t xml:space="preserve"> Assumed model parameters to capture different outcomes in LIC and LMIC compared to UMIC and HIC. </w:t>
      </w:r>
    </w:p>
    <w:p w14:paraId="61A40409" w14:textId="77777777" w:rsidR="008A53A6" w:rsidRPr="0028501A" w:rsidRDefault="008A53A6" w:rsidP="008A53A6">
      <w:r w:rsidRPr="00112E9A">
        <w:rPr>
          <w:b/>
        </w:rPr>
        <w:t>Table S5:</w:t>
      </w:r>
      <w:r>
        <w:t xml:space="preserve"> Reduction in infections and deaths, and degree of reduction in social contacts in general population required for optimised mitigation strategies involving social distancing and enhanced protection of elderly within SIR final size modelling framework. </w:t>
      </w:r>
    </w:p>
    <w:p w14:paraId="1F4354D6" w14:textId="3C44E4C0" w:rsidR="00FF18EF" w:rsidRPr="00457DD7" w:rsidRDefault="00FF18EF" w:rsidP="008A53A6">
      <w:pPr>
        <w:rPr>
          <w:color w:val="000000"/>
        </w:rPr>
      </w:pPr>
      <w:r w:rsidRPr="00112E9A">
        <w:rPr>
          <w:b/>
          <w:color w:val="000000"/>
        </w:rPr>
        <w:t>Figure S1:</w:t>
      </w:r>
      <w:r w:rsidRPr="00457DD7">
        <w:rPr>
          <w:color w:val="000000"/>
        </w:rPr>
        <w:t xml:space="preserve"> Example of an epidemic under three different mitigation scenarios reducing transmission by 20%, 45% (optimal mitigation) and 60%. </w:t>
      </w:r>
    </w:p>
    <w:p w14:paraId="2A96B223" w14:textId="1E8DC3F1" w:rsidR="006E5D4B" w:rsidRPr="00CA1B50" w:rsidRDefault="006E5D4B" w:rsidP="008A53A6">
      <w:r w:rsidRPr="00112E9A">
        <w:rPr>
          <w:b/>
        </w:rPr>
        <w:t>Figure S2:</w:t>
      </w:r>
      <w:r w:rsidRPr="007C0398">
        <w:t xml:space="preserve"> An age-structured SEIR model of </w:t>
      </w:r>
      <w:r>
        <w:t>SARS-CoV-2</w:t>
      </w:r>
      <w:r w:rsidRPr="007C0398">
        <w:t xml:space="preserve"> transmission, explicitly incorporating disease severity and passage through different healthcare</w:t>
      </w:r>
      <w:r>
        <w:t xml:space="preserve"> levels</w:t>
      </w:r>
      <w:r w:rsidRPr="00CA1B50">
        <w:t xml:space="preserve">. </w:t>
      </w:r>
    </w:p>
    <w:p w14:paraId="089D8D53" w14:textId="48FB2F00" w:rsidR="00FF18EF" w:rsidRDefault="006E5D4B" w:rsidP="008A53A6">
      <w:r w:rsidRPr="00112E9A">
        <w:rPr>
          <w:b/>
        </w:rPr>
        <w:t>Figure S3:</w:t>
      </w:r>
      <w:r w:rsidRPr="00D6601C">
        <w:t xml:space="preserve"> The decision tree cascade included to model excess mortality associated with healthcare capacity being exceeded.</w:t>
      </w:r>
    </w:p>
    <w:p w14:paraId="6746F65A" w14:textId="50BD9FFD" w:rsidR="003D5566" w:rsidRDefault="003D5566" w:rsidP="008A53A6">
      <w:pPr>
        <w:rPr>
          <w:rFonts w:cstheme="minorHAnsi"/>
        </w:rPr>
      </w:pPr>
      <w:r w:rsidRPr="00112E9A">
        <w:rPr>
          <w:rFonts w:cstheme="minorHAnsi"/>
          <w:b/>
        </w:rPr>
        <w:t>Figure S4:</w:t>
      </w:r>
      <w:r w:rsidRPr="00413F2F">
        <w:rPr>
          <w:rFonts w:cstheme="minorHAnsi"/>
        </w:rPr>
        <w:t xml:space="preserve"> </w:t>
      </w:r>
      <w:r>
        <w:rPr>
          <w:rFonts w:cstheme="minorHAnsi"/>
        </w:rPr>
        <w:t>Relationship between risk of hospitalisation, the need for critical care and mortality in the presence of oxygen and mechanical ventilation.</w:t>
      </w:r>
    </w:p>
    <w:p w14:paraId="0CB6E40F" w14:textId="4B5DC29D" w:rsidR="00F03BDA" w:rsidRDefault="00F03BDA" w:rsidP="008A53A6">
      <w:r w:rsidRPr="00C23783">
        <w:rPr>
          <w:b/>
        </w:rPr>
        <w:t>Figure S5</w:t>
      </w:r>
      <w:r w:rsidR="008A53A6" w:rsidRPr="00C23783">
        <w:rPr>
          <w:b/>
        </w:rPr>
        <w:t>:</w:t>
      </w:r>
      <w:r w:rsidRPr="00EF69DC">
        <w:t xml:space="preserve"> Per-capita contacts per day across all identified surveys</w:t>
      </w:r>
      <w:r>
        <w:t>.</w:t>
      </w:r>
    </w:p>
    <w:p w14:paraId="15AF9A15" w14:textId="01EC847F" w:rsidR="00F03BDA" w:rsidRDefault="00F03BDA" w:rsidP="008A53A6">
      <w:r w:rsidRPr="00C23783">
        <w:rPr>
          <w:b/>
        </w:rPr>
        <w:t>Figure S6</w:t>
      </w:r>
      <w:r w:rsidR="008A53A6" w:rsidRPr="00C23783">
        <w:rPr>
          <w:b/>
        </w:rPr>
        <w:t>:</w:t>
      </w:r>
      <w:r w:rsidRPr="000972ED">
        <w:t xml:space="preserve"> Age stratified final size attack rates for different settings, R</w:t>
      </w:r>
      <w:r w:rsidRPr="005F1CD0">
        <w:rPr>
          <w:vertAlign w:val="subscript"/>
        </w:rPr>
        <w:t>0</w:t>
      </w:r>
      <w:r w:rsidRPr="000972ED">
        <w:t xml:space="preserve"> and mitigation scenarios.</w:t>
      </w:r>
    </w:p>
    <w:p w14:paraId="737614E1" w14:textId="3F7AA59B" w:rsidR="006E5D4B" w:rsidRDefault="005E545E" w:rsidP="005E545E">
      <w:r w:rsidRPr="00C23783">
        <w:rPr>
          <w:b/>
        </w:rPr>
        <w:t>Appendix 1:</w:t>
      </w:r>
      <w:r>
        <w:t xml:space="preserve"> (Excel Spreadsheet)</w:t>
      </w:r>
      <w:r w:rsidRPr="007E4BB1">
        <w:t xml:space="preserve">: </w:t>
      </w:r>
      <w:r>
        <w:t>Collated data on c</w:t>
      </w:r>
      <w:r w:rsidRPr="007E4BB1">
        <w:t>ountry-specific suppression measures.</w:t>
      </w:r>
    </w:p>
    <w:p w14:paraId="5F2FF842" w14:textId="57BB93E2" w:rsidR="004B7EC2" w:rsidRDefault="004B7EC2" w:rsidP="005E545E"/>
    <w:p w14:paraId="11EFB29A" w14:textId="77777777" w:rsidR="00907A1D" w:rsidRDefault="00907A1D" w:rsidP="00907A1D">
      <w:pPr>
        <w:pStyle w:val="Heading1"/>
      </w:pPr>
      <w:r>
        <w:t>Table Legends</w:t>
      </w:r>
    </w:p>
    <w:p w14:paraId="33A38BCC" w14:textId="77777777" w:rsidR="00907A1D" w:rsidRPr="00CB6BA2" w:rsidRDefault="00907A1D" w:rsidP="00907A1D">
      <w:pPr>
        <w:rPr>
          <w:lang w:val="en-US"/>
        </w:rPr>
      </w:pPr>
      <w:r w:rsidRPr="00CB6BA2">
        <w:rPr>
          <w:b/>
          <w:bCs/>
        </w:rPr>
        <w:t xml:space="preserve">Table 1: </w:t>
      </w:r>
      <w:r w:rsidRPr="00CB6BA2">
        <w:t>Estimated stage of the epidemic at suppression across regions and income strata and ratios of reported cases to deaths prior to suppression.</w:t>
      </w:r>
    </w:p>
    <w:p w14:paraId="522530EC" w14:textId="608E899A" w:rsidR="004B7EC2" w:rsidRDefault="004B7EC2" w:rsidP="004B7EC2">
      <w:pPr>
        <w:pStyle w:val="Heading2"/>
      </w:pPr>
      <w:r>
        <w:t>Figure Legends</w:t>
      </w:r>
    </w:p>
    <w:p w14:paraId="04608085" w14:textId="4BD08034" w:rsidR="004B7EC2" w:rsidRDefault="004B7EC2" w:rsidP="005E545E">
      <w:r w:rsidRPr="00103359">
        <w:rPr>
          <w:b/>
          <w:bCs/>
        </w:rPr>
        <w:t xml:space="preserve">Figure 1: Demographic, societal and mixing patterns relevant to SARS-CoV-2 transmission and burden. (A) </w:t>
      </w:r>
      <w:r w:rsidRPr="00103359">
        <w:t xml:space="preserve">Aggregated demographic patterns within 2020 World Population Prospects (WPP) projections across countries within each 2018 World Bank (WB) GDP per-capita decile. </w:t>
      </w:r>
      <w:r w:rsidRPr="00103359">
        <w:rPr>
          <w:b/>
          <w:bCs/>
        </w:rPr>
        <w:t xml:space="preserve">(B) </w:t>
      </w:r>
      <w:r w:rsidRPr="00103359">
        <w:t>Average household size within Demographic Health Surveys (DHS) of individuals aged 65 and over by 2018 WB GDP per-capita. For reference, the average household size of contacts in the UK is also provided as an example for a HIC.</w:t>
      </w:r>
      <w:r w:rsidRPr="00103359">
        <w:rPr>
          <w:b/>
          <w:bCs/>
        </w:rPr>
        <w:t xml:space="preserve"> (C)</w:t>
      </w:r>
      <w:r w:rsidRPr="00103359">
        <w:t xml:space="preserve"> Final proportion of population infected in an unmitigated epidemic for an age-structured SIR model with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=3.0</m:t>
        </m:r>
      </m:oMath>
      <w:r w:rsidRPr="00103359">
        <w:t xml:space="preserve"> and age-specific social mixing based upon contact surveys identified in HICs. </w:t>
      </w:r>
      <w:r w:rsidRPr="00103359">
        <w:rPr>
          <w:b/>
          <w:bCs/>
        </w:rPr>
        <w:t xml:space="preserve">(D) </w:t>
      </w:r>
      <w:r w:rsidRPr="00103359">
        <w:t xml:space="preserve">and </w:t>
      </w:r>
      <w:r w:rsidRPr="00103359">
        <w:rPr>
          <w:b/>
          <w:bCs/>
        </w:rPr>
        <w:t xml:space="preserve">(E) </w:t>
      </w:r>
      <w:r w:rsidRPr="00103359">
        <w:t xml:space="preserve">equivalent figure for surveys identified in UMICs and LMIC/LICs respectively. </w:t>
      </w:r>
      <w:r w:rsidRPr="00103359">
        <w:rPr>
          <w:b/>
          <w:bCs/>
        </w:rPr>
        <w:t xml:space="preserve">F-I </w:t>
      </w:r>
      <w:r w:rsidRPr="00103359">
        <w:t xml:space="preserve">output from simulations across countries of an unmitigated pandemic with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=3.0</m:t>
        </m:r>
      </m:oMath>
      <w:r w:rsidRPr="00103359">
        <w:t xml:space="preserve">. </w:t>
      </w:r>
      <w:r w:rsidRPr="00103359">
        <w:rPr>
          <w:b/>
          <w:bCs/>
        </w:rPr>
        <w:t>(F)</w:t>
      </w:r>
      <w:r w:rsidRPr="00103359">
        <w:t xml:space="preserve"> shows the attack rate in terms of number of individuals infected per 1000 population, </w:t>
      </w:r>
      <w:r w:rsidRPr="00103359">
        <w:rPr>
          <w:b/>
          <w:bCs/>
        </w:rPr>
        <w:t xml:space="preserve">(G) </w:t>
      </w:r>
      <w:r w:rsidRPr="00103359">
        <w:t xml:space="preserve">the equivalent rates of infection leading to illness requiring hospitalisation, </w:t>
      </w:r>
      <w:r w:rsidRPr="00103359">
        <w:rPr>
          <w:b/>
          <w:bCs/>
        </w:rPr>
        <w:t xml:space="preserve">(H) </w:t>
      </w:r>
      <w:r w:rsidRPr="00103359">
        <w:t xml:space="preserve">illness requiring critical care and </w:t>
      </w:r>
      <w:r w:rsidRPr="00103359">
        <w:rPr>
          <w:b/>
          <w:bCs/>
        </w:rPr>
        <w:t xml:space="preserve">(I) </w:t>
      </w:r>
      <w:r w:rsidRPr="00103359">
        <w:t>mortality assuming a health system functioning at the level of China throughout the pandemic. LIC=low income country, LMIC=low-middle income country, UMIC=upper-middle income country, HIC=high income country.</w:t>
      </w:r>
    </w:p>
    <w:p w14:paraId="70DB5BC2" w14:textId="77777777" w:rsidR="00103359" w:rsidRPr="00103359" w:rsidDel="00300A36" w:rsidRDefault="00103359" w:rsidP="00103359">
      <w:pPr>
        <w:rPr>
          <w:iCs/>
        </w:rPr>
      </w:pPr>
      <w:r w:rsidRPr="00103359" w:rsidDel="00300A36">
        <w:rPr>
          <w:b/>
          <w:bCs/>
          <w:iCs/>
        </w:rPr>
        <w:t xml:space="preserve">Figure 2: Estimates of Hospital Bed </w:t>
      </w:r>
      <w:r w:rsidRPr="00103359">
        <w:rPr>
          <w:b/>
          <w:bCs/>
          <w:iCs/>
        </w:rPr>
        <w:t xml:space="preserve">and </w:t>
      </w:r>
      <w:r w:rsidRPr="00103359" w:rsidDel="00300A36">
        <w:rPr>
          <w:b/>
          <w:bCs/>
          <w:iCs/>
        </w:rPr>
        <w:t>ICU Capacity</w:t>
      </w:r>
      <w:r w:rsidRPr="00103359">
        <w:rPr>
          <w:b/>
          <w:bCs/>
          <w:iCs/>
        </w:rPr>
        <w:t>, and the Potential Impact of Healthcare Quality on the Infection Fatality Ratio</w:t>
      </w:r>
      <w:r w:rsidRPr="00103359" w:rsidDel="00300A36">
        <w:rPr>
          <w:iCs/>
        </w:rPr>
        <w:t xml:space="preserve">. </w:t>
      </w:r>
      <w:r w:rsidRPr="00103359" w:rsidDel="00300A36">
        <w:rPr>
          <w:b/>
          <w:bCs/>
          <w:iCs/>
        </w:rPr>
        <w:t>(A)</w:t>
      </w:r>
      <w:r w:rsidRPr="00103359" w:rsidDel="00300A36">
        <w:rPr>
          <w:iCs/>
        </w:rPr>
        <w:t xml:space="preserve"> Comparison of BRT model prediction and empirically observed numbers of hospital beds per 1000 population. Each point represents a country, with the x-axis indicating the observed number of hospital beds per 1000 population for that country, and the y-axis indicating the model predicted number of hospital beds per 1000 population. Colouring of the points indicates which World Bank income strata the country belongs to. </w:t>
      </w:r>
      <w:r w:rsidRPr="00103359" w:rsidDel="00300A36">
        <w:rPr>
          <w:b/>
          <w:bCs/>
          <w:iCs/>
        </w:rPr>
        <w:t>(B)</w:t>
      </w:r>
      <w:r w:rsidRPr="00103359" w:rsidDel="00300A36">
        <w:rPr>
          <w:iCs/>
        </w:rPr>
        <w:t xml:space="preserve"> Boxplots of the number of hospital beds per 1000 population, stratified by World Bank income group. Points are modelled estimates of hospital beds per 1,000 population obtained from the model. </w:t>
      </w:r>
      <w:r w:rsidRPr="00103359" w:rsidDel="00300A36">
        <w:rPr>
          <w:b/>
          <w:bCs/>
          <w:iCs/>
        </w:rPr>
        <w:t>(C)</w:t>
      </w:r>
      <w:r w:rsidRPr="00103359" w:rsidDel="00300A36">
        <w:rPr>
          <w:iCs/>
        </w:rPr>
        <w:t xml:space="preserve"> Results from a systematic review describing the percentage of all hospital beds that are in ICUs, stratified by World Bank income group. Error bars indicate the interquartile range of the median.</w:t>
      </w:r>
      <w:r w:rsidRPr="00103359">
        <w:rPr>
          <w:iCs/>
        </w:rPr>
        <w:t xml:space="preserve"> </w:t>
      </w:r>
      <w:r w:rsidRPr="00103359">
        <w:rPr>
          <w:b/>
          <w:bCs/>
          <w:iCs/>
        </w:rPr>
        <w:t>(D)</w:t>
      </w:r>
      <w:r w:rsidRPr="00103359">
        <w:rPr>
          <w:iCs/>
        </w:rPr>
        <w:t xml:space="preserve"> Age-stratified scenarios for the infection fatality ratio under different healthcare quality. The baseline are estimates based on data for high-income settings. “No MV” denotes not being able to access an ICU unit with mechanical ventilation available. “Poorer outcomes” represents a higher risk of mortality from severe pneumonia in an LMIC setting if only limited or poor-quality oxygen support is available. “No Oxygen” represents the outcomes if hospitalised patients do not receive oxygen support. The stacked bars represent the cumulative increase in IFR at each stage. Note that the final stage “No MV and No Oxygen” represents the additional IFR due to increasing mortality rates from 20% in the presence of limited/poor-quality oxygen support to 60% in the absence of any oxygen support. </w:t>
      </w:r>
      <w:r w:rsidRPr="00103359">
        <w:rPr>
          <w:b/>
          <w:bCs/>
          <w:iCs/>
        </w:rPr>
        <w:t xml:space="preserve">(E) </w:t>
      </w:r>
      <w:r w:rsidRPr="00103359">
        <w:rPr>
          <w:iCs/>
        </w:rPr>
        <w:t xml:space="preserve">Estimated representative IFR averaged across age-groups in different settings under a range of healthcare quality assumptions. The differences between LIC, LMIC, UMIC and HIC at baseline reflect the demography and social contact patterns but otherwise assume the same healthcare quality. Lower healthcare </w:t>
      </w:r>
      <w:r w:rsidRPr="00103359">
        <w:rPr>
          <w:iCs/>
        </w:rPr>
        <w:lastRenderedPageBreak/>
        <w:t xml:space="preserve">quality is not shown for UMIC and HIC as these settings are likely to have the quality of healthcare incorporated in the baseline estimates. </w:t>
      </w:r>
    </w:p>
    <w:p w14:paraId="0C81B11F" w14:textId="742D90FD" w:rsidR="00D025A6" w:rsidRPr="00D025A6" w:rsidRDefault="00D025A6" w:rsidP="00D025A6">
      <w:r w:rsidRPr="00D025A6">
        <w:rPr>
          <w:b/>
          <w:bCs/>
        </w:rPr>
        <w:t>Figure 3.</w:t>
      </w:r>
      <w:r w:rsidRPr="00D025A6">
        <w:t xml:space="preserve"> </w:t>
      </w:r>
      <w:r w:rsidRPr="00D025A6">
        <w:rPr>
          <w:b/>
          <w:bCs/>
        </w:rPr>
        <w:t>The prevalence of different co-morbidities across income settings and the proportion of SARS-CoV-2 infections co-occurring with them.</w:t>
      </w:r>
      <w:r w:rsidRPr="00D025A6">
        <w:t xml:space="preserve"> The age-distribution of co-morbidities relevant as modifiers of COVID-19 disease severity was extracted from Global Burden of Disease 2017 estimates </w:t>
      </w:r>
      <w:r w:rsidRPr="00D025A6">
        <w:fldChar w:fldCharType="begin" w:fldLock="1"/>
      </w:r>
      <w:r w:rsidR="00C6002D">
        <w:instrText>ADDIN CSL_CITATION {"citationItems":[{"id":"ITEM-1","itemData":{"DOI":"10.1016/S0140-6736(18)32279-7","ISSN":"1474547X","abstract":"Background: The Global Burden of Diseases, Injuries, and Risk Factors Study 2017 (GBD 2017) includes a comprehensive assessment of incidence, prevalence, and years lived with disability (YLDs) for 354 causes in 195 countries and territories from 1990 to 2017. Previous GBD studies have shown how the decline of mortality rates from 1990 to 2016 has led to an increase in life expectancy, an ageing global population, and an expansion of the non-fatal burden of disease and injury. These studies have also shown how a substantial portion of the world's population experiences non-fatal health loss with considerable heterogeneity among different causes, locations, ages, and sexes. Ongoing objectives of the GBD study include increasing the level of estimation detail, improving analytical strategies, and increasing the amount of high-quality data. Methods: We estimated incidence and prevalence for 354 diseases and injuries and 3484 sequelae. We used an updated and extensive body of literature studies, survey data, surveillance data, inpatient admission records, outpatient visit records, and health insurance claims, and additionally used results from cause of death models to inform estimates using a total of 68 781 data sources. Newly available clinical data from India, Iran, Japan, Jordan, Nepal, China, Brazil, Norway, and Italy were incorporated, as well as updated claims data from the USA and new claims data from Taiwan (province of China) and Singapore. We used DisMod-MR 2.1, a Bayesian meta-regression tool, as the main method of estimation, ensuring consistency between rates of incidence, prevalence, remission, and cause of death for each condition. YLDs were estimated as the product of a prevalence estimate and a disability weight for health states of each mutually exclusive sequela, adjusted for comorbidity. We updated the Socio-demographic Index (SDI), a summary development indicator of income per capita, years of schooling, and total fertility rate. Additionally, we calculated differences between male and female YLDs to identify divergent trends across sexes. GBD 2017 complies with the Guidelines for Accurate and Transparent Health Estimates Reporting. Findings: Globally, for females, the causes with the greatest age-standardised prevalence were oral disorders, headache disorders, and haemoglobinopathies and haemolytic anaemias in both 1990 and 2017. For males, the causes with the greatest age-standardised prevalence were oral disorders, headache disorders…","author":[{"dropping-particle":"","family":"James","given":"Spencer L.","non-dropping-particle":"","parse-names":false,"suffix":""},{"dropping-particle":"","family":"Abate","given":"Degu","non-dropping-particle":"","parse-names":false,"suffix":""},{"dropping-particle":"","family":"Abate","given":"Kalkidan Hassen","non-dropping-particle":"","parse-names":false,"suffix":""},{"dropping-particle":"","family":"Abay","given":"Solomon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ckerman","given":"Ilana N.","non-dropping-particle":"","parse-names":false,"suffix":""},{"dropping-particle":"","family":"Adamu","given":"Abdu A.","non-dropping-particle":"","parse-names":false,"suffix":""},{"dropping-particle":"","family":"Adebayo","given":"Oladimeji M.","non-dropping-particle":"","parse-names":false,"suffix":""},{"dropping-particle":"","family":"Adekanmbi","given":"Victor","non-dropping-particle":"","parse-names":false,"suffix":""},{"dropping-particle":"","family":"Adetokunboh","given":"Olatunji O.","non-dropping-particle":"","parse-names":false,"suffix":""},{"dropping-particle":"","family":"Adib","given":"Mina G.","non-dropping-particle":"","parse-names":false,"suffix":""},{"dropping-particle":"","family":"Adsuar","given":"Jose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fshin","given":"Ashkan","non-dropping-particle":"","parse-names":false,"suffix":""},{"dropping-particle":"","family":"Agarwal","given":"Gina","non-dropping-particle":"","parse-names":false,"suffix":""},{"dropping-particle":"","family":"Agesa","given":"Kareha M.","non-dropping-particle":"","parse-names":false,"suffix":""},{"dropping-particle":"","family":"Aggarwal","given":"Rakesh","non-dropping-particle":"","parse-names":false,"suffix":""},{"dropping-particle":"","family":"Aghayan","given":"Sargis Aghasi","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M.","non-dropping-particle":"","parse-names":false,"suffix":""},{"dropping-particle":"","family":"Al-Raddadi","given":"Rajaa M.","non-dropping-particle":"","parse-names":false,"suffix":""},{"dropping-particle":"","family":"Alahdab","given":"Fares","non-dropping-particle":"","parse-names":false,"suffix":""},{"dropping-particle":"","family":"Alam","given":"Khurshid","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lebeck","given":"Peter","non-dropping-particle":"","parse-names":false,"suffix":""},{"dropping-particle":"","family":"Alouani","given":"Mohamed M.L.","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T.","non-dropping-particle":"","parse-names":false,"suffix":""},{"dropping-particle":"","family":"Aminde","given":"Leopold N.","non-dropping-particle":"","parse-names":false,"suffix":""},{"dropping-particle":"","family":"Ammar","given":"Walid","non-dropping-particle":"","parse-names":false,"suffix":""},{"dropping-particle":"","family":"Amoako","given":"Yaw Ampem","non-dropping-particle":"","parse-names":false,"suffix":""},{"dropping-particle":"","family":"Anber","given":"Nahla Hamed","non-dropping-particle":"","parse-names":false,"suffix":""},{"dropping-particle":"","family":"Andrei","given":"Catalina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Geleto","non-dropping-particle":"","parse-names":false,"suffix":""},{"dropping-particle":"","family":"Antonio","given":"Carl Abelardo T.","non-dropping-particle":"","parse-names":false,"suffix":""},{"dropping-particle":"","family":"Anwari","given":"Palwasha","non-dropping-particle":"","parse-names":false,"suffix":""},{"dropping-particle":"","family":"Arabloo","given":"Jalal","non-dropping-particle":"","parse-names":false,"suffix":""},{"dropping-particle":"","family":"Arauz","given":"Antonio","non-dropping-particle":"","parse-names":false,"suffix":""},{"dropping-particle":"","family":"Aremu","given":"Olatunde","non-dropping-particle":"","parse-names":false,"suffix":""},{"dropping-particle":"","family":"Ariani","given":"Filippo","non-dropping-particle":"","parse-names":false,"suffix":""},{"dropping-particle":"","family":"Armoon","given":"Bahram","non-dropping-particle":"","parse-names":false,"suffix":""},{"dropping-particle":"","family":"Ärnlöv","given":"Johan","non-dropping-particle":"","parse-names":false,"suffix":""},{"dropping-particle":"","family":"Arora","given":"Amit","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K.","non-dropping-particle":"","parse-names":false,"suffix":""},{"dropping-particle":"","family":"Asayesh","given":"Hamid","non-dropping-particle":"","parse-names":false,"suffix":""},{"dropping-particle":"","family":"Asghar","given":"Rana Jawad","non-dropping-particle":"","parse-names":false,"suffix":""},{"dropping-particle":"","family":"Ataro","given":"Zerihun","non-dropping-particle":"","parse-names":false,"suffix":""},{"dropping-particle":"","family":"Atre","given":"Sachin R.","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F.G.A.","non-dropping-particle":"","parse-names":false,"suffix":""},{"dropping-particle":"","family":"Awasthi","given":"Ashish","non-dropping-particle":"","parse-names":false,"suffix":""},{"dropping-particle":"","family":"Ayala Quintanilla","given":"Beatriz Paulina","non-dropping-particle":"","parse-names":false,"suffix":""},{"dropping-particle":"","family":"Ayer","given":"Rakesh","non-dropping-particle":"","parse-names":false,"suffix":""},{"dropping-particle":"","family":"Azzopardi","given":"Peter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i","given":"Ayele Geleto","non-dropping-particle":"","parse-names":false,"suffix":""},{"dropping-particle":"","family":"Ballesteros","given":"Katherine 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nstola","given":"Amrit","non-dropping-particle":"","parse-names":false,"suffix":""},{"dropping-particle":"","family":"Barac","given":"Aleksandra","non-dropping-particle":"","parse-names":false,"suffix":""},{"dropping-particle":"","family":"Barboza","given":"Miguel 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lachew","given":"Abate Bekele","non-dropping-particle":"","parse-names":false,"suffix":""},{"dropping-particle":"","family":"Belay","given":"Yihalem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K.","non-dropping-particle":"","parse-names":false,"suffix":""},{"dropping-particle":"","family":"Bensenor","given":"Isabela M.","non-dropping-particle":"","parse-names":false,"suffix":""},{"dropping-particle":"","family":"Bernabe","given":"Eduardo","non-dropping-particle":"","parse-names":false,"suffix":""},{"dropping-particle":"","family":"Bernstein","given":"Robert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ttarai","given":"Suraj","non-dropping-particle":"","parse-names":false,"suffix":""},{"dropping-particle":"","family":"Bhaumik","given":"Soumyadeep","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family":"Sayeed","given":"Muhammad Shahdaat","non-dropping-particle":"Bin","parse-names":false,"suffix":""},{"dropping-particle":"","family":"Bisanzio","given":"Donal","non-dropping-particle":"","parse-names":false,"suffix":""},{"dropping-particle":"","family":"Blacker","given":"Brigette F.","non-dropping-particle":"","parse-names":false,"suffix":""},{"dropping-particle":"","family":"Blyth","given":"Fiona M.","non-dropping-particle":"","parse-names":false,"suffix":""},{"dropping-particle":"","family":"Bou-Orm","given":"Ibrahim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J.","non-dropping-particle":"","parse-names":false,"suffix":""},{"dropping-particle":"","family":"Brainin","given":"Michael","non-dropping-particle":"","parse-names":false,"suffix":""},{"dropping-particle":"","family":"Brant","given":"Luisa C.","non-dropping-particle":"","parse-names":false,"suffix":""},{"dropping-particle":"","family":"Brazinova","given":"Alexandra","non-dropping-particle":"","parse-names":false,"suffix":""},{"dropping-particle":"","family":"Breitborde","given":"Nicholas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J.K.","non-dropping-particle":"","parse-names":false,"suffix":""},{"dropping-particle":"","family":"Brenner","given":"Hermann","non-dropping-particle":"","parse-names":false,"suffix":""},{"dropping-particle":"","family":"Briant","given":"Paul Svitil","non-dropping-particle":"","parse-names":false,"suffix":""},{"dropping-particle":"","family":"Briggs","given":"Andrew M.","non-dropping-particle":"","parse-names":false,"suffix":""},{"dropping-particle":"","family":"Briko","given":"Andrey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sse","given":"Reinhard","non-dropping-particle":"","parse-names":false,"suffix":""},{"dropping-particle":"","family":"Butt","given":"Zahid A.","non-dropping-particle":"","parse-names":false,"suffix":""},{"dropping-particle":"","family":"Cahuana-Hurtado","given":"Lucero","non-dropping-particle":"","parse-names":false,"suffix":""},{"dropping-particle":"","family":"Cano","given":"Jorge","non-dropping-particle":"","parse-names":false,"suffix":""},{"dropping-particle":"","family":"Cárdenas","given":"Rosario","non-dropping-particle":"","parse-names":false,"suffix":""},{"dropping-particle":"","family":"Carrero","given":"Juan J.","non-dropping-particle":"","parse-names":false,"suffix":""},{"dropping-particle":"","family":"Carter","given":"Austin","non-dropping-particle":"","parse-names":false,"suffix":""},{"dropping-particle":"","family":"Carvalho","given":"Félix","non-dropping-particle":"","parse-names":false,"suffix":""},{"dropping-particle":"","family":"Castañeda-Orjuela","given":"Carlos A.","non-dropping-particle":"","parse-names":false,"suffix":""},{"dropping-particle":"","family":"Castillo Rivas","given":"Jacqueline","non-dropping-particle":"","parse-names":false,"suffix":""},{"dropping-particle":"","family":"Castro","given":"Franz","non-dropping-particle":"","parse-names":false,"suffix":""},{"dropping-particle":"","family":"Catalá-López","given":"Ferrán","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Alex R.","non-dropping-particle":"","parse-names":false,"suffix":""},{"dropping-particle":"","family":"Chang","given":"Hsing Yi","non-dropping-particle":"","parse-names":false,"suffix":""},{"dropping-particle":"","family":"Chang","given":"Jung Chen","non-dropping-particle":"","parse-names":false,"suffix":""},{"dropping-particle":"","family":"Charlson","given":"Fiona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Kumar","non-dropping-particle":"","parse-names":false,"suffix":""},{"dropping-particle":"","family":"Chaturvedi","given":"Pankaj","non-dropping-particle":"","parse-names":false,"suffix":""},{"dropping-particle":"","family":"Chiang","given":"Peggy Pei Chia","non-dropping-particle":"","parse-names":false,"suffix":""},{"dropping-particle":"","family":"Chin","given":"Ken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G.","non-dropping-particle":"","parse-names":false,"suffix":""},{"dropping-particle":"","family":"Cirillo","given":"Massimo","non-dropping-particle":"","parse-names":false,"suffix":""},{"dropping-particle":"","family":"Claro","given":"Rafael M.","non-dropping-particle":"","parse-names":false,"suffix":""},{"dropping-particle":"","family":"Collado-Mateo","given":"Daniel","non-dropping-particle":"","parse-names":false,"suffix":""},{"dropping-particle":"","family":"Cooper","given":"Cyrus","non-dropping-particle":"","parse-names":false,"suffix":""},{"dropping-particle":"","family":"Coresh","given":"Josef","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A.","non-dropping-particle":"","parse-names":false,"suffix":""},{"dropping-particle":"","family":"Cross","given":"Marita","non-dropping-particle":"","parse-names":false,"suffix":""},{"dropping-particle":"","family":"Crump","given":"John A.","non-dropping-particle":"","parse-names":false,"suffix":""},{"dropping-particle":"","family":"Dadi","given":"Abel Fekadu","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ryani","given":"Ahmad","non-dropping-particle":"","parse-names":false,"suffix":""},{"dropping-particle":"","family":"Gupta","given":"Rajat","non-dropping-particle":"Das","parse-names":false,"suffix":""},{"dropping-particle":"","family":"Neves","given":"José","non-dropping-particle":"Das","parse-names":false,"suffix":""},{"dropping-particle":"","family":"Dasa","given":"Tamirat Tesfaye","non-dropping-particle":"","parse-names":false,"suffix":""},{"dropping-particle":"","family":"Davey","given":"Gail","non-dropping-particle":"","parse-names":false,"suffix":""},{"dropping-particle":"","family":"Davis","given":"Adrian C.","non-dropping-particle":"","parse-names":false,"suffix":""},{"dropping-particle":"","family":"Davitoiu","given":"Dragos Virgil","non-dropping-particle":"","parse-names":false,"suffix":""},{"dropping-particle":"","family":"Courten","given":"Barbora","non-dropping-particle":"De","parse-names":false,"suffix":""},{"dropping-particle":"","family":"La Hoz","given":"Fernando Pio","non-dropping-particle":"De","parse-names":false,"suffix":""},{"dropping-particle":"","family":"Leo","given":"Diego","non-dropping-particle":"De","parse-names":false,"suffix":""},{"dropping-particle":"","family":"Neve","given":"Jan Walter","non-dropping-particle":"De","parse-names":false,"suffix":""},{"dropping-particle":"","family":"Degefa","given":"Meaza Girma","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C.","non-dropping-particle":"Des","parse-names":false,"suffix":""},{"dropping-particle":"","family":"Dessie","given":"Getenet Ayalew","non-dropping-particle":"","parse-names":false,"suffix":""},{"dropping-particle":"","family":"Dey","given":"Subhojit","non-dropping-particle":"","parse-names":false,"suffix":""},{"dropping-particle":"","family":"Dharmaratne","given":"Samath Dhamminda","non-dropping-particle":"","parse-names":false,"suffix":""},{"dropping-particle":"","family":"Dinberu","given":"Mesfin Tadese","non-dropping-particle":"","parse-names":false,"suffix":""},{"dropping-particle":"","family":"Dirac","given":"M. Ashworth","non-dropping-particle":"","parse-names":false,"suffix":""},{"dropping-particle":"","family":"Djalalinia","given":"Shirin","non-dropping-particle":"","parse-names":false,"suffix":""},{"dropping-particle":"","family":"Doan","given":"Linh","non-dropping-particle":"","parse-names":false,"suffix":""},{"dropping-particle":"","family":"Dokova","given":"Klara","non-dropping-particle":"","parse-names":false,"suffix":""},{"dropping-particle":"","family":"Doku","given":"David Teye","non-dropping-particle":"","parse-names":false,"suffix":""},{"dropping-particle":"","family":"Dorsey","given":"E. Ray","non-dropping-particle":"","parse-names":false,"suffix":""},{"dropping-particle":"","family":"Doyle","given":"Kerrie E.","non-dropping-particle":"","parse-names":false,"suffix":""},{"dropping-particle":"","family":"Driscoll","given":"Tim Robert","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chko","given":"Michelle Marie","non-dropping-particle":"","parse-names":false,"suffix":""},{"dropping-particle":"","family":"Edvardsson","given":"David","non-dropping-particle":"","parse-names":false,"suffix":""},{"dropping-particle":"","family":"Effiong","given":"Andem","non-dropping-particle":"","parse-names":false,"suffix":""},{"dropping-particle":"","family":"Ehrlich","given":"Joshua R.","non-dropping-particle":"","parse-names":false,"suffix":""},{"dropping-particle":"","family":"Bcheraoui","given":"Charbel","non-dropping-particle":"El","parse-names":false,"suffix":""},{"dropping-particle":"","family":"Sayed Zaki","given":"Maysaa","non-dropping-particle":"El","parse-names":false,"suffix":""},{"dropping-particle":"","family":"El-Khatib","given":"Ziad","non-dropping-particle":"","parse-names":false,"suffix":""},{"dropping-particle":"","family":"Elkout","given":"Hajer","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hrati","given":"Babak","non-dropping-particle":"","parse-names":false,"suffix":""},{"dropping-particle":"","family":"Eskandarieh","given":"Sharareh","non-dropping-particle":"","parse-names":false,"suffix":""},{"dropping-particle":"","family":"Esteghamati","given":"Alireza","non-dropping-particle":"","parse-names":false,"suffix":""},{"dropping-particle":"","family":"Esteghamati","given":"Sadaf","non-dropping-particle":"","parse-names":false,"suffix":""},{"dropping-particle":"","family":"Fakhim","given":"Hamed","non-dropping-particle":"","parse-names":false,"suffix":""},{"dropping-particle":"","family":"Fallah Omrani","given":"Vahid","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S.","non-dropping-particle":"","parse-names":false,"suffix":""},{"dropping-particle":"","family":"Farzadfar","given":"Farshad","non-dropping-particle":"","parse-names":false,"suffix":""},{"dropping-particle":"","family":"Feigin","given":"Valery L.","non-dropping-particle":"","parse-names":false,"suffix":""},{"dropping-particle":"","family":"Fentahun","given":"Netsanet","non-dropping-particle":"","parse-names":false,"suffix":""},{"dropping-particle":"","family":"Fereshtehnejad","given":"Seyed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C.","non-dropping-particle":"","parse-names":false,"suffix":""},{"dropping-particle":"","family":"Ferrari","given":"Alize J.","non-dropping-particle":"","parse-names":false,"suffix":""},{"dropping-particle":"","family":"Feyissa","given":"Garumma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tzmaurice","given":"Christina","non-dropping-particle":"","parse-names":false,"suffix":""},{"dropping-particle":"","family":"Foigt","given":"Nataliya A.","non-dropping-particle":"","parse-names":false,"suffix":""},{"dropping-particle":"","family":"Foreman","given":"Kyle J.","non-dropping-particle":"","parse-names":false,"suffix":""},{"dropping-particle":"","family":"Fox","given":"Jack","non-dropping-particle":"","parse-names":false,"suffix":""},{"dropping-particle":"","family":"Frank","given":"Tahvi D.","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ão M.","non-dropping-particle":"","parse-names":false,"suffix":""},{"dropping-particle":"","family":"Futran","given":"Neal D.","non-dropping-particle":"","parse-names":false,"suffix":""},{"dropping-particle":"","family":"Gall","given":"Seana","non-dropping-particle":"","parse-names":false,"suffix":""},{"dropping-particle":"","family":"Ganji","given":"Morsaleh","non-dropping-particle":"","parse-names":false,"suffix":""},{"dropping-particle":"","family":"Gankpe","given":"Fortune Gbetoho","non-dropping-particle":"","parse-names":false,"suffix":""},{"dropping-particle":"","family":"Garcia-Basteiro","given":"Alberto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M.","non-dropping-particle":"","parse-names":false,"suffix":""},{"dropping-particle":"","family":"Genova-Maleras","given":"Ricard","non-dropping-particle":"","parse-names":false,"suffix":""},{"dropping-particle":"","family":"Geramo","given":"Yilma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Embaye","non-dropping-particle":"","parse-names":false,"suffix":""},{"dropping-particle":"","family":"Ghadiri","given":"Keyghobad","non-dropping-particle":"","parse-names":false,"suffix":""},{"dropping-particle":"","family":"Ghasemi Falavarjani","given":"Khalil","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ldberg","given":"Ellen M.","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Vali","non-dropping-particle":"","parse-names":false,"suffix":""},{"dropping-particle":"","family":"Gorman","given":"Taren M.","non-dropping-particle":"","parse-names":false,"suffix":""},{"dropping-particle":"","family":"Goulart","given":"Alessandra C.","non-dropping-particle":"","parse-names":false,"suffix":""},{"dropping-particle":"","family":"Goulart","given":"Bárbara Niegia Garcia","non-dropping-particle":"","parse-names":false,"suffix":""},{"dropping-particle":"","family":"Grada","given":"Ayman","non-dropping-particle":"","parse-names":false,"suffix":""},{"dropping-particle":"","family":"Grams","given":"Morgan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yawali","given":"Bishal","non-dropping-particle":"","parse-names":false,"suffix":""},{"dropping-particle":"","family":"Haagsma","given":"Juanita A.","non-dropping-particle":"","parse-names":false,"suffix":""},{"dropping-particle":"","family":"Hachinski","given":"Vladimir","non-dropping-particle":"","parse-names":false,"suffix":""},{"dropping-particle":"","family":"Hafezi-Nejad","given":"Nima","non-dropping-particle":"","parse-names":false,"suffix":""},{"dropping-particle":"","family":"Haghparast Bidgoli","given":"Hassan","non-dropping-particle":"","parse-names":false,"suffix":""},{"dropping-particle":"","family":"Hagos","given":"Tekleberhan B.","non-dropping-particle":"","parse-names":false,"suffix":""},{"dropping-particle":"","family":"Hailu","given":"Gessessew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an","given":"Mehedi","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N.","non-dropping-particle":"","parse-names":false,"suffix":""},{"dropping-particle":"","family":"Hay","given":"Roderick J.","non-dropping-particle":"","parse-names":false,"suffix":""},{"dropping-particle":"","family":"Hay","given":"Simon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ndrie","given":"Delia","non-dropping-particle":"","parse-names":false,"suffix":""},{"dropping-particle":"","family":"Henok","given":"Andualem","non-dropping-particle":"","parse-names":false,"suffix":""},{"dropping-particle":"","family":"Herteliu","given":"Claudiu","non-dropping-particle":"","parse-names":false,"suffix":""},{"dropping-particle":"","family":"Heydarpour","given":"Sousan","non-dropping-particle":"","parse-names":false,"suffix":""},{"dropping-particle":"","family":"Hibstu","given":"Desalegn Tsegaw","non-dropping-particle":"","parse-names":false,"suffix":""},{"dropping-particle":"","family":"Hoang","given":"Huong Thanh","non-dropping-particle":"","parse-names":false,"suffix":""},{"dropping-particle":"","family":"Hoek","given":"Hans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G.","non-dropping-particle":"","parse-names":false,"suffix":""},{"dropping-particle":"","family":"Hsairi","given":"Mohamed","non-dropping-particle":"","parse-names":false,"suffix":""},{"dropping-particle":"","family":"Htet","given":"Aung Soe","non-dropping-particle":"","parse-names":false,"suffix":""},{"dropping-particle":"","family":"Hu","given":"Guoqing","non-dropping-particle":"","parse-names":false,"suffix":""},{"dropping-particle":"","family":"Huang","given":"John J.","non-dropping-particle":"","parse-names":false,"suffix":""},{"dropping-particle":"","family":"Huynh","given":"Chantal K.","non-dropping-particle":"","parse-names":false,"suffix":""},{"dropping-particle":"","family":"Iburg","given":"Kim Moesgaard","non-dropping-particle":"","parse-names":false,"suffix":""},{"dropping-particle":"","family":"Ikeda","given":"Chad Thomas","non-dropping-particle":"","parse-names":false,"suffix":""},{"dropping-particle":"","family":"Ileanu","given":"Bogdan","non-dropping-particle":"","parse-names":false,"suffix":""},{"dropping-particle":"","family":"Ilesanmi","given":"Olayinka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Mohammed","given":"Sheikh","non-dropping-particle":"","parse-names":false,"suffix":""},{"dropping-particle":"","family":"Islam","given":"Shariful","non-dropping-particle":"","parse-names":false,"suffix":""},{"dropping-particle":"","family":"Islami","given":"Farha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vanbakht","given":"Mehdi","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S.","non-dropping-particle":"","parse-names":false,"suffix":""},{"dropping-particle":"","family":"Johnson","given":"Catherine O.","non-dropping-particle":"","parse-names":false,"suffix":""},{"dropping-particle":"","family":"Jonas","given":"Jost B.","non-dropping-particle":"","parse-names":false,"suffix":""},{"dropping-particle":"","family":"Jozwiak","given":"Jacek Jerzy","non-dropping-particle":"","parse-names":false,"suffix":""},{"dropping-particle":"","family":"Jungari","given":"Suresh Banayya","non-dropping-particle":"","parse-names":false,"suffix":""},{"dropping-particle":"","family":"Jürisson","given":"Mik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rami","given":"Manoochehr","non-dropping-particle":"","parse-names":false,"suffix":""},{"dropping-particle":"","family":"Karami Matin","given":"Behzad","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Vittal","non-dropping-particle":"","parse-names":false,"suffix":""},{"dropping-particle":"","family":"Kawakami","given":"Norito","non-dropping-particle":"","parse-names":false,"suffix":""},{"dropping-particle":"","family":"Kazemi Karyani","given":"Ali","non-dropping-particle":"","parse-names":false,"suffix":""},{"dropping-particle":"","family":"Keighobadi","given":"Masoud Masoud","non-dropping-particle":"","parse-names":false,"suffix":""},{"dropping-particle":"","family":"Keiyoro","given":"Peter Njenga","non-dropping-particle":"","parse-names":false,"suffix":""},{"dropping-particle":"","family":"Kemmer","given":"Laura","non-dropping-particle":"","parse-names":false,"suffix":""},{"dropping-particle":"","family":"Kemp","given":"Grant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Abdullatif","non-dropping-particle":"","parse-names":false,"suffix":""},{"dropping-particle":"","family":"Khajavi","given":"Alireza","non-dropping-particle":"","parse-names":false,"suffix":""},{"dropping-particle":"","family":"Khalil","given":"Ibrahim A.","non-dropping-particle":"","parse-names":false,"suffix":""},{"dropping-particle":"","family":"Khan","given":"Ejaz Ahmad","non-dropping-particle":"","parse-names":false,"suffix":""},{"dropping-particle":"","family":"Khan","given":"Muhammad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Ho","non-dropping-particle":"","parse-names":false,"suffix":""},{"dropping-particle":"","family":"Khazaei","given":"Mohammad","non-dropping-particle":"","parse-names":false,"suffix":""},{"dropping-particle":"","family":"Khoja","given":"Abdullah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Pauline","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A.","non-dropping-particle":"","parse-names":false,"suffix":""},{"dropping-particle":"","family":"Kosen","given":"Soewarta","non-dropping-particle":"","parse-names":false,"suffix":""},{"dropping-particle":"","family":"Kotsakis","given":"Georgios 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J.","non-dropping-particle":"","parse-names":false,"suffix":""},{"dropping-particle":"","family":"Kuate Defo","given":"Barthelemy","non-dropping-particle":"","parse-names":false,"suffix":""},{"dropping-particle":"","family":"Kucuk Bicer","given":"Burcu","non-dropping-particle":"","parse-names":false,"suffix":""},{"dropping-particle":"","family":"Kumar","given":"G. Anil","non-dropping-particle":"","parse-names":false,"suffix":""},{"dropping-particle":"","family":"Kumar","given":"Manasi","non-dropping-particle":"","parse-names":false,"suffix":""},{"dropping-particle":"","family":"Kyu","given":"Hmwe Hmwe","non-dropping-particle":"","parse-names":false,"suffix":""},{"dropping-particle":"","family":"Lad","given":"Deepesh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Hasan","non-dropping-particle":"","parse-names":false,"suffix":""},{"dropping-particle":"","family":"Lansingh","given":"Van C.","non-dropping-particle":"","parse-names":false,"suffix":""},{"dropping-particle":"","family":"Latifi","given":"Arman","non-dropping-particle":"","parse-names":false,"suffix":""},{"dropping-particle":"","family":"Lau","given":"Kathryn Mei Ming","non-dropping-particle":"","parse-names":false,"suffix":""},{"dropping-particle":"V.","family":"Lazarus","given":"Jeffrey","non-dropping-particle":"","parse-names":false,"suffix":""},{"dropping-particle":"","family":"Leasher","given":"Janet L.","non-dropping-particle":"","parse-names":false,"suffix":""},{"dropping-particle":"","family":"Ledesma","given":"Jorge R.","non-dropping-particle":"","parse-names":false,"suffix":""},{"dropping-particle":"","family":"Lee","given":"Paul H.","non-dropping-particle":"","parse-names":false,"suffix":""},{"dropping-particle":"","family":"Leigh","given":"James","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Ling","non-dropping-particle":"","parse-names":false,"suffix":""},{"dropping-particle":"","family":"Lim","given":"Stephen S.","non-dropping-particle":"","parse-names":false,"suffix":""},{"dropping-particle":"","family":"Liu","given":"Shiwei","non-dropping-particle":"","parse-names":false,"suffix":""},{"dropping-particle":"","family":"Lodha","given":"Rakesh","non-dropping-particle":"","parse-names":false,"suffix":""},{"dropping-particle":"","family":"Looker","given":"Katharine J.","non-dropping-particle":"","parse-names":false,"suffix":""},{"dropping-particle":"","family":"Lopez","given":"Alan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w","given":"Nicola","non-dropping-particle":"","parse-names":false,"suffix":""},{"dropping-particle":"","family":"Lozano","given":"Rafael","non-dropping-particle":"","parse-names":false,"suffix":""},{"dropping-particle":"","family":"Lucas","given":"Tim C.D.","non-dropping-particle":"","parse-names":false,"suffix":""},{"dropping-particle":"","family":"Lucchesi","given":"Lydia R.","non-dropping-particle":"","parse-names":false,"suffix":""},{"dropping-particle":"","family":"Lunevicius","given":"Raimundas","non-dropping-particle":"","parse-names":false,"suffix":""},{"dropping-particle":"","family":"Lyons","given":"Ronan A.","non-dropping-particle":"","parse-names":false,"suffix":""},{"dropping-particle":"","family":"Ma","given":"Stefan","non-dropping-particle":"","parse-names":false,"suffix":""},{"dropping-particle":"","family":"Macarayan","given":"Erlyn Rachelle King","non-dropping-particle":"","parse-names":false,"suffix":""},{"dropping-particle":"","family":"Mackay","given":"Mark T.","non-dropping-particle":"","parse-names":false,"suffix":""},{"dropping-particle":"","family":"Madotto","given":"Fabiana","non-dropping-particle":"","parse-names":false,"suffix":""},{"dropping-particle":"","family":"Magdy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P.","non-dropping-particle":"","parse-names":false,"suffix":""},{"dropping-particle":"","family":"Mahotra","given":"Narayan Bahadur","non-dropping-particle":"","parse-names":false,"suffix":""},{"dropping-particle":"","family":"Mai","given":"Hue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hertz","given":"Treh","non-dropping-particle":"","parse-names":false,"suffix":""},{"dropping-particle":"","family":"Mansournia","given":"Mohammad Ali","non-dropping-particle":"","parse-names":false,"suffix":""},{"dropping-particle":"","family":"Mantovani","given":"Lorenzo Giovanni","non-dropping-particle":"","parse-names":false,"suffix":""},{"dropping-particle":"","family":"Mapoma","given":"Chabila Christopher","non-dropping-particle":"","parse-names":false,"suffix":""},{"dropping-particle":"","family":"Maravilla","given":"Joemer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family":"Martins-Melo","given":"Francisco Rogerlândio","non-dropping-particle":"","parse-names":false,"suffix":""},{"dropping-particle":"","family":"Martopullo","given":"Ira","non-dropping-particle":"","parse-names":false,"suffix":""},{"dropping-particle":"","family":"März","given":"Winfried","non-dropping-particle":"","parse-names":false,"suffix":""},{"dropping-particle":"","family":"Marzan","given":"Melvin B.","non-dropping-particle":"","parse-names":false,"suffix":""},{"dropping-particle":"","family":"Mashamba-Thompson","given":"Tivani Phosa","non-dropping-particle":"","parse-names":false,"suffix":""},{"dropping-particle":"","family":"Massenburg","given":"Benjamin Ballard","non-dropping-particle":"","parse-names":false,"suffix":""},{"dropping-particle":"","family":"Mathur","given":"Manu Raj","non-dropping-particle":"","parse-names":false,"suffix":""},{"dropping-particle":"","family":"Matsushita","given":"Kunihiro","non-dropping-particle":"","parse-names":false,"suffix":""},{"dropping-particle":"","family":"Maulik","given":"Pallab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J.","non-dropping-particle":"","parse-names":false,"suffix":""},{"dropping-particle":"","family":"McKee","given":"Martin","non-dropping-particle":"","parse-names":false,"suffix":""},{"dropping-particle":"","family":"Mehndiratta","given":"Man Mohan","non-dropping-particle":"","parse-names":false,"suffix":""},{"dropping-particle":"","family":"Mehrotra","given":"Ravi","non-dropping-particle":"","parse-names":false,"suffix":""},{"dropping-particle":"","family":"Mehta","given":"Kala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jia-Rodriguez","given":"Fabiola","non-dropping-particle":"","parse-names":false,"suffix":""},{"dropping-particle":"","family":"Mekonen","given":"Tesfa","non-dropping-particle":"","parse-names":false,"suffix":""},{"dropping-particle":"","family":"Melese","given":"Addisu","non-dropping-particle":"","parse-names":false,"suffix":""},{"dropping-particle":"","family":"Melku","given":"Mulugeta","non-dropping-particle":"","parse-names":false,"suffix":""},{"dropping-particle":"","family":"Meltzer","given":"Michele","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Tadese","non-dropping-particle":"","parse-names":false,"suffix":""},{"dropping-particle":"","family":"Mengistu","given":"Getnet","non-dropping-particle":"","parse-names":false,"suffix":""},{"dropping-particle":"","family":"Mensah","given":"George A.","non-dropping-particle":"","parse-names":false,"suffix":""},{"dropping-particle":"","family":"Mereta","given":"Seid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J.","non-dropping-particle":"","parse-names":false,"suffix":""},{"dropping-particle":"","family":"Mestrovic","given":"Tomislav","non-dropping-particle":"","parse-names":false,"suffix":""},{"dropping-particle":"","family":"Mezerji","given":"Naser Mohammad Gholi","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R.","non-dropping-particle":"","parse-names":false,"suffix":""},{"dropping-particle":"","family":"Miltz","given":"Benjamin","non-dropping-particle":"","parse-names":false,"suffix":""},{"dropping-particle":"","family":"Mini","given":"G. K.","non-dropping-particle":"","parse-names":false,"suffix":""},{"dropping-particle":"","family":"Mirarefin","given":"Mojde","non-dropping-particle":"","parse-names":false,"suffix":""},{"dropping-particle":"","family":"Mirrakhimov","given":"Erkin M.","non-dropping-particle":"","parse-names":false,"suffix":""},{"dropping-particle":"","family":"Misganaw","given":"Awoke Temesgen","non-dropping-particle":"","parse-names":false,"suffix":""},{"dropping-particle":"","family":"Mitchell","given":"Philip B.","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fard","given":"Noushin","non-dropping-particle":"","parse-names":false,"suffix":""},{"dropping-particle":"","family":"Mohammadnia-Afrouzi","given":"Mousa","non-dropping-particle":"","parse-names":false,"suffix":""},{"dropping-particle":"","family":"Mohammed","given":"Mohammed A.","non-dropping-particle":"","parse-names":false,"suffix":""},{"dropping-particle":"","family":"Mohammed","given":"Shafiu","non-dropping-particle":"","parse-names":false,"suffix":""},{"dropping-particle":"","family":"Mohebi","given":"Farnam","non-dropping-particle":"","parse-names":false,"suffix":""},{"dropping-particle":"","family":"Moitra","given":"Modhurima","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eno Velásquez","given":"Ilais","non-dropping-particle":"","parse-names":false,"suffix":""},{"dropping-particle":"","family":"Morgado-Da-Costa","given":"Joana","non-dropping-particle":"","parse-names":false,"suffix":""},{"dropping-particle":"","family":"Morrison","given":"Shane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M.","non-dropping-particle":"","parse-names":false,"suffix":""},{"dropping-particle":"","family":"Mousavi","given":"Seyyed Meysam","non-dropping-particle":"","parse-names":false,"suffix":""},{"dropping-particle":"","family":"Mruts","given":"Kalayu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mford","given":"John Everett","non-dropping-particle":"","parse-names":false,"suffix":""},{"dropping-particle":"","family":"Murhekar","given":"Manoj","non-dropping-particle":"","parse-names":false,"suffix":""},{"dropping-particle":"","family":"Musa","given":"Jonah","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ata","given":"Chie","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atarajan","given":"Gopalakrishnan","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Thanh","non-dropping-particle":"","parse-names":false,"suffix":""},{"dropping-particle":"","family":"Nguyen","given":"Long Hoang","non-dropping-particle":"","parse-names":false,"suffix":""},{"dropping-particle":"","family":"Nguyen","given":"Minh","non-dropping-particle":"","parse-names":false,"suffix":""},{"dropping-particle":"","family":"Nguyen","given":"Nam Ba","non-dropping-particle":"","parse-names":false,"suffix":""},{"dropping-particle":"","family":"Nguyen","given":"Son Hoang","non-dropping-particle":"","parse-names":false,"suffix":""},{"dropping-particle":"","family":"Nichols","given":"Emma","non-dropping-particle":"","parse-names":false,"suffix":""},{"dropping-particle":"","family":"Ningrum","given":"Dina Nur Anggraini","non-dropping-particle":"","parse-names":false,"suffix":""},{"dropping-particle":"","family":"Nixon","given":"Molly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Reza","non-dropping-particle":"","parse-names":false,"suffix":""},{"dropping-particle":"","family":"Nourollahpour Shiadeh","given":"Malihe","non-dropping-particle":"","parse-names":false,"suffix":""},{"dropping-particle":"","family":"Nowroozi","given":"Mohammad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S.","non-dropping-particle":"","parse-names":false,"suffix":""},{"dropping-particle":"","family":"øverland","given":"Simon","non-dropping-particle":"","parse-names":false,"suffix":""},{"dropping-particle":"","family":"Owolabi","given":"Mayowa Ojo","non-dropping-particle":"","parse-names":false,"suffix":""},{"dropping-particle":"","family":"Mahesh","given":"P. A.","non-dropping-particle":"","parse-names":false,"suffix":""},{"dropping-particle":"","family":"Pacella","given":"Rosana","non-dropping-particle":"","parse-names":false,"suffix":""},{"dropping-particle":"","family":"Pakpour","given":"Amir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isi","given":"Andrea","non-dropping-particle":"","parse-names":false,"suffix":""},{"dropping-particle":"","family":"Park","given":"Eun Kee","non-dropping-particle":"","parse-names":false,"suffix":""},{"dropping-particle":"","family":"Parry","given":"Charles D.H.","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C.","non-dropping-particle":"","parse-names":false,"suffix":""},{"dropping-particle":"","family":"Paturi","given":"Vishnupriya Rao","non-dropping-particle":"","parse-names":false,"suffix":""},{"dropping-particle":"","family":"Paulson","given":"Katherine R.","non-dropping-particle":"","parse-names":false,"suffix":""},{"dropping-particle":"","family":"Pearce","given":"Neil","non-dropping-particle":"","parse-names":false,"suffix":""},{"dropping-particle":"","family":"Pereira","given":"David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ham","given":"Hai Quang","non-dropping-particle":"","parse-names":false,"suffix":""},{"dropping-particle":"","family":"Phillips","given":"Michael R.","non-dropping-particle":"","parse-names":false,"suffix":""},{"dropping-particle":"","family":"Pigott","given":"David M.","non-dropping-particle":"","parse-names":false,"suffix":""},{"dropping-particle":"","family":"Pillay","given":"Julian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pova","given":"Svetlana","non-dropping-particle":"","parse-names":false,"suffix":""},{"dropping-particle":"","family":"Postma","given":"Maarten J.","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kash","given":"V.","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B.","non-dropping-particle":"","parse-names":false,"suffix":""},{"dropping-particle":"","family":"Qorbani","given":"Mostafa","non-dropping-particle":"","parse-names":false,"suffix":""},{"dropping-particle":"","family":"Quistberg","given":"D. Alex","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Ur Rahman","given":"Mohammad Hifz","non-dropping-particle":"","parse-names":false,"suffix":""},{"dropping-particle":"","family":"Rahman","given":"Muhammad Aziz","non-dropping-particle":"","parse-names":false,"suffix":""},{"dropping-particle":"","family":"Rahman","given":"Sajjad Ur","non-dropping-particle":"","parse-names":false,"suffix":""},{"dropping-particle":"","family":"Rai","given":"Rajesh Kumar","non-dropping-particle":"","parse-names":false,"suffix":""},{"dropping-particle":"","family":"Rajati","given":"Fatemeh","non-dropping-particle":"","parse-names":false,"suffix":""},{"dropping-particle":"","family":"Ram","given":"Usha","non-dropping-particle":"","parse-names":false,"suffix":""},{"dropping-particle":"","family":"Ranjan","given":"Prabhat","non-dropping-particle":"","parse-names":false,"suffix":""},{"dropping-particle":"","family":"Ranta","given":"Anna","non-dropping-particle":"","parse-names":false,"suffix":""},{"dropping-particle":"","family":"Rao","given":"Puja C.","non-dropping-particle":"","parse-names":false,"suffix":""},{"dropping-particle":"","family":"Rawaf","given":"David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Srinath","non-dropping-particle":"","parse-names":false,"suffix":""},{"dropping-particle":"","family":"Reiner","given":"Robert C.","non-dropping-particle":"","parse-names":false,"suffix":""},{"dropping-particle":"","family":"Reinig","given":"Nickolas","non-dropping-particle":"","parse-names":false,"suffix":""},{"dropping-particle":"","family":"Reitsma","given":"Marissa Bettay","non-dropping-particle":"","parse-names":false,"suffix":""},{"dropping-particle":"","family":"Remuzzi","given":"Giuseppe","non-dropping-particle":"","parse-names":false,"suffix":""},{"dropping-particle":"","family":"Renzaho","given":"Andre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zaei","given":"Satar","non-dropping-particle":"","parse-names":false,"suffix":""},{"dropping-particle":"","family":"Rezai","given":"Mohammad Sadegh","non-dropping-particle":"","parse-names":false,"suffix":""},{"dropping-particle":"","family":"Ribeiro","given":"Antonio Luiz P.","non-dropping-particle":"","parse-names":false,"suffix":""},{"dropping-particle":"","family":"Robinson","given":"Stephen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y","given":"Ambuj","non-dropping-particle":"","parse-names":false,"suffix":""},{"dropping-particle":"","family":"Rubagotti","given":"Enrico","non-dropping-particle":"","parse-names":false,"suffix":""},{"dropping-particle":"","family":"Sachdev","given":"Perminder S.","non-dropping-particle":"","parse-names":false,"suffix":""},{"dropping-particle":"","family":"Sadat","given":"Nafis","non-dropping-particle":"","parse-names":false,"suffix":""},{"dropping-particle":"","family":"Saddik","given":"Basema","non-dropping-particle":"","parse-names":false,"suffix":""},{"dropping-particle":"","family":"Sadeghi","given":"Ehsan","non-dropping-particle":"","parse-names":false,"suffix":""},{"dropping-particle":"","family":"Saeedi Moghaddam","given":"Sahar","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Saleem","given":"Komal","non-dropping-particle":"","parse-names":false,"suffix":""},{"dropping-particle":"","family":"Saleem","given":"Zikria","non-dropping-particle":"","parse-names":false,"suffix":""},{"dropping-particle":"","family":"Salimi","given":"Yahya","non-dropping-particle":"","parse-names":false,"suffix":""},{"dropping-particle":"","family":"Salomon","given":"Joshua A.","non-dropping-particle":"","parse-names":false,"suffix":""},{"dropping-particle":"","family":"Salvi","given":"Sundeep Santosh","non-dropping-particle":"","parse-names":false,"suffix":""},{"dropping-particle":"","family":"Salz","given":"Inbal","non-dropping-particle":"","parse-names":false,"suffix":""},{"dropping-particle":"","family":"Samy","given":"Abdallah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S.","non-dropping-particle":"","parse-names":false,"suffix":""},{"dropping-particle":"","family":"Santos","given":"João Vasco","non-dropping-particle":"","parse-names":false,"suffix":""},{"dropping-particle":"","family":"Santric Milicevic","given":"Milena M.","non-dropping-particle":"","parse-names":false,"suffix":""},{"dropping-particle":"","family":"Sao Jose","given":"Bruno Piassi","non-dropping-particle":"","parse-names":false,"suffix":""},{"dropping-particle":"","family":"Sardana","given":"Mayank","non-dropping-particle":"","parse-names":false,"suffix":""},{"dropping-particle":"","family":"Sarker","given":"Abdur Razzaque","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lan","given":"Mete","non-dropping-particle":"","parse-names":false,"suffix":""},{"dropping-particle":"","family":"Schaeffner","given":"Elke","non-dropping-particle":"","parse-names":false,"suffix":""},{"dropping-particle":"","family":"Schmidt","given":"Maria Inês","non-dropping-particle":"","parse-names":false,"suffix":""},{"dropping-particle":"","family":"Schneider","given":"Ione J.C.","non-dropping-particle":"","parse-names":false,"suffix":""},{"dropping-particle":"","family":"Schöttker","given":"Ben","non-dropping-particle":"","parse-names":false,"suffix":""},{"dropping-particle":"","family":"Schwebel","given":"David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shani","given":"Kawkab","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Dora","non-dropping-particle":"","parse-names":false,"suffix":""},{"dropping-particle":"","family":"Sigurvinsdottir","given":"Rannveig","non-dropping-particle":"","parse-names":false,"suffix":""},{"dropping-particle":"","family":"Silva","given":"João Pedro","non-dropping-particle":"","parse-names":false,"suffix":""},{"dropping-particle":"","family":"Silveira","given":"Dayane Gabriele Alves","non-dropping-particle":"","parse-names":false,"suffix":""},{"dropping-particle":"","family":"Singam","given":"Narayana Sarma Venkata","non-dropping-particle":"","parse-names":false,"suffix":""},{"dropping-particle":"","family":"Singh","given":"Jasvinder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Narain","non-dropping-particle":"","parse-names":false,"suffix":""},{"dropping-particle":"","family":"Skiadaresi","given":"Eirini","non-dropping-particle":"","parse-names":false,"suffix":""},{"dropping-particle":"","family":"Slepak","given":"Erica Leigh N.","non-dropping-particle":"","parse-names":false,"suffix":""},{"dropping-particle":"","family":"Sliwa","given":"Karen","non-dropping-particle":"","parse-names":false,"suffix":""},{"dropping-particle":"","family":"Smith","given":"David L.","non-dropping-particle":"","parse-names":false,"suffix":""},{"dropping-particle":"","family":"Smith","given":"Mari","non-dropping-particle":"","parse-names":false,"suffix":""},{"dropping-particle":"","family":"Soares Filho","given":"Adauto Martins","non-dropping-particle":"","parse-names":false,"suffix":""},{"dropping-particle":"","family":"Sobaih","given":"Badr Hasan","non-dropping-particle":"","parse-names":false,"suffix":""},{"dropping-particle":"","family":"Sobhani","given":"Soheila","non-dropping-particle":"","parse-names":false,"suffix":""},{"dropping-particle":"","family":"Sobngwi","given":"Eugène","non-dropping-particle":"","parse-names":false,"suffix":""},{"dropping-particle":"","family":"Soneji","given":"Samir S.","non-dropping-particle":"","parse-names":false,"suffix":""},{"dropping-particle":"","family":"Soofi","given":"Moslem","non-dropping-particle":"","parse-names":false,"suffix":""},{"dropping-particle":"","family":"Soosaraei","given":"Masoud","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D.","non-dropping-particle":"","parse-names":false,"suffix":""},{"dropping-particle":"","family":"Stein","given":"Dan J.","non-dropping-particle":"","parse-names":false,"suffix":""},{"dropping-particle":"","family":"Steiner","given":"Caitlyn","non-dropping-particle":"","parse-names":false,"suffix":""},{"dropping-particle":"","family":"Steiner","given":"Timothy J.","non-dropping-particle":"","parse-names":false,"suffix":""},{"dropping-particle":"","family":"Stokes","given":"Mark A.","non-dropping-particle":"","parse-names":false,"suffix":""},{"dropping-particle":"","family":"Stovner","given":"Lars Jacob","non-dropping-particle":"","parse-names":false,"suffix":""},{"dropping-particle":"","family":"Subart","given":"Michelle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Babale","non-dropping-particle":"","parse-names":false,"suffix":""},{"dropping-particle":"","family":"Sunguya","given":"Bruno F.","non-dropping-particle":"","parse-names":false,"suffix":""},{"dropping-particle":"","family":"Sur","given":"Patrick John","non-dropping-particle":"","parse-names":false,"suffix":""},{"dropping-particle":"","family":"Sutradhar","given":"Ipsita","non-dropping-particle":"","parse-names":false,"suffix":""},{"dropping-particle":"","family":"Sykes","given":"Bryan L.","non-dropping-particle":"","parse-names":false,"suffix":""},{"dropping-particle":"","family":"Sylte","given":"Dillon O.","non-dropping-particle":"","parse-names":false,"suffix":""},{"dropping-particle":"","family":"Tabarés-Seisdedos","given":"Rafael","non-dropping-particle":"","parse-names":false,"suffix":""},{"dropping-particle":"","family":"Tadakamadla","given":"Santosh Kumar","non-dropping-particle":"","parse-names":false,"suffix":""},{"dropping-particle":"","family":"Tadesse","given":"Birkneh Tilahun","non-dropping-particle":"","parse-names":false,"suffix":""},{"dropping-particle":"","family":"Tandon","given":"Nikhil","non-dropping-particle":"","parse-names":false,"suffix":""},{"dropping-particle":"","family":"Tassew","given":"Segen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aylor","given":"Hugh R.","non-dropping-particle":"","parse-names":false,"suffix":""},{"dropping-particle":"","family":"Tehrani-Banihashemi","given":"Arash","non-dropping-particle":"","parse-names":false,"suffix":""},{"dropping-particle":"","family":"Tekalign","given":"Tigist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Sulieman","non-dropping-particle":"","parse-names":false,"suffix":""},{"dropping-particle":"","family":"Teweldemedhin","given":"Mebrahtu","non-dropping-particle":"","parse-names":false,"suffix":""},{"dropping-particle":"","family":"Thankappan","given":"Kavumpurathu Raman","non-dropping-particle":"","parse-names":false,"suffix":""},{"dropping-particle":"","family":"Thomas","given":"Nihal","non-dropping-particle":"","parse-names":false,"suffix":""},{"dropping-particle":"","family":"Tilahun","given":"Binyam","non-dropping-particle":"","parse-names":false,"suffix":""},{"dropping-particle":"","family":"To","given":"Quyen G.","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Bao","non-dropping-particle":"","parse-names":false,"suffix":""},{"dropping-particle":"","family":"Troeger","given":"Christopher E.","non-dropping-particle":"","parse-names":false,"suffix":""},{"dropping-particle":"","family":"Truelsen","given":"Thomas Clement","non-dropping-particle":"","parse-names":false,"suffix":""},{"dropping-particle":"","family":"Tsilimbaris","given":"Miltiadis K.","non-dropping-particle":"","parse-names":false,"suffix":""},{"dropping-particle":"","family":"Tsoi","given":"Derrick","non-dropping-particle":"","parse-names":false,"suffix":""},{"dropping-particle":"","family":"Tudor Car","given":"Lorainne","non-dropping-particle":"","parse-names":false,"suffix":""},{"dropping-particle":"","family":"Tuzcu","given":"E. Murat","non-dropping-particle":"","parse-names":false,"suffix":""},{"dropping-particle":"","family":"Ukwaja","given":"Kingsley N.","non-dropping-particle":"","parse-names":false,"suffix":""},{"dropping-particle":"","family":"Ullah","given":"Irfan","non-dropping-particle":"","parse-names":false,"suffix":""},{"dropping-particle":"","family":"Undurraga","given":"Eduardo A.","non-dropping-particle":"","parse-names":false,"suffix":""},{"dropping-particle":"","family":"Unutzer","given":"Jurgen","non-dropping-particle":"","parse-names":false,"suffix":""},{"dropping-particle":"","family":"Updike","given":"Rachel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R.","non-dropping-particle":"","parse-names":false,"suffix":""},{"dropping-particle":"","family":"Varughese","given":"Santosh","non-dropping-particle":"","parse-names":false,"suffix":""},{"dropping-particle":"","family":"Vasankari","given":"Tommi Juhani","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Emil","non-dropping-particle":"","parse-names":false,"suffix":""},{"dropping-particle":"","family":"Vosoughi","given":"Kia","non-dropping-particle":"","parse-names":false,"suffix":""},{"dropping-particle":"","family":"Vujcic","given":"Isidora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G.","non-dropping-particle":"","parse-names":false,"suffix":""},{"dropping-particle":"","family":"Wang","given":"Yafeng","non-dropping-particle":"","parse-names":false,"suffix":""},{"dropping-particle":"","family":"Wang","given":"Yuan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G.","non-dropping-particle":"","parse-names":false,"suffix":""},{"dropping-particle":"","family":"Weiss","given":"Daniel J.","non-dropping-particle":"","parse-names":false,"suffix":""},{"dropping-particle":"","family":"Weldegebreal","given":"Fitsum","non-dropping-particle":"","parse-names":false,"suffix":""},{"dropping-particle":"","family":"Weldegwergs","given":"Kidu Gidey","non-dropping-particle":"","parse-names":false,"suffix":""},{"dropping-particle":"","family":"Werdecker","given":"Andrea","non-dropping-particle":"","parse-names":false,"suffix":""},{"dropping-particle":"","family":"West","given":"T. Eoin","non-dropping-particle":"","parse-names":false,"suffix":""},{"dropping-particle":"","family":"Whiteford","given":"Harvey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lner","given":"Lauren B.","non-dropping-particle":"","parse-names":false,"suffix":""},{"dropping-particle":"","family":"Wilson","given":"Shadrach","non-dropping-particle":"","parse-names":false,"suffix":""},{"dropping-particle":"","family":"Winkler","given":"Andrea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D.A.","non-dropping-particle":"","parse-names":false,"suffix":""},{"dropping-particle":"","family":"Woolf","given":"Anthony D.","non-dropping-particle":"","parse-names":false,"suffix":""},{"dropping-particle":"","family":"Wu","given":"Shouling","non-dropping-particle":"","parse-names":false,"suffix":""},{"dropping-particle":"","family":"Wu","given":"Yun Chun","non-dropping-particle":"","parse-names":false,"suffix":""},{"dropping-particle":"","family":"Wyper","given":"Grant M.A.","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Yahyazadeh Jabbari","given":"Seyed Hossein","non-dropping-particle":"","parse-names":false,"suffix":""},{"dropping-particle":"","family":"Yamada","given":"Tomohide","non-dropping-particle":"","parse-names":false,"suffix":""},{"dropping-particle":"","family":"Yan","given":"Lijing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dnik","given":"Vesn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re","given":"Zohreh","non-dropping-particle":"","parse-names":false,"suffix":""},{"dropping-particle":"","family":"Zeleke","given":"Ayalew Jejaw","non-dropping-particle":"","parse-names":false,"suffix":""},{"dropping-particle":"","family":"Zenebe","given":"Zerihun Menlkalew","non-dropping-particle":"","parse-names":false,"suffix":""},{"dropping-particle":"","family":"Zhang","given":"Kai","non-dropping-particle":"","parse-names":false,"suffix":""},{"dropping-particle":"","family":"Zhao","given":"Zheng","non-dropping-particle":"","parse-names":false,"suffix":""},{"dropping-particle":"","family":"Zhou","given":"Maigeng","non-dropping-particle":"","parse-names":false,"suffix":""},{"dropping-particle":"","family":"Zodpey","given":"Sanjay","non-dropping-particle":"","parse-names":false,"suffix":""},{"dropping-particle":"","family":"Zucker","given":"Inbar","non-dropping-particle":"","parse-names":false,"suffix":""},{"dropping-particle":"","family":"Vos","given":"Theo","non-dropping-particle":"","parse-names":false,"suffix":""},{"dropping-particle":"","family":"Murray","given":"Christopher J.L.","non-dropping-particle":"","parse-names":false,"suffix":""}],"container-title":"The Lancet","id":"ITEM-1","issue":"10159","issued":{"date-parts":[["2018","11","10"]]},"page":"1789-1858","publisher":"Lancet Publishing Group","title":"Global, regional, and national incidence, prevalence, and years lived with disability for 354 Diseases and Injuries for 195 countries and territories, 1990-2017: A systematic analysis for the Global Burden of Disease Study 2017","type":"article-journal","volume":"392"},"uris":["http://www.mendeley.com/documents/?uuid=c9e8db3c-ca44-39a3-af09-2ae7dcf0959e"]}],"mendeley":{"formattedCitation":"(&lt;i&gt;12&lt;/i&gt;)","plainTextFormattedCitation":"(12)","previouslyFormattedCitation":"(&lt;i&gt;12&lt;/i&gt;)"},"properties":{"noteIndex":0},"schema":"https://github.com/citation-style-language/schema/raw/master/csl-citation.json"}</w:instrText>
      </w:r>
      <w:r w:rsidRPr="00D025A6">
        <w:fldChar w:fldCharType="separate"/>
      </w:r>
      <w:r w:rsidRPr="00D025A6">
        <w:rPr>
          <w:noProof/>
        </w:rPr>
        <w:t>(12)</w:t>
      </w:r>
      <w:r w:rsidRPr="00D025A6">
        <w:fldChar w:fldCharType="end"/>
      </w:r>
      <w:r w:rsidRPr="00D025A6">
        <w:t xml:space="preserve"> and integrated with estimates of the predicted age-distribution of infection in an unmitigated pandemic scenario. For </w:t>
      </w:r>
      <w:r w:rsidRPr="00D025A6">
        <w:rPr>
          <w:b/>
          <w:bCs/>
        </w:rPr>
        <w:t>(A)</w:t>
      </w:r>
      <w:r w:rsidRPr="00D025A6">
        <w:t xml:space="preserve"> Cardiovascular Disease, </w:t>
      </w:r>
      <w:r w:rsidRPr="00D025A6">
        <w:rPr>
          <w:b/>
          <w:bCs/>
        </w:rPr>
        <w:t>(B)</w:t>
      </w:r>
      <w:r w:rsidRPr="00D025A6">
        <w:t xml:space="preserve"> Chronic Obstructive Pulmonary Disease, </w:t>
      </w:r>
      <w:r w:rsidRPr="00D025A6">
        <w:rPr>
          <w:b/>
          <w:bCs/>
        </w:rPr>
        <w:t>(C)</w:t>
      </w:r>
      <w:r w:rsidRPr="00D025A6">
        <w:t xml:space="preserve"> Diabetes, </w:t>
      </w:r>
      <w:r w:rsidRPr="00D025A6">
        <w:rPr>
          <w:b/>
          <w:bCs/>
        </w:rPr>
        <w:t>(D)</w:t>
      </w:r>
      <w:r w:rsidRPr="00D025A6">
        <w:t xml:space="preserve"> HIV/AIDS, </w:t>
      </w:r>
      <w:r w:rsidRPr="00D025A6">
        <w:rPr>
          <w:b/>
          <w:bCs/>
        </w:rPr>
        <w:t>(E)</w:t>
      </w:r>
      <w:r w:rsidRPr="00D025A6">
        <w:t xml:space="preserve"> Malnutrition and </w:t>
      </w:r>
      <w:r w:rsidRPr="00D025A6">
        <w:rPr>
          <w:b/>
          <w:bCs/>
        </w:rPr>
        <w:t>(F)</w:t>
      </w:r>
      <w:r w:rsidRPr="00D025A6">
        <w:t xml:space="preserve"> Tuberculosis, the left heatmap shows the age-distribution of these co-morbidities across different income-settings, expressed as the proportion of the population in that income setting that have the comorbidity. The bar charts (coloured according to age-group) shown the number of infections per 1,000 population that co-occur with the respective co-morbidity. </w:t>
      </w:r>
    </w:p>
    <w:p w14:paraId="18D33391" w14:textId="6FDE80EA" w:rsidR="00103359" w:rsidRDefault="00D025A6" w:rsidP="005E545E">
      <w:r w:rsidRPr="00D025A6">
        <w:rPr>
          <w:b/>
          <w:bCs/>
        </w:rPr>
        <w:t>Figure 4. The impact of healthcare capacity and quality on COVID-19 mortality in different settings (A)</w:t>
      </w:r>
      <w:r w:rsidRPr="00D025A6">
        <w:t xml:space="preserve"> Representative epidemic trajectories for an unmitigated epidemic (grey line), an epidemic involving minimal social distancing (pale blue line, 20% reduction in social contacts), an epidemic involving extensive social distancing (teal, 45% reduction in social contacts) and an epidemic trajectory that involves extensive suppression (75% reduction in social contacts) followed by lift after 6 months, leading to resurgence (dark blue line). </w:t>
      </w:r>
      <w:r w:rsidRPr="00D025A6">
        <w:rPr>
          <w:b/>
          <w:bCs/>
        </w:rPr>
        <w:t>(B)</w:t>
      </w:r>
      <w:r w:rsidRPr="00D025A6">
        <w:t xml:space="preserve"> The excess deaths associated with constraints on healthcare quality and quantity, including the deaths associated with a hypothetical setting with unlimited high quality healthcare (green lines), settings where high quality healthcare is available but limited (yellow lines) and where only limited, poorer quality healthcare is available (orange lines). Pale lines show an unmitigated scenario, coloured lines a mitigated scenario. </w:t>
      </w:r>
      <w:r w:rsidRPr="00D025A6">
        <w:rPr>
          <w:b/>
          <w:bCs/>
        </w:rPr>
        <w:t>(C)</w:t>
      </w:r>
      <w:r w:rsidRPr="00D025A6">
        <w:t xml:space="preserve"> The multiple by which ICU demand exceeds capacity for each World Bank income strata for an unmitigated (grey) and mitigated (teal) epidemic. </w:t>
      </w:r>
      <w:r w:rsidRPr="00D025A6">
        <w:rPr>
          <w:b/>
          <w:bCs/>
        </w:rPr>
        <w:t>(D)</w:t>
      </w:r>
      <w:r w:rsidRPr="00D025A6">
        <w:t xml:space="preserve"> The modelled IFR for different World Bank income strata under different scenarios of healthcare quality and quantity available, assuming a mitigated scenario in which baseline contacts are reduced by 45%. </w:t>
      </w:r>
      <w:r w:rsidRPr="00D025A6">
        <w:rPr>
          <w:b/>
          <w:bCs/>
        </w:rPr>
        <w:t>(E)</w:t>
      </w:r>
      <w:r w:rsidRPr="00D025A6">
        <w:t xml:space="preserve"> The modelled deaths per million population for different World Bank income strata under different assumptions of healthcare quality and quantity available, assuming a mitigated scenario in which baseline contacts are reduced by 45%. Plots show medians (bars) and interquartile ranges (boxes), as well as points &lt;1.5x the IQR (whiskers) and &gt;1.5x (points) from 500 parameter draws.</w:t>
      </w:r>
    </w:p>
    <w:p w14:paraId="36C267B2" w14:textId="77777777" w:rsidR="00D025A6" w:rsidRDefault="00D025A6" w:rsidP="00D025A6">
      <w:r w:rsidRPr="00D025A6">
        <w:rPr>
          <w:b/>
          <w:bCs/>
        </w:rPr>
        <w:t xml:space="preserve">Figure 5: The proportion of time that countries will need to spend in lockdown in order to remain within health-system critical care capacity. </w:t>
      </w:r>
      <w:r w:rsidRPr="00D025A6">
        <w:t xml:space="preserve">Scenarios are generated using the stochastic SEIR model (see Materials and Methods) </w:t>
      </w:r>
      <w:r w:rsidRPr="00D025A6">
        <w:rPr>
          <w:b/>
          <w:bCs/>
        </w:rPr>
        <w:t>(A)</w:t>
      </w:r>
      <w:r w:rsidRPr="00D025A6">
        <w:t xml:space="preserve"> The time period between lockdowns for a representative LIC setting, and how it varies with the extent of suppression during lockdown. Grey shaded area denotes time period of first suppression (triggered at a threshold of 60 ICU cases per day) and then brown (75% reduction) and green (85% reduction) vertical lines indicate the next timepoint at which suppression would be implemented (using the same threshold). </w:t>
      </w:r>
      <w:r w:rsidRPr="00D025A6">
        <w:rPr>
          <w:b/>
          <w:bCs/>
        </w:rPr>
        <w:t>(B)</w:t>
      </w:r>
      <w:r w:rsidRPr="00D025A6">
        <w:t xml:space="preserve"> Time under suppression over the next 18 months for triggering thresholds of 30 (pale pink) and 500 (brighter pink) ICU cases per day respectively. Grey shaded areas indicate time in suppression (a 75% reduction in R</w:t>
      </w:r>
      <w:r w:rsidRPr="00D025A6">
        <w:rPr>
          <w:vertAlign w:val="subscript"/>
        </w:rPr>
        <w:t>0</w:t>
      </w:r>
      <w:r w:rsidRPr="00D025A6">
        <w:t xml:space="preserve">). </w:t>
      </w:r>
      <w:r w:rsidRPr="00D025A6">
        <w:rPr>
          <w:b/>
          <w:bCs/>
        </w:rPr>
        <w:t>(C)</w:t>
      </w:r>
      <w:r w:rsidRPr="00D025A6">
        <w:t xml:space="preserve"> The proportion of time required to be spent in lockdown over the next 18 months as a function of the maximum ICU demand for representative LIC, LMIC, UMIC and HIC (coloured purple lines). Coloured points indicate the median ICU capacity for each of these different income strata. </w:t>
      </w:r>
      <w:r w:rsidRPr="00D025A6">
        <w:rPr>
          <w:b/>
          <w:bCs/>
        </w:rPr>
        <w:t>(D)</w:t>
      </w:r>
      <w:r w:rsidRPr="00D025A6">
        <w:t xml:space="preserve"> The proportion of time required to be spent in lockdown over the next 18 months as a function of the number of </w:t>
      </w:r>
      <w:r w:rsidRPr="00D025A6">
        <w:lastRenderedPageBreak/>
        <w:t xml:space="preserve">deaths caused by the COVID-19 epidemic for representative LIC, LMIC, UMIC and HIC assuming comparable quality (but not quantity) of healthcare across all settings (coloured purple lines), and when assuming a reduction in the quality of healthcare available in LICs and LMICs (red and orange dashed lines respectively). </w:t>
      </w:r>
      <w:r w:rsidRPr="00D025A6">
        <w:rPr>
          <w:b/>
          <w:bCs/>
        </w:rPr>
        <w:t>(E)</w:t>
      </w:r>
      <w:r w:rsidRPr="00D025A6">
        <w:t xml:space="preserve"> Modelled COVID-19 epidemic trajectories over the next 18 months for representative LIC, LMIC, UMIC and HIC where suppression is implemented at ICU incidence trigger thresholds in order to keep the maximum ICU demand beneath 50% of ICU capacity. Note that the first triggering of suppression has been determined based on the actual patterns of suppression timing observed across LICs, LMICs, UMICs and HICs. </w:t>
      </w:r>
    </w:p>
    <w:p w14:paraId="353599C9" w14:textId="6F0BC19F" w:rsidR="00C9086F" w:rsidRDefault="0025514B" w:rsidP="00FD7505">
      <w:pPr>
        <w:pStyle w:val="Heading2"/>
      </w:pPr>
      <w:r>
        <w:t>Funding</w:t>
      </w:r>
    </w:p>
    <w:p w14:paraId="3CA57FC9" w14:textId="7D62AC9F" w:rsidR="004364DC" w:rsidRPr="00FD7505" w:rsidRDefault="00D71CA0" w:rsidP="00FD7505">
      <w:r>
        <w:t>CW is supported by a</w:t>
      </w:r>
      <w:r w:rsidR="007C1215">
        <w:t xml:space="preserve"> UK Medical Research Council</w:t>
      </w:r>
      <w:r>
        <w:t xml:space="preserve"> Doctoral Training Programme studentship.</w:t>
      </w:r>
      <w:r w:rsidR="007C1215">
        <w:t xml:space="preserve"> </w:t>
      </w:r>
      <w:r w:rsidR="007B42B9">
        <w:t>PW is supported by an Imperial College Junior Research Fellowship.</w:t>
      </w:r>
      <w:r w:rsidR="006E56E8">
        <w:t xml:space="preserve"> </w:t>
      </w:r>
      <w:r w:rsidR="0049166C" w:rsidRPr="00296D7A">
        <w:rPr>
          <w:rFonts w:cstheme="minorHAnsi"/>
        </w:rPr>
        <w:t xml:space="preserve">This work was supported by </w:t>
      </w:r>
      <w:r w:rsidR="00DC4643">
        <w:rPr>
          <w:rFonts w:cstheme="minorHAnsi"/>
        </w:rPr>
        <w:t xml:space="preserve">a grant from the Wellcome Trust and </w:t>
      </w:r>
      <w:r w:rsidR="0049166C" w:rsidRPr="00296D7A">
        <w:rPr>
          <w:rFonts w:cstheme="minorHAnsi"/>
        </w:rPr>
        <w:t>Centre funding from the UK Medical Research Council</w:t>
      </w:r>
      <w:r w:rsidR="00DC4643">
        <w:rPr>
          <w:rFonts w:cstheme="minorHAnsi"/>
        </w:rPr>
        <w:t>, both</w:t>
      </w:r>
      <w:r w:rsidR="0049166C" w:rsidRPr="00296D7A">
        <w:rPr>
          <w:rFonts w:cstheme="minorHAnsi"/>
        </w:rPr>
        <w:t xml:space="preserve"> under a concordat with the UK Department for International Development</w:t>
      </w:r>
      <w:r w:rsidR="0049166C">
        <w:t xml:space="preserve">. </w:t>
      </w:r>
      <w:r w:rsidR="00981ECF">
        <w:t>We additionally acknowledge support from Community Jameel and</w:t>
      </w:r>
      <w:r w:rsidR="00DD6902">
        <w:t xml:space="preserve"> </w:t>
      </w:r>
      <w:r w:rsidR="00DD6902" w:rsidRPr="00FE684C">
        <w:t>the</w:t>
      </w:r>
      <w:r w:rsidR="00981ECF" w:rsidRPr="00FE684C">
        <w:t xml:space="preserve"> NIHR </w:t>
      </w:r>
      <w:r w:rsidR="00FE684C" w:rsidRPr="00FE684C">
        <w:rPr>
          <w:rFonts w:cstheme="minorHAnsi"/>
        </w:rPr>
        <w:t>Health Protection</w:t>
      </w:r>
      <w:r w:rsidR="00FE684C" w:rsidRPr="00296D7A">
        <w:rPr>
          <w:rFonts w:cstheme="minorHAnsi"/>
        </w:rPr>
        <w:t xml:space="preserve"> Research Unit in Modelling Methodology</w:t>
      </w:r>
      <w:r w:rsidR="00FE684C">
        <w:rPr>
          <w:rFonts w:cstheme="minorHAnsi"/>
        </w:rPr>
        <w:t>.</w:t>
      </w:r>
    </w:p>
    <w:p w14:paraId="2B80675E" w14:textId="7808D4A7" w:rsidR="0025514B" w:rsidRDefault="006A153B" w:rsidP="00F573CA">
      <w:pPr>
        <w:pStyle w:val="Heading2"/>
      </w:pPr>
      <w:r>
        <w:t>Author Contributions</w:t>
      </w:r>
    </w:p>
    <w:p w14:paraId="693584B1" w14:textId="05ED86DA" w:rsidR="00877DFB" w:rsidRDefault="0057677E" w:rsidP="00877DFB">
      <w:pPr>
        <w:rPr>
          <w:rFonts w:cstheme="minorHAnsi"/>
        </w:rPr>
      </w:pPr>
      <w:r>
        <w:t>PGTW, CW, NMF and ACG</w:t>
      </w:r>
      <w:bookmarkStart w:id="3" w:name="_Hlk34250295"/>
      <w:r>
        <w:t xml:space="preserve"> </w:t>
      </w:r>
      <w:r w:rsidR="00877DFB" w:rsidRPr="00296D7A">
        <w:rPr>
          <w:rFonts w:cstheme="minorHAnsi"/>
        </w:rPr>
        <w:t>conceived the stud</w:t>
      </w:r>
      <w:r>
        <w:rPr>
          <w:rFonts w:cstheme="minorHAnsi"/>
        </w:rPr>
        <w:t>y. PGTW</w:t>
      </w:r>
      <w:r w:rsidR="009A566E">
        <w:rPr>
          <w:rFonts w:cstheme="minorHAnsi"/>
        </w:rPr>
        <w:t xml:space="preserve">, </w:t>
      </w:r>
      <w:r>
        <w:rPr>
          <w:rFonts w:cstheme="minorHAnsi"/>
        </w:rPr>
        <w:t xml:space="preserve">CW </w:t>
      </w:r>
      <w:r w:rsidR="009A566E">
        <w:rPr>
          <w:rFonts w:cstheme="minorHAnsi"/>
        </w:rPr>
        <w:t xml:space="preserve">and OJW </w:t>
      </w:r>
      <w:r>
        <w:rPr>
          <w:rFonts w:cstheme="minorHAnsi"/>
        </w:rPr>
        <w:t xml:space="preserve">undertook </w:t>
      </w:r>
      <w:r w:rsidR="00877DFB" w:rsidRPr="00296D7A">
        <w:rPr>
          <w:rFonts w:cstheme="minorHAnsi"/>
        </w:rPr>
        <w:t xml:space="preserve">the </w:t>
      </w:r>
      <w:r w:rsidR="00BD448F">
        <w:rPr>
          <w:rFonts w:cstheme="minorHAnsi"/>
        </w:rPr>
        <w:t xml:space="preserve">modelling and data </w:t>
      </w:r>
      <w:r w:rsidR="00877DFB" w:rsidRPr="00296D7A">
        <w:rPr>
          <w:rFonts w:cstheme="minorHAnsi"/>
        </w:rPr>
        <w:t xml:space="preserve">analysis with input from </w:t>
      </w:r>
      <w:r w:rsidR="002F7E11">
        <w:rPr>
          <w:rFonts w:cstheme="minorHAnsi"/>
        </w:rPr>
        <w:t>MB, PW, AH</w:t>
      </w:r>
      <w:r w:rsidR="00FA36B1">
        <w:rPr>
          <w:rFonts w:cstheme="minorHAnsi"/>
        </w:rPr>
        <w:t xml:space="preserve"> and </w:t>
      </w:r>
      <w:r w:rsidR="002F7E11">
        <w:rPr>
          <w:rFonts w:cstheme="minorHAnsi"/>
        </w:rPr>
        <w:t>BD.</w:t>
      </w:r>
      <w:r w:rsidR="00FA36B1">
        <w:rPr>
          <w:rFonts w:cstheme="minorHAnsi"/>
        </w:rPr>
        <w:t xml:space="preserve"> ZC, DOM, WG and HT provided additional </w:t>
      </w:r>
      <w:r w:rsidR="00AA6981">
        <w:rPr>
          <w:rFonts w:cstheme="minorHAnsi"/>
        </w:rPr>
        <w:t>input into the framing of the results. SN and D</w:t>
      </w:r>
      <w:r w:rsidR="00952D30">
        <w:rPr>
          <w:rFonts w:cstheme="minorHAnsi"/>
        </w:rPr>
        <w:t>G</w:t>
      </w:r>
      <w:r w:rsidR="00AA6981">
        <w:rPr>
          <w:rFonts w:cstheme="minorHAnsi"/>
        </w:rPr>
        <w:t>L provided clinical input into the model structure and parameterisation.</w:t>
      </w:r>
      <w:r w:rsidR="002F7E11">
        <w:rPr>
          <w:rFonts w:cstheme="minorHAnsi"/>
        </w:rPr>
        <w:t xml:space="preserve"> </w:t>
      </w:r>
      <w:r w:rsidR="002C750E">
        <w:rPr>
          <w:rFonts w:cstheme="minorHAnsi"/>
        </w:rPr>
        <w:t>ACG</w:t>
      </w:r>
      <w:r w:rsidR="00ED6D36">
        <w:rPr>
          <w:rFonts w:cstheme="minorHAnsi"/>
        </w:rPr>
        <w:t>, PGTW and CW</w:t>
      </w:r>
      <w:r w:rsidR="00877DFB" w:rsidRPr="00296D7A">
        <w:rPr>
          <w:rFonts w:cstheme="minorHAnsi"/>
        </w:rPr>
        <w:t xml:space="preserve"> produced the first draft of the manuscript</w:t>
      </w:r>
      <w:r w:rsidR="0001284A">
        <w:rPr>
          <w:rFonts w:cstheme="minorHAnsi"/>
        </w:rPr>
        <w:t xml:space="preserve">. </w:t>
      </w:r>
      <w:r w:rsidR="00877DFB" w:rsidRPr="00296D7A">
        <w:rPr>
          <w:rFonts w:cstheme="minorHAnsi"/>
        </w:rPr>
        <w:t>All authors contributed to the final draft.</w:t>
      </w:r>
    </w:p>
    <w:bookmarkEnd w:id="3"/>
    <w:p w14:paraId="6BFA6082" w14:textId="37F6BF0B" w:rsidR="009820F9" w:rsidRDefault="009820F9" w:rsidP="009258AC">
      <w:pPr>
        <w:pStyle w:val="Heading2"/>
      </w:pPr>
      <w:r>
        <w:t>Competing Interests</w:t>
      </w:r>
    </w:p>
    <w:p w14:paraId="30861A62" w14:textId="1CA22F65" w:rsidR="009820F9" w:rsidRDefault="009258AC" w:rsidP="008D5571">
      <w:r>
        <w:t>None</w:t>
      </w:r>
    </w:p>
    <w:p w14:paraId="0B3BAC5D" w14:textId="6AA096C0" w:rsidR="009820F9" w:rsidRDefault="009820F9" w:rsidP="009258AC">
      <w:pPr>
        <w:pStyle w:val="Heading2"/>
      </w:pPr>
      <w:r>
        <w:t>Data and Materials Availability</w:t>
      </w:r>
    </w:p>
    <w:p w14:paraId="1F2149EA" w14:textId="4CA0622E" w:rsidR="00470A86" w:rsidRDefault="009820F9" w:rsidP="00470A86">
      <w:pPr>
        <w:rPr>
          <w:rFonts w:ascii="Segoe UI" w:eastAsia="Times New Roman" w:hAnsi="Segoe UI" w:cs="Segoe UI"/>
          <w:color w:val="000000"/>
          <w:sz w:val="21"/>
          <w:szCs w:val="21"/>
        </w:rPr>
      </w:pPr>
      <w:r>
        <w:t xml:space="preserve">All data used in this study can be freely downloaded from the cited sources. </w:t>
      </w:r>
      <w:r w:rsidR="00231AA7">
        <w:t xml:space="preserve">The model underlying the analyses is available in the form of an R package, available at </w:t>
      </w:r>
      <w:hyperlink r:id="rId21" w:history="1">
        <w:r w:rsidR="00231AA7">
          <w:rPr>
            <w:rStyle w:val="Hyperlink"/>
          </w:rPr>
          <w:t>https://github.com/mrc-ide/squire</w:t>
        </w:r>
      </w:hyperlink>
      <w:r w:rsidR="00470A86">
        <w:rPr>
          <w:rStyle w:val="Hyperlink"/>
        </w:rPr>
        <w:t xml:space="preserve"> </w:t>
      </w:r>
      <w:r w:rsidR="0030645D">
        <w:rPr>
          <w:rStyle w:val="Hyperlink"/>
        </w:rPr>
        <w:t>(</w:t>
      </w:r>
      <w:r w:rsidR="00470A86">
        <w:rPr>
          <w:rFonts w:ascii="Segoe UI" w:eastAsia="Times New Roman" w:hAnsi="Segoe UI" w:cs="Segoe UI"/>
          <w:color w:val="000000"/>
          <w:sz w:val="21"/>
          <w:szCs w:val="21"/>
        </w:rPr>
        <w:t>v0.4.14</w:t>
      </w:r>
      <w:r w:rsidR="0030645D">
        <w:rPr>
          <w:rFonts w:ascii="Segoe UI" w:eastAsia="Times New Roman" w:hAnsi="Segoe UI" w:cs="Segoe UI"/>
          <w:color w:val="000000"/>
          <w:sz w:val="21"/>
          <w:szCs w:val="21"/>
        </w:rPr>
        <w:t xml:space="preserve"> </w:t>
      </w:r>
      <w:hyperlink r:id="rId22" w:tgtFrame="_blank" w:tooltip="https://doi.org/10.5281/zenodo.3872340" w:history="1">
        <w:r w:rsidR="00470A86">
          <w:rPr>
            <w:rStyle w:val="Hyperlink"/>
            <w:rFonts w:ascii="Segoe UI" w:hAnsi="Segoe UI" w:cs="Segoe UI"/>
            <w:sz w:val="21"/>
            <w:szCs w:val="21"/>
          </w:rPr>
          <w:t>DOI: 10.5281/zenodo.3872340</w:t>
        </w:r>
      </w:hyperlink>
      <w:r w:rsidR="0030645D">
        <w:rPr>
          <w:rFonts w:ascii="Segoe UI" w:eastAsia="Times New Roman" w:hAnsi="Segoe UI" w:cs="Segoe UI"/>
          <w:color w:val="000000"/>
          <w:sz w:val="21"/>
          <w:szCs w:val="21"/>
          <w:u w:val="single"/>
        </w:rPr>
        <w:t>)</w:t>
      </w:r>
      <w:r w:rsidR="00C6002D">
        <w:rPr>
          <w:rFonts w:ascii="Segoe UI" w:eastAsia="Times New Roman" w:hAnsi="Segoe UI" w:cs="Segoe UI"/>
          <w:color w:val="000000"/>
          <w:sz w:val="21"/>
          <w:szCs w:val="21"/>
          <w:u w:val="single"/>
        </w:rPr>
        <w:t xml:space="preserve"> </w:t>
      </w:r>
      <w:r w:rsidR="00C6002D">
        <w:rPr>
          <w:rFonts w:ascii="Segoe UI" w:eastAsia="Times New Roman" w:hAnsi="Segoe UI" w:cs="Segoe UI"/>
          <w:color w:val="000000"/>
          <w:sz w:val="21"/>
          <w:szCs w:val="21"/>
          <w:u w:val="single"/>
        </w:rPr>
        <w:fldChar w:fldCharType="begin" w:fldLock="1"/>
      </w:r>
      <w:r w:rsidR="00C57791">
        <w:rPr>
          <w:rFonts w:ascii="Segoe UI" w:eastAsia="Times New Roman" w:hAnsi="Segoe UI" w:cs="Segoe UI"/>
          <w:color w:val="000000"/>
          <w:sz w:val="21"/>
          <w:szCs w:val="21"/>
          <w:u w:val="single"/>
        </w:rPr>
        <w:instrText>ADDIN CSL_CITATION {"citationItems":[{"id":"ITEM-1","itemData":{"DOI":"10.5281/zenodo.3872340","author":[{"dropping-particle":"","family":"Watson","given":"Oliver J.","non-dropping-particle":"","parse-names":false,"suffix":""},{"dropping-particle":"","family":"Walker","given":"Patrick GT","non-dropping-particle":"","parse-names":false,"suffix":""},{"dropping-particle":"","family":"Winskill","given":"Peter","non-dropping-particle":"","parse-names":false,"suffix":""},{"dropping-particle":"","family":"Baguelin","given":"Marc","non-dropping-particle":"","parse-names":false,"suffix":""},{"dropping-particle":"","family":"Knock","given":"Edward","non-dropping-particle":"","parse-names":false,"suffix":""},{"dropping-particle":"","family":"Lees","given":"John","non-dropping-particle":"","parse-names":false,"suffix":""},{"dropping-particle":"","family":"Brazeau","given":"Nicholas F","non-dropping-particle":"","parse-names":false,"suffix":""},{"dropping-particle":"","family":"Fitzjohn","given":"Rich","non-dropping-particle":"","parse-names":false,"suffix":""},{"dropping-particle":"","family":"Ferguson","given":"Neil M","non-dropping-particle":"","parse-names":false,"suffix":""},{"dropping-particle":"","family":"Ghani","given":"A.C.","non-dropping-particle":"","parse-names":false,"suffix":""},{"dropping-particle":"","family":"Whittaker","given":"Charles","non-dropping-particle":"","parse-names":false,"suffix":""}],"id":"ITEM-1","issued":{"date-parts":[["2020"]]},"number":"v0.4.14","publisher":"Imperial College London","title":"Squire","type":"article"},"uris":["http://www.mendeley.com/documents/?uuid=835898e2-a7c4-4134-ba30-1351c92f29dc"]}],"mendeley":{"formattedCitation":"(&lt;i&gt;34&lt;/i&gt;)","plainTextFormattedCitation":"(34)","previouslyFormattedCitation":"(&lt;i&gt;34&lt;/i&gt;)"},"properties":{"noteIndex":0},"schema":"https://github.com/citation-style-language/schema/raw/master/csl-citation.json"}</w:instrText>
      </w:r>
      <w:r w:rsidR="00C6002D">
        <w:rPr>
          <w:rFonts w:ascii="Segoe UI" w:eastAsia="Times New Roman" w:hAnsi="Segoe UI" w:cs="Segoe UI"/>
          <w:color w:val="000000"/>
          <w:sz w:val="21"/>
          <w:szCs w:val="21"/>
          <w:u w:val="single"/>
        </w:rPr>
        <w:fldChar w:fldCharType="separate"/>
      </w:r>
      <w:r w:rsidR="00C6002D" w:rsidRPr="00C6002D">
        <w:rPr>
          <w:rFonts w:ascii="Segoe UI" w:eastAsia="Times New Roman" w:hAnsi="Segoe UI" w:cs="Segoe UI"/>
          <w:noProof/>
          <w:color w:val="000000"/>
          <w:sz w:val="21"/>
          <w:szCs w:val="21"/>
        </w:rPr>
        <w:t>(</w:t>
      </w:r>
      <w:r w:rsidR="00C6002D" w:rsidRPr="00C6002D">
        <w:rPr>
          <w:rFonts w:ascii="Segoe UI" w:eastAsia="Times New Roman" w:hAnsi="Segoe UI" w:cs="Segoe UI"/>
          <w:i/>
          <w:noProof/>
          <w:color w:val="000000"/>
          <w:sz w:val="21"/>
          <w:szCs w:val="21"/>
        </w:rPr>
        <w:t>34</w:t>
      </w:r>
      <w:r w:rsidR="00C6002D" w:rsidRPr="00C6002D">
        <w:rPr>
          <w:rFonts w:ascii="Segoe UI" w:eastAsia="Times New Roman" w:hAnsi="Segoe UI" w:cs="Segoe UI"/>
          <w:noProof/>
          <w:color w:val="000000"/>
          <w:sz w:val="21"/>
          <w:szCs w:val="21"/>
        </w:rPr>
        <w:t>)</w:t>
      </w:r>
      <w:r w:rsidR="00C6002D">
        <w:rPr>
          <w:rFonts w:ascii="Segoe UI" w:eastAsia="Times New Roman" w:hAnsi="Segoe UI" w:cs="Segoe UI"/>
          <w:color w:val="000000"/>
          <w:sz w:val="21"/>
          <w:szCs w:val="21"/>
          <w:u w:val="single"/>
        </w:rPr>
        <w:fldChar w:fldCharType="end"/>
      </w:r>
      <w:r w:rsidR="00470A86">
        <w:rPr>
          <w:rFonts w:ascii="Segoe UI" w:eastAsia="Times New Roman" w:hAnsi="Segoe UI" w:cs="Segoe UI"/>
          <w:color w:val="000000"/>
          <w:sz w:val="21"/>
          <w:szCs w:val="21"/>
        </w:rPr>
        <w:t xml:space="preserve">. </w:t>
      </w:r>
      <w:r w:rsidR="00231AA7">
        <w:t xml:space="preserve">The code </w:t>
      </w:r>
      <w:r w:rsidR="00AF63FD">
        <w:t xml:space="preserve">used to generate these analyses is available at </w:t>
      </w:r>
      <w:hyperlink r:id="rId23" w:history="1">
        <w:r w:rsidR="00AF63FD">
          <w:rPr>
            <w:rStyle w:val="Hyperlink"/>
          </w:rPr>
          <w:t>https://github.com/mrc-ide/covid_global_impact</w:t>
        </w:r>
      </w:hyperlink>
      <w:r w:rsidR="00470A86">
        <w:rPr>
          <w:rStyle w:val="Hyperlink"/>
        </w:rPr>
        <w:t xml:space="preserve"> (</w:t>
      </w:r>
      <w:hyperlink r:id="rId24" w:tgtFrame="_blank" w:tooltip="https://doi.org/10.5281/zenodo.3872387" w:history="1">
        <w:r w:rsidR="00470A86">
          <w:rPr>
            <w:rStyle w:val="Hyperlink"/>
            <w:rFonts w:ascii="Segoe UI" w:hAnsi="Segoe UI" w:cs="Segoe UI"/>
            <w:sz w:val="21"/>
            <w:szCs w:val="21"/>
          </w:rPr>
          <w:t>DOI: 10.5281/zenodo.3872387</w:t>
        </w:r>
      </w:hyperlink>
      <w:r w:rsidR="00470A86">
        <w:rPr>
          <w:rFonts w:ascii="Segoe UI" w:eastAsia="Times New Roman" w:hAnsi="Segoe UI" w:cs="Segoe UI"/>
          <w:color w:val="000000"/>
          <w:sz w:val="21"/>
          <w:szCs w:val="21"/>
          <w:u w:val="single"/>
        </w:rPr>
        <w:t>)</w:t>
      </w:r>
      <w:r w:rsidR="00EF28EF">
        <w:rPr>
          <w:rFonts w:ascii="Segoe UI" w:eastAsia="Times New Roman" w:hAnsi="Segoe UI" w:cs="Segoe UI"/>
          <w:color w:val="000000"/>
          <w:sz w:val="21"/>
          <w:szCs w:val="21"/>
          <w:u w:val="single"/>
        </w:rPr>
        <w:t xml:space="preserve"> </w:t>
      </w:r>
      <w:r w:rsidR="001D089A">
        <w:rPr>
          <w:rFonts w:ascii="Segoe UI" w:eastAsia="Times New Roman" w:hAnsi="Segoe UI" w:cs="Segoe UI"/>
          <w:color w:val="000000"/>
          <w:sz w:val="21"/>
          <w:szCs w:val="21"/>
          <w:u w:val="single"/>
        </w:rPr>
        <w:fldChar w:fldCharType="begin" w:fldLock="1"/>
      </w:r>
      <w:r w:rsidR="008D059C">
        <w:rPr>
          <w:rFonts w:ascii="Segoe UI" w:eastAsia="Times New Roman" w:hAnsi="Segoe UI" w:cs="Segoe UI"/>
          <w:color w:val="000000"/>
          <w:sz w:val="21"/>
          <w:szCs w:val="21"/>
          <w:u w:val="single"/>
        </w:rPr>
        <w:instrText>ADDIN CSL_CITATION {"citationItems":[{"id":"ITEM-1","itemData":{"DOI":"10.5281/zenodo.3872387","id":"ITEM-1","issued":{"date-parts":[["2020"]]},"title":"covid_global_impact","type":"article"},"uris":["http://www.mendeley.com/documents/?uuid=ba6820ec-a520-4f57-8520-a905f6239d9a"]}],"mendeley":{"formattedCitation":"(&lt;i&gt;35&lt;/i&gt;)","plainTextFormattedCitation":"(35)","previouslyFormattedCitation":"(&lt;i&gt;35&lt;/i&gt;)"},"properties":{"noteIndex":0},"schema":"https://github.com/citation-style-language/schema/raw/master/csl-citation.json"}</w:instrText>
      </w:r>
      <w:r w:rsidR="001D089A">
        <w:rPr>
          <w:rFonts w:ascii="Segoe UI" w:eastAsia="Times New Roman" w:hAnsi="Segoe UI" w:cs="Segoe UI"/>
          <w:color w:val="000000"/>
          <w:sz w:val="21"/>
          <w:szCs w:val="21"/>
          <w:u w:val="single"/>
        </w:rPr>
        <w:fldChar w:fldCharType="separate"/>
      </w:r>
      <w:r w:rsidR="001D089A" w:rsidRPr="001D089A">
        <w:rPr>
          <w:rFonts w:ascii="Segoe UI" w:eastAsia="Times New Roman" w:hAnsi="Segoe UI" w:cs="Segoe UI"/>
          <w:noProof/>
          <w:color w:val="000000"/>
          <w:sz w:val="21"/>
          <w:szCs w:val="21"/>
        </w:rPr>
        <w:t>(</w:t>
      </w:r>
      <w:r w:rsidR="001D089A" w:rsidRPr="001D089A">
        <w:rPr>
          <w:rFonts w:ascii="Segoe UI" w:eastAsia="Times New Roman" w:hAnsi="Segoe UI" w:cs="Segoe UI"/>
          <w:i/>
          <w:noProof/>
          <w:color w:val="000000"/>
          <w:sz w:val="21"/>
          <w:szCs w:val="21"/>
        </w:rPr>
        <w:t>35</w:t>
      </w:r>
      <w:r w:rsidR="001D089A" w:rsidRPr="001D089A">
        <w:rPr>
          <w:rFonts w:ascii="Segoe UI" w:eastAsia="Times New Roman" w:hAnsi="Segoe UI" w:cs="Segoe UI"/>
          <w:noProof/>
          <w:color w:val="000000"/>
          <w:sz w:val="21"/>
          <w:szCs w:val="21"/>
        </w:rPr>
        <w:t>)</w:t>
      </w:r>
      <w:r w:rsidR="001D089A">
        <w:rPr>
          <w:rFonts w:ascii="Segoe UI" w:eastAsia="Times New Roman" w:hAnsi="Segoe UI" w:cs="Segoe UI"/>
          <w:color w:val="000000"/>
          <w:sz w:val="21"/>
          <w:szCs w:val="21"/>
          <w:u w:val="single"/>
        </w:rPr>
        <w:fldChar w:fldCharType="end"/>
      </w:r>
      <w:r w:rsidR="00470A86">
        <w:rPr>
          <w:rFonts w:ascii="Segoe UI" w:eastAsia="Times New Roman" w:hAnsi="Segoe UI" w:cs="Segoe UI"/>
          <w:color w:val="000000"/>
          <w:sz w:val="21"/>
          <w:szCs w:val="21"/>
          <w:u w:val="single"/>
        </w:rPr>
        <w:t xml:space="preserve">. </w:t>
      </w:r>
    </w:p>
    <w:p w14:paraId="39D18392" w14:textId="5B1D6C06" w:rsidR="007514CB" w:rsidRPr="00470A86" w:rsidRDefault="00AF63FD" w:rsidP="00AF63FD">
      <w:pPr>
        <w:rPr>
          <w:rFonts w:ascii="Segoe UI" w:eastAsia="Times New Roman" w:hAnsi="Segoe UI" w:cs="Segoe UI"/>
          <w:color w:val="000000"/>
          <w:sz w:val="21"/>
          <w:szCs w:val="21"/>
        </w:rPr>
      </w:pPr>
      <w:r>
        <w:t xml:space="preserve">. </w:t>
      </w:r>
      <w:r w:rsidR="007514CB">
        <w:br w:type="page"/>
      </w:r>
    </w:p>
    <w:p w14:paraId="3BF7B49A" w14:textId="77777777" w:rsidR="002D2830" w:rsidRDefault="002D2830" w:rsidP="002D2830">
      <w:pPr>
        <w:jc w:val="center"/>
        <w:rPr>
          <w:sz w:val="36"/>
          <w:szCs w:val="36"/>
        </w:rPr>
      </w:pPr>
      <w:r>
        <w:rPr>
          <w:noProof/>
          <w:sz w:val="36"/>
          <w:szCs w:val="36"/>
          <w:lang w:eastAsia="en-GB"/>
        </w:rPr>
        <w:lastRenderedPageBreak/>
        <w:drawing>
          <wp:inline distT="0" distB="0" distL="0" distR="0" wp14:anchorId="1C94CA35" wp14:editId="131E13FF">
            <wp:extent cx="1839250" cy="80467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AAAS-stacked-col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9250" cy="804672"/>
                    </a:xfrm>
                    <a:prstGeom prst="rect">
                      <a:avLst/>
                    </a:prstGeom>
                  </pic:spPr>
                </pic:pic>
              </a:graphicData>
            </a:graphic>
          </wp:inline>
        </w:drawing>
      </w:r>
    </w:p>
    <w:p w14:paraId="28D85A8D" w14:textId="77777777" w:rsidR="002D2830" w:rsidRDefault="002D2830" w:rsidP="002D2830">
      <w:pPr>
        <w:rPr>
          <w:sz w:val="36"/>
          <w:szCs w:val="36"/>
        </w:rPr>
      </w:pPr>
    </w:p>
    <w:p w14:paraId="0F16AE90" w14:textId="77777777" w:rsidR="002D2830" w:rsidRDefault="002D2830" w:rsidP="002D2830">
      <w:pPr>
        <w:jc w:val="center"/>
        <w:rPr>
          <w:sz w:val="36"/>
          <w:szCs w:val="36"/>
        </w:rPr>
      </w:pPr>
    </w:p>
    <w:p w14:paraId="74338DE5" w14:textId="77777777" w:rsidR="002D2830" w:rsidRPr="003B40E6" w:rsidRDefault="002D2830" w:rsidP="002D2830">
      <w:pPr>
        <w:jc w:val="center"/>
        <w:rPr>
          <w:sz w:val="36"/>
          <w:szCs w:val="36"/>
        </w:rPr>
      </w:pPr>
      <w:r>
        <w:rPr>
          <w:sz w:val="36"/>
          <w:szCs w:val="36"/>
        </w:rPr>
        <w:t>Supplementary Materials for</w:t>
      </w:r>
    </w:p>
    <w:p w14:paraId="78D7843F" w14:textId="77777777" w:rsidR="002D2830" w:rsidRDefault="002D2830" w:rsidP="002D2830"/>
    <w:p w14:paraId="7EF9610A" w14:textId="77777777" w:rsidR="002D2830" w:rsidRPr="00035A88" w:rsidRDefault="002D2830" w:rsidP="002D2830">
      <w:pPr>
        <w:pStyle w:val="Heading1"/>
        <w:rPr>
          <w:b w:val="0"/>
          <w:bCs w:val="0"/>
        </w:rPr>
      </w:pPr>
      <w:r w:rsidRPr="00035A88">
        <w:rPr>
          <w:b w:val="0"/>
          <w:bCs w:val="0"/>
        </w:rPr>
        <w:t>The Impact of COVID-19 and Strategies for Mitigation and Suppression in Low- and Middle-Income Countries</w:t>
      </w:r>
    </w:p>
    <w:p w14:paraId="400CBC16" w14:textId="77777777" w:rsidR="002D2830" w:rsidRPr="00A528A6" w:rsidRDefault="002D2830" w:rsidP="002D2830">
      <w:r w:rsidRPr="00A528A6">
        <w:t>Patrick G.T. Walker</w:t>
      </w:r>
      <w:r w:rsidRPr="002D758A">
        <w:rPr>
          <w:vertAlign w:val="superscript"/>
        </w:rPr>
        <w:t>1</w:t>
      </w:r>
      <w:r w:rsidRPr="00A528A6">
        <w:rPr>
          <w:vertAlign w:val="superscript"/>
        </w:rPr>
        <w:t>+</w:t>
      </w:r>
      <w:r w:rsidRPr="00A528A6">
        <w:t>, Charles Whittaker</w:t>
      </w:r>
      <w:r w:rsidRPr="002D758A">
        <w:rPr>
          <w:vertAlign w:val="superscript"/>
        </w:rPr>
        <w:t>1</w:t>
      </w:r>
      <w:r w:rsidRPr="00A528A6">
        <w:rPr>
          <w:vertAlign w:val="superscript"/>
        </w:rPr>
        <w:t>+</w:t>
      </w:r>
      <w:r w:rsidRPr="00A528A6">
        <w:t xml:space="preserve">, Oliver </w:t>
      </w:r>
      <w:r>
        <w:t xml:space="preserve">J </w:t>
      </w:r>
      <w:r w:rsidRPr="00A528A6">
        <w:t>Watson</w:t>
      </w:r>
      <w:r w:rsidRPr="002D758A">
        <w:rPr>
          <w:vertAlign w:val="superscript"/>
        </w:rPr>
        <w:t>1</w:t>
      </w:r>
      <w:r>
        <w:rPr>
          <w:vertAlign w:val="superscript"/>
        </w:rPr>
        <w:t>,2</w:t>
      </w:r>
      <w:r w:rsidRPr="00A528A6">
        <w:rPr>
          <w:vertAlign w:val="superscript"/>
        </w:rPr>
        <w:t>+</w:t>
      </w:r>
      <w:r w:rsidRPr="00A528A6">
        <w:t>, Marc Baguelin</w:t>
      </w:r>
      <w:r w:rsidRPr="002D758A">
        <w:rPr>
          <w:vertAlign w:val="superscript"/>
        </w:rPr>
        <w:t>1</w:t>
      </w:r>
      <w:r>
        <w:rPr>
          <w:vertAlign w:val="superscript"/>
        </w:rPr>
        <w:t>,3</w:t>
      </w:r>
      <w:r>
        <w:t xml:space="preserve">, </w:t>
      </w:r>
      <w:r w:rsidRPr="00A528A6">
        <w:t>Peter Winskill</w:t>
      </w:r>
      <w:r w:rsidRPr="002D758A">
        <w:rPr>
          <w:vertAlign w:val="superscript"/>
        </w:rPr>
        <w:t>1</w:t>
      </w:r>
      <w:r w:rsidRPr="00A528A6">
        <w:t xml:space="preserve">, </w:t>
      </w:r>
      <w:r>
        <w:t>Arran Hamlet</w:t>
      </w:r>
      <w:r w:rsidRPr="002D758A">
        <w:rPr>
          <w:vertAlign w:val="superscript"/>
        </w:rPr>
        <w:t>1</w:t>
      </w:r>
      <w:r>
        <w:t>, Bimandra A. Djafaara</w:t>
      </w:r>
      <w:r w:rsidRPr="002D758A">
        <w:rPr>
          <w:vertAlign w:val="superscript"/>
        </w:rPr>
        <w:t>1</w:t>
      </w:r>
      <w:r>
        <w:t xml:space="preserve">, </w:t>
      </w:r>
      <w:r w:rsidRPr="00A528A6">
        <w:t>Zulma Cucunubá</w:t>
      </w:r>
      <w:r w:rsidRPr="002D758A">
        <w:rPr>
          <w:vertAlign w:val="superscript"/>
        </w:rPr>
        <w:t>1</w:t>
      </w:r>
      <w:r>
        <w:t>, Daniela Olivera Mesa</w:t>
      </w:r>
      <w:r w:rsidRPr="002D758A">
        <w:rPr>
          <w:vertAlign w:val="superscript"/>
        </w:rPr>
        <w:t>1</w:t>
      </w:r>
      <w:r>
        <w:t xml:space="preserve">, </w:t>
      </w:r>
      <w:r w:rsidRPr="00A528A6">
        <w:t>Will Green</w:t>
      </w:r>
      <w:r w:rsidRPr="002D758A">
        <w:rPr>
          <w:vertAlign w:val="superscript"/>
        </w:rPr>
        <w:t>1</w:t>
      </w:r>
      <w:r w:rsidRPr="00D1435E">
        <w:t>,</w:t>
      </w:r>
      <w:r>
        <w:rPr>
          <w:vertAlign w:val="superscript"/>
        </w:rPr>
        <w:t xml:space="preserve"> </w:t>
      </w:r>
      <w:r w:rsidRPr="00A528A6">
        <w:t>Hayley Thompson</w:t>
      </w:r>
      <w:r w:rsidRPr="002D758A">
        <w:rPr>
          <w:vertAlign w:val="superscript"/>
        </w:rPr>
        <w:t>1</w:t>
      </w:r>
      <w:r w:rsidRPr="00D1435E">
        <w:t>,</w:t>
      </w:r>
      <w:r>
        <w:rPr>
          <w:vertAlign w:val="superscript"/>
        </w:rPr>
        <w:t xml:space="preserve"> </w:t>
      </w:r>
      <w:r>
        <w:t>Shevanthi Nayagam</w:t>
      </w:r>
      <w:r w:rsidRPr="002D758A">
        <w:rPr>
          <w:vertAlign w:val="superscript"/>
        </w:rPr>
        <w:t>1</w:t>
      </w:r>
      <w:r>
        <w:t xml:space="preserve">, </w:t>
      </w:r>
      <w:r w:rsidRPr="00A528A6">
        <w:t>Kylie E. C. Ainslie</w:t>
      </w:r>
      <w:r w:rsidRPr="002D758A">
        <w:rPr>
          <w:vertAlign w:val="superscript"/>
        </w:rPr>
        <w:t>1</w:t>
      </w:r>
      <w:r w:rsidRPr="00A528A6">
        <w:t>, Sangeeta Bhatia</w:t>
      </w:r>
      <w:r w:rsidRPr="002D758A">
        <w:rPr>
          <w:vertAlign w:val="superscript"/>
        </w:rPr>
        <w:t>1</w:t>
      </w:r>
      <w:r w:rsidRPr="00A528A6">
        <w:t>, Samir Bhatt</w:t>
      </w:r>
      <w:r w:rsidRPr="002D758A">
        <w:rPr>
          <w:vertAlign w:val="superscript"/>
        </w:rPr>
        <w:t>1</w:t>
      </w:r>
      <w:r w:rsidRPr="00A528A6">
        <w:t>, Adhiratha Boonyasiri</w:t>
      </w:r>
      <w:r w:rsidRPr="002D758A">
        <w:rPr>
          <w:vertAlign w:val="superscript"/>
        </w:rPr>
        <w:t>1</w:t>
      </w:r>
      <w:r w:rsidRPr="00A528A6">
        <w:t>, Olivia Boyd</w:t>
      </w:r>
      <w:r w:rsidRPr="002D758A">
        <w:rPr>
          <w:vertAlign w:val="superscript"/>
        </w:rPr>
        <w:t>1</w:t>
      </w:r>
      <w:r w:rsidRPr="00A528A6">
        <w:t xml:space="preserve">, </w:t>
      </w:r>
      <w:r>
        <w:t>Nicholas F. Brazeau</w:t>
      </w:r>
      <w:r w:rsidRPr="002D758A">
        <w:rPr>
          <w:vertAlign w:val="superscript"/>
        </w:rPr>
        <w:t>1</w:t>
      </w:r>
      <w:r>
        <w:t xml:space="preserve">, </w:t>
      </w:r>
      <w:r w:rsidRPr="00A528A6">
        <w:t>Lorenzo Cattarino</w:t>
      </w:r>
      <w:r w:rsidRPr="002D758A">
        <w:rPr>
          <w:vertAlign w:val="superscript"/>
        </w:rPr>
        <w:t>1</w:t>
      </w:r>
      <w:r w:rsidRPr="00A528A6">
        <w:t>, Gina Cuomo-Dannenburg</w:t>
      </w:r>
      <w:r w:rsidRPr="002D758A">
        <w:rPr>
          <w:vertAlign w:val="superscript"/>
        </w:rPr>
        <w:t>1</w:t>
      </w:r>
      <w:r w:rsidRPr="00A528A6">
        <w:t>, Amy Dighe</w:t>
      </w:r>
      <w:r w:rsidRPr="002D758A">
        <w:rPr>
          <w:vertAlign w:val="superscript"/>
        </w:rPr>
        <w:t>1</w:t>
      </w:r>
      <w:r w:rsidRPr="00A528A6">
        <w:t>, Christl A. Donnelly</w:t>
      </w:r>
      <w:r w:rsidRPr="002D758A">
        <w:rPr>
          <w:vertAlign w:val="superscript"/>
        </w:rPr>
        <w:t>1</w:t>
      </w:r>
      <w:r>
        <w:rPr>
          <w:vertAlign w:val="superscript"/>
        </w:rPr>
        <w:t>,4</w:t>
      </w:r>
      <w:r w:rsidRPr="00A528A6">
        <w:t>, Ilaria Dorigatti</w:t>
      </w:r>
      <w:r w:rsidRPr="002D758A">
        <w:rPr>
          <w:vertAlign w:val="superscript"/>
        </w:rPr>
        <w:t>1</w:t>
      </w:r>
      <w:r w:rsidRPr="00A528A6">
        <w:t xml:space="preserve">, Sabine </w:t>
      </w:r>
      <w:r>
        <w:t xml:space="preserve">L. </w:t>
      </w:r>
      <w:r w:rsidRPr="00A528A6">
        <w:t>van Elsland</w:t>
      </w:r>
      <w:r w:rsidRPr="002D758A">
        <w:rPr>
          <w:vertAlign w:val="superscript"/>
        </w:rPr>
        <w:t>1</w:t>
      </w:r>
      <w:r w:rsidRPr="00A528A6">
        <w:t>, Rich FitzJohn</w:t>
      </w:r>
      <w:r w:rsidRPr="002D758A">
        <w:rPr>
          <w:vertAlign w:val="superscript"/>
        </w:rPr>
        <w:t>1</w:t>
      </w:r>
      <w:r w:rsidRPr="00A528A6">
        <w:t>, Han Fu</w:t>
      </w:r>
      <w:r w:rsidRPr="002D758A">
        <w:rPr>
          <w:vertAlign w:val="superscript"/>
        </w:rPr>
        <w:t>1</w:t>
      </w:r>
      <w:r w:rsidRPr="00A528A6">
        <w:t xml:space="preserve">, Katy </w:t>
      </w:r>
      <w:r>
        <w:t xml:space="preserve">A.M. </w:t>
      </w:r>
      <w:r w:rsidRPr="00A528A6">
        <w:t>Gaythorpe</w:t>
      </w:r>
      <w:r w:rsidRPr="002D758A">
        <w:rPr>
          <w:vertAlign w:val="superscript"/>
        </w:rPr>
        <w:t>1</w:t>
      </w:r>
      <w:r w:rsidRPr="00A528A6">
        <w:t>, Lily Geidelberg</w:t>
      </w:r>
      <w:r w:rsidRPr="002D758A">
        <w:rPr>
          <w:vertAlign w:val="superscript"/>
        </w:rPr>
        <w:t>1</w:t>
      </w:r>
      <w:r w:rsidRPr="00A528A6">
        <w:t>, Nicholas Grassly</w:t>
      </w:r>
      <w:r w:rsidRPr="002D758A">
        <w:rPr>
          <w:vertAlign w:val="superscript"/>
        </w:rPr>
        <w:t>1</w:t>
      </w:r>
      <w:r w:rsidRPr="00A528A6">
        <w:t>, David Haw</w:t>
      </w:r>
      <w:r w:rsidRPr="002D758A">
        <w:rPr>
          <w:vertAlign w:val="superscript"/>
        </w:rPr>
        <w:t>1</w:t>
      </w:r>
      <w:r w:rsidRPr="00A528A6">
        <w:t>, Sarah Hayes</w:t>
      </w:r>
      <w:r w:rsidRPr="002D758A">
        <w:rPr>
          <w:vertAlign w:val="superscript"/>
        </w:rPr>
        <w:t>1</w:t>
      </w:r>
      <w:r w:rsidRPr="00A528A6">
        <w:t>, Wes Hinsley</w:t>
      </w:r>
      <w:r w:rsidRPr="002D758A">
        <w:rPr>
          <w:vertAlign w:val="superscript"/>
        </w:rPr>
        <w:t>1</w:t>
      </w:r>
      <w:r w:rsidRPr="00A528A6">
        <w:t>, Natsuko Imai</w:t>
      </w:r>
      <w:r w:rsidRPr="002D758A">
        <w:rPr>
          <w:vertAlign w:val="superscript"/>
        </w:rPr>
        <w:t>1</w:t>
      </w:r>
      <w:r w:rsidRPr="00A528A6">
        <w:t>, David Jorgensen</w:t>
      </w:r>
      <w:r w:rsidRPr="002D758A">
        <w:rPr>
          <w:vertAlign w:val="superscript"/>
        </w:rPr>
        <w:t>1</w:t>
      </w:r>
      <w:r w:rsidRPr="00A528A6">
        <w:t>, Edward Knock</w:t>
      </w:r>
      <w:r w:rsidRPr="002D758A">
        <w:rPr>
          <w:vertAlign w:val="superscript"/>
        </w:rPr>
        <w:t>1</w:t>
      </w:r>
      <w:r w:rsidRPr="00A528A6">
        <w:t>, Daniel Laydon</w:t>
      </w:r>
      <w:r w:rsidRPr="002D758A">
        <w:rPr>
          <w:vertAlign w:val="superscript"/>
        </w:rPr>
        <w:t>1</w:t>
      </w:r>
      <w:r w:rsidRPr="00A528A6">
        <w:t>, Swapnil Mishra</w:t>
      </w:r>
      <w:r w:rsidRPr="002D758A">
        <w:rPr>
          <w:vertAlign w:val="superscript"/>
        </w:rPr>
        <w:t>1</w:t>
      </w:r>
      <w:r w:rsidRPr="00A528A6">
        <w:t>, Gemma Nedjati-Gilani</w:t>
      </w:r>
      <w:r w:rsidRPr="002D758A">
        <w:rPr>
          <w:vertAlign w:val="superscript"/>
        </w:rPr>
        <w:t>1</w:t>
      </w:r>
      <w:r w:rsidRPr="00A528A6">
        <w:t>,  Lucy C. Okell</w:t>
      </w:r>
      <w:r w:rsidRPr="002D758A">
        <w:rPr>
          <w:vertAlign w:val="superscript"/>
        </w:rPr>
        <w:t>1</w:t>
      </w:r>
      <w:r w:rsidRPr="00A528A6">
        <w:t xml:space="preserve">,  </w:t>
      </w:r>
      <w:r>
        <w:t xml:space="preserve">H. </w:t>
      </w:r>
      <w:r w:rsidRPr="00A528A6">
        <w:t>Juliette Unwin</w:t>
      </w:r>
      <w:r w:rsidRPr="002D758A">
        <w:rPr>
          <w:vertAlign w:val="superscript"/>
        </w:rPr>
        <w:t>1</w:t>
      </w:r>
      <w:r w:rsidRPr="00A528A6">
        <w:t>, Robert Verity</w:t>
      </w:r>
      <w:r w:rsidRPr="002D758A">
        <w:rPr>
          <w:vertAlign w:val="superscript"/>
        </w:rPr>
        <w:t>1</w:t>
      </w:r>
      <w:r w:rsidRPr="00A528A6">
        <w:t>, Michaela Vollmer</w:t>
      </w:r>
      <w:r w:rsidRPr="002D758A">
        <w:rPr>
          <w:vertAlign w:val="superscript"/>
        </w:rPr>
        <w:t>1</w:t>
      </w:r>
      <w:r w:rsidRPr="00A528A6">
        <w:t xml:space="preserve">, Caroline </w:t>
      </w:r>
      <w:r>
        <w:t xml:space="preserve">E. </w:t>
      </w:r>
      <w:r w:rsidRPr="00A528A6">
        <w:t>Walters</w:t>
      </w:r>
      <w:r w:rsidRPr="002D758A">
        <w:rPr>
          <w:vertAlign w:val="superscript"/>
        </w:rPr>
        <w:t>1</w:t>
      </w:r>
      <w:r w:rsidRPr="00A528A6">
        <w:t>, Hao</w:t>
      </w:r>
      <w:r>
        <w:t>w</w:t>
      </w:r>
      <w:r w:rsidRPr="00A528A6">
        <w:t>ei Wang</w:t>
      </w:r>
      <w:r w:rsidRPr="002D758A">
        <w:rPr>
          <w:vertAlign w:val="superscript"/>
        </w:rPr>
        <w:t>1</w:t>
      </w:r>
      <w:r w:rsidRPr="00A528A6">
        <w:t>, Yuanrong Wang</w:t>
      </w:r>
      <w:r w:rsidRPr="002D758A">
        <w:rPr>
          <w:vertAlign w:val="superscript"/>
        </w:rPr>
        <w:t>1</w:t>
      </w:r>
      <w:r w:rsidRPr="00A528A6">
        <w:t>,  Xiaoyue Xi</w:t>
      </w:r>
      <w:r w:rsidRPr="002D758A">
        <w:rPr>
          <w:vertAlign w:val="superscript"/>
        </w:rPr>
        <w:t>1</w:t>
      </w:r>
      <w:r w:rsidRPr="00A528A6">
        <w:t xml:space="preserve">, </w:t>
      </w:r>
      <w:r>
        <w:t>David G Lalloo</w:t>
      </w:r>
      <w:r w:rsidRPr="00626054">
        <w:rPr>
          <w:vertAlign w:val="superscript"/>
        </w:rPr>
        <w:t>5</w:t>
      </w:r>
      <w:r>
        <w:t xml:space="preserve">, </w:t>
      </w:r>
      <w:r w:rsidRPr="00A528A6">
        <w:t>Neil M. Ferguson</w:t>
      </w:r>
      <w:r w:rsidRPr="00A528A6">
        <w:rPr>
          <w:vertAlign w:val="superscript"/>
        </w:rPr>
        <w:t>1</w:t>
      </w:r>
      <w:r>
        <w:rPr>
          <w:vertAlign w:val="superscript"/>
        </w:rPr>
        <w:t>*</w:t>
      </w:r>
      <w:r w:rsidRPr="00A528A6">
        <w:t>, Azra C. Ghani</w:t>
      </w:r>
      <w:r w:rsidRPr="00A528A6">
        <w:rPr>
          <w:vertAlign w:val="superscript"/>
        </w:rPr>
        <w:t>1</w:t>
      </w:r>
      <w:r>
        <w:rPr>
          <w:vertAlign w:val="superscript"/>
        </w:rPr>
        <w:t>*</w:t>
      </w:r>
      <w:r w:rsidRPr="00A528A6">
        <w:t xml:space="preserve"> </w:t>
      </w:r>
    </w:p>
    <w:p w14:paraId="439870C8" w14:textId="77777777" w:rsidR="002D2830" w:rsidRDefault="002D2830" w:rsidP="002D2830">
      <w:pPr>
        <w:pStyle w:val="NormalWeb"/>
      </w:pPr>
      <w:r>
        <w:t>On behalf of the Imperial College COVID-19 Response Team</w:t>
      </w:r>
    </w:p>
    <w:p w14:paraId="4A2B8BDC" w14:textId="77777777" w:rsidR="002D2830" w:rsidRDefault="002D2830" w:rsidP="002D2830">
      <w:pPr>
        <w:pStyle w:val="NormalWeb"/>
      </w:pPr>
    </w:p>
    <w:p w14:paraId="03A163A6" w14:textId="77777777" w:rsidR="002D2830" w:rsidRDefault="002D2830" w:rsidP="002D2830">
      <w:pPr>
        <w:pStyle w:val="NormalWeb"/>
        <w:numPr>
          <w:ilvl w:val="0"/>
          <w:numId w:val="10"/>
        </w:numPr>
      </w:pPr>
      <w:r w:rsidRPr="00A528A6">
        <w:t>MRC Centre for Global Infectious Disease Analysis, Department of Infectious Disease Epidemiology, Imperial College London</w:t>
      </w:r>
    </w:p>
    <w:p w14:paraId="617879EB" w14:textId="77777777" w:rsidR="002D2830" w:rsidRDefault="002D2830" w:rsidP="002D2830">
      <w:pPr>
        <w:pStyle w:val="NormalWeb"/>
        <w:numPr>
          <w:ilvl w:val="0"/>
          <w:numId w:val="10"/>
        </w:numPr>
      </w:pPr>
      <w:r>
        <w:t>Pathology and Laboratory Medicine, Warren Alpert Medical School, Brown University</w:t>
      </w:r>
    </w:p>
    <w:p w14:paraId="65EA296D" w14:textId="77777777" w:rsidR="002D2830" w:rsidRDefault="002D2830" w:rsidP="002D2830">
      <w:pPr>
        <w:pStyle w:val="NormalWeb"/>
        <w:numPr>
          <w:ilvl w:val="0"/>
          <w:numId w:val="10"/>
        </w:numPr>
      </w:pPr>
      <w:r>
        <w:t>Department of Infectious Disease Epidemiology, London School of Hygiene &amp; Tropical Medicine</w:t>
      </w:r>
    </w:p>
    <w:p w14:paraId="63441A81" w14:textId="77777777" w:rsidR="002D2830" w:rsidRDefault="002D2830" w:rsidP="002D2830">
      <w:pPr>
        <w:pStyle w:val="NormalWeb"/>
        <w:numPr>
          <w:ilvl w:val="0"/>
          <w:numId w:val="10"/>
        </w:numPr>
      </w:pPr>
      <w:r>
        <w:t>Department of Statistics, University of Oxford</w:t>
      </w:r>
    </w:p>
    <w:p w14:paraId="46B9B3E2" w14:textId="77777777" w:rsidR="002D2830" w:rsidRPr="00A528A6" w:rsidRDefault="002D2830" w:rsidP="002D2830">
      <w:pPr>
        <w:pStyle w:val="NormalWeb"/>
        <w:numPr>
          <w:ilvl w:val="0"/>
          <w:numId w:val="10"/>
        </w:numPr>
      </w:pPr>
      <w:r>
        <w:t>Liverpool School of Tropical Medicine</w:t>
      </w:r>
    </w:p>
    <w:p w14:paraId="5D36C9F4" w14:textId="77777777" w:rsidR="002D2830" w:rsidRPr="007C6ACF" w:rsidRDefault="002D2830" w:rsidP="002D2830">
      <w:pPr>
        <w:pStyle w:val="NormalWeb"/>
      </w:pPr>
      <w:r w:rsidRPr="007C6ACF">
        <w:tab/>
      </w:r>
    </w:p>
    <w:p w14:paraId="19EE8237" w14:textId="77777777" w:rsidR="002D2830" w:rsidRPr="004869BF" w:rsidRDefault="002D2830" w:rsidP="002D2830">
      <w:pPr>
        <w:jc w:val="left"/>
      </w:pPr>
      <w:r>
        <w:rPr>
          <w:i/>
          <w:iCs/>
        </w:rPr>
        <w:t>*</w:t>
      </w:r>
      <w:r w:rsidRPr="004869BF">
        <w:t xml:space="preserve">Correspondence to: </w:t>
      </w:r>
      <w:hyperlink r:id="rId26" w:history="1">
        <w:r w:rsidRPr="00D80501">
          <w:rPr>
            <w:rStyle w:val="Hyperlink"/>
          </w:rPr>
          <w:t>a.ghani@imperial.ac.uk</w:t>
        </w:r>
      </w:hyperlink>
      <w:r>
        <w:t xml:space="preserve">; </w:t>
      </w:r>
      <w:hyperlink r:id="rId27" w:history="1">
        <w:r w:rsidRPr="00AA2178">
          <w:rPr>
            <w:rStyle w:val="Hyperlink"/>
          </w:rPr>
          <w:t>neil.ferguson@imperial.ac.uk</w:t>
        </w:r>
      </w:hyperlink>
      <w:r w:rsidRPr="004869BF">
        <w:t xml:space="preserve"> </w:t>
      </w:r>
    </w:p>
    <w:p w14:paraId="6E063305" w14:textId="77777777" w:rsidR="002D2830" w:rsidRDefault="002D2830" w:rsidP="002D2830">
      <w:r w:rsidRPr="002A0078">
        <w:rPr>
          <w:sz w:val="20"/>
          <w:szCs w:val="20"/>
          <w:vertAlign w:val="superscript"/>
        </w:rPr>
        <w:t>+</w:t>
      </w:r>
      <w:r w:rsidRPr="005664F0">
        <w:t>Contributed equally</w:t>
      </w:r>
    </w:p>
    <w:p w14:paraId="7EE04C1C" w14:textId="77777777" w:rsidR="002D2830" w:rsidRDefault="002D2830" w:rsidP="002D2830"/>
    <w:p w14:paraId="7DD4D3C4" w14:textId="77777777" w:rsidR="002D2830" w:rsidRDefault="002D2830" w:rsidP="002D2830">
      <w:r>
        <w:br w:type="page"/>
      </w:r>
    </w:p>
    <w:p w14:paraId="68CD014F" w14:textId="77777777" w:rsidR="002D2830" w:rsidRPr="009A6DC0" w:rsidRDefault="002D2830" w:rsidP="002D2830">
      <w:pPr>
        <w:pStyle w:val="Heading2"/>
      </w:pPr>
      <w:r>
        <w:lastRenderedPageBreak/>
        <w:t xml:space="preserve">Materials and </w:t>
      </w:r>
      <w:r w:rsidRPr="009A6DC0">
        <w:t xml:space="preserve">Methods </w:t>
      </w:r>
    </w:p>
    <w:p w14:paraId="1BB81E53" w14:textId="77777777" w:rsidR="002D2830" w:rsidRDefault="002D2830" w:rsidP="002D2830">
      <w:pPr>
        <w:pStyle w:val="Heading2"/>
      </w:pPr>
      <w:r>
        <w:t>Data Sources</w:t>
      </w:r>
    </w:p>
    <w:p w14:paraId="01701BD7" w14:textId="77777777" w:rsidR="002D2830" w:rsidRPr="009A6DC0" w:rsidRDefault="002D2830" w:rsidP="002D2830">
      <w:pPr>
        <w:pStyle w:val="Heading3"/>
      </w:pPr>
      <w:r w:rsidRPr="009A6DC0">
        <w:t xml:space="preserve">Patterns of contact, demography and household size across the World </w:t>
      </w:r>
    </w:p>
    <w:p w14:paraId="44E8B7BC" w14:textId="39FD55C7" w:rsidR="002D2830" w:rsidRPr="009C75F3" w:rsidRDefault="002D2830" w:rsidP="002D2830">
      <w:pPr>
        <w:rPr>
          <w:rFonts w:cstheme="minorHAnsi"/>
        </w:rPr>
      </w:pPr>
      <w:r w:rsidRPr="002E4316">
        <w:rPr>
          <w:rFonts w:cstheme="minorHAnsi"/>
        </w:rPr>
        <w:t>Population sizes and age distributions</w:t>
      </w:r>
      <w:r w:rsidRPr="009C75F3">
        <w:rPr>
          <w:rFonts w:cstheme="minorHAnsi"/>
        </w:rPr>
        <w:t xml:space="preserve"> by country were taken from the</w:t>
      </w:r>
      <w:r w:rsidRPr="00F348E3">
        <w:rPr>
          <w:rFonts w:cstheme="minorHAnsi"/>
        </w:rPr>
        <w:t xml:space="preserve"> 2020 World Population Prospects, the 27</w:t>
      </w:r>
      <w:r w:rsidRPr="00C42950">
        <w:rPr>
          <w:rFonts w:cstheme="minorHAnsi"/>
          <w:vertAlign w:val="superscript"/>
        </w:rPr>
        <w:t>th</w:t>
      </w:r>
      <w:r w:rsidRPr="0028501A">
        <w:rPr>
          <w:rFonts w:cstheme="minorHAnsi"/>
        </w:rPr>
        <w:t xml:space="preserve"> round of the official United Nations population estimates prepared by the Population Division of the Department of Economic and Social Affairs of the United Nations Secretariat (</w:t>
      </w:r>
      <w:hyperlink r:id="rId28" w:history="1">
        <w:r w:rsidRPr="00930828">
          <w:rPr>
            <w:rStyle w:val="Hyperlink"/>
            <w:rFonts w:cstheme="minorHAnsi"/>
          </w:rPr>
          <w:t>https://population.un.org/wpp/</w:t>
        </w:r>
      </w:hyperlink>
      <w:r w:rsidRPr="002E4316">
        <w:rPr>
          <w:rFonts w:cstheme="minorHAnsi"/>
        </w:rPr>
        <w:t>). Estimates of</w:t>
      </w:r>
      <w:r>
        <w:rPr>
          <w:rFonts w:cstheme="minorHAnsi"/>
        </w:rPr>
        <w:t xml:space="preserve"> the distribution of</w:t>
      </w:r>
      <w:r w:rsidRPr="002E4316">
        <w:rPr>
          <w:rFonts w:cstheme="minorHAnsi"/>
        </w:rPr>
        <w:t xml:space="preserve"> household size</w:t>
      </w:r>
      <w:r>
        <w:rPr>
          <w:rFonts w:cstheme="minorHAnsi"/>
        </w:rPr>
        <w:t>s</w:t>
      </w:r>
      <w:r w:rsidRPr="002E4316">
        <w:rPr>
          <w:rFonts w:cstheme="minorHAnsi"/>
        </w:rPr>
        <w:t xml:space="preserve"> and the age of members of each household were extracted from The Demographic and Health Surveys (DHS) Program using the rDHS packag</w:t>
      </w:r>
      <w:r w:rsidRPr="009C75F3">
        <w:rPr>
          <w:rFonts w:cstheme="minorHAnsi"/>
        </w:rPr>
        <w:t>e</w:t>
      </w:r>
      <w:r w:rsidRPr="00F348E3">
        <w:rPr>
          <w:rFonts w:cstheme="minorHAnsi"/>
        </w:rPr>
        <w:t xml:space="preserve"> </w:t>
      </w:r>
      <w:r w:rsidRPr="009C75F3">
        <w:rPr>
          <w:rFonts w:cstheme="minorHAnsi"/>
        </w:rPr>
        <w:fldChar w:fldCharType="begin" w:fldLock="1"/>
      </w:r>
      <w:r w:rsidR="008D059C">
        <w:rPr>
          <w:rFonts w:cstheme="minorHAnsi"/>
        </w:rPr>
        <w:instrText>ADDIN CSL_CITATION {"citationItems":[{"id":"ITEM-1","itemData":{"DOI":"10.12688/wellcomeopenres.15311.1","ISSN":"2398-502X","abstract":"Since 1985, the Demographic and Health Surveys (DHS) Program has conducted more than 400 surveys in over 90 countries. These surveys provide decision markers with key measures of population demographics, health and nutrition, which allow informed policy evaluation to be made. Though standard health indicators are routinely published in survey final reports, much of the value of DHS is derived from the ability to download and analyse standardised microdata datasets for subgroup analysis, pooled multi-country analysis, and extended research studies. We have developed an open-source freely available R package ‘rdhs’ to facilitate management and processing of DHS survey data. The package provides a suite of tools to (1) access standard survey indicators through the DHS Program API, (2) identify all survey datasets that include a particular topic or indicator relevant to a particular analysis, (3) directly download survey datasets from the DHS website, (4) load datasets and data dictionaries into R, and (5) extract variables and pool harmonised datasets for multi-survey analysis. We detail the core functionality of ‘rdhs’ by demonstrating how the package can be used to firstly compare trends in the prevalence of anaemia among women between countries before conducting secondary analysis to assess for the relationship between education and anemia.","author":[{"dropping-particle":"","family":"Watson","given":"Oliver J.","non-dropping-particle":"","parse-names":false,"suffix":""},{"dropping-particle":"","family":"FitzJohn","given":"Rich","non-dropping-particle":"","parse-names":false,"suffix":""},{"dropping-particle":"","family":"Eaton","given":"Jeffrey W.","non-dropping-particle":"","parse-names":false,"suffix":""}],"container-title":"Wellcome Open Research","id":"ITEM-1","issued":{"date-parts":[["2019","6","27"]]},"page":"103","publisher":"F1000 Research Ltd","title":"rdhs: an R package to interact with The Demographic and Health Surveys (DHS) Program datasets","type":"article-journal","volume":"4"},"uris":["http://www.mendeley.com/documents/?uuid=97d12cbb-a206-313a-9b46-d9eb718e986a"]}],"mendeley":{"formattedCitation":"(&lt;i&gt;36&lt;/i&gt;)","plainTextFormattedCitation":"(36)","previouslyFormattedCitation":"(&lt;i&gt;36&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36</w:t>
      </w:r>
      <w:r w:rsidR="001D089A" w:rsidRPr="001D089A">
        <w:rPr>
          <w:rFonts w:cstheme="minorHAnsi"/>
          <w:noProof/>
        </w:rPr>
        <w:t>)</w:t>
      </w:r>
      <w:r w:rsidRPr="009C75F3">
        <w:rPr>
          <w:rFonts w:cstheme="minorHAnsi"/>
        </w:rPr>
        <w:fldChar w:fldCharType="end"/>
      </w:r>
      <w:r w:rsidRPr="002E4316">
        <w:rPr>
          <w:rFonts w:cstheme="minorHAnsi"/>
        </w:rPr>
        <w:t xml:space="preserve">; data from a total of 59 LMIC countries with surveys conducted since 2010 were extracted. In addition, we extracted equivalent </w:t>
      </w:r>
      <w:r w:rsidRPr="009C75F3">
        <w:rPr>
          <w:rFonts w:cstheme="minorHAnsi"/>
        </w:rPr>
        <w:t xml:space="preserve">household </w:t>
      </w:r>
      <w:r w:rsidRPr="00F348E3">
        <w:rPr>
          <w:rFonts w:cstheme="minorHAnsi"/>
        </w:rPr>
        <w:t>information for the United Kingdom as a representative HIC</w:t>
      </w:r>
      <w:r w:rsidRPr="00C42950">
        <w:rPr>
          <w:rFonts w:cstheme="minorHAnsi"/>
        </w:rPr>
        <w:t xml:space="preserve"> </w:t>
      </w:r>
      <w:r w:rsidRPr="009C75F3">
        <w:rPr>
          <w:rFonts w:cstheme="minorHAnsi"/>
        </w:rPr>
        <w:fldChar w:fldCharType="begin" w:fldLock="1"/>
      </w:r>
      <w:r w:rsidR="008D059C">
        <w:rPr>
          <w:rFonts w:cstheme="minorHAnsi"/>
        </w:rPr>
        <w:instrText>ADDIN CSL_CITATION {"citationItems":[{"id":"ITEM-1","itemData":{"URL":"https://www.ons.gov.uk/peoplepopulationandcommunity/housing/adhocs/008635ct08202011censushouseholdtypehouseholdsizeandageofusualresidentspeopleenglandandwales?:uri=peoplepopulationandcommunity/housing/adhocs/008635ct08202011censushouseholdtypehouseholdsiz","accessed":{"date-parts":[["2020","3","18"]]},"author":[{"dropping-particle":"","family":"Office for National Statistics","given":"","non-dropping-particle":"","parse-names":false,"suffix":""}],"id":"ITEM-1","issued":{"date-parts":[["2018"]]},"title":"2011 Census - household type, household size and age of usual residents (people) - England and Wales -","type":"webpage"},"uris":["http://www.mendeley.com/documents/?uuid=3d36e9c8-4af8-3f38-9743-d8057e27445f"]}],"mendeley":{"formattedCitation":"(&lt;i&gt;37&lt;/i&gt;)","plainTextFormattedCitation":"(37)","previouslyFormattedCitation":"(&lt;i&gt;37&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37</w:t>
      </w:r>
      <w:r w:rsidR="001D089A" w:rsidRPr="001D089A">
        <w:rPr>
          <w:rFonts w:cstheme="minorHAnsi"/>
          <w:noProof/>
        </w:rPr>
        <w:t>)</w:t>
      </w:r>
      <w:r w:rsidRPr="009C75F3">
        <w:rPr>
          <w:rFonts w:cstheme="minorHAnsi"/>
        </w:rPr>
        <w:fldChar w:fldCharType="end"/>
      </w:r>
      <w:r w:rsidRPr="002E4316">
        <w:rPr>
          <w:rFonts w:cstheme="minorHAnsi"/>
        </w:rPr>
        <w:t xml:space="preserve">. </w:t>
      </w:r>
    </w:p>
    <w:p w14:paraId="2EDD7CB8" w14:textId="3713485A" w:rsidR="002D2830" w:rsidRPr="009C75F3" w:rsidRDefault="002D2830" w:rsidP="002D2830">
      <w:pPr>
        <w:rPr>
          <w:rFonts w:cstheme="minorHAnsi"/>
        </w:rPr>
      </w:pPr>
      <w:r w:rsidRPr="00F348E3">
        <w:rPr>
          <w:rFonts w:cstheme="minorHAnsi"/>
        </w:rPr>
        <w:t>We updated a recent systematic review o</w:t>
      </w:r>
      <w:r w:rsidRPr="00C42950">
        <w:rPr>
          <w:rFonts w:cstheme="minorHAnsi"/>
        </w:rPr>
        <w:t>f social contact surveys including MICs and LMICs</w:t>
      </w:r>
      <w:r w:rsidRPr="0028501A">
        <w:rPr>
          <w:rFonts w:cstheme="minorHAnsi"/>
        </w:rPr>
        <w:t xml:space="preserve"> </w:t>
      </w:r>
      <w:r w:rsidRPr="009C75F3">
        <w:rPr>
          <w:rFonts w:cstheme="minorHAnsi"/>
        </w:rPr>
        <w:fldChar w:fldCharType="begin" w:fldLock="1"/>
      </w:r>
      <w:r w:rsidR="008D059C">
        <w:rPr>
          <w:rFonts w:cstheme="minorHAnsi"/>
        </w:rPr>
        <w:instrText>ADDIN CSL_CITATION {"citationItems":[{"id":"ITEM-1","itemData":{"DOI":"10.1097/EDE.0000000000001047","ISSN":"1044-3983","abstract":"Background: Researchers increasingly use social contact data to inform models for infectious disease spread with the aim of guiding effective policies about disease prevention and control. In this article, we undertake a systematic review of the study design, statistical analyses, and outcomes of the many social contact surveys that have been published. Methods: We systematically searched PubMed and Web of Science for articles regarding social contact surveys. We followed the Preferred Reporting Items for Systematic Reviews and Meta-Analyses guidelines as closely as possible. Results: In total, we identified 64 social contact surveys, with more than 80% of the surveys conducted in high-income countries. Study settings included general population (58%), schools or universities (37%), and health care/conference/research institutes (5%). The largest number of studies did not focus on a specific age group (38%), whereas others focused on adults (32%) or children (19%). Retrospective (45%) and prospective (41%) designs were used most often with 6% using both for comparison purposes. The definition of a contact varied among surveys, e.g., a nonphysical contact may require conversation, close proximity, or both. We identified age, time schedule (e.g., weekday/weekend), and household size as relevant determinants of contact patterns across a large number of studies. Conclusions: We found that the overall features of the contact patterns were remarkably robust across several countries, and irrespective of the study details. By considering the most common approach in each aspect of design (e.g., sampling schemes, data collection, definition of contact), we could identify recommendations for future contact data surveys that may be used to facilitate comparison between studies.","author":[{"dropping-particle":"","family":"Hoang","given":"Thang","non-dropping-particle":"","parse-names":false,"suffix":""},{"dropping-particle":"","family":"Coletti","given":"Pietro","non-dropping-particle":"","parse-names":false,"suffix":""},{"dropping-particle":"","family":"Melegaro","given":"Alessia","non-dropping-particle":"","parse-names":false,"suffix":""},{"dropping-particle":"","family":"Wallinga","given":"Jacco","non-dropping-particle":"","parse-names":false,"suffix":""},{"dropping-particle":"","family":"Grijalva","given":"Carlos G.","non-dropping-particle":"","parse-names":false,"suffix":""},{"dropping-particle":"","family":"Edmunds","given":"John W.","non-dropping-particle":"","parse-names":false,"suffix":""},{"dropping-particle":"","family":"Beutels","given":"Philippe","non-dropping-particle":"","parse-names":false,"suffix":""},{"dropping-particle":"","family":"Hens","given":"Niel","non-dropping-particle":"","parse-names":false,"suffix":""}],"container-title":"Epidemiology","id":"ITEM-1","issue":"5","issued":{"date-parts":[["2019","9","1"]]},"page":"723-736","publisher":"Lippincott Williams and Wilkins","title":"A Systematic Review of Social Contact Surveys to Inform Transmission Models of Close-contact Infections","type":"article-journal","volume":"30"},"uris":["http://www.mendeley.com/documents/?uuid=f049e42e-b619-32af-b1db-4ef6265f9677"]}],"mendeley":{"formattedCitation":"(&lt;i&gt;38&lt;/i&gt;)","plainTextFormattedCitation":"(38)","previouslyFormattedCitation":"(&lt;i&gt;38&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38</w:t>
      </w:r>
      <w:r w:rsidR="001D089A" w:rsidRPr="001D089A">
        <w:rPr>
          <w:rFonts w:cstheme="minorHAnsi"/>
          <w:noProof/>
        </w:rPr>
        <w:t>)</w:t>
      </w:r>
      <w:r w:rsidRPr="009C75F3">
        <w:rPr>
          <w:rFonts w:cstheme="minorHAnsi"/>
        </w:rPr>
        <w:fldChar w:fldCharType="end"/>
      </w:r>
      <w:r w:rsidRPr="002E4316">
        <w:rPr>
          <w:rFonts w:cstheme="minorHAnsi"/>
        </w:rPr>
        <w:t xml:space="preserve"> to find patterns of contact by age across different populations and countries that were readily downloadable, including those available through the socialmixR package (</w:t>
      </w:r>
      <w:hyperlink r:id="rId29" w:history="1">
        <w:r w:rsidRPr="009C75F3">
          <w:rPr>
            <w:rStyle w:val="Hyperlink"/>
            <w:rFonts w:cstheme="minorHAnsi"/>
          </w:rPr>
          <w:t>https://gith</w:t>
        </w:r>
        <w:r w:rsidRPr="00F348E3">
          <w:rPr>
            <w:rStyle w:val="Hyperlink"/>
            <w:rFonts w:cstheme="minorHAnsi"/>
          </w:rPr>
          <w:t>ub.com/sbfnk/socialmixr</w:t>
        </w:r>
      </w:hyperlink>
      <w:r w:rsidRPr="002E4316">
        <w:rPr>
          <w:rFonts w:cstheme="minorHAnsi"/>
        </w:rPr>
        <w:t>).</w:t>
      </w:r>
      <w:r w:rsidRPr="009C75F3">
        <w:rPr>
          <w:rFonts w:cstheme="minorHAnsi"/>
        </w:rPr>
        <w:t xml:space="preserve"> </w:t>
      </w:r>
      <w:r>
        <w:rPr>
          <w:rFonts w:cstheme="minorHAnsi"/>
        </w:rPr>
        <w:t>I</w:t>
      </w:r>
      <w:r w:rsidRPr="009C75F3">
        <w:rPr>
          <w:rFonts w:cstheme="minorHAnsi"/>
        </w:rPr>
        <w:t>n accordance with the Preferred Reporting Items for Systematic Reviews and Meta-Analyses (PRISMA) guidelines</w:t>
      </w:r>
      <w:r w:rsidRPr="00F348E3">
        <w:rPr>
          <w:rFonts w:cstheme="minorHAnsi"/>
        </w:rPr>
        <w:t xml:space="preserve"> </w:t>
      </w:r>
      <w:r w:rsidRPr="009C75F3">
        <w:rPr>
          <w:rFonts w:cstheme="minorHAnsi"/>
        </w:rPr>
        <w:fldChar w:fldCharType="begin" w:fldLock="1"/>
      </w:r>
      <w:r w:rsidR="00D70B1B">
        <w:rPr>
          <w:rFonts w:cstheme="minorHAnsi"/>
        </w:rPr>
        <w:instrText>ADDIN CSL_CITATION {"citationItems":[{"id":"ITEM-1","itemData":{"DOI":"10.1186/2046-4053-4-1","abstract":"Systematic reviews should build on a protocol that describes the rationale, hypothesis, and planned methods of the review; few reviews report whether a protocol exists. Detailed, well-described protocols can facilitate the understanding and appraisal of the review methods, as well as the detection of modifications to methods and selective reporting in completed reviews. We describe the development of a reporting guideline, the Preferred Reporting Items for Systematic reviews and Meta-Analyses for Protocols 2015 (PRISMA-P 2015). PRISMA-P consists of a 17-item checklist intended to facilitate the preparation and reporting of a robust protocol for the systematic review. Funders and those commissioning reviews might consider mandating the use of the checklist to facilitate the submission of relevant protocol information in funding applications. Similarly, peer reviewers and editors can use the guidance to gauge the completeness and transparency of a systematic review protocol submitted for publication in a journal or other medium. Background","author":[{"dropping-particle":"","family":"Moher","given":"David","non-dropping-particle":"","parse-names":false,"suffix":""},{"dropping-particle":"","family":"Shamseer","given":"Larissa","non-dropping-particle":"","parse-names":false,"suffix":""},{"dropping-particle":"","family":"Clarke","given":"Mike","non-dropping-particle":"","parse-names":false,"suffix":""},{"dropping-particle":"","family":"Ghersi","given":"Davina","non-dropping-particle":"","parse-names":false,"suffix":""},{"dropping-particle":"","family":"Liberatî","given":"Alessandro","non-dropping-particle":"","parse-names":false,"suffix":""},{"dropping-particle":"","family":"Petticrew","given":"Mark","non-dropping-particle":"","parse-names":false,"suffix":""},{"dropping-particle":"","family":"Shekelle","given":"Paul","non-dropping-particle":"","parse-names":false,"suffix":""},{"dropping-particle":"","family":"Stewart","given":"Lesley A","non-dropping-particle":"","parse-names":false,"suffix":""},{"dropping-particle":"","family":"Group","given":"Prisma-P","non-dropping-particle":"","parse-names":false,"suffix":""}],"container-title":"Systematic Reviews","id":"ITEM-1","issued":{"date-parts":[["2015"]]},"page":"1-9","title":"Preferred reporting items for systematic review and meta-analysis protocols (PRISMA-P) 2015 statement","type":"article-journal","volume":"4"},"uris":["http://www.mendeley.com/documents/?uuid=e32f5010-053e-31f5-889c-b808a1fbd390"]}],"mendeley":{"formattedCitation":"(&lt;i&gt;39&lt;/i&gt;)","plainTextFormattedCitation":"(39)","previouslyFormattedCitation":"(&lt;i&gt;39&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39</w:t>
      </w:r>
      <w:r w:rsidR="001D089A" w:rsidRPr="001D089A">
        <w:rPr>
          <w:rFonts w:cstheme="minorHAnsi"/>
          <w:noProof/>
        </w:rPr>
        <w:t>)</w:t>
      </w:r>
      <w:r w:rsidRPr="009C75F3">
        <w:rPr>
          <w:rFonts w:cstheme="minorHAnsi"/>
        </w:rPr>
        <w:fldChar w:fldCharType="end"/>
      </w:r>
      <w:r w:rsidRPr="002E4316">
        <w:rPr>
          <w:rFonts w:cstheme="minorHAnsi"/>
        </w:rPr>
        <w:t>. We used the same search strings as in the original review, with the following search at NCBI PubMed:</w:t>
      </w:r>
    </w:p>
    <w:p w14:paraId="0206607C" w14:textId="77777777" w:rsidR="002D2830" w:rsidRPr="00C3393C" w:rsidRDefault="002D2830" w:rsidP="002D2830">
      <w:pPr>
        <w:rPr>
          <w:rFonts w:cstheme="minorHAnsi"/>
        </w:rPr>
      </w:pPr>
      <w:r w:rsidRPr="00F348E3">
        <w:rPr>
          <w:rFonts w:cstheme="minorHAnsi"/>
        </w:rPr>
        <w:t>((survey*[Title/Abstrac</w:t>
      </w:r>
      <w:r w:rsidRPr="00C42950">
        <w:rPr>
          <w:rFonts w:cstheme="minorHAnsi"/>
        </w:rPr>
        <w:t>t] OR questionnaire*[Title/Abstract] OR diary[Title/Abstract] OR diaries[Title/Abstract]) AND ( social contact*[Title/Abstract] OR mixing behavio*[Title/Abstract] OR mixing pattern*[Title/Abstract] OR contact pattern*[Title/Abstract] OR contact network*[Ti</w:t>
      </w:r>
      <w:r w:rsidRPr="0028501A">
        <w:rPr>
          <w:rFonts w:cstheme="minorHAnsi"/>
        </w:rPr>
        <w:t>tle/Abstract] OR contact survey*[Title/Abstract] OR contact data[Title/Abstract] ) AND ( "2018/01/31"[PDat] : "2020/12/31"[PDat] ))</w:t>
      </w:r>
    </w:p>
    <w:p w14:paraId="49B02D05" w14:textId="77777777" w:rsidR="002D2830" w:rsidRPr="00232A7C" w:rsidRDefault="002D2830" w:rsidP="002D2830">
      <w:pPr>
        <w:rPr>
          <w:rFonts w:cstheme="minorHAnsi"/>
        </w:rPr>
      </w:pPr>
      <w:r w:rsidRPr="0061276B">
        <w:rPr>
          <w:rFonts w:cstheme="minorHAnsi"/>
        </w:rPr>
        <w:t>And the following comparable search at ISI Web of Science within their Topic search fields (Title, Abstract, Author Keywords</w:t>
      </w:r>
      <w:r w:rsidRPr="004D16C1">
        <w:rPr>
          <w:rFonts w:cstheme="minorHAnsi"/>
        </w:rPr>
        <w:t>, Keywords Plus®</w:t>
      </w:r>
      <w:r w:rsidRPr="00183767">
        <w:rPr>
          <w:rFonts w:cstheme="minorHAnsi"/>
        </w:rPr>
        <w:t>️</w:t>
      </w:r>
      <w:r w:rsidRPr="0015452A">
        <w:rPr>
          <w:rFonts w:cstheme="minorHAnsi"/>
        </w:rPr>
        <w:t>), with the timespan set to 2018-2020:</w:t>
      </w:r>
    </w:p>
    <w:p w14:paraId="06BBE699" w14:textId="77777777" w:rsidR="002D2830" w:rsidRPr="003840E9" w:rsidRDefault="002D2830" w:rsidP="002D2830">
      <w:pPr>
        <w:rPr>
          <w:rFonts w:cstheme="minorHAnsi"/>
        </w:rPr>
      </w:pPr>
      <w:r w:rsidRPr="00737F6F">
        <w:rPr>
          <w:rFonts w:cstheme="minorHAnsi"/>
        </w:rPr>
        <w:t xml:space="preserve">((([survey*] OR [questionnaire*] OR [diary] OR [diaries]) AND (["social contact*"] OR ["mixing behavio*"] OR ["mixing pattern*"] OR ["contact pattern*"] OR ["contact network*"] OR ["contact survey*"] </w:t>
      </w:r>
      <w:r w:rsidRPr="006E7793">
        <w:rPr>
          <w:rFonts w:cstheme="minorHAnsi"/>
        </w:rPr>
        <w:t>OR ["contact data"])))</w:t>
      </w:r>
    </w:p>
    <w:p w14:paraId="718A3486" w14:textId="7266B72F" w:rsidR="002D2830" w:rsidRPr="00232A7C" w:rsidRDefault="002D2830" w:rsidP="002D2830">
      <w:pPr>
        <w:rPr>
          <w:rFonts w:cstheme="minorHAnsi"/>
        </w:rPr>
      </w:pPr>
      <w:r w:rsidRPr="00CD74C1">
        <w:rPr>
          <w:rFonts w:cstheme="minorHAnsi"/>
        </w:rPr>
        <w:t>This search yielded 283 articles</w:t>
      </w:r>
      <w:r>
        <w:rPr>
          <w:rFonts w:cstheme="minorHAnsi"/>
        </w:rPr>
        <w:t xml:space="preserve"> of which</w:t>
      </w:r>
      <w:r w:rsidRPr="00CD74C1">
        <w:rPr>
          <w:rFonts w:cstheme="minorHAnsi"/>
        </w:rPr>
        <w:t xml:space="preserve"> 21 were selected for full text screening after title/abstract screen</w:t>
      </w:r>
      <w:r>
        <w:rPr>
          <w:rFonts w:cstheme="minorHAnsi"/>
        </w:rPr>
        <w:t>,</w:t>
      </w:r>
      <w:r w:rsidRPr="00CD74C1">
        <w:rPr>
          <w:rFonts w:cstheme="minorHAnsi"/>
        </w:rPr>
        <w:t xml:space="preserve"> 7 were included for extraction</w:t>
      </w:r>
      <w:r w:rsidRPr="007C0486">
        <w:rPr>
          <w:rFonts w:cstheme="minorHAnsi"/>
        </w:rPr>
        <w:t xml:space="preserve">, producing a further 2 surveys published since the review </w:t>
      </w:r>
      <w:r w:rsidRPr="00026381">
        <w:rPr>
          <w:rFonts w:cstheme="minorHAnsi"/>
        </w:rPr>
        <w:t xml:space="preserve">where data was readily downloadable </w:t>
      </w:r>
      <w:r w:rsidRPr="001C3302">
        <w:rPr>
          <w:rFonts w:cstheme="minorHAnsi"/>
        </w:rPr>
        <w:t xml:space="preserve">(from India </w:t>
      </w:r>
      <w:r w:rsidRPr="009C75F3" w:rsidDel="00057D25">
        <w:rPr>
          <w:rFonts w:cstheme="minorHAnsi"/>
        </w:rPr>
        <w:fldChar w:fldCharType="begin" w:fldLock="1"/>
      </w:r>
      <w:r w:rsidR="005943EA">
        <w:rPr>
          <w:rFonts w:cstheme="minorHAnsi"/>
        </w:rPr>
        <w:instrText>ADDIN CSL_CITATION {"citationItems":[{"id":"ITEM-1","itemData":{"DOI":"10.1371/journal.pone.0209039","ISBN":"1111111111","abstract":"Acute lower respiratory infections (ALRI) are a leading cause of morbidity and mortality globally , with most ALRI deaths occurring in children in developing countries. Computational models can be used to test the efficacy of respiratory infection prevention interventions, but require data on social mixing patterns, which are sparse in developing countries. We describe social mixing patterns among a rural community in northern India. During October 2015-February 2016, trained field workers conducted cross-sectional face-to-face standardized surveys in a convenience sample of 330 households in Faridabad District, Haryana State, India. Respondents were asked about the number, duration, and setting of social interactions during the previous 24 hours. Responses were compared by age and gender. Among the 3083 residents who were approached, 2943 (96%) participated, of whom 51% were male and the median age was 22 years (interquartile range (IQR) 9-37). Respondents reported contact (defined as having had a face-to-face conversation within 3 feet, which may or may not have included physical contact) with a median of 17 (IQR 12-25) people during the preceding 24 hours. Median total contact time per person was 36 person-hours (IQR 26-52). Female older children and adults had significantly fewer contacts than males of similar age (Kruskal-Wallis χ2 = 226.59, p&lt;0.001), but spent a longer duration in contact with young children (Kruskal-Wallis χ2 = 27.26, p&lt;0.001), suggesting a potentially complex pattern of differential risk of infection between genders. After controlling for household size and day of the week, respondent age was significantly associated with number and duration of contacts. These findings can be used to model the impact of interventions to reduce lower respiratory tract infections in India. PLOS ONE | https://doi.org/10.1371/journal.pone.","author":[{"dropping-particle":"","family":"Kumarid","given":"Supriya","non-dropping-particle":"","parse-names":false,"suffix":""},{"dropping-particle":"","family":"Gosain","given":"Mudita","non-dropping-particle":"","parse-names":false,"suffix":""},{"dropping-particle":"","family":"Sharma","given":"Hanspria","non-dropping-particle":"","parse-names":false,"suffix":""},{"dropping-particle":"","family":"Swetts","given":"Eric","non-dropping-particle":"","parse-names":false,"suffix":""},{"dropping-particle":"","family":"Amarchand","given":"Ritvik","non-dropping-particle":"","parse-names":false,"suffix":""},{"dropping-particle":"","family":"Kumar","given":"Rakesh","non-dropping-particle":"","parse-names":false,"suffix":""},{"dropping-particle":"","family":"Lafond","given":"Kathryn E","non-dropping-particle":"","parse-names":false,"suffix":""},{"dropping-particle":"","family":"Dawood","given":"Fatimah S","non-dropping-particle":"","parse-names":false,"suffix":""},{"dropping-particle":"","family":"Jain","given":"Seema","non-dropping-particle":"","parse-names":false,"suffix":""},{"dropping-particle":"","family":"Widdowson","given":"Marc-Alain","non-dropping-particle":"","parse-names":false,"suffix":""},{"dropping-particle":"","family":"Readid","given":"Jonathan M","non-dropping-particle":"","parse-names":false,"suffix":""},{"dropping-particle":"","family":"Krishnan","given":"Anand","non-dropping-particle":"","parse-names":false,"suffix":""}],"container-title":"PloS one","id":"ITEM-1","issue":"12","issued":{"date-parts":[["2018"]]},"title":"Who interacts with whom? Social mixing insights from a rural population in India","type":"article-journal","volume":"13"},"uris":["http://www.mendeley.com/documents/?uuid=5158880a-0289-386a-b43f-de4bfea1f3a3"]}],"mendeley":{"formattedCitation":"(&lt;i&gt;40&lt;/i&gt;)","plainTextFormattedCitation":"(40)","previouslyFormattedCitation":"(&lt;i&gt;40&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40</w:t>
      </w:r>
      <w:r w:rsidR="001D089A" w:rsidRPr="001D089A">
        <w:rPr>
          <w:rFonts w:cstheme="minorHAnsi"/>
          <w:noProof/>
        </w:rPr>
        <w:t>)</w:t>
      </w:r>
      <w:r w:rsidRPr="009C75F3" w:rsidDel="00057D25">
        <w:rPr>
          <w:rFonts w:cstheme="minorHAnsi"/>
        </w:rPr>
        <w:fldChar w:fldCharType="end"/>
      </w:r>
      <w:r w:rsidRPr="002E4316">
        <w:rPr>
          <w:rFonts w:cstheme="minorHAnsi"/>
        </w:rPr>
        <w:t xml:space="preserve"> and Uganda</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{"citationItems":[{"id":"ITEM-1","itemData":{"DOI":"10.1186/s12879-018-3073-1","ISSN":"14712334","abstract":"Background: Quantification of human interactions relevant to infectious disease transmission through social contact is central to predict disease dynamics, yet data from low-resource settings remain scarce. Methods: We undertook a social contact survey in rural Uganda, whereby participants were asked to recall details about the frequency, type, and socio-demographic characteristics of any conversational encounter that lasted for ≥5 min (henceforth defined as 'contacts') during the previous day. An estimate of the number of 'casual contacts' (i.e. &lt;5 min) was also obtained. Results: In total, 566 individuals were included in the study. On average participants reported having routine contact with 7.2 individuals (range 1-25). Children aged 5-14 years had the highest frequency of contacts and the elderly (≥65 years) the fewest (P&lt;0.001). A strong age-assortative pattern was seen, particularly outside the household and increasingly so for contacts occurring further away from home. Adults aged 25-64 years tended to travel more often and further than others, and males travelled more frequently than females. Conclusion: Our study provides detailed information on contact patterns and their spatial characteristics in an African setting. It therefore fills an important knowledge gap that will help more accurately predict transmission dynamics and the impact of control strategies in such areas.","author":[{"dropping-particle":"","family":"Polain de Waroux","given":"O.","non-dropping-particle":"le","parse-names":false,"suffix":""},{"dropping-particle":"","family":"Cohuet","given":"S.","non-dropping-particle":"","parse-names":false,"suffix":""},{"dropping-particle":"","family":"Ndazima","given":"D.","non-dropping-particle":"","parse-names":false,"suffix":""},{"dropping-particle":"","family":"Kucharski","given":"A. J.","non-dropping-particle":"","parse-names":false,"suffix":""},{"dropping-particle":"","family":"Juan-Giner","given":"A.","non-dropping-particle":"","parse-names":false,"suffix":""},{"dropping-particle":"","family":"Flasche","given":"S.","non-dropping-particle":"","parse-names":false,"suffix":""},{"dropping-particle":"","family":"Tumwesigye","given":"E.","non-dropping-particle":"","parse-names":false,"suffix":""},{"dropping-particle":"","family":"Arinaitwe","given":"R.","non-dropping-particle":"","parse-names":false,"suffix":""},{"dropping-particle":"","family":"Mwanga-Amumpaire","given":"J.","non-dropping-particle":"","parse-names":false,"suffix":""},{"dropping-particle":"","family":"Boum","given":"Y.","non-dropping-particle":"","parse-names":false,"suffix":""},{"dropping-particle":"","family":"Nackers","given":"F.","non-dropping-particle":"","parse-names":false,"suffix":""},{"dropping-particle":"","family":"Checchi","given":"F.","non-dropping-particle":"","parse-names":false,"suffix":""},{"dropping-particle":"","family":"Grais","given":"R. F.","non-dropping-particle":"","parse-names":false,"suffix":""},{"dropping-particle":"","family":"Edmunds","given":"W. J.","non-dropping-particle":"","parse-names":false,"suffix":""}],"container-title":"BMC Infectious Diseases","id":"ITEM-1","issue":"1","issued":{"date-parts":[["2018","4","11"]]},"page":"172","publisher":"BioMed Central Ltd.","title":"Characteristics of human encounters and social mixing patterns relevant to infectious diseases spread by close contact: A survey in Southwest Uganda","type":"article-journal","volume":"18"},"uris":["http://www.mendeley.com/documents/?uuid=d4a11981-427f-3619-9760-0c9e9b163232"]}],"mendeley":{"formattedCitation":"(&lt;i&gt;41&lt;/i&gt;)","plainTextFormattedCitation":"(41)","previouslyFormattedCitation":"(&lt;i&gt;41&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41</w:t>
      </w:r>
      <w:r w:rsidR="001D089A" w:rsidRPr="001D089A">
        <w:rPr>
          <w:rFonts w:cstheme="minorHAnsi"/>
          <w:noProof/>
        </w:rPr>
        <w:t>)</w:t>
      </w:r>
      <w:r w:rsidRPr="009C75F3" w:rsidDel="00057D25">
        <w:rPr>
          <w:rFonts w:cstheme="minorHAnsi"/>
        </w:rPr>
        <w:fldChar w:fldCharType="end"/>
      </w:r>
      <w:r w:rsidRPr="002E4316">
        <w:rPr>
          <w:rFonts w:cstheme="minorHAnsi"/>
        </w:rPr>
        <w:t>)</w:t>
      </w:r>
      <w:r w:rsidRPr="009C75F3">
        <w:rPr>
          <w:rFonts w:cstheme="minorHAnsi"/>
        </w:rPr>
        <w:t>. As a result, w</w:t>
      </w:r>
      <w:r w:rsidRPr="00F348E3">
        <w:rPr>
          <w:rFonts w:cstheme="minorHAnsi"/>
        </w:rPr>
        <w:t>e identified</w:t>
      </w:r>
      <w:r w:rsidRPr="00C42950" w:rsidDel="00057D25">
        <w:rPr>
          <w:rFonts w:cstheme="minorHAnsi"/>
        </w:rPr>
        <w:t xml:space="preserve"> data from 18 countries</w:t>
      </w:r>
      <w:r>
        <w:rPr>
          <w:rFonts w:cstheme="minorHAnsi"/>
        </w:rPr>
        <w:t>:</w:t>
      </w:r>
      <w:r w:rsidRPr="0028501A">
        <w:rPr>
          <w:rFonts w:cstheme="minorHAnsi"/>
        </w:rPr>
        <w:t xml:space="preserve"> </w:t>
      </w:r>
      <w:r>
        <w:rPr>
          <w:rFonts w:cstheme="minorHAnsi"/>
        </w:rPr>
        <w:t>10</w:t>
      </w:r>
      <w:r w:rsidRPr="0028501A">
        <w:rPr>
          <w:rFonts w:cstheme="minorHAnsi"/>
        </w:rPr>
        <w:t xml:space="preserve"> </w:t>
      </w:r>
      <w:r w:rsidRPr="00C3393C" w:rsidDel="00057D25">
        <w:rPr>
          <w:rFonts w:cstheme="minorHAnsi"/>
        </w:rPr>
        <w:t xml:space="preserve">were from </w:t>
      </w:r>
      <w:r w:rsidRPr="0061276B">
        <w:rPr>
          <w:rFonts w:cstheme="minorHAnsi"/>
        </w:rPr>
        <w:t>HIC</w:t>
      </w:r>
      <w:r w:rsidRPr="004D16C1" w:rsidDel="00057D25">
        <w:rPr>
          <w:rFonts w:cstheme="minorHAnsi"/>
        </w:rPr>
        <w:t xml:space="preserve"> settings, with 8 (Belgium, Finland, Germany, Italy, Luxembourg, Netherlands, Poland and the United Kingdom) from the POLYMOD social mixing study</w:t>
      </w:r>
      <w:r w:rsidRPr="00183767">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{"citationItems":[{"id":"ITEM-1","itemData":{"DOI":"10.1371/journal.pmed.0050074","ISSN":"1549-1676","abstract":"Background: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 © 2008 Mossong et al.","author":[{"dropping-particle":"","family":"Mossong","given":"Joël","non-dropping-particle":"","parse-names":false,"suffix":""},{"dropping-particle":"","family":"Hens","given":"Niel","non-dropping-particle":"","parse-names":false,"suffix":""},{"dropping-particle":"","family":"Jit","given":"Mark","non-dropping-particle":"","parse-names":false,"suffix":""},{"dropping-particle":"","family":"Beutels","given":"Philippe","non-dropping-particle":"","parse-names":false,"suffix":""},{"dropping-particle":"","family":"Auranen","given":"Kari","non-dropping-particle":"","parse-names":false,"suffix":""},{"dropping-particle":"","family":"Mikolajczyk","given":"Rafael","non-dropping-particle":"","parse-names":false,"suffix":""},{"dropping-particle":"","family":"Massari","given":"Marco","non-dropping-particle":"","parse-names":false,"suffix":""},{"dropping-particle":"","family":"Salmaso","given":"Stefania","non-dropping-particle":"","parse-names":false,"suffix":""},{"dropping-particle":"","family":"Tomba","given":"Gianpaolo Scalia","non-dropping-particle":"","parse-names":false,"suffix":""},{"dropping-particle":"","family":"Wallinga","given":"Jacco","non-dropping-particle":"","parse-names":false,"suffix":""},{"dropping-particle":"","family":"Heijne","given":"Janneke","non-dropping-particle":"","parse-names":false,"suffix":""},{"dropping-particle":"","family":"Sadkowska-Todys","given":"Malgorzata","non-dropping-particle":"","parse-names":false,"suffix":""},{"dropping-particle":"","family":"Rosinska","given":"Magdalena","non-dropping-particle":"","parse-names":false,"suffix":""},{"dropping-particle":"","family":"Edmunds","given":"W. John","non-dropping-particle":"","parse-names":false,"suffix":""}],"container-title":"PLoS Medicine","editor":[{"dropping-particle":"","family":"Riley","given":"Steven","non-dropping-particle":"","parse-names":false,"suffix":""}],"id":"ITEM-1","issue":"3","issued":{"date-parts":[["2008","3","25"]]},"page":"e74","publisher":"Public Library of Science","title":"Social Contacts and Mixing Patterns Relevant to the Spread of Infectious Diseases","type":"article-journal","volume":"5"},"uris":["http://www.mendeley.com/documents/?uuid=c936a535-7dd3-30fe-a24f-463cae524133"]}],"mendeley":{"formattedCitation":"(&lt;i&gt;42&lt;/i&gt;)","plainTextFormattedCitation":"(42)","previouslyFormattedCitation":"(&lt;i&gt;42&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42</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w:t>
      </w:r>
      <w:r w:rsidRPr="009C75F3">
        <w:rPr>
          <w:rFonts w:cstheme="minorHAnsi"/>
        </w:rPr>
        <w:t xml:space="preserve">and </w:t>
      </w:r>
      <w:r>
        <w:rPr>
          <w:rFonts w:cstheme="minorHAnsi"/>
        </w:rPr>
        <w:t>2</w:t>
      </w:r>
      <w:r w:rsidRPr="009C75F3">
        <w:rPr>
          <w:rFonts w:cstheme="minorHAnsi"/>
        </w:rPr>
        <w:t xml:space="preserve"> further surveys from</w:t>
      </w:r>
      <w:r w:rsidRPr="00F348E3" w:rsidDel="00057D25">
        <w:rPr>
          <w:rFonts w:cstheme="minorHAnsi"/>
        </w:rPr>
        <w:t xml:space="preserve"> France</w:t>
      </w:r>
      <w:r w:rsidRPr="00C42950">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{"citationItems":[{"id":"ITEM-1","itemData":{"DOI":"10.1371/journal.pone.0133203","ISSN":"1932-6203","abstract":"Background Empirical social contact patterns are essential to understand the spread of infectious diseases. To date, no such data existed for France. Although infectious diseases are frequently seasonal, the temporal variation of contact patterns has not been documented hitherto. Methods COMES-F is the first French large-scale population survey, carried out over 3 different periods (February-March, April, April-May) with some participants common to the first and the last period. Participants described their contacts for 2 consecutive days, and reported separately on professional contacts when typically over 20 per day. Results 2033 participants reported 38 881 contacts (weighted median [first quartile-third quartile]: 8 [5-14] per day), and 54 378 contacts with supplementary professional contacts (9[5-17]). Contrary to age, gender, household size, holidays, weekend and occupation, period of the year had little influence on the number of contacts or the mixing patterns. Contact patterns were highly assortative with age, irrespective of the location of the contact, and gender, with women having 8% more contacts than men. Although most contacts occurred at home and at school, the inclusion of professional contacts modified the structure of the mixing patterns. Holidays and weekends reduced dramatically the number of contacts, and as proxies for school closure, reduced R0 by 33% and 28%, respectively. Thus, school closures could have an important impact on the spread of close contact infections in France. Conclusions Despite no clear evidence for temporal variation, trends suggest that more studies are needed. Age and gender were found important determinants of the mixing patterns. Gender differences in mixing patterns might help explain gender differences in the epidemiology of infectious diseases. Copyright:","author":[{"dropping-particle":"","family":"Béraud","given":"Guillaume","non-dropping-particle":"","parse-names":false,"suffix":""},{"dropping-particle":"","family":"Kazmercziak","given":"Sabine","non-dropping-particle":"","parse-names":false,"suffix":""},{"dropping-particle":"","family":"Beutels","given":"Philippe","non-dropping-particle":"","parse-names":false,"suffix":""},{"dropping-particle":"","family":"Levy-Bruhl","given":"Daniel","non-dropping-particle":"","parse-names":false,"suffix":""},{"dropping-particle":"","family":"Lenne","given":"Xavier","non-dropping-particle":"","parse-names":false,"suffix":""},{"dropping-particle":"","family":"Mielcarek","given":"Nathalie","non-dropping-particle":"","parse-names":false,"suffix":""},{"dropping-particle":"","family":"Yazdanpanah","given":"Yazdan","non-dropping-particle":"","parse-names":false,"suffix":""},{"dropping-particle":"","family":"Boëlle","given":"Pierre-Yves","non-dropping-particle":"","parse-names":false,"suffix":""},{"dropping-particle":"","family":"Hens","given":"Niel","non-dropping-particle":"","parse-names":false,"suffix":""},{"dropping-particle":"","family":"Dervaux","given":"Benoit","non-dropping-particle":"","parse-names":false,"suffix":""}],"container-title":"PLOS ONE","editor":[{"dropping-particle":"","family":"Chuang","given":"Jen-Hsiang","non-dropping-particle":"","parse-names":false,"suffix":""}],"id":"ITEM-1","issue":"7","issued":{"date-parts":[["2015","7","15"]]},"page":"e0133203","publisher":"Public Library of Science","title":"The French Connection: The First Large Population-Based Contact Survey in France Relevant for the Spread of Infectious Diseases","type":"article-journal","volume":"10"},"uris":["http://www.mendeley.com/documents/?uuid=4ab81e09-bad8-32d9-b54b-9364a60f4c58"]}],"mendeley":{"formattedCitation":"(&lt;i&gt;43&lt;/i&gt;)","plainTextFormattedCitation":"(43)","previouslyFormattedCitation":"(&lt;i&gt;43&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43</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and Hong Kong</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{"citationItems":[{"id":"ITEM-1","itemData":{"DOI":"10.1038/s41598-017-08241-1","ISSN":"20452322","abstract":"The spread of many respiratory infections is determined by contact patterns between infectious and susceptible individuals in the population. There are no published data for quantifying social contact patterns relevant to the spread of respiratory infectious diseases in Hong Kong which is a hotspot for emerging infectious diseases due to its high population density and connectivity in the air transportation network. We adopted a commonly used diary-based design to conduct a social contact survey in Hong Kong in 2015/16 using both paper and online questionnaires. Participants using paper questionnaires reported more contacts and longer contact duration than those using online questionnaires. Participants reported 13 person-hours of contact and 8 contacts per day on average, which decreased over age but increased with household size, years of education and income level. Prolonged and frequent contacts, and contacts at home, school and work were more likely to involve physical contacts. Strong age-assortativity was observed in all age groups. We evaluated the characteristics of social contact patterns relevant to the spread of respiratory infectious diseases in Hong Kong. Our findings could help to improve the design of future social contact surveys, parameterize transmission models of respiratory infectious diseases, and inform intervention strategies based on model outputs.","author":[{"dropping-particle":"","family":"Leung","given":"Kathy","non-dropping-particle":"","parse-names":false,"suffix":""},{"dropping-particle":"","family":"Jit","given":"Mark","non-dropping-particle":"","parse-names":false,"suffix":""},{"dropping-particle":"","family":"Lau","given":"Eric H.Y.","non-dropping-particle":"","parse-names":false,"suffix":""},{"dropping-particle":"","family":"Wu","given":"Joseph T.","non-dropping-particle":"","parse-names":false,"suffix":""}],"container-title":"Scientific Reports","id":"ITEM-1","issue":"1","issued":{"date-parts":[["2017","8","11"]]},"page":"1-12","publisher":"Nature Publishing Group","title":"Social contact patterns relevant to the spread of respiratory infectious diseases in Hong Kong","type":"article-journal","volume":"7"},"uris":["http://www.mendeley.com/documents/?uuid=e854c6d9-365f-387e-863a-7e58c410bfe9"]}],"mendeley":{"formattedCitation":"(&lt;i&gt;44&lt;/i&gt;)","plainTextFormattedCitation":"(44)","previouslyFormattedCitation":"(&lt;i&gt;44&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44</w:t>
      </w:r>
      <w:r w:rsidR="001D089A" w:rsidRPr="001D089A">
        <w:rPr>
          <w:rFonts w:cstheme="minorHAnsi"/>
          <w:noProof/>
        </w:rPr>
        <w:t>)</w:t>
      </w:r>
      <w:r w:rsidRPr="009C75F3" w:rsidDel="00057D25">
        <w:rPr>
          <w:rFonts w:cstheme="minorHAnsi"/>
        </w:rPr>
        <w:fldChar w:fldCharType="end"/>
      </w:r>
      <w:r w:rsidRPr="002E4316">
        <w:rPr>
          <w:rFonts w:cstheme="minorHAnsi"/>
        </w:rPr>
        <w:t xml:space="preserve">. </w:t>
      </w:r>
      <w:r>
        <w:rPr>
          <w:rFonts w:cstheme="minorHAnsi"/>
        </w:rPr>
        <w:t>A total of 4</w:t>
      </w:r>
      <w:r w:rsidRPr="00F348E3">
        <w:rPr>
          <w:rFonts w:cstheme="minorHAnsi"/>
        </w:rPr>
        <w:t xml:space="preserve"> surveys were identified in UMIC</w:t>
      </w:r>
      <w:r w:rsidRPr="00C42950" w:rsidDel="00057D25">
        <w:rPr>
          <w:rFonts w:cstheme="minorHAnsi"/>
        </w:rPr>
        <w:t xml:space="preserve"> settings</w:t>
      </w:r>
      <w:r w:rsidRPr="0028501A">
        <w:rPr>
          <w:rFonts w:cstheme="minorHAnsi"/>
        </w:rPr>
        <w:t xml:space="preserve">: </w:t>
      </w:r>
      <w:r w:rsidRPr="00C3393C" w:rsidDel="00057D25">
        <w:rPr>
          <w:rFonts w:cstheme="minorHAnsi"/>
        </w:rPr>
        <w:t>China</w:t>
      </w:r>
      <w:r w:rsidRPr="0061276B">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{"citationItems":[{"id":"ITEM-1","itemData":{"DOI":"10.1038/s41598-019-51609-8","ISSN":"20452322","abstract":"East Asia is as a principal hotspot for emerging zoonotic infections. Understanding the likely pathways for their emergence and spread requires knowledge on human-human and human-animal contacts, but such studies are rare. We used self-completed and interviewer-completed contact diaries to quantify patterns of these contacts for 965 individuals in 2017/2018 in a high-income densely-populated area of China, Shanghai City. Interviewer-completed diaries recorded more social contacts (19.3 vs. 18.0) and longer social contact duration (35.0 vs. 29.1 hours) than self-reporting. Strong age-assortativity was observed in all age groups especially among young participants (aged 7–20) and middle aged participants (25–55 years). 17.7% of participants reported touching animals (15.3% (pets), 0.0% (poultry) and 0.1% (livestock)). Human-human contact was very frequent but contact with animals (especially poultry) was rare although associated with frequent human-human contact. Hence, this densely populated area is more likely to act as an accelerator for human-human spread but less likely to be at the source of a zoonosis outbreak. We also propose that telephone interview at the end of reporting day is a potential improvement of the design of future contact surveys.","author":[{"dropping-particle":"","family":"Zhang","given":"Juanjuan","non-dropping-particle":"","parse-names":false,"suffix":""},{"dropping-particle":"","family":"Klepac","given":"Petra","non-dropping-particle":"","parse-names":false,"suffix":""},{"dropping-particle":"","family":"Read","given":"Jonathan M.","non-dropping-particle":"","parse-names":false,"suffix":""},{"dropping-particle":"","family":"Rosello","given":"Alicia","non-dropping-particle":"","parse-names":false,"suffix":""},{"dropping-particle":"","family":"Wang","given":"Xiling","non-dropping-particle":"","parse-names":false,"suffix":""},{"dropping-particle":"","family":"Lai","given":"Shengjie","non-dropping-particle":"","parse-names":false,"suffix":""},{"dropping-particle":"","family":"Li","given":"Meng","non-dropping-particle":"","parse-names":false,"suffix":""},{"dropping-particle":"","family":"Song","given":"Yujian","non-dropping-particle":"","parse-names":false,"suffix":""},{"dropping-particle":"","family":"Wei","given":"Qingzhen","non-dropping-particle":"","parse-names":false,"suffix":""},{"dropping-particle":"","family":"Jiang","given":"Hao","non-dropping-particle":"","parse-names":false,"suffix":""},{"dropping-particle":"","family":"Yang","given":"Juan","non-dropping-particle":"","parse-names":false,"suffix":""},{"dropping-particle":"","family":"Lynn","given":"Henry","non-dropping-particle":"","parse-names":false,"suffix":""},{"dropping-particle":"","family":"Flasche","given":"Stefan","non-dropping-particle":"","parse-names":false,"suffix":""},{"dropping-particle":"","family":"Jit","given":"Mark","non-dropping-particle":"","parse-names":false,"suffix":""},{"dropping-particle":"","family":"Yu","given":"Hongjie","non-dropping-particle":"","parse-names":false,"suffix":""}],"container-title":"Scientific Reports","id":"ITEM-1","issue":"1","issued":{"date-parts":[["2019","12","1"]]},"page":"1-11","publisher":"Nature Publishing Group","title":"Patterns of human social contact and contact with animals in Shanghai, China","type":"article-journal","volume":"9"},"uris":["http://www.mendeley.com/documents/?uuid=c5f4b0cb-2e80-3597-8158-5a1f18e22caa"]}],"mendeley":{"formattedCitation":"(&lt;i&gt;45&lt;/i&gt;)","plainTextFormattedCitation":"(45)","previouslyFormattedCitation":"(&lt;i&gt;45&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45</w:t>
      </w:r>
      <w:r w:rsidR="001D089A" w:rsidRPr="001D089A">
        <w:rPr>
          <w:rFonts w:cstheme="minorHAnsi"/>
          <w:noProof/>
        </w:rPr>
        <w:t>)</w:t>
      </w:r>
      <w:r w:rsidRPr="009C75F3" w:rsidDel="00057D25">
        <w:rPr>
          <w:rFonts w:cstheme="minorHAnsi"/>
        </w:rPr>
        <w:fldChar w:fldCharType="end"/>
      </w:r>
      <w:r w:rsidRPr="002E4316" w:rsidDel="00057D25">
        <w:rPr>
          <w:rFonts w:cstheme="minorHAnsi"/>
        </w:rPr>
        <w:t>, Peru</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{"citationItems":[{"id":"ITEM-1","itemData":{"DOI":"10.1371/journal.pone.0118457","ISSN":"19326203","abstract":"Background: Few studies have quantified social mixing in remote rural areas of developing countries, where the burden of infectious diseases is usually the highest. Understanding social mixing patterns in those settings is crucial to inform the implementation of strategies for disease prevention and control. We characterized contact and social mixing patterns in rural communities of the Peruvian highlands. Methods and Findings: This cross-sectional study was nested in a large prospective household-based study of respiratory infections conducted in the province of San Marcos, Cajamarca-Peru. Members of study households were interviewed using a structured questionnaire of social contacts (conversation or physical interaction) experienced during the last 24 hours. We identified 9015 reported contacts from 588 study household members. The median age of respondents was 17 years (interquartile range [IQR] 4-34 years). The median number of reported contacts was 12 (IQR 8-20) whereas the median number of physical (i.e. skin-to-skin) contacts was 8.5 (IQR 5-14). Study participants had contacts mostly with people of similar age, and with their offspring or parents. The number of reported contacts was mainly determined by the participants' age, household size and occupation. School-aged children had more contacts than other age groups. Within-household reciprocity of contacts reporting declined with household size (range 70%-100%). Ninety percent of household contact networks were complete, and furthermore, household members' contacts with non-household members showed significant overlap (range 33%-86%), indicating a high degree of contact clustering. A two-level mixing epidemic model was simulated to compare within-household mixing based on observed contact networks and within-household random mixing. No differences in the size or duration of the simulated epidemics were revealed. Conclusion: This study of rural low-density communities in the highlands of Peru suggests contact patterns are highly assortative. Study findings support the use of within-household homogenous mixing assumptions for epidemic modeling in this setting.","author":[{"dropping-particle":"","family":"Grijalva","given":"Carlos G.","non-dropping-particle":"","parse-names":false,"suffix":""},{"dropping-particle":"","family":"Goeyvaerts","given":"Nele","non-dropping-particle":"","parse-names":false,"suffix":""},{"dropping-particle":"","family":"Verastegui","given":"Hector","non-dropping-particle":"","parse-names":false,"suffix":""},{"dropping-particle":"","family":"Edwards","given":"Kathryn M.","non-dropping-particle":"","parse-names":false,"suffix":""},{"dropping-particle":"","family":"Gil","given":"Ana I.","non-dropping-particle":"","parse-names":false,"suffix":""},{"dropping-particle":"","family":"Lanata","given":"Claudio F.","non-dropping-particle":"","parse-names":false,"suffix":""},{"dropping-particle":"","family":"Hens","given":"Niel","non-dropping-particle":"","parse-names":false,"suffix":""}],"container-title":"PLoS ONE","id":"ITEM-1","issue":"3","issued":{"date-parts":[["2015","3","3"]]},"publisher":"Public Library of Science","title":"A household-based study of contact networks relevant for the spread of infectious diseases in the highlands of peru","type":"article-journal","volume":"10"},"uris":["http://www.mendeley.com/documents/?uuid=4d99c27f-21e9-37c8-b996-5ccd122cee2e"]}],"mendeley":{"formattedCitation":"(&lt;i&gt;46&lt;/i&gt;)","plainTextFormattedCitation":"(46)","previouslyFormattedCitation":"(&lt;i&gt;46&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46</w:t>
      </w:r>
      <w:r w:rsidR="001D089A" w:rsidRPr="001D089A">
        <w:rPr>
          <w:rFonts w:cstheme="minorHAnsi"/>
          <w:noProof/>
        </w:rPr>
        <w:t>)</w:t>
      </w:r>
      <w:r w:rsidRPr="009C75F3" w:rsidDel="00057D25">
        <w:rPr>
          <w:rFonts w:cstheme="minorHAnsi"/>
        </w:rPr>
        <w:fldChar w:fldCharType="end"/>
      </w:r>
      <w:r w:rsidRPr="002E4316" w:rsidDel="00057D25">
        <w:rPr>
          <w:rFonts w:cstheme="minorHAnsi"/>
        </w:rPr>
        <w:t>, Russia</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{"citationItems":[{"id":"ITEM-1","itemData":{"DOI":"10.1016/j.jtbi.2017.01.041","ISSN":"10958541","abstract":"Understanding human mixing patterns is the key to provide public health decision makers with model-based evaluation of strategies for the control of infectious diseases. Here we conducted a population-based survey in Tomsk, Russia, asking participants to record all their contacts in physical person during the day. We estimated 9.8 contacts per person per day on average, 15.2 when including additional estimated professional contacts. We found that contacts were highly assortative by age, especially for school-age individuals, and the number of contacts negatively correlated with the age of the participant. The network of contacts was quite clustered, with the majority of contacts (about 72%) occurring between family members, students of the same school/university, and work colleagues. School represents the location where the largest number of contacts was recorded – students contacted about 7 individuals per day at school. Our modeling analysis based on the recorded contact patterns supports the importance of modeling age-mixing patterns – we show that, in the case of an epidemic caused by a novel influenza virus, school-age individuals would be the most affected age group, followed by adults aged 35–44 years. In conclusion, this study reveals an age-mixing pattern in general agreement with that estimated for European countries, although with several quantitative differences. The observed differences can be attributable to sociodemographic and cultural differences between countries. The age- and setting-specific contact matrices provided in this study could be instrumental for the design of control measures for airborne infections, specifically targeted on the characteristics of the Russian population.","author":[{"dropping-particle":"","family":"Ajelli","given":"Marco","non-dropping-particle":"","parse-names":false,"suffix":""},{"dropping-particle":"","family":"Litvinova","given":"Maria","non-dropping-particle":"","parse-names":false,"suffix":""}],"container-title":"Journal of Theoretical Biology","id":"ITEM-1","issued":{"date-parts":[["2017","4","21"]]},"page":"1-7","publisher":"Academic Press","title":"Estimating contact patterns relevant to the spread of infectious diseases in Russia","type":"article-journal","volume":"419"},"uris":["http://www.mendeley.com/documents/?uuid=261976bb-bdaa-3d07-8eab-14c59becf6e9"]}],"mendeley":{"formattedCitation":"(&lt;i&gt;47&lt;/i&gt;)","plainTextFormattedCitation":"(47)","previouslyFormattedCitation":"(&lt;i&gt;47&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47</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and South Africa</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{"citationItems":[{"id":"ITEM-1","itemData":{"DOI":"10.1093/aje/kwr251","ISSN":"1476-6256","PMID":"22071585","abstract":"A prospective survey of social mixing patterns relevant to respiratory disease transmission by large droplets (e.g., influenza) or small droplet nuclei (e.g., tuberculosis) was performed in a South African township in 2010. A total of 571 randomly selected participants recorded the numbers, times, and locations of close contacts (physical/nonphysical) and indoor casual contacts met daily. The median number of physical contacts was 12 (interquartile range (IQR), 7-18), the median number of close contacts was 20 (IQR, 13-29), and the total number of indoor contacts was 30 (IQR, 12-54). Physical and close contacts were most frequent and age-associative in youths aged 5-19 years. Numbers of close contacts were 40% higher than in corresponding populations in industrialized countries (P &lt; 0.001). This may put township communities at higher risk for epidemics of acute respiratory illnesses. Simulations of an acute influenza epidemic predominantly involved adolescents and young adults, indicating that control strategies should be directed toward these age groups. Of all contacts, 86.2% occurred indoors with potential exposure to respiratory droplet nuclei, of which 27.2%, 20.1%, 20.0%, and 8.0% were in transport, own household, crèche/school, and work locations, respectively. Indoor contact time was long in households and short during transport. High numbers of indoor contacts and intergenerational mixing in households and transport may contribute to exceptionally high rates of tuberculosis transmission reported in the community.","author":[{"dropping-particle":"","family":"Johnstone-Robertson","given":"Simon P","non-dropping-particle":"","parse-names":false,"suffix":""},{"dropping-particle":"","family":"Mark","given":"Daniella","non-dropping-particle":"","parse-names":false,"suffix":""},{"dropping-particle":"","family":"Morrow","given":"Carl","non-dropping-particle":"","parse-names":false,"suffix":""},{"dropping-particle":"","family":"Middelkoop","given":"Keren","non-dropping-particle":"","parse-names":false,"suffix":""},{"dropping-particle":"","family":"Chiswell","given":"Melika","non-dropping-particle":"","parse-names":false,"suffix":""},{"dropping-particle":"","family":"Aquino","given":"Lisa D H","non-dropping-particle":"","parse-names":false,"suffix":""},{"dropping-particle":"","family":"Bekker","given":"Linda-Gail","non-dropping-particle":"","parse-names":false,"suffix":""},{"dropping-particle":"","family":"Wood","given":"Robin","non-dropping-particle":"","parse-names":false,"suffix":""}],"container-title":"American journal of epidemiology","id":"ITEM-1","issue":"11","issued":{"date-parts":[["2011","12","1"]]},"page":"1246-55","title":"Social mixing patterns within a South African township community: implications for respiratory disease transmission and control.","type":"article-journal","volume":"174"},"uris":["http://www.mendeley.com/documents/?uuid=f16199d0-cd50-3e46-a033-74b656bb584f"]}],"mendeley":{"formattedCitation":"(&lt;i&gt;48&lt;/i&gt;)","plainTextFormattedCitation":"(48)","previouslyFormattedCitation":"(&lt;i&gt;48&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48</w:t>
      </w:r>
      <w:r w:rsidR="001D089A" w:rsidRPr="001D089A">
        <w:rPr>
          <w:rFonts w:cstheme="minorHAnsi"/>
          <w:noProof/>
        </w:rPr>
        <w:t>)</w:t>
      </w:r>
      <w:r w:rsidRPr="009C75F3" w:rsidDel="00057D25">
        <w:rPr>
          <w:rFonts w:cstheme="minorHAnsi"/>
        </w:rPr>
        <w:fldChar w:fldCharType="end"/>
      </w:r>
      <w:r w:rsidRPr="002E4316">
        <w:rPr>
          <w:rFonts w:cstheme="minorHAnsi"/>
        </w:rPr>
        <w:t>.</w:t>
      </w:r>
      <w:r>
        <w:rPr>
          <w:rFonts w:cstheme="minorHAnsi"/>
        </w:rPr>
        <w:t xml:space="preserve"> and3</w:t>
      </w:r>
      <w:r w:rsidRPr="00F348E3">
        <w:rPr>
          <w:rFonts w:cstheme="minorHAnsi"/>
        </w:rPr>
        <w:t xml:space="preserve"> surveys in LMIC</w:t>
      </w:r>
      <w:r w:rsidRPr="00C42950" w:rsidDel="00057D25">
        <w:rPr>
          <w:rFonts w:cstheme="minorHAnsi"/>
        </w:rPr>
        <w:t xml:space="preserve"> settings</w:t>
      </w:r>
      <w:r w:rsidRPr="0028501A">
        <w:rPr>
          <w:rFonts w:cstheme="minorHAnsi"/>
        </w:rPr>
        <w:t>:</w:t>
      </w:r>
      <w:r w:rsidRPr="00C3393C" w:rsidDel="00057D25">
        <w:rPr>
          <w:rFonts w:cstheme="minorHAnsi"/>
        </w:rPr>
        <w:t xml:space="preserve"> India</w:t>
      </w:r>
      <w:r w:rsidRPr="0061276B">
        <w:rPr>
          <w:rFonts w:cstheme="minorHAnsi"/>
        </w:rPr>
        <w:t xml:space="preserve"> </w:t>
      </w:r>
      <w:r w:rsidRPr="009C75F3" w:rsidDel="00057D25">
        <w:rPr>
          <w:rFonts w:cstheme="minorHAnsi"/>
        </w:rPr>
        <w:fldChar w:fldCharType="begin" w:fldLock="1"/>
      </w:r>
      <w:r w:rsidR="005943EA">
        <w:rPr>
          <w:rFonts w:cstheme="minorHAnsi"/>
        </w:rPr>
        <w:instrText>ADDIN CSL_CITATION {"citationItems":[{"id":"ITEM-1","itemData":{"DOI":"10.1371/journal.pone.0209039","ISBN":"1111111111","abstract":"Acute lower respiratory infections (ALRI) are a leading cause of morbidity and mortality globally , with most ALRI deaths occurring in children in developing countries. Computational models can be used to test the efficacy of respiratory infection prevention interventions, but require data on social mixing patterns, which are sparse in developing countries. We describe social mixing patterns among a rural community in northern India. During October 2015-February 2016, trained field workers conducted cross-sectional face-to-face standardized surveys in a convenience sample of 330 households in Faridabad District, Haryana State, India. Respondents were asked about the number, duration, and setting of social interactions during the previous 24 hours. Responses were compared by age and gender. Among the 3083 residents who were approached, 2943 (96%) participated, of whom 51% were male and the median age was 22 years (interquartile range (IQR) 9-37). Respondents reported contact (defined as having had a face-to-face conversation within 3 feet, which may or may not have included physical contact) with a median of 17 (IQR 12-25) people during the preceding 24 hours. Median total contact time per person was 36 person-hours (IQR 26-52). Female older children and adults had significantly fewer contacts than males of similar age (Kruskal-Wallis χ2 = 226.59, p&lt;0.001), but spent a longer duration in contact with young children (Kruskal-Wallis χ2 = 27.26, p&lt;0.001), suggesting a potentially complex pattern of differential risk of infection between genders. After controlling for household size and day of the week, respondent age was significantly associated with number and duration of contacts. These findings can be used to model the impact of interventions to reduce lower respiratory tract infections in India. PLOS ONE | https://doi.org/10.1371/journal.pone.","author":[{"dropping-particle":"","family":"Kumarid","given":"Supriya","non-dropping-particle":"","parse-names":false,"suffix":""},{"dropping-particle":"","family":"Gosain","given":"Mudita","non-dropping-particle":"","parse-names":false,"suffix":""},{"dropping-particle":"","family":"Sharma","given":"Hanspria","non-dropping-particle":"","parse-names":false,"suffix":""},{"dropping-particle":"","family":"Swetts","given":"Eric","non-dropping-particle":"","parse-names":false,"suffix":""},{"dropping-particle":"","family":"Amarchand","given":"Ritvik","non-dropping-particle":"","parse-names":false,"suffix":""},{"dropping-particle":"","family":"Kumar","given":"Rakesh","non-dropping-particle":"","parse-names":false,"suffix":""},{"dropping-particle":"","family":"Lafond","given":"Kathryn E","non-dropping-particle":"","parse-names":false,"suffix":""},{"dropping-particle":"","family":"Dawood","given":"Fatimah S","non-dropping-particle":"","parse-names":false,"suffix":""},{"dropping-particle":"","family":"Jain","given":"Seema","non-dropping-particle":"","parse-names":false,"suffix":""},{"dropping-particle":"","family":"Widdowson","given":"Marc-Alain","non-dropping-particle":"","parse-names":false,"suffix":""},{"dropping-particle":"","family":"Readid","given":"Jonathan M","non-dropping-particle":"","parse-names":false,"suffix":""},{"dropping-particle":"","family":"Krishnan","given":"Anand","non-dropping-particle":"","parse-names":false,"suffix":""}],"container-title":"PloS one","id":"ITEM-1","issue":"12","issued":{"date-parts":[["2018"]]},"title":"Who interacts with whom? Social mixing insights from a rural population in India","type":"article-journal","volume":"13"},"uris":["http://www.mendeley.com/documents/?uuid=5158880a-0289-386a-b43f-de4bfea1f3a3"]}],"mendeley":{"formattedCitation":"(&lt;i&gt;40&lt;/i&gt;)","plainTextFormattedCitation":"(40)","previouslyFormattedCitation":"(&lt;i&gt;40&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40</w:t>
      </w:r>
      <w:r w:rsidR="001D089A" w:rsidRPr="001D089A">
        <w:rPr>
          <w:rFonts w:cstheme="minorHAnsi"/>
          <w:noProof/>
        </w:rPr>
        <w:t>)</w:t>
      </w:r>
      <w:r w:rsidRPr="009C75F3" w:rsidDel="00057D25">
        <w:rPr>
          <w:rFonts w:cstheme="minorHAnsi"/>
        </w:rPr>
        <w:fldChar w:fldCharType="end"/>
      </w:r>
      <w:r w:rsidRPr="002E4316">
        <w:rPr>
          <w:rFonts w:cstheme="minorHAnsi"/>
        </w:rPr>
        <w:t xml:space="preserve">, </w:t>
      </w:r>
      <w:r w:rsidRPr="009C75F3" w:rsidDel="00057D25">
        <w:rPr>
          <w:rFonts w:cstheme="minorHAnsi"/>
        </w:rPr>
        <w:t>Kenya</w:t>
      </w:r>
      <w:r w:rsidRPr="00F348E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{"citationItems":[{"id":"ITEM-1","itemData":{"DOI":"10.1371/journal.pone.0104786","ISSN":"1932-6203","abstract":"Background: Improved understanding and quantification of social contact patterns that govern the transmission dynamics of respiratory viral infections has utility in the design of preventative and control measures such as vaccination and social distancing. The objective of this study was to quantify an age-specific matrix of contact rates for a predominantly rural low-income population that would support transmission dynamic modeling of respiratory viruses. Methods and Findings: From the population register of the Kilifi Health and Demographic Surveillance System, coastal Kenya, 150 individuals per age group (&lt;1, 1-5, 6-15, 16-19, 20-49, 50 and above, in years) were selected by stratified random sampling and requested to complete a day long paper diary of physical contacts (e.g. touch or embrace). The sample was stratified by residence (rural-to-semiurban), month (August 2011 to January 2012, spanning seasonal changes in socio-cultural activities), and day of week. Usable diary responses were obtained from 568 individuals (</w:instrText>
      </w:r>
      <w:r w:rsidR="008D059C">
        <w:rPr>
          <w:rFonts w:ascii="Cambria Math" w:hAnsi="Cambria Math" w:cs="Cambria Math"/>
        </w:rPr>
        <w:instrText>∼</w:instrText>
      </w:r>
      <w:r w:rsidR="008D059C">
        <w:rPr>
          <w:rFonts w:cstheme="minorHAnsi"/>
        </w:rPr>
        <w:instrText>50% of expected). The mean number of contacts per person per day was 17.7 (95% CI 16.7-18.7). Infants reported the lowest contact rates (mean 13.9, 95% CI 12.1-15.7), while primary school students (6-15 years) reported the highest (mean 20.1, 95% CI 18.0-22.2). Rates of contact were higher within groups of similar age (assortative), particularly within the primary school students and adults (20-49 years). Adults and older participants (&gt; 50 years) exhibited the highest inter-generational contacts. Rural contact rates were higher than semiurban (18.8 vs 15.6, p = 0.002), with rural primary school students having twice as many assortative contacts as their semiurban peers. Conclusions and Significance: This is the first age-specific contact matrix to be defined for tropical Sub-Saharan Africa and has utility in age-structured models to assess the potential impact of interventions for directly transmitted respiratory infections. © 2014 Kiti et al.","author":[{"dropping-particle":"","family":"Kiti","given":"Moses Chapa","non-dropping-particle":"","parse-names":false,"suffix":""},{"dropping-particle":"","family":"Kinyanjui","given":"Timothy Muiruri","non-dropping-particle":"","parse-names":false,"suffix":""},{"dropping-particle":"","family":"Koech","given":"Dorothy Chelagat","non-dropping-particle":"","parse-names":false,"suffix":""},{"dropping-particle":"","family":"Munywoki","given":"Patrick Kiio","non-dropping-particle":"","parse-names":false,"suffix":""},{"dropping-particle":"","family":"Medley","given":"Graham Francis","non-dropping-particle":"","parse-names":false,"suffix":""},{"dropping-particle":"","family":"Nokes","given":"David James","non-dropping-particle":"","parse-names":false,"suffix":""}],"container-title":"PLoS ONE","editor":[{"dropping-particle":"","family":"Borrmann","given":"Steffen","non-dropping-particle":"","parse-names":false,"suffix":""}],"id":"ITEM-1","issue":"8","issued":{"date-parts":[["2014","8","15"]]},"page":"e104786","publisher":"Public Library of Science","title":"Quantifying Age-Related Rates of Social Contact Using Diaries in a Rural Coastal Population of Kenya","type":"article-journal","volume":"9"},"uris":["http://www.mendeley.com/documents/?uuid=8951231a-014e-32d3-9267-7122e59fdf32"]}],"mendeley":{"formattedCitation":"(&lt;i&gt;49&lt;/i&gt;)","plainTextFormattedCitation":"(49)","previouslyFormattedCitation":"(&lt;i&gt;49&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49</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and Zimbabwe</w:t>
      </w:r>
      <w:r w:rsidRPr="009C75F3">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{"citationItems":[{"id":"ITEM-1","itemData":{"DOI":"10.1371/journal.pone.0170459","ISSN":"1932-6203","abstract":"Background Patterns of person-to-person contacts relevant for infectious diseases transmission are still poorly quantified in Sub-Saharan Africa (SSA), where socio-demographic structures and behavioral attitudes are expected to be different from those of more developed countries. Methods and Findings We conducted a diary-based survey on daily contacts and time-use of individuals of different ages in one rural and one peri-urban site of Manicaland, Zimbabwe. A total of 2,490 diaries were collected and used to derive age-structured contact matrices, to analyze time spent by individuals in different settings, and to identify the key determinants of individuals' mixing patterns. Overall 10.8 contacts per person/day were reported, with a significant difference between the peri-urban and the rural site (11.6 versus 10.2). A strong age-assortativeness characterized contacts of school-aged children, whereas the high proportion of extended families and the young population age-structure led to a significant intergenerational mixing at older ages. Individuals spent on average 67% of daytime at home, 2% at work, and 9% at school. Active participation in school and work resulted the key drivers of the number of contacts and, similarly, household size, class size, and time spent at work influenced the number of home, school, and work contacts, respectively. We found that the heterogeneous nature of home contacts is critical for an epidemic transmission chain. In particular, our results suggest that, during the initial phase of an epidemic, about 50% of infections are expected to occur among individuals younger than 12 years and less than 20% among individuals older than 35 years. Conclusions With the current work, we have gathered data and information on the ways through which individuals in SSA interact, and on the factors that mostly facilitate this interaction. Monitoring these processes is critical to realistically predict the effects of interventions on infectious diseases dynamics.","author":[{"dropping-particle":"","family":"Melegaro","given":"Alessia","non-dropping-particle":"","parse-names":false,"suffix":""},{"dropping-particle":"","family":"Fava","given":"Emanuele","non-dropping-particle":"Del","parse-names":false,"suffix":""},{"dropping-particle":"","family":"Poletti","given":"Piero","non-dropping-particle":"","parse-names":false,"suffix":""},{"dropping-particle":"","family":"Merler","given":"Stefano","non-dropping-particle":"","parse-names":false,"suffix":""},{"dropping-particle":"","family":"Nyamukapa","given":"Constance","non-dropping-particle":"","parse-names":false,"suffix":""},{"dropping-particle":"","family":"Williams","given":"John","non-dropping-particle":"","parse-names":false,"suffix":""},{"dropping-particle":"","family":"Gregson","given":"Simon","non-dropping-particle":"","parse-names":false,"suffix":""},{"dropping-particle":"","family":"Manfredi","given":"Piero","non-dropping-particle":"","parse-names":false,"suffix":""}],"container-title":"PLOS ONE","editor":[{"dropping-particle":"","family":"Nishiura","given":"Hiroshi","non-dropping-particle":"","parse-names":false,"suffix":""}],"id":"ITEM-1","issue":"1","issued":{"date-parts":[["2017","1","18"]]},"page":"e0170459","publisher":"Public Library of Science","title":"Social Contact Structures and Time Use Patterns in the Manicaland Province of Zimbabwe","type":"article-journal","volume":"12"},"uris":["http://www.mendeley.com/documents/?uuid=199b05e1-f9e6-39d6-a011-6cf2d4ba1aff"]}],"mendeley":{"formattedCitation":"(&lt;i&gt;50&lt;/i&gt;)","plainTextFormattedCitation":"(50)","previouslyFormattedCitation":"(&lt;i&gt;50&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50</w:t>
      </w:r>
      <w:r w:rsidR="001D089A" w:rsidRPr="001D089A">
        <w:rPr>
          <w:rFonts w:cstheme="minorHAnsi"/>
          <w:noProof/>
        </w:rPr>
        <w:t>)</w:t>
      </w:r>
      <w:r w:rsidRPr="009C75F3" w:rsidDel="00057D25">
        <w:rPr>
          <w:rFonts w:cstheme="minorHAnsi"/>
        </w:rPr>
        <w:fldChar w:fldCharType="end"/>
      </w:r>
      <w:r w:rsidRPr="002E4316">
        <w:rPr>
          <w:rFonts w:cstheme="minorHAnsi"/>
        </w:rPr>
        <w:t>.</w:t>
      </w:r>
      <w:r w:rsidRPr="009C75F3">
        <w:rPr>
          <w:rFonts w:cstheme="minorHAnsi"/>
        </w:rPr>
        <w:t xml:space="preserve"> </w:t>
      </w:r>
      <w:r>
        <w:rPr>
          <w:rFonts w:cstheme="minorHAnsi"/>
        </w:rPr>
        <w:t>A single</w:t>
      </w:r>
      <w:r w:rsidRPr="009C75F3">
        <w:rPr>
          <w:rFonts w:cstheme="minorHAnsi"/>
        </w:rPr>
        <w:t xml:space="preserve"> survey was under</w:t>
      </w:r>
      <w:r w:rsidRPr="00F348E3">
        <w:rPr>
          <w:rFonts w:cstheme="minorHAnsi"/>
        </w:rPr>
        <w:t>taken in a LIC</w:t>
      </w:r>
      <w:r w:rsidRPr="00C42950">
        <w:rPr>
          <w:rFonts w:cstheme="minorHAnsi"/>
        </w:rPr>
        <w:t>:</w:t>
      </w:r>
      <w:r w:rsidRPr="0028501A" w:rsidDel="00057D25">
        <w:rPr>
          <w:rFonts w:cstheme="minorHAnsi"/>
        </w:rPr>
        <w:t xml:space="preserve"> Uganda</w:t>
      </w:r>
      <w:r w:rsidRPr="00C3393C">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{"citationItems":[{"id":"ITEM-1","itemData":{"DOI":"10.1186/s12879-018-3073-1","ISSN":"14712334","abstract":"Background: Quantification of human interactions relevant to infectious disease transmission through social contact is central to predict disease dynamics, yet data from low-resource settings remain scarce. Methods: We undertook a social contact survey in rural Uganda, whereby participants were asked to recall details about the frequency, type, and socio-demographic characteristics of any conversational encounter that lasted for ≥5 min (henceforth defined as 'contacts') during the previous day. An estimate of the number of 'casual contacts' (i.e. &lt;5 min) was also obtained. Results: In total, 566 individuals were included in the study. On average participants reported having routine contact with 7.2 individuals (range 1-25). Children aged 5-14 years had the highest frequency of contacts and the elderly (≥65 years) the fewest (P&lt;0.001). A strong age-assortative pattern was seen, particularly outside the household and increasingly so for contacts occurring further away from home. Adults aged 25-64 years tended to travel more often and further than others, and males travelled more frequently than females. Conclusion: Our study provides detailed information on contact patterns and their spatial characteristics in an African setting. It therefore fills an important knowledge gap that will help more accurately predict transmission dynamics and the impact of control strategies in such areas.","author":[{"dropping-particle":"","family":"Polain de Waroux","given":"O.","non-dropping-particle":"le","parse-names":false,"suffix":""},{"dropping-particle":"","family":"Cohuet","given":"S.","non-dropping-particle":"","parse-names":false,"suffix":""},{"dropping-particle":"","family":"Ndazima","given":"D.","non-dropping-particle":"","parse-names":false,"suffix":""},{"dropping-particle":"","family":"Kucharski","given":"A. J.","non-dropping-particle":"","parse-names":false,"suffix":""},{"dropping-particle":"","family":"Juan-Giner","given":"A.","non-dropping-particle":"","parse-names":false,"suffix":""},{"dropping-particle":"","family":"Flasche","given":"S.","non-dropping-particle":"","parse-names":false,"suffix":""},{"dropping-particle":"","family":"Tumwesigye","given":"E.","non-dropping-particle":"","parse-names":false,"suffix":""},{"dropping-particle":"","family":"Arinaitwe","given":"R.","non-dropping-particle":"","parse-names":false,"suffix":""},{"dropping-particle":"","family":"Mwanga-Amumpaire","given":"J.","non-dropping-particle":"","parse-names":false,"suffix":""},{"dropping-particle":"","family":"Boum","given":"Y.","non-dropping-particle":"","parse-names":false,"suffix":""},{"dropping-particle":"","family":"Nackers","given":"F.","non-dropping-particle":"","parse-names":false,"suffix":""},{"dropping-particle":"","family":"Checchi","given":"F.","non-dropping-particle":"","parse-names":false,"suffix":""},{"dropping-particle":"","family":"Grais","given":"R. F.","non-dropping-particle":"","parse-names":false,"suffix":""},{"dropping-particle":"","family":"Edmunds","given":"W. J.","non-dropping-particle":"","parse-names":false,"suffix":""}],"container-title":"BMC Infectious Diseases","id":"ITEM-1","issue":"1","issued":{"date-parts":[["2018","4","11"]]},"page":"172","publisher":"BioMed Central Ltd.","title":"Characteristics of human encounters and social mixing patterns relevant to infectious diseases spread by close contact: A survey in Southwest Uganda","type":"article-journal","volume":"18"},"uris":["http://www.mendeley.com/documents/?uuid=d4a11981-427f-3619-9760-0c9e9b163232"]}],"mendeley":{"formattedCitation":"(&lt;i&gt;41&lt;/i&gt;)","plainTextFormattedCitation":"(41)","previouslyFormattedCitation":"(&lt;i&gt;41&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41</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w:t>
      </w:r>
      <w:r w:rsidRPr="009C75F3">
        <w:rPr>
          <w:rFonts w:cstheme="minorHAnsi"/>
        </w:rPr>
        <w:t>Contact matrices</w:t>
      </w:r>
      <w:r w:rsidRPr="00F348E3" w:rsidDel="00057D25">
        <w:rPr>
          <w:rFonts w:cstheme="minorHAnsi"/>
        </w:rPr>
        <w:t xml:space="preserve"> </w:t>
      </w:r>
      <w:r w:rsidRPr="00C42950" w:rsidDel="00057D25">
        <w:rPr>
          <w:rFonts w:cstheme="minorHAnsi"/>
        </w:rPr>
        <w:t xml:space="preserve">were adjusted to </w:t>
      </w:r>
      <w:r w:rsidRPr="0028501A">
        <w:rPr>
          <w:rFonts w:cstheme="minorHAnsi"/>
        </w:rPr>
        <w:t xml:space="preserve">give </w:t>
      </w:r>
      <w:r w:rsidRPr="00C3393C" w:rsidDel="00057D25">
        <w:rPr>
          <w:rFonts w:cstheme="minorHAnsi"/>
        </w:rPr>
        <w:t>symmetric</w:t>
      </w:r>
      <w:r w:rsidRPr="0061276B">
        <w:rPr>
          <w:rFonts w:cstheme="minorHAnsi"/>
        </w:rPr>
        <w:t xml:space="preserve"> age-specific contact rates</w:t>
      </w:r>
      <w:r w:rsidRPr="004D16C1" w:rsidDel="00057D25">
        <w:rPr>
          <w:rFonts w:cstheme="minorHAnsi"/>
        </w:rPr>
        <w:t xml:space="preserve"> </w:t>
      </w:r>
      <w:r w:rsidRPr="00183767">
        <w:rPr>
          <w:rFonts w:cstheme="minorHAnsi"/>
        </w:rPr>
        <w:t>for each country</w:t>
      </w:r>
      <w:r w:rsidRPr="0015452A">
        <w:rPr>
          <w:rFonts w:eastAsiaTheme="minorEastAsia" w:cstheme="minorHAnsi"/>
        </w:rPr>
        <w:t>.</w:t>
      </w:r>
    </w:p>
    <w:p w14:paraId="5E0DFAAE" w14:textId="38B983C8" w:rsidR="002D2830" w:rsidRPr="00737F6F" w:rsidDel="00057D25" w:rsidRDefault="002D2830" w:rsidP="002D2830">
      <w:pPr>
        <w:rPr>
          <w:rFonts w:cstheme="minorHAnsi"/>
        </w:rPr>
      </w:pPr>
      <w:r w:rsidRPr="00737F6F" w:rsidDel="00057D25">
        <w:rPr>
          <w:rFonts w:cstheme="minorHAnsi"/>
        </w:rPr>
        <w:t xml:space="preserve">As </w:t>
      </w:r>
      <w:r w:rsidRPr="006E7793">
        <w:rPr>
          <w:rFonts w:cstheme="minorHAnsi"/>
        </w:rPr>
        <w:t>F</w:t>
      </w:r>
      <w:r w:rsidRPr="003840E9" w:rsidDel="00057D25">
        <w:rPr>
          <w:rFonts w:cstheme="minorHAnsi"/>
        </w:rPr>
        <w:t xml:space="preserve">igure </w:t>
      </w:r>
      <w:r w:rsidRPr="00CD74C1">
        <w:rPr>
          <w:rFonts w:cstheme="minorHAnsi"/>
        </w:rPr>
        <w:t>1</w:t>
      </w:r>
      <w:r w:rsidRPr="007C0486" w:rsidDel="00057D25">
        <w:rPr>
          <w:rFonts w:cstheme="minorHAnsi"/>
        </w:rPr>
        <w:t xml:space="preserve"> shows</w:t>
      </w:r>
      <w:r w:rsidRPr="007C0486">
        <w:rPr>
          <w:rFonts w:cstheme="minorHAnsi"/>
        </w:rPr>
        <w:t>,</w:t>
      </w:r>
      <w:r w:rsidRPr="007C0486" w:rsidDel="00057D25">
        <w:rPr>
          <w:rFonts w:cstheme="minorHAnsi"/>
        </w:rPr>
        <w:t xml:space="preserve"> contact patterns measured within Western Europe suggest attack rates are likely to decline substantially by age. For Hong Kong, the only non-European </w:t>
      </w:r>
      <w:r w:rsidRPr="007C0486">
        <w:rPr>
          <w:rFonts w:cstheme="minorHAnsi"/>
        </w:rPr>
        <w:t>HIC</w:t>
      </w:r>
      <w:r w:rsidRPr="00026381" w:rsidDel="00057D25">
        <w:rPr>
          <w:rFonts w:cstheme="minorHAnsi"/>
        </w:rPr>
        <w:t xml:space="preserve"> setting </w:t>
      </w:r>
      <w:r w:rsidRPr="001C3302">
        <w:rPr>
          <w:rFonts w:cstheme="minorHAnsi"/>
        </w:rPr>
        <w:t>for which contact data were identified</w:t>
      </w:r>
      <w:r w:rsidRPr="00CF3A20" w:rsidDel="00057D25">
        <w:rPr>
          <w:rFonts w:cstheme="minorHAnsi"/>
        </w:rPr>
        <w:t xml:space="preserve">, contact rates did not </w:t>
      </w:r>
      <w:r>
        <w:rPr>
          <w:rFonts w:cstheme="minorHAnsi"/>
        </w:rPr>
        <w:t>show</w:t>
      </w:r>
      <w:r w:rsidRPr="00807E58" w:rsidDel="00057D25">
        <w:rPr>
          <w:rFonts w:cstheme="minorHAnsi"/>
        </w:rPr>
        <w:t xml:space="preserve"> a similar decline</w:t>
      </w:r>
      <w:r>
        <w:rPr>
          <w:rFonts w:cstheme="minorHAnsi"/>
        </w:rPr>
        <w:t xml:space="preserve"> in older age groups</w:t>
      </w:r>
      <w:r w:rsidRPr="00807E58" w:rsidDel="00057D25">
        <w:rPr>
          <w:rFonts w:cstheme="minorHAnsi"/>
        </w:rPr>
        <w:t>, which may suggest this is not a consistent trait across all high</w:t>
      </w:r>
      <w:r w:rsidRPr="00807E58">
        <w:rPr>
          <w:rFonts w:cstheme="minorHAnsi"/>
        </w:rPr>
        <w:t>-</w:t>
      </w:r>
      <w:r w:rsidRPr="00807E58" w:rsidDel="00057D25">
        <w:rPr>
          <w:rFonts w:cstheme="minorHAnsi"/>
        </w:rPr>
        <w:t xml:space="preserve">income countries. However, we </w:t>
      </w:r>
      <w:r w:rsidRPr="00807E58">
        <w:rPr>
          <w:rFonts w:cstheme="minorHAnsi"/>
        </w:rPr>
        <w:t>identified</w:t>
      </w:r>
      <w:r w:rsidRPr="00807E58" w:rsidDel="00057D25">
        <w:rPr>
          <w:rFonts w:cstheme="minorHAnsi"/>
        </w:rPr>
        <w:t xml:space="preserve"> </w:t>
      </w:r>
      <w:r w:rsidRPr="00807E58" w:rsidDel="00057D25">
        <w:rPr>
          <w:rFonts w:cstheme="minorHAnsi"/>
        </w:rPr>
        <w:lastRenderedPageBreak/>
        <w:t>additional surveys in the literature from Hong Kong</w:t>
      </w:r>
      <w:r w:rsidRPr="00807E58">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{"citationItems":[{"id":"ITEM-1","itemData":{"DOI":"10.1098/rsif.2017.0838","ISSN":"17425662","abstract":"Patterns of social contact between individuals are important for the transmission of many pathogens and shaping patterns of immunity at the population scale. To refine our understanding of how human social behaviour may change over time, we conducted a longitudinal study of Hong Kong residents. We recorded the social contact patterns for 1450 individuals, up to four times each between May 2012 and September 2013. We found individuals made contact with an average of 12.5 people within 2.9 geographical locations, and spent an average estimated total duration of 9.1 h in contact with others during a day. Distributions of the number of contacts and locations in which contacts were made were not significantly different between study waves. Encounters were assortative by age, and the age mixing pattern was broadly consistent across study waves. Fitting regression models, we examined the association of contact rates (number of contacts, total duration of contact, number of locations) with covariates and calculated the inter- and intra-participant variation in contact rates. Participant age was significantly associated with the number of contacts made, the total duration of contact and the number of locations in which contact occurred, with children and parental-age adults having the highest rates of contact. The number of contacts and contact duration increased with the number of contact locations. Intra-individual variation in contact rate was consistently greater than inter-individual variation. Despite substantial individual-level variation, remarkable consistency was observed in contact mixing at the population scale. This suggests that aggregate measures of mixing behaviour derived from cross-sectional information may be appropriate for population-scale modelling purposes, and that if more detailed models of social interactions are required for improved public health modelling, further studies are needed to understand the social processes driving intra-individual variation.","author":[{"dropping-particle":"","family":"Kwok","given":"Kin On","non-dropping-particle":"","parse-names":false,"suffix":""},{"dropping-particle":"","family":"Cowling","given":"Ben","non-dropping-particle":"","parse-names":false,"suffix":""},{"dropping-particle":"","family":"Wei","given":"Vivian","non-dropping-particle":"","parse-names":false,"suffix":""},{"dropping-particle":"","family":"Riley","given":"Steven","non-dropping-particle":"","parse-names":false,"suffix":""},{"dropping-particle":"","family":"Read","given":"Jonathan M.","non-dropping-particle":"","parse-names":false,"suffix":""}],"container-title":"Journal of the Royal Society Interface","id":"ITEM-1","issue":"138","issued":{"date-parts":[["2018","1","1"]]},"publisher":"Royal Society Publishing","title":"Temporal variation of human encounters and the number of locations in which they occur: A longitudinal study of Hong Kong residents","type":"article-journal","volume":"15"},"uris":["http://www.mendeley.com/documents/?uuid=adb8443c-f25d-3ea8-b917-201a877d2392"]}],"mendeley":{"formattedCitation":"(&lt;i&gt;51&lt;/i&gt;)","plainTextFormattedCitation":"(51)","previouslyFormattedCitation":"(&lt;i&gt;51&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51</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and Japa</w:t>
      </w:r>
      <w:r w:rsidRPr="009C75F3">
        <w:rPr>
          <w:rFonts w:cstheme="minorHAnsi"/>
        </w:rPr>
        <w:t xml:space="preserve">n </w:t>
      </w:r>
      <w:r w:rsidRPr="009C75F3" w:rsidDel="00057D25">
        <w:rPr>
          <w:rFonts w:cstheme="minorHAnsi"/>
        </w:rPr>
        <w:fldChar w:fldCharType="begin" w:fldLock="1"/>
      </w:r>
      <w:r w:rsidR="008D059C">
        <w:rPr>
          <w:rFonts w:cstheme="minorHAnsi"/>
        </w:rPr>
        <w:instrText>ADDIN CSL_CITATION {"citationItems":[{"id":"ITEM-1","itemData":{"DOI":"10.1136/jech-2015-205777","ISSN":"14702738","abstract":"Background Contact patterns and vaccination decisions are fundamental to transmission dynamics of infectious diseases. We report on age-specific contact patterns in Japan and their effect on influenza vaccination behaviour. Methods Japanese adults (N=3146) were surveyed in Spring 2011 to assess the number of their social contacts within a 24 h period, defined as face-to-face conversations within 2 m, and gain insight into their influenza-related behaviour. We analysed the duration and location of contacts according to age. Additionally, we analysed the probability of vaccination and influenza infection in relation to the number of contacts controlling for individual's characteristics. Results The mean and median reported numbers of daily contacts were 15.3 and 12.0, respectively. Schoolaged children and young adults reported the greatest number of daily contacts, and individuals had the most contacts with those in the same age group. The agespecific contact patterns were different between men and women, and differed between weekdays and weekends. Children had fewer contacts between the same age groups during weekends than during weekdays, due to reduced contacts at school. The probability of vaccination increased with the number of contacts, controlling for age and household size. Influenza infection among unvaccinated individuals was higher than for those vaccinated, and increased with the number of contacts. Conclusions Contact patterns in Japan are age and gender specific. These contact patterns, as well as their interplay with vaccination decisions and infection risks, can help inform the parameterisation of mathematical models of disease transmission and the design of public health policies, to control disease transmission.","author":[{"dropping-particle":"","family":"Ibuka","given":"Yoko","non-dropping-particle":"","parse-names":false,"suffix":""},{"dropping-particle":"","family":"Ohkusa","given":"Yasushi","non-dropping-particle":"","parse-names":false,"suffix":""},{"dropping-particle":"","family":"Sugawara","given":"Tamie","non-dropping-particle":"","parse-names":false,"suffix":""},{"dropping-particle":"","family":"Chapman","given":"Gretchen B.","non-dropping-particle":"","parse-names":false,"suffix":""},{"dropping-particle":"","family":"Yamin","given":"Dan","non-dropping-particle":"","parse-names":false,"suffix":""},{"dropping-particle":"","family":"Atkins","given":"Katherine E.","non-dropping-particle":"","parse-names":false,"suffix":""},{"dropping-particle":"","family":"Taniguchi","given":"Kiyosu","non-dropping-particle":"","parse-names":false,"suffix":""},{"dropping-particle":"","family":"Okabe","given":"Nobuhiko","non-dropping-particle":"","parse-names":false,"suffix":""},{"dropping-particle":"","family":"Galvani","given":"Alison P.","non-dropping-particle":"","parse-names":false,"suffix":""}],"container-title":"Journal of Epidemiology and Community Health","id":"ITEM-1","issue":"2","issued":{"date-parts":[["2016"]]},"page":"162-167","publisher":"BMJ Publishing Group","title":"Social contacts, vaccination decisions and influenza in Japan","type":"article-journal","volume":"70"},"uris":["http://www.mendeley.com/documents/?uuid=bf83c2cf-f371-3c3f-bbdf-78d8c20662c2"]}],"mendeley":{"formattedCitation":"(&lt;i&gt;52&lt;/i&gt;)","plainTextFormattedCitation":"(52)","previouslyFormattedCitation":"(&lt;i&gt;52&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52</w:t>
      </w:r>
      <w:r w:rsidR="001D089A" w:rsidRPr="001D089A">
        <w:rPr>
          <w:rFonts w:cstheme="minorHAnsi"/>
          <w:noProof/>
        </w:rPr>
        <w:t>)</w:t>
      </w:r>
      <w:r w:rsidRPr="009C75F3" w:rsidDel="00057D25">
        <w:rPr>
          <w:rFonts w:cstheme="minorHAnsi"/>
        </w:rPr>
        <w:fldChar w:fldCharType="end"/>
      </w:r>
      <w:r w:rsidRPr="002E4316" w:rsidDel="00057D25">
        <w:rPr>
          <w:rFonts w:cstheme="minorHAnsi"/>
        </w:rPr>
        <w:t xml:space="preserve"> where contact rates did appear to decline more substantially with age but were not available in readily downloadable format. Our projections for </w:t>
      </w:r>
      <w:r w:rsidRPr="009C75F3">
        <w:rPr>
          <w:rFonts w:cstheme="minorHAnsi"/>
        </w:rPr>
        <w:t>UMIC</w:t>
      </w:r>
      <w:r w:rsidRPr="009C75F3" w:rsidDel="00057D25">
        <w:rPr>
          <w:rFonts w:cstheme="minorHAnsi"/>
        </w:rPr>
        <w:t xml:space="preserve"> settings showed declines </w:t>
      </w:r>
      <w:r w:rsidRPr="00F348E3" w:rsidDel="00057D25">
        <w:rPr>
          <w:rFonts w:cstheme="minorHAnsi"/>
        </w:rPr>
        <w:t xml:space="preserve">in projected attack rates by age, though to a lesser extent than </w:t>
      </w:r>
      <w:r w:rsidRPr="00C42950">
        <w:rPr>
          <w:rFonts w:cstheme="minorHAnsi"/>
        </w:rPr>
        <w:t>HIC</w:t>
      </w:r>
      <w:r w:rsidRPr="0028501A" w:rsidDel="00057D25">
        <w:rPr>
          <w:rFonts w:cstheme="minorHAnsi"/>
        </w:rPr>
        <w:t xml:space="preserve"> settings</w:t>
      </w:r>
      <w:r w:rsidRPr="00C3393C">
        <w:rPr>
          <w:rFonts w:cstheme="minorHAnsi"/>
        </w:rPr>
        <w:t>. M</w:t>
      </w:r>
      <w:r w:rsidRPr="0061276B" w:rsidDel="00057D25">
        <w:rPr>
          <w:rFonts w:cstheme="minorHAnsi"/>
        </w:rPr>
        <w:t xml:space="preserve">eanwhile the limited data from </w:t>
      </w:r>
      <w:r w:rsidRPr="004D16C1">
        <w:rPr>
          <w:rFonts w:cstheme="minorHAnsi"/>
        </w:rPr>
        <w:t>LMIC</w:t>
      </w:r>
      <w:r>
        <w:rPr>
          <w:rFonts w:cstheme="minorHAnsi"/>
        </w:rPr>
        <w:t>s</w:t>
      </w:r>
      <w:r w:rsidRPr="00183767" w:rsidDel="00057D25">
        <w:rPr>
          <w:rFonts w:cstheme="minorHAnsi"/>
        </w:rPr>
        <w:t xml:space="preserve"> did not </w:t>
      </w:r>
      <w:r>
        <w:rPr>
          <w:rFonts w:cstheme="minorHAnsi"/>
        </w:rPr>
        <w:t>indicate</w:t>
      </w:r>
      <w:r w:rsidRPr="00232A7C" w:rsidDel="00057D25">
        <w:rPr>
          <w:rFonts w:cstheme="minorHAnsi"/>
        </w:rPr>
        <w:t xml:space="preserve"> substantial declines in attack rate by age. </w:t>
      </w:r>
    </w:p>
    <w:p w14:paraId="5956C4BE" w14:textId="1208005F" w:rsidR="002D2830" w:rsidRPr="009C75F3" w:rsidRDefault="002D2830" w:rsidP="002D2830">
      <w:pPr>
        <w:rPr>
          <w:rFonts w:cstheme="minorHAnsi"/>
        </w:rPr>
      </w:pPr>
      <w:r w:rsidRPr="006E7793" w:rsidDel="00057D25">
        <w:rPr>
          <w:rFonts w:cstheme="minorHAnsi"/>
        </w:rPr>
        <w:t xml:space="preserve">Given the sparse </w:t>
      </w:r>
      <w:r w:rsidRPr="003840E9">
        <w:rPr>
          <w:rFonts w:cstheme="minorHAnsi"/>
        </w:rPr>
        <w:t>availability of contact d</w:t>
      </w:r>
      <w:r w:rsidRPr="00CD74C1" w:rsidDel="00057D25">
        <w:rPr>
          <w:rFonts w:cstheme="minorHAnsi"/>
        </w:rPr>
        <w:t>ata</w:t>
      </w:r>
      <w:r w:rsidRPr="007C0486">
        <w:rPr>
          <w:rFonts w:cstheme="minorHAnsi"/>
        </w:rPr>
        <w:t xml:space="preserve">, we used representative patterns for countries which do not have survey data. For the USA and Canada we used the UK survey data. For other </w:t>
      </w:r>
      <w:r w:rsidRPr="007C0486" w:rsidDel="00057D25">
        <w:rPr>
          <w:rFonts w:cstheme="minorHAnsi"/>
        </w:rPr>
        <w:t xml:space="preserve">European and Central Asian </w:t>
      </w:r>
      <w:r w:rsidRPr="00232EBE">
        <w:rPr>
          <w:rFonts w:cstheme="minorHAnsi"/>
        </w:rPr>
        <w:t>c</w:t>
      </w:r>
      <w:r w:rsidRPr="00CF3A20" w:rsidDel="00057D25">
        <w:rPr>
          <w:rFonts w:cstheme="minorHAnsi"/>
        </w:rPr>
        <w:t>ountries</w:t>
      </w:r>
      <w:r w:rsidRPr="00807E58">
        <w:rPr>
          <w:rFonts w:cstheme="minorHAnsi"/>
        </w:rPr>
        <w:t xml:space="preserve"> (with available data from Russia also indicating substantial declines in attack rates in older ages – Figure 2B)</w:t>
      </w:r>
      <w:r w:rsidRPr="00807E58" w:rsidDel="00057D25">
        <w:rPr>
          <w:rFonts w:cstheme="minorHAnsi"/>
        </w:rPr>
        <w:t>, as well as countries previously classified as advanced economies by the International Monetary Fund</w:t>
      </w:r>
      <w:r w:rsidRPr="00807E58">
        <w:rPr>
          <w:rFonts w:cstheme="minorHAnsi"/>
        </w:rPr>
        <w:t xml:space="preserve"> </w:t>
      </w:r>
      <w:r w:rsidRPr="009C75F3" w:rsidDel="00057D25">
        <w:rPr>
          <w:rFonts w:cstheme="minorHAnsi"/>
        </w:rPr>
        <w:fldChar w:fldCharType="begin" w:fldLock="1"/>
      </w:r>
      <w:r w:rsidR="008D059C">
        <w:rPr>
          <w:rFonts w:cstheme="minorHAnsi"/>
        </w:rPr>
        <w:instrText>ADDIN CSL_CITATION {"citationItems":[{"id":"ITEM-1","itemData":{"author":[{"dropping-particle":"","family":"International Monetary Fund","given":"","non-dropping-particle":"","parse-names":false,"suffix":""}],"id":"ITEM-1","issued":{"date-parts":[["2016"]]},"title":"World Economic Outlook","type":"article-journal"},"uris":["http://www.mendeley.com/documents/?uuid=789f1623-1034-46a3-a63b-c004a34d9733"]}],"mendeley":{"formattedCitation":"(&lt;i&gt;53&lt;/i&gt;)","plainTextFormattedCitation":"(53)","previouslyFormattedCitation":"(&lt;i&gt;53&lt;/i&gt;)"},"properties":{"noteIndex":0},"schema":"https://github.com/citation-style-language/schema/raw/master/csl-citation.json"}</w:instrText>
      </w:r>
      <w:r w:rsidRPr="009C75F3" w:rsidDel="00057D25">
        <w:rPr>
          <w:rFonts w:cstheme="minorHAnsi"/>
        </w:rPr>
        <w:fldChar w:fldCharType="separate"/>
      </w:r>
      <w:r w:rsidR="001D089A" w:rsidRPr="001D089A">
        <w:rPr>
          <w:rFonts w:cstheme="minorHAnsi"/>
          <w:noProof/>
        </w:rPr>
        <w:t>(</w:t>
      </w:r>
      <w:r w:rsidR="001D089A" w:rsidRPr="001D089A">
        <w:rPr>
          <w:rFonts w:cstheme="minorHAnsi"/>
          <w:i/>
          <w:noProof/>
        </w:rPr>
        <w:t>53</w:t>
      </w:r>
      <w:r w:rsidR="001D089A" w:rsidRPr="001D089A">
        <w:rPr>
          <w:rFonts w:cstheme="minorHAnsi"/>
          <w:noProof/>
        </w:rPr>
        <w:t>)</w:t>
      </w:r>
      <w:r w:rsidRPr="009C75F3" w:rsidDel="00057D25">
        <w:rPr>
          <w:rFonts w:cstheme="minorHAnsi"/>
        </w:rPr>
        <w:fldChar w:fldCharType="end"/>
      </w:r>
      <w:r w:rsidRPr="002E4316" w:rsidDel="00057D25">
        <w:rPr>
          <w:rFonts w:cstheme="minorHAnsi"/>
        </w:rPr>
        <w:t>,</w:t>
      </w:r>
      <w:r w:rsidRPr="009C75F3">
        <w:rPr>
          <w:rFonts w:cstheme="minorHAnsi"/>
        </w:rPr>
        <w:t xml:space="preserve"> we used the patterns from the </w:t>
      </w:r>
      <w:r w:rsidRPr="00C42950">
        <w:rPr>
          <w:rFonts w:cstheme="minorHAnsi"/>
        </w:rPr>
        <w:t xml:space="preserve">survey producing the median final attack rate </w:t>
      </w:r>
      <w:r w:rsidRPr="0028501A">
        <w:rPr>
          <w:rFonts w:cstheme="minorHAnsi"/>
        </w:rPr>
        <w:t xml:space="preserve">within </w:t>
      </w:r>
      <w:r w:rsidRPr="00C3393C">
        <w:rPr>
          <w:rFonts w:cstheme="minorHAnsi"/>
        </w:rPr>
        <w:t>individuals aged 70 and above</w:t>
      </w:r>
      <w:r>
        <w:rPr>
          <w:rFonts w:cstheme="minorHAnsi"/>
        </w:rPr>
        <w:t xml:space="preserve"> from those conducted in Europe</w:t>
      </w:r>
      <w:r w:rsidRPr="0061276B">
        <w:rPr>
          <w:rFonts w:cstheme="minorHAnsi"/>
        </w:rPr>
        <w:t xml:space="preserve"> </w:t>
      </w:r>
      <w:r w:rsidRPr="004D16C1">
        <w:rPr>
          <w:rFonts w:cstheme="minorHAnsi"/>
        </w:rPr>
        <w:t>(the Netherlands POLYMOD survey</w:t>
      </w:r>
      <w:r w:rsidRPr="00183767">
        <w:rPr>
          <w:rFonts w:cstheme="minorHAnsi"/>
        </w:rPr>
        <w:t xml:space="preserve"> </w:t>
      </w:r>
      <w:r w:rsidRPr="009C75F3">
        <w:rPr>
          <w:rFonts w:cstheme="minorHAnsi"/>
        </w:rPr>
        <w:fldChar w:fldCharType="begin" w:fldLock="1"/>
      </w:r>
      <w:r w:rsidR="008D059C">
        <w:rPr>
          <w:rFonts w:cstheme="minorHAnsi"/>
        </w:rPr>
        <w:instrText>ADDIN CSL_CITATION {"citationItems":[{"id":"ITEM-1","itemData":{"DOI":"10.1371/journal.pmed.0050074","ISSN":"1549-1676","abstract":"Background: Mathematical modelling of infectious diseases transmitted by the respiratory or close-contact route (e.g., pandemic influenza) is increasingly being used to determine the impact of possible interventions. Although mixing patterns are known to be crucial determinants for model outcome, researchers often rely on a priori contact assumptions with little or no empirical basis. We conducted a population-based prospective survey of mixing patterns in eight European countries using a common paper-diary methodology. Methods and Findings: 7,290 participants recorded characteristics of 97,904 contacts with different individuals during one day, including age, sex, location, duration, frequency, and occurrence of physical contact. We found that mixing patterns and contact characteristics were remarkably similar across different European countries. Contact patterns were highly assortative with age: schoolchildren and young adults in particular tended to mix with people of the same age. Contacts lasting at least one hour or occurring on a daily basis mostly involved physical contact, while short duration and infrequent contacts tended to be nonphysical. Contacts at home, school, or leisure were more likely to be physical than contacts at the workplace or while travelling. Preliminary modelling indicates that 5- to 19-year-olds are expected to suffer the highest incidence during the initial epidemic phase of an emerging infection transmitted through social contacts measured here when the population is completely susceptible. Conclusions: To our knowledge, our study provides the first large-scale quantitative approach to contact patterns relevant for infections transmitted by the respiratory or close-contact route, and the results should lead to improved parameterisation of mathematical models used to design control strategies. © 2008 Mossong et al.","author":[{"dropping-particle":"","family":"Mossong","given":"Joël","non-dropping-particle":"","parse-names":false,"suffix":""},{"dropping-particle":"","family":"Hens","given":"Niel","non-dropping-particle":"","parse-names":false,"suffix":""},{"dropping-particle":"","family":"Jit","given":"Mark","non-dropping-particle":"","parse-names":false,"suffix":""},{"dropping-particle":"","family":"Beutels","given":"Philippe","non-dropping-particle":"","parse-names":false,"suffix":""},{"dropping-particle":"","family":"Auranen","given":"Kari","non-dropping-particle":"","parse-names":false,"suffix":""},{"dropping-particle":"","family":"Mikolajczyk","given":"Rafael","non-dropping-particle":"","parse-names":false,"suffix":""},{"dropping-particle":"","family":"Massari","given":"Marco","non-dropping-particle":"","parse-names":false,"suffix":""},{"dropping-particle":"","family":"Salmaso","given":"Stefania","non-dropping-particle":"","parse-names":false,"suffix":""},{"dropping-particle":"","family":"Tomba","given":"Gianpaolo Scalia","non-dropping-particle":"","parse-names":false,"suffix":""},{"dropping-particle":"","family":"Wallinga","given":"Jacco","non-dropping-particle":"","parse-names":false,"suffix":""},{"dropping-particle":"","family":"Heijne","given":"Janneke","non-dropping-particle":"","parse-names":false,"suffix":""},{"dropping-particle":"","family":"Sadkowska-Todys","given":"Malgorzata","non-dropping-particle":"","parse-names":false,"suffix":""},{"dropping-particle":"","family":"Rosinska","given":"Magdalena","non-dropping-particle":"","parse-names":false,"suffix":""},{"dropping-particle":"","family":"Edmunds","given":"W. John","non-dropping-particle":"","parse-names":false,"suffix":""}],"container-title":"PLoS Medicine","editor":[{"dropping-particle":"","family":"Riley","given":"Steven","non-dropping-particle":"","parse-names":false,"suffix":""}],"id":"ITEM-1","issue":"3","issued":{"date-parts":[["2008","3","25"]]},"page":"e74","publisher":"Public Library of Science","title":"Social Contacts and Mixing Patterns Relevant to the Spread of Infectious Diseases","type":"article-journal","volume":"5"},"uris":["http://www.mendeley.com/documents/?uuid=c936a535-7dd3-30fe-a24f-463cae524133"]}],"mendeley":{"formattedCitation":"(&lt;i&gt;42&lt;/i&gt;)","plainTextFormattedCitation":"(42)","previouslyFormattedCitation":"(&lt;i&gt;42&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42</w:t>
      </w:r>
      <w:r w:rsidR="001D089A" w:rsidRPr="001D089A">
        <w:rPr>
          <w:rFonts w:cstheme="minorHAnsi"/>
          <w:noProof/>
        </w:rPr>
        <w:t>)</w:t>
      </w:r>
      <w:r w:rsidRPr="009C75F3">
        <w:rPr>
          <w:rFonts w:cstheme="minorHAnsi"/>
        </w:rPr>
        <w:fldChar w:fldCharType="end"/>
      </w:r>
      <w:r>
        <w:rPr>
          <w:rFonts w:cstheme="minorHAnsi"/>
        </w:rPr>
        <w:t xml:space="preserve"> – see Figure 1C</w:t>
      </w:r>
      <w:r w:rsidRPr="002E4316">
        <w:rPr>
          <w:rFonts w:cstheme="minorHAnsi"/>
        </w:rPr>
        <w:t>)</w:t>
      </w:r>
      <w:r w:rsidRPr="009C75F3" w:rsidDel="00057D25">
        <w:rPr>
          <w:rFonts w:cstheme="minorHAnsi"/>
        </w:rPr>
        <w:t xml:space="preserve">. </w:t>
      </w:r>
      <w:r w:rsidRPr="00F348E3">
        <w:rPr>
          <w:rFonts w:cstheme="minorHAnsi"/>
        </w:rPr>
        <w:t>C</w:t>
      </w:r>
      <w:r w:rsidRPr="00C42950" w:rsidDel="00057D25">
        <w:rPr>
          <w:rFonts w:cstheme="minorHAnsi"/>
        </w:rPr>
        <w:t>ountries from Latin America and the Caribbean were assigned mixing patterns from the Peruvian survey; those from South Asia, mixing patterns from the Indian survey; those from East Asia, mixing patterns</w:t>
      </w:r>
      <w:r w:rsidRPr="0028501A" w:rsidDel="00057D25">
        <w:rPr>
          <w:rFonts w:cstheme="minorHAnsi"/>
        </w:rPr>
        <w:t xml:space="preserve"> from the Chinese survey; those from sub-Saharan Africa, mixing patterns from the Zimbabwean survey (with the exception of South Africa which was assigned patterns from the Chinese survey</w:t>
      </w:r>
      <w:r>
        <w:rPr>
          <w:rFonts w:cstheme="minorHAnsi"/>
        </w:rPr>
        <w:t>, which represents a survey from an LMIC country showing similar patterns of contact with age but at finer resolution age-intervals (Figure 1D</w:t>
      </w:r>
      <w:r w:rsidRPr="0028501A" w:rsidDel="00057D25">
        <w:rPr>
          <w:rFonts w:cstheme="minorHAnsi"/>
        </w:rPr>
        <w:t xml:space="preserve">); </w:t>
      </w:r>
      <w:r w:rsidRPr="00C3393C">
        <w:rPr>
          <w:rFonts w:cstheme="minorHAnsi"/>
        </w:rPr>
        <w:t xml:space="preserve">whilst </w:t>
      </w:r>
      <w:r w:rsidRPr="0061276B" w:rsidDel="00057D25">
        <w:rPr>
          <w:rFonts w:cstheme="minorHAnsi"/>
        </w:rPr>
        <w:t>those in the Middle-</w:t>
      </w:r>
      <w:r w:rsidRPr="004D16C1">
        <w:rPr>
          <w:rFonts w:cstheme="minorHAnsi"/>
        </w:rPr>
        <w:t>E</w:t>
      </w:r>
      <w:r w:rsidRPr="00183767" w:rsidDel="00057D25">
        <w:rPr>
          <w:rFonts w:cstheme="minorHAnsi"/>
        </w:rPr>
        <w:t>ast and North Africa were assigned pat</w:t>
      </w:r>
      <w:r w:rsidRPr="0015452A" w:rsidDel="00057D25">
        <w:rPr>
          <w:rFonts w:cstheme="minorHAnsi"/>
        </w:rPr>
        <w:t xml:space="preserve">terns from the Chinese survey if they were high or upper-middle income and from the Zimbabwean survey if they were low or lower-middle income. </w:t>
      </w:r>
      <w:r w:rsidRPr="00232A7C">
        <w:rPr>
          <w:rFonts w:cstheme="minorHAnsi"/>
        </w:rPr>
        <w:t xml:space="preserve">These contact patterns, </w:t>
      </w:r>
      <w:r w:rsidRPr="00737F6F">
        <w:rPr>
          <w:rFonts w:cstheme="minorHAnsi"/>
        </w:rPr>
        <w:t>alongside country-specific demography</w:t>
      </w:r>
      <w:r w:rsidRPr="006E7793">
        <w:rPr>
          <w:rFonts w:cstheme="minorHAnsi"/>
        </w:rPr>
        <w:t xml:space="preserve"> were then used to </w:t>
      </w:r>
      <w:r>
        <w:rPr>
          <w:rFonts w:cstheme="minorHAnsi"/>
        </w:rPr>
        <w:t>inform modelled</w:t>
      </w:r>
      <w:r w:rsidRPr="006E7793">
        <w:rPr>
          <w:rFonts w:cstheme="minorHAnsi"/>
        </w:rPr>
        <w:t xml:space="preserve"> </w:t>
      </w:r>
      <w:r w:rsidRPr="003840E9">
        <w:rPr>
          <w:rFonts w:cstheme="minorHAnsi"/>
        </w:rPr>
        <w:t>e</w:t>
      </w:r>
      <w:r w:rsidRPr="00CD74C1">
        <w:rPr>
          <w:rFonts w:cstheme="minorHAnsi"/>
        </w:rPr>
        <w:t>stimat</w:t>
      </w:r>
      <w:r>
        <w:rPr>
          <w:rFonts w:cstheme="minorHAnsi"/>
        </w:rPr>
        <w:t>es</w:t>
      </w:r>
      <w:r w:rsidRPr="00CD74C1">
        <w:rPr>
          <w:rFonts w:cstheme="minorHAnsi"/>
        </w:rPr>
        <w:t xml:space="preserve"> of</w:t>
      </w:r>
      <w:r>
        <w:rPr>
          <w:rFonts w:cstheme="minorHAnsi"/>
        </w:rPr>
        <w:t xml:space="preserve"> the</w:t>
      </w:r>
      <w:r w:rsidRPr="00CD74C1">
        <w:rPr>
          <w:rFonts w:cstheme="minorHAnsi"/>
        </w:rPr>
        <w:t xml:space="preserve"> number of </w:t>
      </w:r>
      <w:r>
        <w:rPr>
          <w:rFonts w:cstheme="minorHAnsi"/>
        </w:rPr>
        <w:t>i</w:t>
      </w:r>
      <w:r w:rsidRPr="00CD74C1">
        <w:rPr>
          <w:rFonts w:cstheme="minorHAnsi"/>
        </w:rPr>
        <w:t>nfections and deaths, demand for health care in an unmitigated pandemic and the impact of control measures</w:t>
      </w:r>
      <w:r w:rsidRPr="007C0486">
        <w:rPr>
          <w:rFonts w:cstheme="minorHAnsi"/>
        </w:rPr>
        <w:t xml:space="preserve"> for a given basic reproduction number. Maps were produced using shapefiles provided by the Database of Global Administrative Areas (GADM) </w:t>
      </w:r>
      <w:r w:rsidRPr="009C75F3">
        <w:rPr>
          <w:rFonts w:cstheme="minorHAnsi"/>
        </w:rPr>
        <w:fldChar w:fldCharType="begin" w:fldLock="1"/>
      </w:r>
      <w:r w:rsidR="008D059C">
        <w:rPr>
          <w:rFonts w:cstheme="minorHAnsi"/>
        </w:rPr>
        <w:instrText>ADDIN CSL_CITATION {"citationItems":[{"id":"ITEM-1","itemData":{"URL":"https://gadm.org/","id":"ITEM-1","issued":{"date-parts":[["0"]]},"title":"Database of Global Administrative Areas","type":"webpage"},"uris":["http://www.mendeley.com/documents/?uuid=08569b62-91c7-437f-8c62-a6e23ced5f05"]}],"mendeley":{"formattedCitation":"(&lt;i&gt;54&lt;/i&gt;)","plainTextFormattedCitation":"(54)","previouslyFormattedCitation":"(&lt;i&gt;54&lt;/i&gt;)"},"properties":{"noteIndex":0},"schema":"https://github.com/citation-style-language/schema/raw/master/csl-citation.json"}</w:instrText>
      </w:r>
      <w:r w:rsidRPr="009C75F3">
        <w:rPr>
          <w:rFonts w:cstheme="minorHAnsi"/>
        </w:rPr>
        <w:fldChar w:fldCharType="separate"/>
      </w:r>
      <w:r w:rsidR="001D089A" w:rsidRPr="001D089A">
        <w:rPr>
          <w:rFonts w:cstheme="minorHAnsi"/>
          <w:noProof/>
        </w:rPr>
        <w:t>(</w:t>
      </w:r>
      <w:r w:rsidR="001D089A" w:rsidRPr="001D089A">
        <w:rPr>
          <w:rFonts w:cstheme="minorHAnsi"/>
          <w:i/>
          <w:noProof/>
        </w:rPr>
        <w:t>54</w:t>
      </w:r>
      <w:r w:rsidR="001D089A" w:rsidRPr="001D089A">
        <w:rPr>
          <w:rFonts w:cstheme="minorHAnsi"/>
          <w:noProof/>
        </w:rPr>
        <w:t>)</w:t>
      </w:r>
      <w:r w:rsidRPr="009C75F3">
        <w:rPr>
          <w:rFonts w:cstheme="minorHAnsi"/>
        </w:rPr>
        <w:fldChar w:fldCharType="end"/>
      </w:r>
      <w:r w:rsidRPr="002E4316">
        <w:rPr>
          <w:rFonts w:cstheme="minorHAnsi"/>
        </w:rPr>
        <w:t>.</w:t>
      </w:r>
    </w:p>
    <w:p w14:paraId="70C69D90" w14:textId="77777777" w:rsidR="002D2830" w:rsidRDefault="002D2830" w:rsidP="002D2830">
      <w:pPr>
        <w:rPr>
          <w:b/>
          <w:bCs/>
          <w:sz w:val="24"/>
          <w:szCs w:val="24"/>
        </w:rPr>
      </w:pPr>
      <w:r w:rsidRPr="00634972">
        <w:rPr>
          <w:b/>
          <w:bCs/>
          <w:sz w:val="24"/>
          <w:szCs w:val="24"/>
        </w:rPr>
        <w:t>Comorbidity Data Collation and Extraction</w:t>
      </w:r>
    </w:p>
    <w:p w14:paraId="0E9796C6" w14:textId="270339DB" w:rsidR="002D2830" w:rsidRPr="00BC403A" w:rsidRDefault="002D2830" w:rsidP="002D2830">
      <w:r w:rsidRPr="00BC403A">
        <w:t>Data on the prevalence and distribution of various comorbidities by age previously generated for the Global Burden of Disease estimates were downloaded from the Global Health Data Exchange website</w:t>
      </w:r>
      <w:r>
        <w:t xml:space="preserve"> (</w:t>
      </w:r>
      <w:hyperlink r:id="rId30" w:history="1">
        <w:r>
          <w:rPr>
            <w:rStyle w:val="Hyperlink"/>
          </w:rPr>
          <w:t>http://ghdx.healthdata.org/gbd-results-tool</w:t>
        </w:r>
      </w:hyperlink>
      <w:r>
        <w:t>)</w:t>
      </w:r>
      <w:r w:rsidRPr="00BC403A">
        <w:t>. Specifically, the proportion of individuals by age with chronic obstructive pulmonary disorder (COPD), cardiovascular disease (CVD), diabetes and kidney diseases, HIV/AIDs, Tuberculosis and malnutrition (nutritional deficiencies) were extracted</w:t>
      </w:r>
      <w:r>
        <w:t xml:space="preserve"> for 195 countries </w:t>
      </w:r>
      <w:r>
        <w:fldChar w:fldCharType="begin" w:fldLock="1"/>
      </w:r>
      <w:r w:rsidR="00C6002D">
        <w:instrText>ADDIN CSL_CITATION {"citationItems":[{"id":"ITEM-1","itemData":{"DOI":"10.1016/S0140-6736(18)32279-7","ISSN":"1474547X","abstract":"Background: The Global Burden of Diseases, Injuries, and Risk Factors Study 2017 (GBD 2017) includes a comprehensive assessment of incidence, prevalence, and years lived with disability (YLDs) for 354 causes in 195 countries and territories from 1990 to 2017. Previous GBD studies have shown how the decline of mortality rates from 1990 to 2016 has led to an increase in life expectancy, an ageing global population, and an expansion of the non-fatal burden of disease and injury. These studies have also shown how a substantial portion of the world's population experiences non-fatal health loss with considerable heterogeneity among different causes, locations, ages, and sexes. Ongoing objectives of the GBD study include increasing the level of estimation detail, improving analytical strategies, and increasing the amount of high-quality data. Methods: We estimated incidence and prevalence for 354 diseases and injuries and 3484 sequelae. We used an updated and extensive body of literature studies, survey data, surveillance data, inpatient admission records, outpatient visit records, and health insurance claims, and additionally used results from cause of death models to inform estimates using a total of 68 781 data sources. Newly available clinical data from India, Iran, Japan, Jordan, Nepal, China, Brazil, Norway, and Italy were incorporated, as well as updated claims data from the USA and new claims data from Taiwan (province of China) and Singapore. We used DisMod-MR 2.1, a Bayesian meta-regression tool, as the main method of estimation, ensuring consistency between rates of incidence, prevalence, remission, and cause of death for each condition. YLDs were estimated as the product of a prevalence estimate and a disability weight for health states of each mutually exclusive sequela, adjusted for comorbidity. We updated the Socio-demographic Index (SDI), a summary development indicator of income per capita, years of schooling, and total fertility rate. Additionally, we calculated differences between male and female YLDs to identify divergent trends across sexes. GBD 2017 complies with the Guidelines for Accurate and Transparent Health Estimates Reporting. Findings: Globally, for females, the causes with the greatest age-standardised prevalence were oral disorders, headache disorders, and haemoglobinopathies and haemolytic anaemias in both 1990 and 2017. For males, the causes with the greatest age-standardised prevalence were oral disorders, headache disorders…","author":[{"dropping-particle":"","family":"James","given":"Spencer L.","non-dropping-particle":"","parse-names":false,"suffix":""},{"dropping-particle":"","family":"Abate","given":"Degu","non-dropping-particle":"","parse-names":false,"suffix":""},{"dropping-particle":"","family":"Abate","given":"Kalkidan Hassen","non-dropping-particle":"","parse-names":false,"suffix":""},{"dropping-particle":"","family":"Abay","given":"Solomon M.","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ckerman","given":"Ilana N.","non-dropping-particle":"","parse-names":false,"suffix":""},{"dropping-particle":"","family":"Adamu","given":"Abdu A.","non-dropping-particle":"","parse-names":false,"suffix":""},{"dropping-particle":"","family":"Adebayo","given":"Oladimeji M.","non-dropping-particle":"","parse-names":false,"suffix":""},{"dropping-particle":"","family":"Adekanmbi","given":"Victor","non-dropping-particle":"","parse-names":false,"suffix":""},{"dropping-particle":"","family":"Adetokunboh","given":"Olatunji O.","non-dropping-particle":"","parse-names":false,"suffix":""},{"dropping-particle":"","family":"Adib","given":"Mina G.","non-dropping-particle":"","parse-names":false,"suffix":""},{"dropping-particle":"","family":"Adsuar","given":"Jose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fshin","given":"Ashkan","non-dropping-particle":"","parse-names":false,"suffix":""},{"dropping-particle":"","family":"Agarwal","given":"Gina","non-dropping-particle":"","parse-names":false,"suffix":""},{"dropping-particle":"","family":"Agesa","given":"Kareha M.","non-dropping-particle":"","parse-names":false,"suffix":""},{"dropping-particle":"","family":"Aggarwal","given":"Rakesh","non-dropping-particle":"","parse-names":false,"suffix":""},{"dropping-particle":"","family":"Aghayan","given":"Sargis Aghasi","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M.","non-dropping-particle":"","parse-names":false,"suffix":""},{"dropping-particle":"","family":"Al-Raddadi","given":"Rajaa M.","non-dropping-particle":"","parse-names":false,"suffix":""},{"dropping-particle":"","family":"Alahdab","given":"Fares","non-dropping-particle":"","parse-names":false,"suffix":""},{"dropping-particle":"","family":"Alam","given":"Khurshid","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lebeck","given":"Peter","non-dropping-particle":"","parse-names":false,"suffix":""},{"dropping-particle":"","family":"Alouani","given":"Mohamed M.L.","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T.","non-dropping-particle":"","parse-names":false,"suffix":""},{"dropping-particle":"","family":"Aminde","given":"Leopold N.","non-dropping-particle":"","parse-names":false,"suffix":""},{"dropping-particle":"","family":"Ammar","given":"Walid","non-dropping-particle":"","parse-names":false,"suffix":""},{"dropping-particle":"","family":"Amoako","given":"Yaw Ampem","non-dropping-particle":"","parse-names":false,"suffix":""},{"dropping-particle":"","family":"Anber","given":"Nahla Hamed","non-dropping-particle":"","parse-names":false,"suffix":""},{"dropping-particle":"","family":"Andrei","given":"Catalina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Geleto","non-dropping-particle":"","parse-names":false,"suffix":""},{"dropping-particle":"","family":"Antonio","given":"Carl Abelardo T.","non-dropping-particle":"","parse-names":false,"suffix":""},{"dropping-particle":"","family":"Anwari","given":"Palwasha","non-dropping-particle":"","parse-names":false,"suffix":""},{"dropping-particle":"","family":"Arabloo","given":"Jalal","non-dropping-particle":"","parse-names":false,"suffix":""},{"dropping-particle":"","family":"Arauz","given":"Antonio","non-dropping-particle":"","parse-names":false,"suffix":""},{"dropping-particle":"","family":"Aremu","given":"Olatunde","non-dropping-particle":"","parse-names":false,"suffix":""},{"dropping-particle":"","family":"Ariani","given":"Filippo","non-dropping-particle":"","parse-names":false,"suffix":""},{"dropping-particle":"","family":"Armoon","given":"Bahram","non-dropping-particle":"","parse-names":false,"suffix":""},{"dropping-particle":"","family":"Ärnlöv","given":"Johan","non-dropping-particle":"","parse-names":false,"suffix":""},{"dropping-particle":"","family":"Arora","given":"Amit","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K.","non-dropping-particle":"","parse-names":false,"suffix":""},{"dropping-particle":"","family":"Asayesh","given":"Hamid","non-dropping-particle":"","parse-names":false,"suffix":""},{"dropping-particle":"","family":"Asghar","given":"Rana Jawad","non-dropping-particle":"","parse-names":false,"suffix":""},{"dropping-particle":"","family":"Ataro","given":"Zerihun","non-dropping-particle":"","parse-names":false,"suffix":""},{"dropping-particle":"","family":"Atre","given":"Sachin R.","non-dropping-particle":"","parse-names":false,"suffix":""},{"dropping-particle":"","family":"Ausloos","given":"Marcel","non-dropping-particle":"","parse-names":false,"suffix":""},{"dropping-particle":"","family":"Avila-Burgos","given":"Leticia","non-dropping-particle":"","parse-names":false,"suffix":""},{"dropping-particle":"","family":"Avokpaho","given":"Euripide F.G.A.","non-dropping-particle":"","parse-names":false,"suffix":""},{"dropping-particle":"","family":"Awasthi","given":"Ashish","non-dropping-particle":"","parse-names":false,"suffix":""},{"dropping-particle":"","family":"Ayala Quintanilla","given":"Beatriz Paulina","non-dropping-particle":"","parse-names":false,"suffix":""},{"dropping-particle":"","family":"Ayer","given":"Rakesh","non-dropping-particle":"","parse-names":false,"suffix":""},{"dropping-particle":"","family":"Azzopardi","given":"Peter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i","given":"Ayele Geleto","non-dropping-particle":"","parse-names":false,"suffix":""},{"dropping-particle":"","family":"Ballesteros","given":"Katherine 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nstola","given":"Amrit","non-dropping-particle":"","parse-names":false,"suffix":""},{"dropping-particle":"","family":"Barac","given":"Aleksandra","non-dropping-particle":"","parse-names":false,"suffix":""},{"dropping-particle":"","family":"Barboza","given":"Miguel 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lachew","given":"Abate Bekele","non-dropping-particle":"","parse-names":false,"suffix":""},{"dropping-particle":"","family":"Belay","given":"Yihalem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K.","non-dropping-particle":"","parse-names":false,"suffix":""},{"dropping-particle":"","family":"Bensenor","given":"Isabela M.","non-dropping-particle":"","parse-names":false,"suffix":""},{"dropping-particle":"","family":"Bernabe","given":"Eduardo","non-dropping-particle":"","parse-names":false,"suffix":""},{"dropping-particle":"","family":"Bernstein","given":"Robert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ttarai","given":"Suraj","non-dropping-particle":"","parse-names":false,"suffix":""},{"dropping-particle":"","family":"Bhaumik","given":"Soumyadeep","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family":"Sayeed","given":"Muhammad Shahdaat","non-dropping-particle":"Bin","parse-names":false,"suffix":""},{"dropping-particle":"","family":"Bisanzio","given":"Donal","non-dropping-particle":"","parse-names":false,"suffix":""},{"dropping-particle":"","family":"Blacker","given":"Brigette F.","non-dropping-particle":"","parse-names":false,"suffix":""},{"dropping-particle":"","family":"Blyth","given":"Fiona M.","non-dropping-particle":"","parse-names":false,"suffix":""},{"dropping-particle":"","family":"Bou-Orm","given":"Ibrahim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J.","non-dropping-particle":"","parse-names":false,"suffix":""},{"dropping-particle":"","family":"Brainin","given":"Michael","non-dropping-particle":"","parse-names":false,"suffix":""},{"dropping-particle":"","family":"Brant","given":"Luisa C.","non-dropping-particle":"","parse-names":false,"suffix":""},{"dropping-particle":"","family":"Brazinova","given":"Alexandra","non-dropping-particle":"","parse-names":false,"suffix":""},{"dropping-particle":"","family":"Breitborde","given":"Nicholas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J.K.","non-dropping-particle":"","parse-names":false,"suffix":""},{"dropping-particle":"","family":"Brenner","given":"Hermann","non-dropping-particle":"","parse-names":false,"suffix":""},{"dropping-particle":"","family":"Briant","given":"Paul Svitil","non-dropping-particle":"","parse-names":false,"suffix":""},{"dropping-particle":"","family":"Briggs","given":"Andrew M.","non-dropping-particle":"","parse-names":false,"suffix":""},{"dropping-particle":"","family":"Briko","given":"Andrey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sse","given":"Reinhard","non-dropping-particle":"","parse-names":false,"suffix":""},{"dropping-particle":"","family":"Butt","given":"Zahid A.","non-dropping-particle":"","parse-names":false,"suffix":""},{"dropping-particle":"","family":"Cahuana-Hurtado","given":"Lucero","non-dropping-particle":"","parse-names":false,"suffix":""},{"dropping-particle":"","family":"Cano","given":"Jorge","non-dropping-particle":"","parse-names":false,"suffix":""},{"dropping-particle":"","family":"Cárdenas","given":"Rosario","non-dropping-particle":"","parse-names":false,"suffix":""},{"dropping-particle":"","family":"Carrero","given":"Juan J.","non-dropping-particle":"","parse-names":false,"suffix":""},{"dropping-particle":"","family":"Carter","given":"Austin","non-dropping-particle":"","parse-names":false,"suffix":""},{"dropping-particle":"","family":"Carvalho","given":"Félix","non-dropping-particle":"","parse-names":false,"suffix":""},{"dropping-particle":"","family":"Castañeda-Orjuela","given":"Carlos A.","non-dropping-particle":"","parse-names":false,"suffix":""},{"dropping-particle":"","family":"Castillo Rivas","given":"Jacqueline","non-dropping-particle":"","parse-names":false,"suffix":""},{"dropping-particle":"","family":"Castro","given":"Franz","non-dropping-particle":"","parse-names":false,"suffix":""},{"dropping-particle":"","family":"Catalá-López","given":"Ferrán","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Alex R.","non-dropping-particle":"","parse-names":false,"suffix":""},{"dropping-particle":"","family":"Chang","given":"Hsing Yi","non-dropping-particle":"","parse-names":false,"suffix":""},{"dropping-particle":"","family":"Chang","given":"Jung Chen","non-dropping-particle":"","parse-names":false,"suffix":""},{"dropping-particle":"","family":"Charlson","given":"Fiona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Kumar","non-dropping-particle":"","parse-names":false,"suffix":""},{"dropping-particle":"","family":"Chaturvedi","given":"Pankaj","non-dropping-particle":"","parse-names":false,"suffix":""},{"dropping-particle":"","family":"Chiang","given":"Peggy Pei Chia","non-dropping-particle":"","parse-names":false,"suffix":""},{"dropping-particle":"","family":"Chin","given":"Ken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J.","non-dropping-particle":"","parse-names":false,"suffix":""},{"dropping-particle":"","family":"Cicuttini","given":"Flavia M.","non-dropping-particle":"","parse-names":false,"suffix":""},{"dropping-particle":"","family":"Ciobanu","given":"Liliana G.","non-dropping-particle":"","parse-names":false,"suffix":""},{"dropping-particle":"","family":"Cirillo","given":"Massimo","non-dropping-particle":"","parse-names":false,"suffix":""},{"dropping-particle":"","family":"Claro","given":"Rafael M.","non-dropping-particle":"","parse-names":false,"suffix":""},{"dropping-particle":"","family":"Collado-Mateo","given":"Daniel","non-dropping-particle":"","parse-names":false,"suffix":""},{"dropping-particle":"","family":"Cooper","given":"Cyrus","non-dropping-particle":"","parse-names":false,"suffix":""},{"dropping-particle":"","family":"Coresh","given":"Josef","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A.","non-dropping-particle":"","parse-names":false,"suffix":""},{"dropping-particle":"","family":"Cross","given":"Marita","non-dropping-particle":"","parse-names":false,"suffix":""},{"dropping-particle":"","family":"Crump","given":"John A.","non-dropping-particle":"","parse-names":false,"suffix":""},{"dropping-particle":"","family":"Dadi","given":"Abel Fekadu","non-dropping-particle":"","parse-names":false,"suffix":""},{"dropping-particle":"","family":"Dandona","given":"Lalit","non-dropping-particle":"","parse-names":false,"suffix":""},{"dropping-particle":"","family":"Dandona","given":"Rakhi","non-dropping-particle":"","parse-names":false,"suffix":""},{"dropping-particle":"","family":"Dargan","given":"Paul I.","non-dropping-particle":"","parse-names":false,"suffix":""},{"dropping-particle":"","family":"Daryani","given":"Ahmad","non-dropping-particle":"","parse-names":false,"suffix":""},{"dropping-particle":"","family":"Gupta","given":"Rajat","non-dropping-particle":"Das","parse-names":false,"suffix":""},{"dropping-particle":"","family":"Neves","given":"José","non-dropping-particle":"Das","parse-names":false,"suffix":""},{"dropping-particle":"","family":"Dasa","given":"Tamirat Tesfaye","non-dropping-particle":"","parse-names":false,"suffix":""},{"dropping-particle":"","family":"Davey","given":"Gail","non-dropping-particle":"","parse-names":false,"suffix":""},{"dropping-particle":"","family":"Davis","given":"Adrian C.","non-dropping-particle":"","parse-names":false,"suffix":""},{"dropping-particle":"","family":"Davitoiu","given":"Dragos Virgil","non-dropping-particle":"","parse-names":false,"suffix":""},{"dropping-particle":"","family":"Courten","given":"Barbora","non-dropping-particle":"De","parse-names":false,"suffix":""},{"dropping-particle":"","family":"La Hoz","given":"Fernando Pio","non-dropping-particle":"De","parse-names":false,"suffix":""},{"dropping-particle":"","family":"Leo","given":"Diego","non-dropping-particle":"De","parse-names":false,"suffix":""},{"dropping-particle":"","family":"Neve","given":"Jan Walter","non-dropping-particle":"De","parse-names":false,"suffix":""},{"dropping-particle":"","family":"Degefa","given":"Meaza Girma","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ribe","given":"Kebede","non-dropping-particle":"","parse-names":false,"suffix":""},{"dropping-particle":"","family":"Dervenis","given":"Nikolaos","non-dropping-particle":"","parse-names":false,"suffix":""},{"dropping-particle":"","family":"Jarlais","given":"Don C.","non-dropping-particle":"Des","parse-names":false,"suffix":""},{"dropping-particle":"","family":"Dessie","given":"Getenet Ayalew","non-dropping-particle":"","parse-names":false,"suffix":""},{"dropping-particle":"","family":"Dey","given":"Subhojit","non-dropping-particle":"","parse-names":false,"suffix":""},{"dropping-particle":"","family":"Dharmaratne","given":"Samath Dhamminda","non-dropping-particle":"","parse-names":false,"suffix":""},{"dropping-particle":"","family":"Dinberu","given":"Mesfin Tadese","non-dropping-particle":"","parse-names":false,"suffix":""},{"dropping-particle":"","family":"Dirac","given":"M. Ashworth","non-dropping-particle":"","parse-names":false,"suffix":""},{"dropping-particle":"","family":"Djalalinia","given":"Shirin","non-dropping-particle":"","parse-names":false,"suffix":""},{"dropping-particle":"","family":"Doan","given":"Linh","non-dropping-particle":"","parse-names":false,"suffix":""},{"dropping-particle":"","family":"Dokova","given":"Klara","non-dropping-particle":"","parse-names":false,"suffix":""},{"dropping-particle":"","family":"Doku","given":"David Teye","non-dropping-particle":"","parse-names":false,"suffix":""},{"dropping-particle":"","family":"Dorsey","given":"E. Ray","non-dropping-particle":"","parse-names":false,"suffix":""},{"dropping-particle":"","family":"Doyle","given":"Kerrie E.","non-dropping-particle":"","parse-names":false,"suffix":""},{"dropping-particle":"","family":"Driscoll","given":"Tim Robert","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rahimi","given":"Hedyeh","non-dropping-particle":"","parse-names":false,"suffix":""},{"dropping-particle":"","family":"Ebrahimpour","given":"Soheil","non-dropping-particle":"","parse-names":false,"suffix":""},{"dropping-particle":"","family":"Echko","given":"Michelle Marie","non-dropping-particle":"","parse-names":false,"suffix":""},{"dropping-particle":"","family":"Edvardsson","given":"David","non-dropping-particle":"","parse-names":false,"suffix":""},{"dropping-particle":"","family":"Effiong","given":"Andem","non-dropping-particle":"","parse-names":false,"suffix":""},{"dropping-particle":"","family":"Ehrlich","given":"Joshua R.","non-dropping-particle":"","parse-names":false,"suffix":""},{"dropping-particle":"","family":"Bcheraoui","given":"Charbel","non-dropping-particle":"El","parse-names":false,"suffix":""},{"dropping-particle":"","family":"Sayed Zaki","given":"Maysaa","non-dropping-particle":"El","parse-names":false,"suffix":""},{"dropping-particle":"","family":"El-Khatib","given":"Ziad","non-dropping-particle":"","parse-names":false,"suffix":""},{"dropping-particle":"","family":"Elkout","given":"Hajer","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hrati","given":"Babak","non-dropping-particle":"","parse-names":false,"suffix":""},{"dropping-particle":"","family":"Eskandarieh","given":"Sharareh","non-dropping-particle":"","parse-names":false,"suffix":""},{"dropping-particle":"","family":"Esteghamati","given":"Alireza","non-dropping-particle":"","parse-names":false,"suffix":""},{"dropping-particle":"","family":"Esteghamati","given":"Sadaf","non-dropping-particle":"","parse-names":false,"suffix":""},{"dropping-particle":"","family":"Fakhim","given":"Hamed","non-dropping-particle":"","parse-names":false,"suffix":""},{"dropping-particle":"","family":"Fallah Omrani","given":"Vahid","non-dropping-particle":"","parse-names":false,"suffix":""},{"dropping-particle":"","family":"Faramarzi","given":"Mahbobeh","non-dropping-particle":"","parse-names":false,"suffix":""},{"dropping-particle":"","family":"Fareed","given":"Mohammad","non-dropping-particle":"","parse-names":false,"suffix":""},{"dropping-particle":"","family":"Farhadi","given":"Farzaneh","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S.","non-dropping-particle":"","parse-names":false,"suffix":""},{"dropping-particle":"","family":"Farzadfar","given":"Farshad","non-dropping-particle":"","parse-names":false,"suffix":""},{"dropping-particle":"","family":"Feigin","given":"Valery L.","non-dropping-particle":"","parse-names":false,"suffix":""},{"dropping-particle":"","family":"Fentahun","given":"Netsanet","non-dropping-particle":"","parse-names":false,"suffix":""},{"dropping-particle":"","family":"Fereshtehnejad","given":"Seyed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C.","non-dropping-particle":"","parse-names":false,"suffix":""},{"dropping-particle":"","family":"Ferrari","given":"Alize J.","non-dropping-particle":"","parse-names":false,"suffix":""},{"dropping-particle":"","family":"Feyissa","given":"Garumma Tolu","non-dropping-particle":"","parse-names":false,"suffix":""},{"dropping-particle":"","family":"Filip","given":"Irina","non-dropping-particle":"","parse-names":false,"suffix":""},{"dropping-particle":"","family":"Fischer","given":"Florian","non-dropping-particle":"","parse-names":false,"suffix":""},{"dropping-particle":"","family":"Fitzmaurice","given":"Christina","non-dropping-particle":"","parse-names":false,"suffix":""},{"dropping-particle":"","family":"Foigt","given":"Nataliya A.","non-dropping-particle":"","parse-names":false,"suffix":""},{"dropping-particle":"","family":"Foreman","given":"Kyle J.","non-dropping-particle":"","parse-names":false,"suffix":""},{"dropping-particle":"","family":"Fox","given":"Jack","non-dropping-particle":"","parse-names":false,"suffix":""},{"dropping-particle":"","family":"Frank","given":"Tahvi D.","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ão M.","non-dropping-particle":"","parse-names":false,"suffix":""},{"dropping-particle":"","family":"Futran","given":"Neal D.","non-dropping-particle":"","parse-names":false,"suffix":""},{"dropping-particle":"","family":"Gall","given":"Seana","non-dropping-particle":"","parse-names":false,"suffix":""},{"dropping-particle":"","family":"Ganji","given":"Morsaleh","non-dropping-particle":"","parse-names":false,"suffix":""},{"dropping-particle":"","family":"Gankpe","given":"Fortune Gbetoho","non-dropping-particle":"","parse-names":false,"suffix":""},{"dropping-particle":"","family":"Garcia-Basteiro","given":"Alberto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M.","non-dropping-particle":"","parse-names":false,"suffix":""},{"dropping-particle":"","family":"Genova-Maleras","given":"Ricard","non-dropping-particle":"","parse-names":false,"suffix":""},{"dropping-particle":"","family":"Geramo","given":"Yilma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Embaye","non-dropping-particle":"","parse-names":false,"suffix":""},{"dropping-particle":"","family":"Ghadiri","given":"Keyghobad","non-dropping-particle":"","parse-names":false,"suffix":""},{"dropping-particle":"","family":"Ghasemi Falavarjani","given":"Khalil","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ldberg","given":"Ellen M.","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Vali","non-dropping-particle":"","parse-names":false,"suffix":""},{"dropping-particle":"","family":"Gorman","given":"Taren M.","non-dropping-particle":"","parse-names":false,"suffix":""},{"dropping-particle":"","family":"Goulart","given":"Alessandra C.","non-dropping-particle":"","parse-names":false,"suffix":""},{"dropping-particle":"","family":"Goulart","given":"Bárbara Niegia Garcia","non-dropping-particle":"","parse-names":false,"suffix":""},{"dropping-particle":"","family":"Grada","given":"Ayman","non-dropping-particle":"","parse-names":false,"suffix":""},{"dropping-particle":"","family":"Grams","given":"Morgan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Chander","non-dropping-particle":"","parse-names":false,"suffix":""},{"dropping-particle":"","family":"Guo","given":"Yuming","non-dropping-particle":"","parse-names":false,"suffix":""},{"dropping-particle":"","family":"Gupta","given":"Prakash C.","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yawali","given":"Bishal","non-dropping-particle":"","parse-names":false,"suffix":""},{"dropping-particle":"","family":"Haagsma","given":"Juanita A.","non-dropping-particle":"","parse-names":false,"suffix":""},{"dropping-particle":"","family":"Hachinski","given":"Vladimir","non-dropping-particle":"","parse-names":false,"suffix":""},{"dropping-particle":"","family":"Hafezi-Nejad","given":"Nima","non-dropping-particle":"","parse-names":false,"suffix":""},{"dropping-particle":"","family":"Haghparast Bidgoli","given":"Hassan","non-dropping-particle":"","parse-names":false,"suffix":""},{"dropping-particle":"","family":"Hagos","given":"Tekleberhan B.","non-dropping-particle":"","parse-names":false,"suffix":""},{"dropping-particle":"","family":"Hailu","given":"Gessessew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an","given":"Mehedi","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N.","non-dropping-particle":"","parse-names":false,"suffix":""},{"dropping-particle":"","family":"Hay","given":"Roderick J.","non-dropping-particle":"","parse-names":false,"suffix":""},{"dropping-particle":"","family":"Hay","given":"Simon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ndrie","given":"Delia","non-dropping-particle":"","parse-names":false,"suffix":""},{"dropping-particle":"","family":"Henok","given":"Andualem","non-dropping-particle":"","parse-names":false,"suffix":""},{"dropping-particle":"","family":"Herteliu","given":"Claudiu","non-dropping-particle":"","parse-names":false,"suffix":""},{"dropping-particle":"","family":"Heydarpour","given":"Sousan","non-dropping-particle":"","parse-names":false,"suffix":""},{"dropping-particle":"","family":"Hibstu","given":"Desalegn Tsegaw","non-dropping-particle":"","parse-names":false,"suffix":""},{"dropping-particle":"","family":"Hoang","given":"Huong Thanh","non-dropping-particle":"","parse-names":false,"suffix":""},{"dropping-particle":"","family":"Hoek","given":"Hans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K.","non-dropping-particle":"","parse-names":false,"suffix":""},{"dropping-particle":"","family":"Homaie Rad","given":"Enayatollah","non-dropping-particle":"","parse-names":false,"suffix":""},{"dropping-particle":"","family":"Hoogar","given":"Praveen","non-dropping-particle":"","parse-names":false,"suffix":""},{"dropping-particle":"","family":"Hosgood","given":"H.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tez","given":"Peter J.","non-dropping-particle":"","parse-names":false,"suffix":""},{"dropping-particle":"","family":"Hoy","given":"Damian G.","non-dropping-particle":"","parse-names":false,"suffix":""},{"dropping-particle":"","family":"Hsairi","given":"Mohamed","non-dropping-particle":"","parse-names":false,"suffix":""},{"dropping-particle":"","family":"Htet","given":"Aung Soe","non-dropping-particle":"","parse-names":false,"suffix":""},{"dropping-particle":"","family":"Hu","given":"Guoqing","non-dropping-particle":"","parse-names":false,"suffix":""},{"dropping-particle":"","family":"Huang","given":"John J.","non-dropping-particle":"","parse-names":false,"suffix":""},{"dropping-particle":"","family":"Huynh","given":"Chantal K.","non-dropping-particle":"","parse-names":false,"suffix":""},{"dropping-particle":"","family":"Iburg","given":"Kim Moesgaard","non-dropping-particle":"","parse-names":false,"suffix":""},{"dropping-particle":"","family":"Ikeda","given":"Chad Thomas","non-dropping-particle":"","parse-names":false,"suffix":""},{"dropping-particle":"","family":"Ileanu","given":"Bogdan","non-dropping-particle":"","parse-names":false,"suffix":""},{"dropping-particle":"","family":"Ilesanmi","given":"Olayinka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Mohammed","given":"Sheikh","non-dropping-particle":"","parse-names":false,"suffix":""},{"dropping-particle":"","family":"Islam","given":"Shariful","non-dropping-particle":"","parse-names":false,"suffix":""},{"dropping-particle":"","family":"Islami","given":"Farha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vanbakht","given":"Mehdi","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S.","non-dropping-particle":"","parse-names":false,"suffix":""},{"dropping-particle":"","family":"Johnson","given":"Catherine O.","non-dropping-particle":"","parse-names":false,"suffix":""},{"dropping-particle":"","family":"Jonas","given":"Jost B.","non-dropping-particle":"","parse-names":false,"suffix":""},{"dropping-particle":"","family":"Jozwiak","given":"Jacek Jerzy","non-dropping-particle":"","parse-names":false,"suffix":""},{"dropping-particle":"","family":"Jungari","given":"Suresh Banayya","non-dropping-particle":"","parse-names":false,"suffix":""},{"dropping-particle":"","family":"Jürisson","given":"Mikk","non-dropping-particle":"","parse-names":false,"suffix":""},{"dropping-particle":"","family":"Kabir","given":"Zubair","non-dropping-particle":"","parse-names":false,"suffix":""},{"dropping-particle":"","family":"Kadel","given":"Rajendra","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rami","given":"Manoochehr","non-dropping-particle":"","parse-names":false,"suffix":""},{"dropping-particle":"","family":"Karami Matin","given":"Behzad","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Vittal","non-dropping-particle":"","parse-names":false,"suffix":""},{"dropping-particle":"","family":"Kawakami","given":"Norito","non-dropping-particle":"","parse-names":false,"suffix":""},{"dropping-particle":"","family":"Kazemi Karyani","given":"Ali","non-dropping-particle":"","parse-names":false,"suffix":""},{"dropping-particle":"","family":"Keighobadi","given":"Masoud Masoud","non-dropping-particle":"","parse-names":false,"suffix":""},{"dropping-particle":"","family":"Keiyoro","given":"Peter Njenga","non-dropping-particle":"","parse-names":false,"suffix":""},{"dropping-particle":"","family":"Kemmer","given":"Laura","non-dropping-particle":"","parse-names":false,"suffix":""},{"dropping-particle":"","family":"Kemp","given":"Grant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Abdullatif","non-dropping-particle":"","parse-names":false,"suffix":""},{"dropping-particle":"","family":"Khajavi","given":"Alireza","non-dropping-particle":"","parse-names":false,"suffix":""},{"dropping-particle":"","family":"Khalil","given":"Ibrahim A.","non-dropping-particle":"","parse-names":false,"suffix":""},{"dropping-particle":"","family":"Khan","given":"Ejaz Ahmad","non-dropping-particle":"","parse-names":false,"suffix":""},{"dropping-particle":"","family":"Khan","given":"Muhammad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Ho","non-dropping-particle":"","parse-names":false,"suffix":""},{"dropping-particle":"","family":"Khazaei","given":"Mohammad","non-dropping-particle":"","parse-names":false,"suffix":""},{"dropping-particle":"","family":"Khoja","given":"Abdullah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Pauline","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udsen","given":"Ann Kristin Skrindo","non-dropping-particle":"","parse-names":false,"suffix":""},{"dropping-particle":"","family":"Kocarnik","given":"Jonathan M.","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A.","non-dropping-particle":"","parse-names":false,"suffix":""},{"dropping-particle":"","family":"Kosen","given":"Soewarta","non-dropping-particle":"","parse-names":false,"suffix":""},{"dropping-particle":"","family":"Kotsakis","given":"Georgios 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J.","non-dropping-particle":"","parse-names":false,"suffix":""},{"dropping-particle":"","family":"Kuate Defo","given":"Barthelemy","non-dropping-particle":"","parse-names":false,"suffix":""},{"dropping-particle":"","family":"Kucuk Bicer","given":"Burcu","non-dropping-particle":"","parse-names":false,"suffix":""},{"dropping-particle":"","family":"Kumar","given":"G. Anil","non-dropping-particle":"","parse-names":false,"suffix":""},{"dropping-particle":"","family":"Kumar","given":"Manasi","non-dropping-particle":"","parse-names":false,"suffix":""},{"dropping-particle":"","family":"Kyu","given":"Hmwe Hmwe","non-dropping-particle":"","parse-names":false,"suffix":""},{"dropping-particle":"","family":"Lad","given":"Deepesh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Hasan","non-dropping-particle":"","parse-names":false,"suffix":""},{"dropping-particle":"","family":"Lansingh","given":"Van C.","non-dropping-particle":"","parse-names":false,"suffix":""},{"dropping-particle":"","family":"Latifi","given":"Arman","non-dropping-particle":"","parse-names":false,"suffix":""},{"dropping-particle":"","family":"Lau","given":"Kathryn Mei Ming","non-dropping-particle":"","parse-names":false,"suffix":""},{"dropping-particle":"V.","family":"Lazarus","given":"Jeffrey","non-dropping-particle":"","parse-names":false,"suffix":""},{"dropping-particle":"","family":"Leasher","given":"Janet L.","non-dropping-particle":"","parse-names":false,"suffix":""},{"dropping-particle":"","family":"Ledesma","given":"Jorge R.","non-dropping-particle":"","parse-names":false,"suffix":""},{"dropping-particle":"","family":"Lee","given":"Paul H.","non-dropping-particle":"","parse-names":false,"suffix":""},{"dropping-particle":"","family":"Leigh","given":"James","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Ling","non-dropping-particle":"","parse-names":false,"suffix":""},{"dropping-particle":"","family":"Lim","given":"Stephen S.","non-dropping-particle":"","parse-names":false,"suffix":""},{"dropping-particle":"","family":"Liu","given":"Shiwei","non-dropping-particle":"","parse-names":false,"suffix":""},{"dropping-particle":"","family":"Lodha","given":"Rakesh","non-dropping-particle":"","parse-names":false,"suffix":""},{"dropping-particle":"","family":"Looker","given":"Katharine J.","non-dropping-particle":"","parse-names":false,"suffix":""},{"dropping-particle":"","family":"Lopez","given":"Alan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w","given":"Nicola","non-dropping-particle":"","parse-names":false,"suffix":""},{"dropping-particle":"","family":"Lozano","given":"Rafael","non-dropping-particle":"","parse-names":false,"suffix":""},{"dropping-particle":"","family":"Lucas","given":"Tim C.D.","non-dropping-particle":"","parse-names":false,"suffix":""},{"dropping-particle":"","family":"Lucchesi","given":"Lydia R.","non-dropping-particle":"","parse-names":false,"suffix":""},{"dropping-particle":"","family":"Lunevicius","given":"Raimundas","non-dropping-particle":"","parse-names":false,"suffix":""},{"dropping-particle":"","family":"Lyons","given":"Ronan A.","non-dropping-particle":"","parse-names":false,"suffix":""},{"dropping-particle":"","family":"Ma","given":"Stefan","non-dropping-particle":"","parse-names":false,"suffix":""},{"dropping-particle":"","family":"Macarayan","given":"Erlyn Rachelle King","non-dropping-particle":"","parse-names":false,"suffix":""},{"dropping-particle":"","family":"Mackay","given":"Mark T.","non-dropping-particle":"","parse-names":false,"suffix":""},{"dropping-particle":"","family":"Madotto","given":"Fabiana","non-dropping-particle":"","parse-names":false,"suffix":""},{"dropping-particle":"","family":"Magdy Abd El Razek","given":"Hassan","non-dropping-particle":"","parse-names":false,"suffix":""},{"dropping-particle":"","family":"Magdy Abd El Razek","given":"Muhammed","non-dropping-particle":"","parse-names":false,"suffix":""},{"dropping-particle":"","family":"Maghavani","given":"Dhaval P.","non-dropping-particle":"","parse-names":false,"suffix":""},{"dropping-particle":"","family":"Mahotra","given":"Narayan Bahadur","non-dropping-particle":"","parse-names":false,"suffix":""},{"dropping-particle":"","family":"Mai","given":"Hue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hertz","given":"Treh","non-dropping-particle":"","parse-names":false,"suffix":""},{"dropping-particle":"","family":"Mansournia","given":"Mohammad Ali","non-dropping-particle":"","parse-names":false,"suffix":""},{"dropping-particle":"","family":"Mantovani","given":"Lorenzo Giovanni","non-dropping-particle":"","parse-names":false,"suffix":""},{"dropping-particle":"","family":"Mapoma","given":"Chabila Christopher","non-dropping-particle":"","parse-names":false,"suffix":""},{"dropping-particle":"","family":"Maravilla","given":"Joemer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family":"Martins-Melo","given":"Francisco Rogerlândio","non-dropping-particle":"","parse-names":false,"suffix":""},{"dropping-particle":"","family":"Martopullo","given":"Ira","non-dropping-particle":"","parse-names":false,"suffix":""},{"dropping-particle":"","family":"März","given":"Winfried","non-dropping-particle":"","parse-names":false,"suffix":""},{"dropping-particle":"","family":"Marzan","given":"Melvin B.","non-dropping-particle":"","parse-names":false,"suffix":""},{"dropping-particle":"","family":"Mashamba-Thompson","given":"Tivani Phosa","non-dropping-particle":"","parse-names":false,"suffix":""},{"dropping-particle":"","family":"Massenburg","given":"Benjamin Ballard","non-dropping-particle":"","parse-names":false,"suffix":""},{"dropping-particle":"","family":"Mathur","given":"Manu Raj","non-dropping-particle":"","parse-names":false,"suffix":""},{"dropping-particle":"","family":"Matsushita","given":"Kunihiro","non-dropping-particle":"","parse-names":false,"suffix":""},{"dropping-particle":"","family":"Maulik","given":"Pallab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J.","non-dropping-particle":"","parse-names":false,"suffix":""},{"dropping-particle":"","family":"McKee","given":"Martin","non-dropping-particle":"","parse-names":false,"suffix":""},{"dropping-particle":"","family":"Mehndiratta","given":"Man Mohan","non-dropping-particle":"","parse-names":false,"suffix":""},{"dropping-particle":"","family":"Mehrotra","given":"Ravi","non-dropping-particle":"","parse-names":false,"suffix":""},{"dropping-particle":"","family":"Mehta","given":"Kala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jia-Rodriguez","given":"Fabiola","non-dropping-particle":"","parse-names":false,"suffix":""},{"dropping-particle":"","family":"Mekonen","given":"Tesfa","non-dropping-particle":"","parse-names":false,"suffix":""},{"dropping-particle":"","family":"Melese","given":"Addisu","non-dropping-particle":"","parse-names":false,"suffix":""},{"dropping-particle":"","family":"Melku","given":"Mulugeta","non-dropping-particle":"","parse-names":false,"suffix":""},{"dropping-particle":"","family":"Meltzer","given":"Michele","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Tadese","non-dropping-particle":"","parse-names":false,"suffix":""},{"dropping-particle":"","family":"Mengistu","given":"Getnet","non-dropping-particle":"","parse-names":false,"suffix":""},{"dropping-particle":"","family":"Mensah","given":"George A.","non-dropping-particle":"","parse-names":false,"suffix":""},{"dropping-particle":"","family":"Mereta","given":"Seid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J.","non-dropping-particle":"","parse-names":false,"suffix":""},{"dropping-particle":"","family":"Mestrovic","given":"Tomislav","non-dropping-particle":"","parse-names":false,"suffix":""},{"dropping-particle":"","family":"Mezerji","given":"Naser Mohammad Gholi","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R.","non-dropping-particle":"","parse-names":false,"suffix":""},{"dropping-particle":"","family":"Miltz","given":"Benjamin","non-dropping-particle":"","parse-names":false,"suffix":""},{"dropping-particle":"","family":"Mini","given":"G. K.","non-dropping-particle":"","parse-names":false,"suffix":""},{"dropping-particle":"","family":"Mirarefin","given":"Mojde","non-dropping-particle":"","parse-names":false,"suffix":""},{"dropping-particle":"","family":"Mirrakhimov","given":"Erkin M.","non-dropping-particle":"","parse-names":false,"suffix":""},{"dropping-particle":"","family":"Misganaw","given":"Awoke Temesgen","non-dropping-particle":"","parse-names":false,"suffix":""},{"dropping-particle":"","family":"Mitchell","given":"Philip B.","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fard","given":"Noushin","non-dropping-particle":"","parse-names":false,"suffix":""},{"dropping-particle":"","family":"Mohammadnia-Afrouzi","given":"Mousa","non-dropping-particle":"","parse-names":false,"suffix":""},{"dropping-particle":"","family":"Mohammed","given":"Mohammed A.","non-dropping-particle":"","parse-names":false,"suffix":""},{"dropping-particle":"","family":"Mohammed","given":"Shafiu","non-dropping-particle":"","parse-names":false,"suffix":""},{"dropping-particle":"","family":"Mohebi","given":"Farnam","non-dropping-particle":"","parse-names":false,"suffix":""},{"dropping-particle":"","family":"Moitra","given":"Modhurima","non-dropping-particle":"","parse-names":false,"suffix":""},{"dropping-particle":"","family":"Mokdad","given":"Ali H.","non-dropping-particle":"","parse-names":false,"suffix":""},{"dropping-particle":"","family":"Molokhia","given":"Mariam","non-dropping-particle":"","parse-names":false,"suffix":""},{"dropping-particle":"","family":"Monasta","given":"Lorenzo","non-dropping-particle":"","parse-names":false,"suffix":""},{"dropping-particle":"","family":"Moodley","given":"Yoshan","non-dropping-particle":"","parse-names":false,"suffix":""},{"dropping-particle":"","family":"Moosazadeh","given":"Mahmood","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eno Velásquez","given":"Ilais","non-dropping-particle":"","parse-names":false,"suffix":""},{"dropping-particle":"","family":"Morgado-Da-Costa","given":"Joana","non-dropping-particle":"","parse-names":false,"suffix":""},{"dropping-particle":"","family":"Morrison","given":"Shane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M.","non-dropping-particle":"","parse-names":false,"suffix":""},{"dropping-particle":"","family":"Mousavi","given":"Seyyed Meysam","non-dropping-particle":"","parse-names":false,"suffix":""},{"dropping-particle":"","family":"Mruts","given":"Kalayu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mford","given":"John Everett","non-dropping-particle":"","parse-names":false,"suffix":""},{"dropping-particle":"","family":"Murhekar","given":"Manoj","non-dropping-particle":"","parse-names":false,"suffix":""},{"dropping-particle":"","family":"Musa","given":"Jonah","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ata","given":"Chie","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ldi","given":"Luigi","non-dropping-particle":"","parse-names":false,"suffix":""},{"dropping-particle":"","family":"Nam","given":"Hae Sung","non-dropping-particle":"","parse-names":false,"suffix":""},{"dropping-particle":"","family":"Nangia","given":"Vinay","non-dropping-particle":"","parse-names":false,"suffix":""},{"dropping-particle":"","family":"Nansseu","given":"Jobert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atarajan","given":"Gopalakrishnan","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Thanh","non-dropping-particle":"","parse-names":false,"suffix":""},{"dropping-particle":"","family":"Nguyen","given":"Long Hoang","non-dropping-particle":"","parse-names":false,"suffix":""},{"dropping-particle":"","family":"Nguyen","given":"Minh","non-dropping-particle":"","parse-names":false,"suffix":""},{"dropping-particle":"","family":"Nguyen","given":"Nam Ba","non-dropping-particle":"","parse-names":false,"suffix":""},{"dropping-particle":"","family":"Nguyen","given":"Son Hoang","non-dropping-particle":"","parse-names":false,"suffix":""},{"dropping-particle":"","family":"Nichols","given":"Emma","non-dropping-particle":"","parse-names":false,"suffix":""},{"dropping-particle":"","family":"Ningrum","given":"Dina Nur Anggraini","non-dropping-particle":"","parse-names":false,"suffix":""},{"dropping-particle":"","family":"Nixon","given":"Molly R.","non-dropping-particle":"","parse-names":false,"suffix":""},{"dropping-particle":"","family":"Nolutshungu","given":"Nomonde","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Reza","non-dropping-particle":"","parse-names":false,"suffix":""},{"dropping-particle":"","family":"Nourollahpour Shiadeh","given":"Malihe","non-dropping-particle":"","parse-names":false,"suffix":""},{"dropping-particle":"","family":"Nowroozi","given":"Mohammad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S.","non-dropping-particle":"","parse-names":false,"suffix":""},{"dropping-particle":"","family":"øverland","given":"Simon","non-dropping-particle":"","parse-names":false,"suffix":""},{"dropping-particle":"","family":"Owolabi","given":"Mayowa Ojo","non-dropping-particle":"","parse-names":false,"suffix":""},{"dropping-particle":"","family":"Mahesh","given":"P. A.","non-dropping-particle":"","parse-names":false,"suffix":""},{"dropping-particle":"","family":"Pacella","given":"Rosana","non-dropping-particle":"","parse-names":false,"suffix":""},{"dropping-particle":"","family":"Pakpour","given":"Amir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isi","given":"Andrea","non-dropping-particle":"","parse-names":false,"suffix":""},{"dropping-particle":"","family":"Park","given":"Eun Kee","non-dropping-particle":"","parse-names":false,"suffix":""},{"dropping-particle":"","family":"Parry","given":"Charles D.H.","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C.","non-dropping-particle":"","parse-names":false,"suffix":""},{"dropping-particle":"","family":"Paturi","given":"Vishnupriya Rao","non-dropping-particle":"","parse-names":false,"suffix":""},{"dropping-particle":"","family":"Paulson","given":"Katherine R.","non-dropping-particle":"","parse-names":false,"suffix":""},{"dropping-particle":"","family":"Pearce","given":"Neil","non-dropping-particle":"","parse-names":false,"suffix":""},{"dropping-particle":"","family":"Pereira","given":"David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ham","given":"Hai Quang","non-dropping-particle":"","parse-names":false,"suffix":""},{"dropping-particle":"","family":"Phillips","given":"Michael R.","non-dropping-particle":"","parse-names":false,"suffix":""},{"dropping-particle":"","family":"Pigott","given":"David M.","non-dropping-particle":"","parse-names":false,"suffix":""},{"dropping-particle":"","family":"Pillay","given":"Julian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pova","given":"Svetlana","non-dropping-particle":"","parse-names":false,"suffix":""},{"dropping-particle":"","family":"Postma","given":"Maarten J.","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kash","given":"V.","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B.","non-dropping-particle":"","parse-names":false,"suffix":""},{"dropping-particle":"","family":"Qorbani","given":"Mostafa","non-dropping-particle":"","parse-names":false,"suffix":""},{"dropping-particle":"","family":"Quistberg","given":"D. Alex","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Kazem","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Ur Rahman","given":"Mohammad Hifz","non-dropping-particle":"","parse-names":false,"suffix":""},{"dropping-particle":"","family":"Rahman","given":"Muhammad Aziz","non-dropping-particle":"","parse-names":false,"suffix":""},{"dropping-particle":"","family":"Rahman","given":"Sajjad Ur","non-dropping-particle":"","parse-names":false,"suffix":""},{"dropping-particle":"","family":"Rai","given":"Rajesh Kumar","non-dropping-particle":"","parse-names":false,"suffix":""},{"dropping-particle":"","family":"Rajati","given":"Fatemeh","non-dropping-particle":"","parse-names":false,"suffix":""},{"dropping-particle":"","family":"Ram","given":"Usha","non-dropping-particle":"","parse-names":false,"suffix":""},{"dropping-particle":"","family":"Ranjan","given":"Prabhat","non-dropping-particle":"","parse-names":false,"suffix":""},{"dropping-particle":"","family":"Ranta","given":"Anna","non-dropping-particle":"","parse-names":false,"suffix":""},{"dropping-particle":"","family":"Rao","given":"Puja C.","non-dropping-particle":"","parse-names":false,"suffix":""},{"dropping-particle":"","family":"Rawaf","given":"David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Srinath","non-dropping-particle":"","parse-names":false,"suffix":""},{"dropping-particle":"","family":"Reiner","given":"Robert C.","non-dropping-particle":"","parse-names":false,"suffix":""},{"dropping-particle":"","family":"Reinig","given":"Nickolas","non-dropping-particle":"","parse-names":false,"suffix":""},{"dropping-particle":"","family":"Reitsma","given":"Marissa Bettay","non-dropping-particle":"","parse-names":false,"suffix":""},{"dropping-particle":"","family":"Remuzzi","given":"Giuseppe","non-dropping-particle":"","parse-names":false,"suffix":""},{"dropping-particle":"","family":"Renzaho","given":"Andre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zaei","given":"Satar","non-dropping-particle":"","parse-names":false,"suffix":""},{"dropping-particle":"","family":"Rezai","given":"Mohammad Sadegh","non-dropping-particle":"","parse-names":false,"suffix":""},{"dropping-particle":"","family":"Ribeiro","given":"Antonio Luiz P.","non-dropping-particle":"","parse-names":false,"suffix":""},{"dropping-particle":"","family":"Robinson","given":"Stephen R.","non-dropping-particle":"","parse-names":false,"suffix":""},{"dropping-particle":"","family":"Roever","given":"Leonardo","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y","given":"Ambuj","non-dropping-particle":"","parse-names":false,"suffix":""},{"dropping-particle":"","family":"Rubagotti","given":"Enrico","non-dropping-particle":"","parse-names":false,"suffix":""},{"dropping-particle":"","family":"Sachdev","given":"Perminder S.","non-dropping-particle":"","parse-names":false,"suffix":""},{"dropping-particle":"","family":"Sadat","given":"Nafis","non-dropping-particle":"","parse-names":false,"suffix":""},{"dropping-particle":"","family":"Saddik","given":"Basema","non-dropping-particle":"","parse-names":false,"suffix":""},{"dropping-particle":"","family":"Sadeghi","given":"Ehsan","non-dropping-particle":"","parse-names":false,"suffix":""},{"dropping-particle":"","family":"Saeedi Moghaddam","given":"Sahar","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Sadat","non-dropping-particle":"","parse-names":false,"suffix":""},{"dropping-particle":"","family":"Salam","given":"Nasir","non-dropping-particle":"","parse-names":false,"suffix":""},{"dropping-particle":"","family":"Salama","given":"Joseph S.","non-dropping-particle":"","parse-names":false,"suffix":""},{"dropping-particle":"","family":"Salamati","given":"Payman","non-dropping-particle":"","parse-names":false,"suffix":""},{"dropping-particle":"","family":"Saleem","given":"Komal","non-dropping-particle":"","parse-names":false,"suffix":""},{"dropping-particle":"","family":"Saleem","given":"Zikria","non-dropping-particle":"","parse-names":false,"suffix":""},{"dropping-particle":"","family":"Salimi","given":"Yahya","non-dropping-particle":"","parse-names":false,"suffix":""},{"dropping-particle":"","family":"Salomon","given":"Joshua A.","non-dropping-particle":"","parse-names":false,"suffix":""},{"dropping-particle":"","family":"Salvi","given":"Sundeep Santosh","non-dropping-particle":"","parse-names":false,"suffix":""},{"dropping-particle":"","family":"Salz","given":"Inbal","non-dropping-particle":"","parse-names":false,"suffix":""},{"dropping-particle":"","family":"Samy","given":"Abdallah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S.","non-dropping-particle":"","parse-names":false,"suffix":""},{"dropping-particle":"","family":"Santos","given":"João Vasco","non-dropping-particle":"","parse-names":false,"suffix":""},{"dropping-particle":"","family":"Santric Milicevic","given":"Milena M.","non-dropping-particle":"","parse-names":false,"suffix":""},{"dropping-particle":"","family":"Sao Jose","given":"Bruno Piassi","non-dropping-particle":"","parse-names":false,"suffix":""},{"dropping-particle":"","family":"Sardana","given":"Mayank","non-dropping-particle":"","parse-names":false,"suffix":""},{"dropping-particle":"","family":"Sarker","given":"Abdur Razzaque","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xena","given":"Sonia","non-dropping-particle":"","parse-names":false,"suffix":""},{"dropping-particle":"","family":"Saylan","given":"Mete","non-dropping-particle":"","parse-names":false,"suffix":""},{"dropping-particle":"","family":"Schaeffner","given":"Elke","non-dropping-particle":"","parse-names":false,"suffix":""},{"dropping-particle":"","family":"Schmidt","given":"Maria Inês","non-dropping-particle":"","parse-names":false,"suffix":""},{"dropping-particle":"","family":"Schneider","given":"Ione J.C.","non-dropping-particle":"","parse-names":false,"suffix":""},{"dropping-particle":"","family":"Schöttker","given":"Ben","non-dropping-particle":"","parse-names":false,"suffix":""},{"dropping-particle":"","family":"Schwebel","given":"David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G.","non-dropping-particle":"","parse-names":false,"suffix":""},{"dropping-particle":"","family":"Sekerija","given":"Mario","non-dropping-particle":"","parse-names":false,"suffix":""},{"dropping-particle":"","family":"Sepanlou","given":"Sadaf G.","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Shams-Beyranvand","given":"Mehran","non-dropping-particle":"","parse-names":false,"suffix":""},{"dropping-particle":"","family":"Shamsi","given":"Mohammadbagher","non-dropping-particle":"","parse-names":false,"suffix":""},{"dropping-particle":"","family":"Shamsizadeh","given":"Morteza","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gematsu","given":"Mika","non-dropping-particle":"","parse-names":false,"suffix":""},{"dropping-particle":"","family":"Shiri","given":"Rahman","non-dropping-particle":"","parse-names":false,"suffix":""},{"dropping-particle":"","family":"Shirkoohi","given":"Reza","non-dropping-particle":"","parse-names":false,"suffix":""},{"dropping-particle":"","family":"Shishani","given":"Kawkab","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i","given":"Si","non-dropping-particle":"","parse-names":false,"suffix":""},{"dropping-particle":"","family":"Siabani","given":"Soraya","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Dora","non-dropping-particle":"","parse-names":false,"suffix":""},{"dropping-particle":"","family":"Sigurvinsdottir","given":"Rannveig","non-dropping-particle":"","parse-names":false,"suffix":""},{"dropping-particle":"","family":"Silva","given":"João Pedro","non-dropping-particle":"","parse-names":false,"suffix":""},{"dropping-particle":"","family":"Silveira","given":"Dayane Gabriele Alves","non-dropping-particle":"","parse-names":false,"suffix":""},{"dropping-particle":"","family":"Singam","given":"Narayana Sarma Venkata","non-dropping-particle":"","parse-names":false,"suffix":""},{"dropping-particle":"","family":"Singh","given":"Jasvinder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Narain","non-dropping-particle":"","parse-names":false,"suffix":""},{"dropping-particle":"","family":"Skiadaresi","given":"Eirini","non-dropping-particle":"","parse-names":false,"suffix":""},{"dropping-particle":"","family":"Slepak","given":"Erica Leigh N.","non-dropping-particle":"","parse-names":false,"suffix":""},{"dropping-particle":"","family":"Sliwa","given":"Karen","non-dropping-particle":"","parse-names":false,"suffix":""},{"dropping-particle":"","family":"Smith","given":"David L.","non-dropping-particle":"","parse-names":false,"suffix":""},{"dropping-particle":"","family":"Smith","given":"Mari","non-dropping-particle":"","parse-names":false,"suffix":""},{"dropping-particle":"","family":"Soares Filho","given":"Adauto Martins","non-dropping-particle":"","parse-names":false,"suffix":""},{"dropping-particle":"","family":"Sobaih","given":"Badr Hasan","non-dropping-particle":"","parse-names":false,"suffix":""},{"dropping-particle":"","family":"Sobhani","given":"Soheila","non-dropping-particle":"","parse-names":false,"suffix":""},{"dropping-particle":"","family":"Sobngwi","given":"Eugène","non-dropping-particle":"","parse-names":false,"suffix":""},{"dropping-particle":"","family":"Soneji","given":"Samir S.","non-dropping-particle":"","parse-names":false,"suffix":""},{"dropping-particle":"","family":"Soofi","given":"Moslem","non-dropping-particle":"","parse-names":false,"suffix":""},{"dropping-particle":"","family":"Soosaraei","given":"Masoud","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T.","non-dropping-particle":"","parse-names":false,"suffix":""},{"dropping-particle":"","family":"Srinivasan","given":"Vinay","non-dropping-particle":"","parse-names":false,"suffix":""},{"dropping-particle":"","family":"Stanaway","given":"Jeffrey D.","non-dropping-particle":"","parse-names":false,"suffix":""},{"dropping-particle":"","family":"Stein","given":"Dan J.","non-dropping-particle":"","parse-names":false,"suffix":""},{"dropping-particle":"","family":"Steiner","given":"Caitlyn","non-dropping-particle":"","parse-names":false,"suffix":""},{"dropping-particle":"","family":"Steiner","given":"Timothy J.","non-dropping-particle":"","parse-names":false,"suffix":""},{"dropping-particle":"","family":"Stokes","given":"Mark A.","non-dropping-particle":"","parse-names":false,"suffix":""},{"dropping-particle":"","family":"Stovner","given":"Lars Jacob","non-dropping-particle":"","parse-names":false,"suffix":""},{"dropping-particle":"","family":"Subart","given":"Michelle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Babale","non-dropping-particle":"","parse-names":false,"suffix":""},{"dropping-particle":"","family":"Sunguya","given":"Bruno F.","non-dropping-particle":"","parse-names":false,"suffix":""},{"dropping-particle":"","family":"Sur","given":"Patrick John","non-dropping-particle":"","parse-names":false,"suffix":""},{"dropping-particle":"","family":"Sutradhar","given":"Ipsita","non-dropping-particle":"","parse-names":false,"suffix":""},{"dropping-particle":"","family":"Sykes","given":"Bryan L.","non-dropping-particle":"","parse-names":false,"suffix":""},{"dropping-particle":"","family":"Sylte","given":"Dillon O.","non-dropping-particle":"","parse-names":false,"suffix":""},{"dropping-particle":"","family":"Tabarés-Seisdedos","given":"Rafael","non-dropping-particle":"","parse-names":false,"suffix":""},{"dropping-particle":"","family":"Tadakamadla","given":"Santosh Kumar","non-dropping-particle":"","parse-names":false,"suffix":""},{"dropping-particle":"","family":"Tadesse","given":"Birkneh Tilahun","non-dropping-particle":"","parse-names":false,"suffix":""},{"dropping-particle":"","family":"Tandon","given":"Nikhil","non-dropping-particle":"","parse-names":false,"suffix":""},{"dropping-particle":"","family":"Tassew","given":"Segen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aylor","given":"Hugh R.","non-dropping-particle":"","parse-names":false,"suffix":""},{"dropping-particle":"","family":"Tehrani-Banihashemi","given":"Arash","non-dropping-particle":"","parse-names":false,"suffix":""},{"dropping-particle":"","family":"Tekalign","given":"Tigist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Sulieman","non-dropping-particle":"","parse-names":false,"suffix":""},{"dropping-particle":"","family":"Teweldemedhin","given":"Mebrahtu","non-dropping-particle":"","parse-names":false,"suffix":""},{"dropping-particle":"","family":"Thankappan","given":"Kavumpurathu Raman","non-dropping-particle":"","parse-names":false,"suffix":""},{"dropping-particle":"","family":"Thomas","given":"Nihal","non-dropping-particle":"","parse-names":false,"suffix":""},{"dropping-particle":"","family":"Tilahun","given":"Binyam","non-dropping-particle":"","parse-names":false,"suffix":""},{"dropping-particle":"","family":"To","given":"Quyen G.","non-dropping-particle":"","parse-names":false,"suffix":""},{"dropping-particle":"","family":"Tonelli","given":"Marcello","non-dropping-particle":"","parse-names":false,"suffix":""},{"dropping-particle":"","family":"Topor-Madry","given":"Roman","non-dropping-particle":"","parse-names":false,"suffix":""},{"dropping-particle":"","family":"Topouzis","given":"Fotis","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Bao","non-dropping-particle":"","parse-names":false,"suffix":""},{"dropping-particle":"","family":"Troeger","given":"Christopher E.","non-dropping-particle":"","parse-names":false,"suffix":""},{"dropping-particle":"","family":"Truelsen","given":"Thomas Clement","non-dropping-particle":"","parse-names":false,"suffix":""},{"dropping-particle":"","family":"Tsilimbaris","given":"Miltiadis K.","non-dropping-particle":"","parse-names":false,"suffix":""},{"dropping-particle":"","family":"Tsoi","given":"Derrick","non-dropping-particle":"","parse-names":false,"suffix":""},{"dropping-particle":"","family":"Tudor Car","given":"Lorainne","non-dropping-particle":"","parse-names":false,"suffix":""},{"dropping-particle":"","family":"Tuzcu","given":"E. Murat","non-dropping-particle":"","parse-names":false,"suffix":""},{"dropping-particle":"","family":"Ukwaja","given":"Kingsley N.","non-dropping-particle":"","parse-names":false,"suffix":""},{"dropping-particle":"","family":"Ullah","given":"Irfan","non-dropping-particle":"","parse-names":false,"suffix":""},{"dropping-particle":"","family":"Undurraga","given":"Eduardo A.","non-dropping-particle":"","parse-names":false,"suffix":""},{"dropping-particle":"","family":"Unutzer","given":"Jurgen","non-dropping-particle":"","parse-names":false,"suffix":""},{"dropping-particle":"","family":"Updike","given":"Rachel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R.","non-dropping-particle":"","parse-names":false,"suffix":""},{"dropping-particle":"","family":"Varughese","given":"Santosh","non-dropping-particle":"","parse-names":false,"suffix":""},{"dropping-particle":"","family":"Vasankari","given":"Tommi Juhani","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Emil","non-dropping-particle":"","parse-names":false,"suffix":""},{"dropping-particle":"","family":"Vosoughi","given":"Kia","non-dropping-particle":"","parse-names":false,"suffix":""},{"dropping-particle":"","family":"Vujcic","given":"Isidora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G.","non-dropping-particle":"","parse-names":false,"suffix":""},{"dropping-particle":"","family":"Wang","given":"Yafeng","non-dropping-particle":"","parse-names":false,"suffix":""},{"dropping-particle":"","family":"Wang","given":"Yuan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G.","non-dropping-particle":"","parse-names":false,"suffix":""},{"dropping-particle":"","family":"Weiss","given":"Daniel J.","non-dropping-particle":"","parse-names":false,"suffix":""},{"dropping-particle":"","family":"Weldegebreal","given":"Fitsum","non-dropping-particle":"","parse-names":false,"suffix":""},{"dropping-particle":"","family":"Weldegwergs","given":"Kidu Gidey","non-dropping-particle":"","parse-names":false,"suffix":""},{"dropping-particle":"","family":"Werdecker","given":"Andrea","non-dropping-particle":"","parse-names":false,"suffix":""},{"dropping-particle":"","family":"West","given":"T. Eoin","non-dropping-particle":"","parse-names":false,"suffix":""},{"dropping-particle":"","family":"Whiteford","given":"Harvey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lner","given":"Lauren B.","non-dropping-particle":"","parse-names":false,"suffix":""},{"dropping-particle":"","family":"Wilson","given":"Shadrach","non-dropping-particle":"","parse-names":false,"suffix":""},{"dropping-particle":"","family":"Winkler","given":"Andrea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D.A.","non-dropping-particle":"","parse-names":false,"suffix":""},{"dropping-particle":"","family":"Woolf","given":"Anthony D.","non-dropping-particle":"","parse-names":false,"suffix":""},{"dropping-particle":"","family":"Wu","given":"Shouling","non-dropping-particle":"","parse-names":false,"suffix":""},{"dropping-particle":"","family":"Wu","given":"Yun Chun","non-dropping-particle":"","parse-names":false,"suffix":""},{"dropping-particle":"","family":"Wyper","given":"Grant M.A.","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Yahyazadeh Jabbari","given":"Seyed Hossein","non-dropping-particle":"","parse-names":false,"suffix":""},{"dropping-particle":"","family":"Yamada","given":"Tomohide","non-dropping-particle":"","parse-names":false,"suffix":""},{"dropping-particle":"","family":"Yan","given":"Lijing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dnik","given":"Vesn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re","given":"Zohreh","non-dropping-particle":"","parse-names":false,"suffix":""},{"dropping-particle":"","family":"Zeleke","given":"Ayalew Jejaw","non-dropping-particle":"","parse-names":false,"suffix":""},{"dropping-particle":"","family":"Zenebe","given":"Zerihun Menlkalew","non-dropping-particle":"","parse-names":false,"suffix":""},{"dropping-particle":"","family":"Zhang","given":"Kai","non-dropping-particle":"","parse-names":false,"suffix":""},{"dropping-particle":"","family":"Zhao","given":"Zheng","non-dropping-particle":"","parse-names":false,"suffix":""},{"dropping-particle":"","family":"Zhou","given":"Maigeng","non-dropping-particle":"","parse-names":false,"suffix":""},{"dropping-particle":"","family":"Zodpey","given":"Sanjay","non-dropping-particle":"","parse-names":false,"suffix":""},{"dropping-particle":"","family":"Zucker","given":"Inbar","non-dropping-particle":"","parse-names":false,"suffix":""},{"dropping-particle":"","family":"Vos","given":"Theo","non-dropping-particle":"","parse-names":false,"suffix":""},{"dropping-particle":"","family":"Murray","given":"Christopher J.L.","non-dropping-particle":"","parse-names":false,"suffix":""}],"container-title":"The Lancet","id":"ITEM-1","issue":"10159","issued":{"date-parts":[["2018","11","10"]]},"page":"1789-1858","publisher":"Lancet Publishing Group","title":"Global, regional, and national incidence, prevalence, and years lived with disability for 354 Diseases and Injuries for 195 countries and territories, 1990-2017: A systematic analysis for the Global Burden of Disease Study 2017","type":"article-journal","volume":"392"},"uris":["http://www.mendeley.com/documents/?uuid=c9e8db3c-ca44-39a3-af09-2ae7dcf0959e"]}],"mendeley":{"formattedCitation":"(&lt;i&gt;12&lt;/i&gt;)","plainTextFormattedCitation":"(12)","previouslyFormattedCitation":"(&lt;i&gt;12&lt;/i&gt;)"},"properties":{"noteIndex":0},"schema":"https://github.com/citation-style-language/schema/raw/master/csl-citation.json"}</w:instrText>
      </w:r>
      <w:r>
        <w:fldChar w:fldCharType="separate"/>
      </w:r>
      <w:r w:rsidR="006A73E3" w:rsidRPr="006A73E3">
        <w:rPr>
          <w:noProof/>
        </w:rPr>
        <w:t>(</w:t>
      </w:r>
      <w:r w:rsidR="006A73E3" w:rsidRPr="006A73E3">
        <w:rPr>
          <w:i/>
          <w:noProof/>
        </w:rPr>
        <w:t>12</w:t>
      </w:r>
      <w:r w:rsidR="006A73E3" w:rsidRPr="006A73E3">
        <w:rPr>
          <w:noProof/>
        </w:rPr>
        <w:t>)</w:t>
      </w:r>
      <w:r>
        <w:fldChar w:fldCharType="end"/>
      </w:r>
      <w:r w:rsidRPr="00BC403A">
        <w:t xml:space="preserve"> and integrated with model-derived age-specific estimates of attack rates to generate estimates of the numbers of </w:t>
      </w:r>
      <w:r>
        <w:t>SARS-CoV-2</w:t>
      </w:r>
      <w:r w:rsidRPr="00BC403A">
        <w:t xml:space="preserve"> infections occurring in individuals with these comorbidities. </w:t>
      </w:r>
    </w:p>
    <w:p w14:paraId="687FEE56" w14:textId="77777777" w:rsidR="002D2830" w:rsidRPr="00883D4B" w:rsidRDefault="002D2830" w:rsidP="002D2830">
      <w:pPr>
        <w:pStyle w:val="Heading3"/>
      </w:pPr>
      <w:r w:rsidRPr="00883D4B">
        <w:t xml:space="preserve">Hospital </w:t>
      </w:r>
      <w:r>
        <w:t>B</w:t>
      </w:r>
      <w:r w:rsidRPr="00883D4B">
        <w:t xml:space="preserve">ed </w:t>
      </w:r>
      <w:r>
        <w:t>Ca</w:t>
      </w:r>
      <w:r w:rsidRPr="00883D4B">
        <w:t xml:space="preserve">pacity </w:t>
      </w:r>
    </w:p>
    <w:p w14:paraId="0EE7533B" w14:textId="2A624C4C" w:rsidR="002D2830" w:rsidRPr="00FF4A8E" w:rsidRDefault="002D2830" w:rsidP="002D2830">
      <w:r w:rsidRPr="00FF4A8E">
        <w:t>Data on the number of hospital beds per 1,000 population were available from the World Bank (</w:t>
      </w:r>
      <w:hyperlink r:id="rId31" w:history="1">
        <w:r w:rsidRPr="00B37C85">
          <w:rPr>
            <w:rStyle w:val="Hyperlink"/>
          </w:rPr>
          <w:t>https://data.worldbank.org/indicator?tab=all</w:t>
        </w:r>
      </w:hyperlink>
      <w:r w:rsidRPr="00FF4A8E">
        <w:t xml:space="preserve">) for 201 countries (66 High Income, 58 Upper Middle Income, 47 Lower Middle Income and 30 Low Income). However, many of these records were not recent (earlier than 2015). We therefore use a boosted regression tree-based modelling approach to generate contemporary estimates of hospital beds per 1,000 population using the following covariates: maternal mortality (per 100,000 live births), access to electricity (% of population), population aged 0-14 years (% of population), pupil-teacher ratio in secondary school, rural population (% of population), domestic government health expenditure (% of GDP), infant mortality (per 1,000 live births), the proportion of children enrolled in secondary school, geographical region and income </w:t>
      </w:r>
      <w:r w:rsidRPr="00FF4A8E">
        <w:lastRenderedPageBreak/>
        <w:t xml:space="preserve">group (with the latter two covariates categorised according to the World Bank’s definitions). The model was fitted using the statistical software R and the </w:t>
      </w:r>
      <w:r w:rsidRPr="006A719D">
        <w:t>dismo package</w:t>
      </w:r>
      <w:r>
        <w:t xml:space="preserve"> </w:t>
      </w:r>
      <w:r>
        <w:fldChar w:fldCharType="begin" w:fldLock="1"/>
      </w:r>
      <w:r w:rsidR="008D059C">
        <w:instrText>ADDIN CSL_CITATION {"citationItems":[{"id":"ITEM-1","itemData":{"author":[{"dropping-particle":"","family":"Hijmans","given":"R","non-dropping-particle":"","parse-names":false,"suffix":""},{"dropping-particle":"","family":"Phillips","given":"S","non-dropping-particle":"","parse-names":false,"suffix":""},{"dropping-particle":"","family":"Leathwick","given":"J","non-dropping-particle":"","parse-names":false,"suffix":""},{"dropping-particle":"","family":"Elith","given":"J","non-dropping-particle":"","parse-names":false,"suffix":""}],"id":"ITEM-1","issued":{"date-parts":[["2017"]]},"number":"1.1-4.","title":"dismo:Species Distribution Modeling. R package","type":"article"},"uris":["http://www.mendeley.com/documents/?uuid=0c2846c4-5144-42dd-bcf0-93668a9a3dcf"]}],"mendeley":{"formattedCitation":"(&lt;i&gt;55&lt;/i&gt;)","plainTextFormattedCitation":"(55)","previouslyFormattedCitation":"(&lt;i&gt;55&lt;/i&gt;)"},"properties":{"noteIndex":0},"schema":"https://github.com/citation-style-language/schema/raw/master/csl-citation.json"}</w:instrText>
      </w:r>
      <w:r>
        <w:fldChar w:fldCharType="separate"/>
      </w:r>
      <w:r w:rsidR="001D089A" w:rsidRPr="001D089A">
        <w:rPr>
          <w:noProof/>
        </w:rPr>
        <w:t>(</w:t>
      </w:r>
      <w:r w:rsidR="001D089A" w:rsidRPr="001D089A">
        <w:rPr>
          <w:i/>
          <w:noProof/>
        </w:rPr>
        <w:t>55</w:t>
      </w:r>
      <w:r w:rsidR="001D089A" w:rsidRPr="001D089A">
        <w:rPr>
          <w:noProof/>
        </w:rPr>
        <w:t>)</w:t>
      </w:r>
      <w:r>
        <w:fldChar w:fldCharType="end"/>
      </w:r>
      <w:r w:rsidRPr="00FF4A8E">
        <w:t xml:space="preserve">, with tree complexity of 12, bag fraction of 0.65, and a learning rate of 0.001. 10-fold cross-validation was implemented to </w:t>
      </w:r>
      <w:r>
        <w:t>assess</w:t>
      </w:r>
      <w:r w:rsidRPr="00FF4A8E">
        <w:t xml:space="preserve"> overfitting, and </w:t>
      </w:r>
      <w:r>
        <w:t>error associated with the test and training datasets found to be similar</w:t>
      </w:r>
      <w:r w:rsidRPr="00FF4A8E">
        <w:t xml:space="preserve">. </w:t>
      </w:r>
    </w:p>
    <w:p w14:paraId="5B70A6D2" w14:textId="77777777" w:rsidR="002D2830" w:rsidRPr="00813869" w:rsidRDefault="002D2830" w:rsidP="002D2830">
      <w:pPr>
        <w:pStyle w:val="Heading3"/>
      </w:pPr>
      <w:r w:rsidRPr="00813869">
        <w:t>Intensive Care Unit Capacity</w:t>
      </w:r>
    </w:p>
    <w:p w14:paraId="0BBC9C76" w14:textId="7AAE1072" w:rsidR="002D2830" w:rsidRDefault="002D2830" w:rsidP="002D2830">
      <w:r>
        <w:t>Intensive care unit capacity</w:t>
      </w:r>
      <w:r w:rsidRPr="00813869">
        <w:t xml:space="preserve"> data were derived from 3 resources. We extracted data from a previously conducted systematic review of ICU capacity in low-income countries</w:t>
      </w:r>
      <w:r>
        <w:t xml:space="preserve"> </w:t>
      </w:r>
      <w:r w:rsidRPr="00813869">
        <w:fldChar w:fldCharType="begin" w:fldLock="1"/>
      </w:r>
      <w:r w:rsidR="008D059C">
        <w:instrText>ADDIN CSL_CITATION {"citationItems":[{"id":"ITEM-1","itemData":{"DOI":"10.1371/journal.pone.0116949","ISSN":"1932-6203","abstract":"Purpose: Access to critical care is a crucial component of healthcare systems. In low-income countries, the burden of critical illness is substantial, but the capacity to provide care for critically ill patients in intensive care units (ICUs) is unknown. Our aim was to systematically review the published literature to estimate the current ICU capacity in low-income countries. Methods: We searched 11 databases and included studies of any design, published 2004-August 2014, with data on ICU capacity for pediatric and adult patients in 36 low-income countries (as defined by World Bank criteria; population 850 million). Neonatal, temporary, and military ICUs were excluded. We extracted data on ICU bed numbers, capacity for mechanical ventilation, and information about the hospital, including referral population size, public accessibility, and the source of funding. Analyses were descriptive. Results: Of 1,759 citations, 43 studies from 15 low-income countries met inclusion criteria. They described 36 individual ICUs in 31 cities, of which 16 had population greater than 500,000, and 14 were capital cities. The median annual ICU admission rate was 401 (IQR 234-711; 24 ICUs with data) and median ICU size was 8 beds (IQR 5-10; 32 ICUs with data). The mean ratio of adult and pediatric ICU beds to hospital beds was 1.5% (SD 0.9%; 15 hospitals with data). Nepal and Uganda, the only countries with national ICU bed data, had 16.7 and 1.0 ICU beds per million population, respectively. National data from other countries were not available. Conclusions: Low-income countries lack ICU beds, and more than 50% of these countries lack any published data on ICU capacity. Most ICUs in low-income countries are located in large referral hospitals in cities. A central database of ICU resources is required to evaluate health system performance, both within and between countries, and may help to develop related health policy.","author":[{"dropping-particle":"","family":"Murthy","given":"Srinivas","non-dropping-particle":"","parse-names":false,"suffix":""},{"dropping-particle":"","family":"Leligdowicz","given":"Aleksandra","non-dropping-particle":"","parse-names":false,"suffix":""},{"dropping-particle":"","family":"Adhikari","given":"Neill K. J.","non-dropping-particle":"","parse-names":false,"suffix":""}],"container-title":"PLOS ONE","editor":[{"dropping-particle":"","family":"Azevedo","given":"Luciano Cesar Pontes","non-dropping-particle":"","parse-names":false,"suffix":""}],"id":"ITEM-1","issue":"1","issued":{"date-parts":[["2015","1","24"]]},"page":"e0116949","publisher":"Public Library of Science","title":"Intensive Care Unit Capacity in Low-Income Countries: A Systematic Review","type":"article-journal","volume":"10"},"uris":["http://www.mendeley.com/documents/?uuid=655c5b54-9c40-3ba9-a7fb-b476ce8b5c64"]}],"mendeley":{"formattedCitation":"(&lt;i&gt;56&lt;/i&gt;)","plainTextFormattedCitation":"(56)","previouslyFormattedCitation":"(&lt;i&gt;56&lt;/i&gt;)"},"properties":{"noteIndex":0},"schema":"https://github.com/citation-style-language/schema/raw/master/csl-citation.json"}</w:instrText>
      </w:r>
      <w:r w:rsidRPr="00813869">
        <w:fldChar w:fldCharType="separate"/>
      </w:r>
      <w:r w:rsidR="001D089A" w:rsidRPr="001D089A">
        <w:rPr>
          <w:noProof/>
        </w:rPr>
        <w:t>(</w:t>
      </w:r>
      <w:r w:rsidR="001D089A" w:rsidRPr="001D089A">
        <w:rPr>
          <w:i/>
          <w:noProof/>
        </w:rPr>
        <w:t>56</w:t>
      </w:r>
      <w:r w:rsidR="001D089A" w:rsidRPr="001D089A">
        <w:rPr>
          <w:noProof/>
        </w:rPr>
        <w:t>)</w:t>
      </w:r>
      <w:r w:rsidRPr="00813869">
        <w:fldChar w:fldCharType="end"/>
      </w:r>
      <w:r w:rsidRPr="00813869">
        <w:t>, as well as a more recently published review of ICU capacity across Asia</w:t>
      </w:r>
      <w:r>
        <w:t xml:space="preserve"> </w:t>
      </w:r>
      <w:r w:rsidRPr="00813869">
        <w:fldChar w:fldCharType="begin" w:fldLock="1"/>
      </w:r>
      <w:r w:rsidR="001A7515">
        <w:instrText>ADDIN CSL_CITATION {"citationItems":[{"id":"ITEM-1","itemData":{"DOI":"10.1097/ccm.0000000000004222","ISSN":"0090-3493","abstract":"OBJECTIVE: To assess the number of adult critical care beds in Asian countries and regions in relation to population size. DESIGN: Cross-sectional observational study. SETTING: Twenty-three Asian countries and regions, covering 92.1% of the continent's population. PARTICIPANTS: Ten low-income and lower-middle-income economies, five upper-middle-income economies, and eight high-income economies according to the World Bank classification. INTERVENTIONS: Data closest to 2017 on critical care beds, including ICU and intermediate care unit beds, were obtained through multiple means, including government sources, national critical care societies, colleges, or registries, personal contacts, and extrapolation of data. MEASUREMENTS AND MAIN RESULTS: Cumulatively, there were 3.6 critical care beds per 100,000 population. The median number of critical care beds per 100,000 population per country and region was significantly lower in low- and lower-middle-income economies (2.3; interquartile range, 1.4-2.7) than in upper-middle-income economies (4.6; interquartile range, 3.5-15.9) and high-income economies (12.3; interquartile range, 8.1-20.8) (p = 0.001), with a large variation even across countries and regions of the same World Bank income classification. This number was independently predicted by the World Bank income classification on multivariable analysis, and significantly correlated with the number of acute hospital beds per 100,000 population (r = 0.19; p = 0.047), the universal health coverage service coverage index (r = 0.35; p = 0.003), and the Human Development Index (r = 0.40; p = 0.001) on univariable analysis. CONCLUSIONS: Critical care bed capacity varies widely across Asia and is significantly lower in low- and lower-middle-income than in upper-middle-income and high-income countries and regions.","author":[{"dropping-particle":"","family":"Phua","given":"Jason","non-dropping-particle":"","parse-names":false,"suffix":""},{"dropping-particle":"","family":"Faruq","given":"Mohammad Omar","non-dropping-particle":"","parse-names":false,"suffix":""},{"dropping-particle":"","family":"Kulkarni","given":"Atul P.","non-dropping-particle":"","parse-names":false,"suffix":""},{"dropping-particle":"","family":"Redjeki","given":"Ike Sri","non-dropping-particle":"","parse-names":false,"suffix":""},{"dropping-particle":"","family":"Detleuxay","given":"Khamsay","non-dropping-particle":"","parse-names":false,"suffix":""},{"dropping-particle":"","family":"Mendsaikhan","given":"Naranpurev","non-dropping-particle":"","parse-names":false,"suffix":""},{"dropping-particle":"","family":"Sann","given":"Kyi Kyi","non-dropping-particle":"","parse-names":false,"suffix":""},{"dropping-particle":"","family":"Shrestha","given":"Babu Raja","non-dropping-particle":"","parse-names":false,"suffix":""},{"dropping-particle":"","family":"Hashmi","given":"Madiha","non-dropping-particle":"","parse-names":false,"suffix":""},{"dropping-particle":"","family":"Palo","given":"Jose Emmanuel M.","non-dropping-particle":"","parse-names":false,"suffix":""},{"dropping-particle":"","family":"Haniffa","given":"Rashan","non-dropping-particle":"","parse-names":false,"suffix":""},{"dropping-particle":"","family":"Wang","given":"Chunting","non-dropping-particle":"","parse-names":false,"suffix":""},{"dropping-particle":"","family":"Hashemian","given":"Seyed Mohammad Reza","non-dropping-particle":"","parse-names":false,"suffix":""},{"dropping-particle":"","family":"Konkayev","given":"Aidos","non-dropping-particle":"","parse-names":false,"suffix":""},{"dropping-particle":"","family":"Mat Nor","given":"Mohd Basri","non-dropping-particle":"","parse-names":false,"suffix":""},{"dropping-particle":"","family":"Patjanasoontorn","given":"Boonsong","non-dropping-particle":"","parse-names":false,"suffix":""},{"dropping-particle":"","family":"Nafees","given":"Khalid Mahmood Khan","non-dropping-particle":"","parse-names":false,"suffix":""},{"dropping-particle":"","family":"Ling","given":"Lowell","non-dropping-particle":"","parse-names":false,"suffix":""},{"dropping-particle":"","family":"Nishimura","given":"Masaji","non-dropping-particle":"","parse-names":false,"suffix":""},{"dropping-particle":"","family":"Bahrani","given":"Maher Jaffer","non-dropping-particle":"Al","parse-names":false,"suffix":""},{"dropping-particle":"","family":"Arabi","given":"Yaseen M.","non-dropping-particle":"","parse-names":false,"suffix":""},{"dropping-particle":"","family":"Lim","given":"Chae-Man","non-dropping-particle":"","parse-names":false,"suffix":""},{"dropping-particle":"","family":"Fang","given":"Wen-Feng","non-dropping-particle":"","parse-names":false,"suffix":""}],"container-title":"Critical Care Medicine","id":"ITEM-1","issue":"5","issued":{"date-parts":[["2020","1"]]},"page":"654-662","publisher":"Ovid Technologies (Wolters Kluwer Health)","title":"Critical Care Bed Capacity in Asian Countries and Regions","type":"article-journal","volume":"48"},"uris":["http://www.mendeley.com/documents/?uuid=88dece9f-0660-39d6-94e1-cdb6074371c2"]}],"mendeley":{"formattedCitation":"(&lt;i&gt;8&lt;/i&gt;)","plainTextFormattedCitation":"(8)","previouslyFormattedCitation":"(&lt;i&gt;8&lt;/i&gt;)"},"properties":{"noteIndex":0},"schema":"https://github.com/citation-style-language/schema/raw/master/csl-citation.json"}</w:instrText>
      </w:r>
      <w:r w:rsidRPr="00813869">
        <w:fldChar w:fldCharType="separate"/>
      </w:r>
      <w:r w:rsidR="005B4868" w:rsidRPr="005B4868">
        <w:rPr>
          <w:noProof/>
        </w:rPr>
        <w:t>(</w:t>
      </w:r>
      <w:r w:rsidR="005B4868" w:rsidRPr="005B4868">
        <w:rPr>
          <w:i/>
          <w:noProof/>
        </w:rPr>
        <w:t>8</w:t>
      </w:r>
      <w:r w:rsidR="005B4868" w:rsidRPr="005B4868">
        <w:rPr>
          <w:noProof/>
        </w:rPr>
        <w:t>)</w:t>
      </w:r>
      <w:r w:rsidRPr="00813869">
        <w:fldChar w:fldCharType="end"/>
      </w:r>
      <w:r w:rsidRPr="00813869">
        <w:t>. In addition, we also carried out a systematic review to identify further references containing information on ICU bed capacity in Lower- and Middle-Income Countries. Web of Science was searched on Friday 13</w:t>
      </w:r>
      <w:r w:rsidRPr="00813869">
        <w:rPr>
          <w:vertAlign w:val="superscript"/>
        </w:rPr>
        <w:t>th</w:t>
      </w:r>
      <w:r w:rsidRPr="00813869">
        <w:t xml:space="preserve"> March using the search terms (“critical care” OR “intensive care” OR “ICU” OR “CCU”) AND capacity AND (country name) where country name refers to 1 of the 138 countries classified as LMIC by the World Bank. This search yielded 174 results, with 30 texts retained after </w:t>
      </w:r>
      <w:r>
        <w:t>a</w:t>
      </w:r>
      <w:r w:rsidRPr="00813869">
        <w:t>bstract screening, and 2</w:t>
      </w:r>
      <w:r w:rsidR="00FD70F9">
        <w:t>2</w:t>
      </w:r>
      <w:r w:rsidRPr="00813869">
        <w:t xml:space="preserve"> of these retained following screening of the full text. Due to the requirement for contemporary estimates, balanced by the comparative paucity of data for ICU capacity compared to hospital beds, we excluded papers earlier than 2000. These resources provided a total of 5</w:t>
      </w:r>
      <w:r>
        <w:t>7</w:t>
      </w:r>
      <w:r w:rsidRPr="00813869">
        <w:t xml:space="preserve"> data points describing the number of ICU beds per 100 hospital beds </w:t>
      </w:r>
      <w:r>
        <w:t xml:space="preserve">across countries belonging to the World Bank’s 4 income strata </w:t>
      </w:r>
      <w:r w:rsidRPr="00813869">
        <w:t>(LIC, LMIC, UMIC</w:t>
      </w:r>
      <w:r>
        <w:t xml:space="preserve"> and </w:t>
      </w:r>
      <w:r w:rsidRPr="00813869">
        <w:t>HIC)</w:t>
      </w:r>
      <w:r>
        <w:t>.</w:t>
      </w:r>
    </w:p>
    <w:p w14:paraId="5DCB09FF" w14:textId="77777777" w:rsidR="002D2830" w:rsidRPr="008677BD" w:rsidRDefault="002D2830" w:rsidP="002D2830">
      <w:pPr>
        <w:rPr>
          <w:sz w:val="24"/>
          <w:szCs w:val="24"/>
        </w:rPr>
      </w:pPr>
      <w:r w:rsidRPr="008677BD">
        <w:rPr>
          <w:b/>
          <w:bCs/>
          <w:sz w:val="24"/>
          <w:szCs w:val="24"/>
        </w:rPr>
        <w:t>Suppression measures implemented by country</w:t>
      </w:r>
      <w:r w:rsidRPr="008677BD">
        <w:rPr>
          <w:sz w:val="24"/>
          <w:szCs w:val="24"/>
        </w:rPr>
        <w:t xml:space="preserve">. </w:t>
      </w:r>
    </w:p>
    <w:p w14:paraId="514B5F24" w14:textId="4E132583" w:rsidR="002D2830" w:rsidRDefault="002D2830" w:rsidP="002D2830">
      <w:r>
        <w:t>Data from the ACAPS COVID-19 Government Response Measures dataset (downloaded April 20</w:t>
      </w:r>
      <w:r w:rsidRPr="00E50A85">
        <w:rPr>
          <w:vertAlign w:val="superscript"/>
        </w:rPr>
        <w:t>th</w:t>
      </w:r>
      <w:r>
        <w:t xml:space="preserve"> 2020) were analysed to obtain the timings at which countries implemented stringent suppression measures </w:t>
      </w:r>
      <w:r>
        <w:fldChar w:fldCharType="begin" w:fldLock="1"/>
      </w:r>
      <w:r w:rsidR="00C6002D">
        <w:instrText>ADDIN CSL_CITATION {"citationItems":[{"id":"ITEM-1","itemData":{"URL":"https://www.acaps.org/covid19-government-measures-dataset","accessed":{"date-parts":[["2020","4","20"]]},"author":[{"dropping-particle":"","family":"ACAPS","given":"","non-dropping-particle":"","parse-names":false,"suffix":""}],"id":"ITEM-1","issued":{"date-parts":[["2020"]]},"title":"#COVID19 Government Measures Dataset | ACAPS","type":"webpage"},"uris":["http://www.mendeley.com/documents/?uuid=e8a98e35-4e56-396b-974e-4e8fe21cf632"]}],"mendeley":{"formattedCitation":"(&lt;i&gt;23&lt;/i&gt;)","plainTextFormattedCitation":"(23)","previouslyFormattedCitation":"(&lt;i&gt;23&lt;/i&gt;)"},"properties":{"noteIndex":0},"schema":"https://github.com/citation-style-language/schema/raw/master/csl-citation.json"}</w:instrText>
      </w:r>
      <w:r>
        <w:fldChar w:fldCharType="separate"/>
      </w:r>
      <w:r w:rsidR="006A73E3" w:rsidRPr="006A73E3">
        <w:rPr>
          <w:noProof/>
        </w:rPr>
        <w:t>(</w:t>
      </w:r>
      <w:r w:rsidR="006A73E3" w:rsidRPr="006A73E3">
        <w:rPr>
          <w:i/>
          <w:noProof/>
        </w:rPr>
        <w:t>23</w:t>
      </w:r>
      <w:r w:rsidR="006A73E3" w:rsidRPr="006A73E3">
        <w:rPr>
          <w:noProof/>
        </w:rPr>
        <w:t>)</w:t>
      </w:r>
      <w:r>
        <w:fldChar w:fldCharType="end"/>
      </w:r>
      <w:r>
        <w:t xml:space="preserve">. Consistently defining what constitutes such an approach is difficult given the context-specific measures that have been applied globally. Here we define “suppression measures” as those which either involve: a) a ‘stay at home’ order; b) a ‘curfew’ applied to all individuals in the population (as opposed to specific risk groups); or c) a ban on public gatherings of more than ten. When measures were not applied uniformly across the country, we included them if they were applied to large population including the capital city. We excluded Brazil and United States from our analysis as the extent and timing of suppression measures in these countries varied substantially at the sub-national level. We also excluded countries where epidemics are at more advanced stages (China, Iran, Japan, Singapore and South Korea). We then cross-referenced the date at which suppression was implemented with the cumulative number of reported cases and deaths within each country at implementation date as recorded in the European Centre for Disease Control (ECDC) COVID-19 case database </w:t>
      </w:r>
      <w:r>
        <w:fldChar w:fldCharType="begin" w:fldLock="1"/>
      </w:r>
      <w:r w:rsidR="008D059C">
        <w:instrText>ADDIN CSL_CITATION {"citationItems":[{"id":"ITEM-1","itemData":{"URL":"https://www.ecdc.europa.eu/en/geographical-distribution-2019-ncov-cases","accessed":{"date-parts":[["2020","4","28"]]},"author":[{"dropping-particle":"","family":"European Centre for Disease Control","given":"","non-dropping-particle":"","parse-names":false,"suffix":""}],"id":"ITEM-1","issued":{"date-parts":[["2020"]]},"title":"Situation update worldwide, as of 27 April 2020","type":"webpage"},"uris":["http://www.mendeley.com/documents/?uuid=1b9f84ed-34ad-3a32-b9f4-ff1e44e0d26c"]}],"mendeley":{"formattedCitation":"(&lt;i&gt;57&lt;/i&gt;)","plainTextFormattedCitation":"(57)","previouslyFormattedCitation":"(&lt;i&gt;57&lt;/i&gt;)"},"properties":{"noteIndex":0},"schema":"https://github.com/citation-style-language/schema/raw/master/csl-citation.json"}</w:instrText>
      </w:r>
      <w:r>
        <w:fldChar w:fldCharType="separate"/>
      </w:r>
      <w:r w:rsidR="001D089A" w:rsidRPr="001D089A">
        <w:rPr>
          <w:noProof/>
        </w:rPr>
        <w:t>(</w:t>
      </w:r>
      <w:r w:rsidR="001D089A" w:rsidRPr="001D089A">
        <w:rPr>
          <w:i/>
          <w:noProof/>
        </w:rPr>
        <w:t>57</w:t>
      </w:r>
      <w:r w:rsidR="001D089A" w:rsidRPr="001D089A">
        <w:rPr>
          <w:noProof/>
        </w:rPr>
        <w:t>)</w:t>
      </w:r>
      <w:r>
        <w:fldChar w:fldCharType="end"/>
      </w:r>
      <w:r>
        <w:t xml:space="preserve">. </w:t>
      </w:r>
    </w:p>
    <w:p w14:paraId="72A43F8B" w14:textId="2B803716" w:rsidR="00DC3C84" w:rsidRDefault="00F158DD" w:rsidP="002D2830">
      <w:r>
        <w:t xml:space="preserve">A summary of the downloaded data used in this analysis is provided as </w:t>
      </w:r>
      <w:r w:rsidR="00DC3C84">
        <w:t>Excel Spreadsheet</w:t>
      </w:r>
      <w:r w:rsidR="009B705F">
        <w:t xml:space="preserve"> (Appendix 1)</w:t>
      </w:r>
      <w:r w:rsidR="00DC3C84">
        <w:t>.</w:t>
      </w:r>
    </w:p>
    <w:p w14:paraId="179D7FB5" w14:textId="0CA59F53" w:rsidR="009B705F" w:rsidRPr="009B705F" w:rsidRDefault="009B705F" w:rsidP="002D2830">
      <w:pPr>
        <w:rPr>
          <w:i/>
          <w:iCs/>
        </w:rPr>
      </w:pPr>
      <w:r w:rsidRPr="007E4BB1">
        <w:rPr>
          <w:b/>
          <w:bCs/>
          <w:i/>
          <w:iCs/>
        </w:rPr>
        <w:t xml:space="preserve">Appendix 1: </w:t>
      </w:r>
      <w:r w:rsidR="005E545E">
        <w:rPr>
          <w:b/>
          <w:bCs/>
          <w:i/>
          <w:iCs/>
        </w:rPr>
        <w:t>Collated data on c</w:t>
      </w:r>
      <w:r w:rsidRPr="007E4BB1">
        <w:rPr>
          <w:b/>
          <w:bCs/>
          <w:i/>
          <w:iCs/>
        </w:rPr>
        <w:t xml:space="preserve">ountry-specific </w:t>
      </w:r>
      <w:r w:rsidR="005B1CA2" w:rsidRPr="007E4BB1">
        <w:rPr>
          <w:b/>
          <w:bCs/>
          <w:i/>
          <w:iCs/>
        </w:rPr>
        <w:t>suppression measures.</w:t>
      </w:r>
      <w:r w:rsidR="005B1CA2">
        <w:rPr>
          <w:i/>
          <w:iCs/>
        </w:rPr>
        <w:t xml:space="preserve"> Data include country ISO code, country name, World Bank region, World Bank income group, indicator for </w:t>
      </w:r>
      <w:r w:rsidR="00AB4575">
        <w:rPr>
          <w:i/>
          <w:iCs/>
        </w:rPr>
        <w:t xml:space="preserve">suppression based on ACAPs data, the reference number in the ACAPs database, description of the policy from ACAPs database, the source of the data as noted in the ACAPs database, the date of suppression, </w:t>
      </w:r>
      <w:r w:rsidR="003263E4">
        <w:rPr>
          <w:i/>
          <w:iCs/>
        </w:rPr>
        <w:t xml:space="preserve">if not suppressed the date at which the last measure was implemented, population size estimate from UN World Population Prospects database, </w:t>
      </w:r>
      <w:r w:rsidR="000A31D5">
        <w:rPr>
          <w:i/>
          <w:iCs/>
        </w:rPr>
        <w:t xml:space="preserve">cumulative cases reported by ECDC on day of suppression, cumulative deaths reported by ECDC on day of suppression, </w:t>
      </w:r>
      <w:r w:rsidR="005E545E">
        <w:rPr>
          <w:i/>
          <w:iCs/>
        </w:rPr>
        <w:t xml:space="preserve">and estimates of exponential growth of cases and deaths. </w:t>
      </w:r>
    </w:p>
    <w:p w14:paraId="1C6FA124" w14:textId="77777777" w:rsidR="002D2830" w:rsidRDefault="002D2830" w:rsidP="002D2830">
      <w:pPr>
        <w:pStyle w:val="Heading2"/>
      </w:pPr>
      <w:r>
        <w:lastRenderedPageBreak/>
        <w:t>Models</w:t>
      </w:r>
    </w:p>
    <w:p w14:paraId="0185B3E8" w14:textId="77777777" w:rsidR="002D2830" w:rsidRDefault="002D2830" w:rsidP="002D2830">
      <w:pPr>
        <w:pStyle w:val="Heading3"/>
      </w:pPr>
      <w:r>
        <w:t>SIR Final Epidemic Size</w:t>
      </w:r>
    </w:p>
    <w:p w14:paraId="01537163" w14:textId="69B7431C" w:rsidR="002D2830" w:rsidRDefault="002D2830" w:rsidP="002D2830">
      <w:r w:rsidRPr="00813869">
        <w:t>We calculated the final epidemic size generated from an age-structured Susceptible-Infected-Recovered model incorporating both the demographic structure of the population and the rates of contact between different individuals across different age groups</w:t>
      </w:r>
      <w:r>
        <w:t xml:space="preserve"> </w:t>
      </w:r>
      <w:r w:rsidRPr="00813869">
        <w:fldChar w:fldCharType="begin" w:fldLock="1"/>
      </w:r>
      <w:r w:rsidR="00AA26B4">
        <w:instrText>ADDIN CSL_CITATION {"citationItems":[{"id":"ITEM-1","itemData":{"DOI":"10.1080/17513758.2018.1484186","ISSN":"1751-3758","abstract":"In meta-population models for infectious diseases, the basic reproduction number R0 can be as much as 70% larger in the case of preferential mixing than that in homogeneous mixing [J.W. Glasser, Z. Feng, S.B. Omer, P.J. Smith, and L.E. Rodewald, The effect of heterogeneity in uptake of the measles, mumps, and rubella vaccine on the potential for outbreaks of measles: A modelling study, Lancet ID 16 (2016), pp. 599–605. doi: 10.1016/S1473-3099(16)00004-9]. This suggests that realistic mixing can be an important factor to consider in order for the models to provide a reliable assessment of intervention strategies. The influence of mixing is more significant when the population is highly heterogeneous. In this paper, another quantity, the final epidemic size (F) of an outbreak, is considered to examine the influence of mixing and population heterogeneity. Final size relation is derived for a meta-population model accounting for a general mixing. The results show that F can be influenced by the pattern of mixing in a significant way. Another interesting finding is that, heterogeneity in various sub-population characteristics may have the opposite effect on R0 and F.","author":[{"dropping-particle":"","family":"Cui","given":"Jingan","non-dropping-particle":"","parse-names":false,"suffix":""},{"dropping-particle":"","family":"Zhang","given":"Yanan","non-dropping-particle":"","parse-names":false,"suffix":""},{"dropping-particle":"","family":"Feng","given":"Zhilan","non-dropping-particle":"","parse-names":false,"suffix":""}],"container-title":"Journal of Biological Dynamics","id":"ITEM-1","issue":"sup1","issued":{"date-parts":[["2019","3","15"]]},"page":"31-46","publisher":"Taylor and Francis Ltd.","title":"Influence of non-homogeneous mixing on final epidemic size in a meta-population model","type":"article-journal","volume":"13"},"uris":["http://www.mendeley.com/documents/?uuid=e34424e9-7e0f-3be7-902d-a6bb2dd60485"]}],"mendeley":{"formattedCitation":"(&lt;i&gt;4&lt;/i&gt;)","plainTextFormattedCitation":"(4)","previouslyFormattedCitation":"(&lt;i&gt;4&lt;/i&gt;)"},"properties":{"noteIndex":0},"schema":"https://github.com/citation-style-language/schema/raw/master/csl-citation.json"}</w:instrText>
      </w:r>
      <w:r w:rsidRPr="00813869">
        <w:fldChar w:fldCharType="separate"/>
      </w:r>
      <w:r w:rsidR="005B4868" w:rsidRPr="005B4868">
        <w:rPr>
          <w:noProof/>
        </w:rPr>
        <w:t>(</w:t>
      </w:r>
      <w:r w:rsidR="005B4868" w:rsidRPr="005B4868">
        <w:rPr>
          <w:i/>
          <w:noProof/>
        </w:rPr>
        <w:t>4</w:t>
      </w:r>
      <w:r w:rsidR="005B4868" w:rsidRPr="005B4868">
        <w:rPr>
          <w:noProof/>
        </w:rPr>
        <w:t>)</w:t>
      </w:r>
      <w:r w:rsidRPr="00813869">
        <w:fldChar w:fldCharType="end"/>
      </w:r>
      <w:r w:rsidRPr="00813869">
        <w:t>.</w:t>
      </w:r>
      <w:r>
        <w:t xml:space="preserve"> </w:t>
      </w:r>
      <w:r w:rsidRPr="00813869">
        <w:t xml:space="preserve">This numerical solution replicates the total number of infected individuals derived from our </w:t>
      </w:r>
      <w:r>
        <w:t xml:space="preserve">individual-based </w:t>
      </w:r>
      <w:r w:rsidRPr="00813869">
        <w:t>simulation models for the UK and USA</w:t>
      </w:r>
      <w:r>
        <w:t xml:space="preserve"> which include more detailed contact structure including household workplace-based contacts </w:t>
      </w:r>
      <w:r w:rsidRPr="00813869">
        <w:fldChar w:fldCharType="begin" w:fldLock="1"/>
      </w:r>
      <w:r w:rsidR="002733BF">
        <w:instrText>ADDIN CSL_CITATION {"citationItems":[{"id":"ITEM-1","itemData":{"DOI":"10.25561/77482","abstract":"The global impact of COVID-19 has been profound, and the public health threat it represents is the most serious seen in a respiratory virus since the 1918 H1N1 influenza pandemic. Here we present the results of epidemiological modelling which has informed policymaking in the UK and other countries in recent weeks. In the absence of a COVID-19 vaccine, we assess the potential role of a number of public health measures-so-called non-pharmaceutical interventions (NPIs)-aimed at reducing contact rates in the population and thereby reducing transmission of the virus. In the results presented here, we apply a previously published microsimulation model to two countries: the UK (Great Britain specifically) and the US. We conclude that the effectiveness of any one intervention in isolation is likely to be limited, requiring multiple interventions to be combined to have a substantial impact on transmission. Two fundamental strategies are possible: (a) mitigation, which focuses on slowing but not necessarily stopping epidemic spread-reducing peak healthcare demand while protecting those most at risk of severe disease from infection, and (b) suppression, which aims to reverse epidemic growth, reducing case numbers to low levels and maintaining that situation indefinitely. Each policy has major challenges. We find that that optimal mitigation policies (combining home isolation of suspect cases, home quarantine of those living in the same household as suspect cases, and social distancing of the elderly and others at most risk of severe disease) might reduce peak healthcare demand by 2/3 and deaths by half. However, the resulting mitigated epidemic would still likely result in hundreds of thousands of deaths and health systems (most notably intensive care units) being overwhelmed many times over. For countries able to achieve it, this leaves suppression as the preferred policy option. We show that in the UK and US context, suppression will minimally require a combination of social distancing of the entire population, home isolation of cases and household quarantine of their family members. This may need to be supplemented by school and university closures, though it should be recognised that such closures may have negative impacts on health systems due to increased","author":[{"dropping-particle":"","family":"Ferguson","given":"Neil M","non-dropping-particle":"","parse-names":false,"suffix":""},{"dropping-particle":"","family":"Laydon","given":"Daniel","non-dropping-particle":"","parse-names":false,"suffix":""},{"dropping-particle":"","family":"Nedjati-Gilani","given":"Gemma","non-dropping-particle":"","parse-names":false,"suffix":""},{"dropping-particle":"","family":"Imai","given":"Natsuko","non-dropping-particle":"","parse-names":false,"suffix":""},{"dropping-particle":"","family":"Ainslie","given":"Kylie","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origatti","given":"Ilaria","non-dropping-particle":"","parse-names":false,"suffix":""},{"dropping-particle":"","family":"Fu","given":"Han","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Okell","given":"Lucy C","non-dropping-particle":"","parse-names":false,"suffix":""},{"dropping-particle":"","family":"Elsland","given":"Sabine","non-dropping-particle":"Van","parse-names":false,"suffix":""},{"dropping-particle":"","family":"Thompson","given":"Hayley","non-dropping-particle":"","parse-names":false,"suffix":""},{"dropping-particle":"","family":"Verity","given":"Robert","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Gt Walker","given":"Patrick","non-dropping-particle":"","parse-names":false,"suffix":""},{"dropping-particle":"","family":"Walters","given":"Caroline","non-dropping-particle":"","parse-names":false,"suffix":""},{"dropping-particle":"","family":"Winskill","given":"Peter","non-dropping-particle":"","parse-names":false,"suffix":""},{"dropping-particle":"","family":"Whittaker","given":"Charles","non-dropping-particle":"","parse-names":false,"suffix":""},{"dropping-particle":"","family":"Donnelly","given":"Christl A","non-dropping-particle":"","parse-names":false,"suffix":""},{"dropping-particle":"","family":"Riley","given":"Steven","non-dropping-particle":"","parse-names":false,"suffix":""},{"dropping-particle":"","family":"Ghani","given":"Azra C","non-dropping-particle":"","parse-names":false,"suffix":""}],"id":"ITEM-1","issued":{"date-parts":[["2020"]]},"title":"Impact of non-pharmaceutical interventions (NPIs) to reduce COVID-19 mortality and healthcare demand (Imperial College COVID-19 Response Team)","type":"article-journal"},"uris":["http://www.mendeley.com/documents/?uuid=36d95689-7894-3fb9-8002-8af18d5a0f61"]}],"mendeley":{"formattedCitation":"(&lt;i&gt;24&lt;/i&gt;)","plainTextFormattedCitation":"(24)","previouslyFormattedCitation":"(&lt;i&gt;24&lt;/i&gt;)"},"properties":{"noteIndex":0},"schema":"https://github.com/citation-style-language/schema/raw/master/csl-citation.json"}</w:instrText>
      </w:r>
      <w:r w:rsidRPr="00813869">
        <w:fldChar w:fldCharType="separate"/>
      </w:r>
      <w:r w:rsidR="006A73E3" w:rsidRPr="006A73E3">
        <w:rPr>
          <w:noProof/>
        </w:rPr>
        <w:t>(</w:t>
      </w:r>
      <w:r w:rsidR="006A73E3" w:rsidRPr="006A73E3">
        <w:rPr>
          <w:i/>
          <w:noProof/>
        </w:rPr>
        <w:t>24</w:t>
      </w:r>
      <w:r w:rsidR="006A73E3" w:rsidRPr="006A73E3">
        <w:rPr>
          <w:noProof/>
        </w:rPr>
        <w:t>)</w:t>
      </w:r>
      <w:r w:rsidRPr="00813869">
        <w:fldChar w:fldCharType="end"/>
      </w:r>
      <w:r w:rsidRPr="00813869">
        <w:t xml:space="preserve">. Final epidemic sizes by age where then generated using a central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oMath>
      <w:r>
        <w:t xml:space="preserve"> value</w:t>
      </w:r>
      <w:r w:rsidRPr="00813869">
        <w:t xml:space="preserve"> of </w:t>
      </w:r>
      <w:r>
        <w:t>3.0</w:t>
      </w:r>
      <w:r w:rsidRPr="00813869">
        <w:t xml:space="preserve">, </w:t>
      </w:r>
      <w:r>
        <w:t>t</w:t>
      </w:r>
      <w:r w:rsidRPr="000101F8">
        <w:t>h</w:t>
      </w:r>
      <w:r>
        <w:t xml:space="preserve">is value of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oMath>
      <w:r>
        <w:t xml:space="preserve"> was chosen as it results in a three-day initial doubling time</w:t>
      </w:r>
      <w:r w:rsidRPr="00813869">
        <w:t xml:space="preserve"> </w:t>
      </w:r>
      <w:r>
        <w:t xml:space="preserve">consistent with current observations in Europe </w:t>
      </w:r>
      <w:r>
        <w:fldChar w:fldCharType="begin" w:fldLock="1"/>
      </w:r>
      <w:r w:rsidR="00FB0C07">
        <w:instrText>ADDIN CSL_CITATION {"citationItems":[{"id":"ITEM-1","itemData":{"DOI":"https://doi.org/10.25561/77731","abstract":"Following the emergence of a novel coronavirus (SARS-CoV-2) and its spread outside of China, Europe is now experiencing large epidemics. In response, many European countries have implemented unprecedented non-pharmaceutical interventions including case isolation, the closure of schools and universities, banning of mass gatherings and/or public events, and most recently, widescale social distancing including local and national lockdowns. In this report, we use a semi-mechanistic Bayesian hierarchical model to attempt to infer the impact of these interventions across 11 European countries. Our methods assume that changes in the reproductive number-a measure of transmission-are an immediate response to these interventions being implemented rather than broader gradual changes in behaviour. Our model estimates these changes by calculating backwards from the deaths observed over time to estimate transmission that occurred several weeks prior, allowing for the time lag between infection and death.","author":[{"dropping-particle":"","family":"Flaxman","given":"Seth","non-dropping-particle":"","parse-names":false,"suffix":""},{"dropping-particle":"","family":"Mishra","given":"Swapnil","non-dropping-particle":"","parse-names":false,"suffix":""},{"dropping-particle":"","family":"Gandy","given":"Axel","non-dropping-particle":"","parse-names":false,"suffix":""},{"dropping-particle":"","family":"Unwin","given":"Juliette T","non-dropping-particle":"","parse-names":false,"suffix":""},{"dropping-particle":"","family":"Coupland","given":"Helen","non-dropping-particle":"","parse-names":false,"suffix":""},{"dropping-particle":"","family":"Mellan","given":"Thomas A","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W","non-dropping-particle":"","parse-names":false,"suffix":""},{"dropping-particle":"","family":"Guzman","given":"Pablo N P","non-dropping-particle":"","parse-names":false,"suffix":""},{"dropping-particle":"","family":"Schmit","given":"Nora","non-dropping-particle":"","parse-names":false,"suffix":""},{"dropping-particle":"","family":"Cilloni","given":"Lucia","non-dropping-particle":"","parse-names":false,"suffix":""},{"dropping-particle":"","family":"Ainslie","given":"Kylie E C","non-dropping-particle":"","parse-names":false,"suffix":""},{"dropping-particle":"","family":"Baguelin","given":"Marc","non-dropping-particle":"","parse-names":false,"suffix":""},{"dropping-particle":"","family":"Blake","given":"Isobel","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iavarella","given":"Constanze","non-dropping-particle":"","parse-names":false,"suffix":""},{"dropping-particle":"","family":"Cooper","given":"Laur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jaafara","given":"Bimandra","non-dropping-particle":"","parse-names":false,"suffix":""},{"dropping-particle":"","family":"Dorigatti","given":"Ilaria","non-dropping-particle":"","parse-names":false,"suffix":""},{"dropping-particle":"","family":"Elsland","given":"Sabine","non-dropping-particle":"Van","parse-names":false,"suffix":""},{"dropping-particle":"","family":"Fitzjohn","given":"Rich","non-dropping-particle":"","parse-names":false,"suffix":""},{"dropping-particle":"","family":"Fu","given":"Han","non-dropping-particle":"","parse-names":false,"suffix":""},{"dropping-particle":"","family":"Gaythorpe","given":"Katy","non-dropping-particle":"","parse-names":false,"suffix":""},{"dropping-particle":"","family":"Geidelberg","given":"Lily","non-dropping-particle":"","parse-names":false,"suffix":""},{"dropping-particle":"","family":"Grassly","given":"Nicholas","non-dropping-particle":"","parse-names":false,"suffix":""},{"dropping-particle":"","family":"Green","given":"Will","non-dropping-particle":"","parse-names":false,"suffix":""},{"dropping-particle":"","family":"Hallett","given":"Timothy","non-dropping-particle":"","parse-names":false,"suffix":""},{"dropping-particle":"","family":"Hamlet","given":"Arran","non-dropping-particle":"","parse-names":false,"suffix":""},{"dropping-particle":"","family":"Hinsley","given":"Wes","non-dropping-particle":"","parse-names":false,"suffix":""},{"dropping-particle":"","family":"Jeffrey","given":"Ben","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Nedjati-Gilani","given":"Gemma","non-dropping-particle":"","parse-names":false,"suffix":""},{"dropping-particle":"","family":"Nouvellet","given":"Pierre","non-dropping-particle":"","parse-names":false,"suffix":""},{"dropping-particle":"","family":"Parag","given":"Kris","non-dropping-particle":"","parse-names":false,"suffix":""},{"dropping-particle":"","family":"Siveroni","given":"Igor","non-dropping-particle":"","parse-names":false,"suffix":""},{"dropping-particle":"","family":"Thompson","given":"Hayley","non-dropping-particle":"","parse-names":false,"suffix":""},{"dropping-particle":"","family":"Verity","given":"Robert","non-dropping-particle":"","parse-names":false,"suffix":""},{"dropping-particle":"","family":"Volz","given":"Erik","non-dropping-particle":"","parse-names":false,"suffix":""},{"dropping-particle":"","family":"Gt Walker","given":"Patrick","non-dropping-particle":"","parse-names":false,"suffix":""},{"dropping-particle":"","family":"Walters","given":"Caroline","non-dropping-particle":"","parse-names":false,"suffix":""},{"dropping-particle":"","family":"Wang","given":"Haowei","non-dropping-particle":"","parse-names":false,"suffix":""},{"dropping-particle":"","family":"Wang","given":"Yuanrong","non-dropping-particle":"","parse-names":false,"suffix":""},{"dropping-particle":"","family":"Watson","given":"Oliver","non-dropping-particle":"","parse-names":false,"suffix":""},{"dropping-particle":"","family":"Xi","given":"Xiaoyue","non-dropping-particle":"","parse-names":false,"suffix":""},{"dropping-particle":"","family":"Winskill","given":"Peter","non-dropping-particle":"","parse-names":false,"suffix":""},{"dropping-particle":"","family":"Whittaker","given":"Charles","non-dropping-particle":"","parse-names":false,"suffix":""},{"dropping-particle":"","family":"Ghani","given":"Azra","non-dropping-particle":"","parse-names":false,"suffix":""},{"dropping-particle":"","family":"Donnelly","given":"Christl A","non-dropping-particle":"","parse-names":false,"suffix":""},{"dropping-particle":"","family":"Riley","given":"Steven","non-dropping-particle":"","parse-names":false,"suffix":""},{"dropping-particle":"","family":"Okell","given":"Lucy C","non-dropping-particle":"","parse-names":false,"suffix":""},{"dropping-particle":"","family":"Vollmer","given":"Michaela A C","non-dropping-particle":"","parse-names":false,"suffix":""},{"dropping-particle":"","family":"Ferguson","given":"Neil M","non-dropping-particle":"","parse-names":false,"suffix":""},{"dropping-particle":"","family":"Bhatt","given":"Samir","non-dropping-particle":"","parse-names":false,"suffix":""}],"id":"ITEM-1","issued":{"date-parts":[["2020"]]},"title":"Estimating the number of infections and the impact of non-pharmaceutical interventions on COVID-19 in 11 European countries. (Imperial College COVID-19 Response Team)","type":"article-journal"},"uris":["http://www.mendeley.com/documents/?uuid=e43c81aa-7602-363d-9d61-cf4bfceb26f3"]}],"mendeley":{"formattedCitation":"(&lt;i&gt;6&lt;/i&gt;)","plainTextFormattedCitation":"(6)","previouslyFormattedCitation":"(&lt;i&gt;6&lt;/i&gt;)"},"properties":{"noteIndex":0},"schema":"https://github.com/citation-style-language/schema/raw/master/csl-citation.json"}</w:instrText>
      </w:r>
      <w:r>
        <w:fldChar w:fldCharType="separate"/>
      </w:r>
      <w:r w:rsidR="005B4868" w:rsidRPr="005B4868">
        <w:rPr>
          <w:noProof/>
        </w:rPr>
        <w:t>(</w:t>
      </w:r>
      <w:r w:rsidR="005B4868" w:rsidRPr="005B4868">
        <w:rPr>
          <w:i/>
          <w:noProof/>
        </w:rPr>
        <w:t>6</w:t>
      </w:r>
      <w:r w:rsidR="005B4868" w:rsidRPr="005B4868">
        <w:rPr>
          <w:noProof/>
        </w:rPr>
        <w:t>)</w:t>
      </w:r>
      <w:r>
        <w:fldChar w:fldCharType="end"/>
      </w:r>
      <w:r>
        <w:t xml:space="preserve">. We incorporated uncertainty with respect to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oMath>
      <w:r>
        <w:t xml:space="preserve"> by calculating the range of final size distributions between a range of </w:t>
      </w:r>
      <w:r w:rsidRPr="00813869">
        <w:t xml:space="preserve">with uncertainty range </w:t>
      </w:r>
      <w:r w:rsidRPr="000101F8">
        <w:t xml:space="preserve">between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r>
          <w:rPr>
            <w:rFonts w:ascii="Cambria Math" w:eastAsiaTheme="minorEastAsia" w:hAnsi="Cambria Math"/>
            <w:sz w:val="24"/>
            <w:szCs w:val="24"/>
          </w:rPr>
          <m:t>=2.3</m:t>
        </m:r>
      </m:oMath>
      <w: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0</m:t>
            </m:r>
          </m:sub>
        </m:sSub>
        <m:r>
          <w:rPr>
            <w:rFonts w:ascii="Cambria Math" w:eastAsiaTheme="minorEastAsia" w:hAnsi="Cambria Math"/>
            <w:sz w:val="24"/>
            <w:szCs w:val="24"/>
          </w:rPr>
          <m:t>=3.5</m:t>
        </m:r>
      </m:oMath>
      <w:r>
        <w:t xml:space="preserve">, reflecting a </w:t>
      </w:r>
      <w:r w:rsidR="00AB5852">
        <w:t>five</w:t>
      </w:r>
      <w:r>
        <w:t>-day and three-day initial doubling respectively.</w:t>
      </w:r>
    </w:p>
    <w:p w14:paraId="7931913B" w14:textId="77777777" w:rsidR="002D2830" w:rsidRDefault="002D2830" w:rsidP="002D2830">
      <w:pPr>
        <w:pStyle w:val="Heading3"/>
      </w:pPr>
      <w:r>
        <w:t>Calculation of Optimal Mitigation</w:t>
      </w:r>
    </w:p>
    <w:p w14:paraId="7D9D8335" w14:textId="77777777" w:rsidR="002D2830" w:rsidRDefault="002D2830" w:rsidP="002D2830">
      <w:r w:rsidRPr="008A6BDB">
        <w:t>For each country we estimated the potential maximum benefits from mitigation through a policy of social distancing within the general population</w:t>
      </w:r>
      <w:r>
        <w:t xml:space="preserve"> such that subsequently the policy can be lifted (i.e. it is not continued indefinitely) without leading to a second wave of transmission. </w:t>
      </w:r>
    </w:p>
    <w:p w14:paraId="1EBF7E6B" w14:textId="77777777" w:rsidR="002D2830" w:rsidRDefault="002D2830" w:rsidP="002D2830">
      <w:r>
        <w:t xml:space="preserve">We first define </w:t>
      </w:r>
      <m:oMath>
        <m:r>
          <w:rPr>
            <w:rFonts w:ascii="Cambria Math" w:hAnsi="Cambria Math"/>
          </w:rPr>
          <m:t>F(G)</m:t>
        </m:r>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|G</m:t>
            </m:r>
          </m:e>
        </m:d>
      </m:oMath>
      <w:r>
        <w:rPr>
          <w:rFonts w:eastAsiaTheme="minorEastAsia"/>
        </w:rPr>
        <w:t xml:space="preserve"> as the set of final proportion of individuals infected in an unmitigated scenario within the </w:t>
      </w:r>
      <m:oMath>
        <m:r>
          <w:rPr>
            <w:rFonts w:ascii="Cambria Math" w:eastAsiaTheme="minorEastAsia" w:hAnsi="Cambria Math"/>
          </w:rPr>
          <m:t>n</m:t>
        </m:r>
      </m:oMath>
      <w:r>
        <w:rPr>
          <w:rFonts w:eastAsiaTheme="minorEastAsia"/>
        </w:rPr>
        <w:t xml:space="preserve"> defined age-strata, of total population size </w:t>
      </w:r>
      <m:oMath>
        <m:r>
          <w:rPr>
            <w:rFonts w:ascii="Cambria Math" w:eastAsiaTheme="minorEastAsia" w:hAnsi="Cambria Math"/>
          </w:rPr>
          <m:t>N=</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n</m:t>
                </m:r>
              </m:sub>
            </m:sSub>
          </m:e>
        </m:d>
        <m:r>
          <w:rPr>
            <w:rFonts w:ascii="Cambria Math" w:eastAsiaTheme="minorEastAsia" w:hAnsi="Cambria Math"/>
          </w:rPr>
          <m:t>,</m:t>
        </m:r>
      </m:oMath>
      <w:r>
        <w:rPr>
          <w:rFonts w:eastAsiaTheme="minorEastAsia"/>
        </w:rPr>
        <w:t xml:space="preserve"> generated by the next generation matrix </w:t>
      </w:r>
    </w:p>
    <w:p w14:paraId="33619395" w14:textId="77777777" w:rsidR="002D2830" w:rsidRDefault="002D2830" w:rsidP="002D2830">
      <w:pPr>
        <w:rPr>
          <w:rFonts w:eastAsiaTheme="minorEastAsia"/>
        </w:rPr>
      </w:pPr>
      <m:oMathPara>
        <m:oMath>
          <m:r>
            <w:rPr>
              <w:rFonts w:ascii="Cambria Math" w:hAnsi="Cambria Math"/>
            </w:rPr>
            <m:t>G=zC</m:t>
          </m:r>
          <m:r>
            <w:rPr>
              <w:rFonts w:ascii="Cambria Math" w:eastAsiaTheme="minorEastAsia"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z</m:t>
                    </m:r>
                    <m:sSub>
                      <m:sSubPr>
                        <m:ctrlPr>
                          <w:rPr>
                            <w:rFonts w:ascii="Cambria Math" w:hAnsi="Cambria Math"/>
                            <w:i/>
                          </w:rPr>
                        </m:ctrlPr>
                      </m:sSubPr>
                      <m:e>
                        <m:r>
                          <w:rPr>
                            <w:rFonts w:ascii="Cambria Math" w:hAnsi="Cambria Math"/>
                          </w:rPr>
                          <m:t>c</m:t>
                        </m:r>
                      </m:e>
                      <m:sub>
                        <m:r>
                          <w:rPr>
                            <w:rFonts w:ascii="Cambria Math" w:hAnsi="Cambria Math"/>
                          </w:rPr>
                          <m:t>11</m:t>
                        </m:r>
                      </m:sub>
                    </m:sSub>
                  </m:e>
                  <m:e>
                    <m:r>
                      <w:rPr>
                        <w:rFonts w:ascii="Cambria Math" w:hAnsi="Cambria Math"/>
                      </w:rPr>
                      <m:t>…</m:t>
                    </m:r>
                  </m:e>
                  <m:e>
                    <m:r>
                      <w:rPr>
                        <w:rFonts w:ascii="Cambria Math" w:hAnsi="Cambria Math"/>
                      </w:rPr>
                      <m:t>z</m:t>
                    </m:r>
                    <m:sSub>
                      <m:sSubPr>
                        <m:ctrlPr>
                          <w:rPr>
                            <w:rFonts w:ascii="Cambria Math" w:hAnsi="Cambria Math"/>
                            <w:i/>
                          </w:rPr>
                        </m:ctrlPr>
                      </m:sSubPr>
                      <m:e>
                        <m:r>
                          <w:rPr>
                            <w:rFonts w:ascii="Cambria Math" w:hAnsi="Cambria Math"/>
                          </w:rPr>
                          <m:t>c</m:t>
                        </m:r>
                      </m:e>
                      <m:sub>
                        <m:r>
                          <w:rPr>
                            <w:rFonts w:ascii="Cambria Math" w:hAnsi="Cambria Math"/>
                          </w:rPr>
                          <m:t>1n</m:t>
                        </m:r>
                      </m:sub>
                    </m:sSub>
                  </m:e>
                </m:mr>
                <m:mr>
                  <m:e>
                    <m:r>
                      <w:rPr>
                        <w:rFonts w:ascii="Cambria Math" w:hAnsi="Cambria Math"/>
                      </w:rPr>
                      <m:t>⋮</m:t>
                    </m:r>
                  </m:e>
                  <m:e>
                    <m:r>
                      <w:rPr>
                        <w:rFonts w:ascii="Cambria Math" w:hAnsi="Cambria Math"/>
                      </w:rPr>
                      <m:t>⋱</m:t>
                    </m:r>
                  </m:e>
                  <m:e>
                    <m:r>
                      <w:rPr>
                        <w:rFonts w:ascii="Cambria Math" w:hAnsi="Cambria Math"/>
                      </w:rPr>
                      <m:t>⋮</m:t>
                    </m:r>
                  </m:e>
                </m:mr>
                <m:mr>
                  <m:e>
                    <m:r>
                      <w:rPr>
                        <w:rFonts w:ascii="Cambria Math" w:hAnsi="Cambria Math"/>
                      </w:rPr>
                      <m:t>z</m:t>
                    </m:r>
                    <m:sSub>
                      <m:sSubPr>
                        <m:ctrlPr>
                          <w:rPr>
                            <w:rFonts w:ascii="Cambria Math" w:hAnsi="Cambria Math"/>
                            <w:i/>
                          </w:rPr>
                        </m:ctrlPr>
                      </m:sSubPr>
                      <m:e>
                        <m:r>
                          <w:rPr>
                            <w:rFonts w:ascii="Cambria Math" w:hAnsi="Cambria Math"/>
                          </w:rPr>
                          <m:t>c</m:t>
                        </m:r>
                      </m:e>
                      <m:sub>
                        <m:r>
                          <w:rPr>
                            <w:rFonts w:ascii="Cambria Math" w:hAnsi="Cambria Math"/>
                          </w:rPr>
                          <m:t>n1</m:t>
                        </m:r>
                      </m:sub>
                    </m:sSub>
                  </m:e>
                  <m:e>
                    <m:r>
                      <w:rPr>
                        <w:rFonts w:ascii="Cambria Math" w:hAnsi="Cambria Math"/>
                      </w:rPr>
                      <m:t>…</m:t>
                    </m:r>
                  </m:e>
                  <m:e>
                    <m:r>
                      <w:rPr>
                        <w:rFonts w:ascii="Cambria Math" w:hAnsi="Cambria Math"/>
                      </w:rPr>
                      <m:t>z</m:t>
                    </m:r>
                    <m:sSub>
                      <m:sSubPr>
                        <m:ctrlPr>
                          <w:rPr>
                            <w:rFonts w:ascii="Cambria Math" w:hAnsi="Cambria Math"/>
                            <w:i/>
                          </w:rPr>
                        </m:ctrlPr>
                      </m:sSubPr>
                      <m:e>
                        <m:r>
                          <w:rPr>
                            <w:rFonts w:ascii="Cambria Math" w:hAnsi="Cambria Math"/>
                          </w:rPr>
                          <m:t>c</m:t>
                        </m:r>
                      </m:e>
                      <m:sub>
                        <m:r>
                          <w:rPr>
                            <w:rFonts w:ascii="Cambria Math" w:hAnsi="Cambria Math"/>
                          </w:rPr>
                          <m:t>nn</m:t>
                        </m:r>
                      </m:sub>
                    </m:sSub>
                  </m:e>
                </m:mr>
              </m:m>
            </m:e>
          </m:d>
          <m:r>
            <w:rPr>
              <w:rFonts w:ascii="Cambria Math" w:hAnsi="Cambria Math"/>
            </w:rPr>
            <m:t>.</m:t>
          </m:r>
        </m:oMath>
      </m:oMathPara>
    </w:p>
    <w:p w14:paraId="41678442" w14:textId="77777777" w:rsidR="002D2830" w:rsidRDefault="002D2830" w:rsidP="002D2830">
      <w:pPr>
        <w:rPr>
          <w:rFonts w:eastAsiaTheme="minorEastAsia"/>
        </w:rPr>
      </w:pPr>
      <w:r>
        <w:rPr>
          <w:rFonts w:eastAsiaTheme="minorEastAsia"/>
        </w:rPr>
        <w:t xml:space="preserve">where </w:t>
      </w:r>
      <m:oMath>
        <m:r>
          <w:rPr>
            <w:rFonts w:ascii="Cambria Math" w:eastAsiaTheme="minorEastAsia" w:hAnsi="Cambria Math"/>
          </w:rPr>
          <m:t>C</m:t>
        </m:r>
      </m:oMath>
      <w:r>
        <w:rPr>
          <w:rFonts w:eastAsiaTheme="minorEastAsia"/>
        </w:rPr>
        <w:t xml:space="preserve"> is the contact matrix</w:t>
      </w:r>
      <w:r w:rsidRPr="008A6BDB">
        <w:rPr>
          <w:rFonts w:eastAsiaTheme="minorEastAsia"/>
        </w:rPr>
        <w:t xml:space="preserve">, </w:t>
      </w:r>
      <w:r>
        <w:rPr>
          <w:rFonts w:eastAsiaTheme="minorEastAsia"/>
        </w:rPr>
        <w:t>with</w:t>
      </w:r>
      <w:r w:rsidRPr="008A6BDB">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ij</m:t>
            </m:r>
          </m:sub>
        </m:sSub>
      </m:oMath>
      <w:r w:rsidRPr="008A6BDB">
        <w:rPr>
          <w:rFonts w:eastAsiaTheme="minorEastAsia"/>
        </w:rPr>
        <w:t xml:space="preserve"> the per-capita rate at which individuals in age-category </w:t>
      </w:r>
      <m:oMath>
        <m:r>
          <w:rPr>
            <w:rFonts w:ascii="Cambria Math" w:eastAsiaTheme="minorEastAsia" w:hAnsi="Cambria Math"/>
          </w:rPr>
          <m:t>i</m:t>
        </m:r>
      </m:oMath>
      <w:r w:rsidRPr="008A6BDB">
        <w:rPr>
          <w:rFonts w:eastAsiaTheme="minorEastAsia"/>
        </w:rPr>
        <w:t xml:space="preserve"> make contact with individuals in age-</w:t>
      </w:r>
      <w:r w:rsidRPr="006D795B">
        <w:rPr>
          <w:rFonts w:eastAsiaTheme="minorEastAsia"/>
        </w:rPr>
        <w:t xml:space="preserve">category </w:t>
      </w:r>
      <m:oMath>
        <m:r>
          <w:rPr>
            <w:rFonts w:ascii="Cambria Math" w:eastAsiaTheme="minorEastAsia" w:hAnsi="Cambria Math"/>
          </w:rPr>
          <m:t>j</m:t>
        </m:r>
      </m:oMath>
      <w:r w:rsidRPr="006D795B">
        <w:rPr>
          <w:rFonts w:eastAsiaTheme="minorEastAsia"/>
        </w:rPr>
        <w:t xml:space="preserve">, and </w:t>
      </w:r>
      <m:oMath>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m:rPr>
            <m:sty m:val="p"/>
          </m:rPr>
          <w:rPr>
            <w:rFonts w:ascii="Cambria Math" w:eastAsiaTheme="minorEastAsia" w:hAnsi="Cambria Math"/>
          </w:rPr>
          <m:t>/</m:t>
        </m:r>
        <m:r>
          <w:rPr>
            <w:rFonts w:ascii="Cambria Math" w:eastAsiaTheme="minorEastAsia" w:hAnsi="Cambria Math"/>
          </w:rPr>
          <m:t>ρ</m:t>
        </m:r>
        <m:d>
          <m:dPr>
            <m:ctrlPr>
              <w:rPr>
                <w:rFonts w:ascii="Cambria Math" w:eastAsiaTheme="minorEastAsia" w:hAnsi="Cambria Math"/>
                <w:i/>
              </w:rPr>
            </m:ctrlPr>
          </m:dPr>
          <m:e>
            <m:r>
              <w:rPr>
                <w:rFonts w:ascii="Cambria Math" w:eastAsiaTheme="minorEastAsia" w:hAnsi="Cambria Math"/>
              </w:rPr>
              <m:t>C</m:t>
            </m:r>
          </m:e>
        </m:d>
      </m:oMath>
      <w:r w:rsidRPr="006D795B">
        <w:rPr>
          <w:rFonts w:eastAsiaTheme="minorEastAsia"/>
        </w:rPr>
        <w:t xml:space="preserve"> a</w:t>
      </w:r>
      <w:r>
        <w:rPr>
          <w:rFonts w:eastAsiaTheme="minorEastAsia"/>
        </w:rPr>
        <w:t xml:space="preserve"> scaling factor to achieve the desired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oMath>
      <w:r>
        <w:rPr>
          <w:rFonts w:eastAsiaTheme="minorEastAsia"/>
        </w:rPr>
        <w:t xml:space="preserve">, where </w:t>
      </w:r>
      <m:oMath>
        <m:r>
          <w:rPr>
            <w:rFonts w:ascii="Cambria Math" w:eastAsiaTheme="minorEastAsia" w:hAnsi="Cambria Math"/>
          </w:rPr>
          <m:t>ρ</m:t>
        </m:r>
      </m:oMath>
      <w:r>
        <w:rPr>
          <w:rFonts w:eastAsiaTheme="minorEastAsia"/>
        </w:rPr>
        <w:t xml:space="preserve">(.) refers to the leading eigenvalue of a matrix. </w:t>
      </w:r>
    </w:p>
    <w:p w14:paraId="3B49BC9B" w14:textId="77777777" w:rsidR="002D2830" w:rsidRPr="000A1389" w:rsidRDefault="002D2830" w:rsidP="002D2830">
      <w:pPr>
        <w:rPr>
          <w:rFonts w:eastAsiaTheme="minorEastAsia"/>
        </w:rPr>
      </w:pPr>
      <w:r>
        <w:rPr>
          <w:rFonts w:eastAsiaTheme="minorEastAsia"/>
        </w:rPr>
        <w:t xml:space="preserve">We then define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r>
          <w:rPr>
            <w:rFonts w:ascii="Cambria Math" w:eastAsiaTheme="minorEastAsia" w:hAnsi="Cambria Math"/>
          </w:rPr>
          <m:t>(G,x)</m:t>
        </m:r>
      </m:oMath>
      <w:r>
        <w:rPr>
          <w:rFonts w:eastAsiaTheme="minorEastAsia"/>
        </w:rPr>
        <w:t xml:space="preserve"> as the final size of an epidemic if mitigation measures reduce contact rates uniformly across the population by a proportion </w:t>
      </w:r>
      <m:oMath>
        <m:r>
          <w:rPr>
            <w:rFonts w:ascii="Cambria Math" w:hAnsi="Cambria Math"/>
          </w:rPr>
          <m:t>x</m:t>
        </m:r>
      </m:oMath>
      <w:r>
        <w:rPr>
          <w:rFonts w:eastAsiaTheme="minorEastAsia"/>
        </w:rPr>
        <w:t>, producing next generation matrix</w:t>
      </w:r>
    </w:p>
    <w:p w14:paraId="16D55DFA" w14:textId="77777777" w:rsidR="002D2830" w:rsidRDefault="002D2830" w:rsidP="002D2830">
      <w:pPr>
        <w:jc w:val="center"/>
        <w:rPr>
          <w:rFonts w:eastAsiaTheme="minorEastAsia"/>
        </w:rPr>
      </w:pPr>
      <m:oMath>
        <m:r>
          <w:rPr>
            <w:rFonts w:ascii="Cambria Math" w:hAnsi="Cambria Math"/>
          </w:rPr>
          <m:t>(1-x)G=(1-x)zC</m:t>
        </m:r>
      </m:oMath>
      <w:r>
        <w:rPr>
          <w:rFonts w:eastAsiaTheme="minorEastAsia"/>
        </w:rPr>
        <w:t>.</w:t>
      </w:r>
    </w:p>
    <w:p w14:paraId="1283073B" w14:textId="77777777" w:rsidR="002D2830" w:rsidRDefault="002D2830" w:rsidP="002D2830">
      <w:pPr>
        <w:jc w:val="left"/>
        <w:rPr>
          <w:rFonts w:eastAsiaTheme="minorEastAsia"/>
        </w:rPr>
      </w:pPr>
      <w:r>
        <w:t xml:space="preserve">The maximum reduction in the overall attack rate within the population that can be achieved by such a mitigation approach (and would prevent a second wave occurring once mitigation measures are stopped) is then the maximum value of </w:t>
      </w:r>
      <m:oMath>
        <m:r>
          <w:rPr>
            <w:rFonts w:ascii="Cambria Math" w:hAnsi="Cambria Math"/>
          </w:rPr>
          <m:t>x</m:t>
        </m:r>
      </m:oMath>
      <w:r>
        <w:rPr>
          <w:rFonts w:eastAsiaTheme="minorEastAsia"/>
        </w:rPr>
        <w:t xml:space="preserve"> (denoted </w:t>
      </w:r>
      <m:oMath>
        <m:sSup>
          <m:sSupPr>
            <m:ctrlPr>
              <w:rPr>
                <w:rFonts w:ascii="Cambria Math" w:hAnsi="Cambria Math"/>
                <w:i/>
              </w:rPr>
            </m:ctrlPr>
          </m:sSupPr>
          <m:e>
            <m:r>
              <w:rPr>
                <w:rFonts w:ascii="Cambria Math" w:hAnsi="Cambria Math"/>
              </w:rPr>
              <m:t>x</m:t>
            </m:r>
          </m:e>
          <m:sup>
            <m:r>
              <w:rPr>
                <w:rFonts w:ascii="Cambria Math" w:hAnsi="Cambria Math"/>
              </w:rPr>
              <m:t>'</m:t>
            </m:r>
          </m:sup>
        </m:sSup>
      </m:oMath>
      <w:r>
        <w:rPr>
          <w:rFonts w:eastAsiaTheme="minorEastAsia"/>
        </w:rPr>
        <w:t>) satisfying the following criteria:</w:t>
      </w:r>
    </w:p>
    <w:p w14:paraId="47B919E1" w14:textId="77777777" w:rsidR="002D2830" w:rsidRPr="00E33D25" w:rsidRDefault="002D2830" w:rsidP="002D2830">
      <w:pPr>
        <w:jc w:val="center"/>
        <w:rPr>
          <w:rFonts w:eastAsiaTheme="minorEastAsia"/>
        </w:rPr>
      </w:pPr>
      <m:oMathPara>
        <m:oMath>
          <m:r>
            <w:rPr>
              <w:rFonts w:ascii="Cambria Math" w:eastAsiaTheme="minorEastAsia" w:hAnsi="Cambria Math"/>
            </w:rPr>
            <m:t>ρ</m:t>
          </m:r>
          <m:d>
            <m:dPr>
              <m:ctrlPr>
                <w:rPr>
                  <w:rFonts w:ascii="Cambria Math" w:hAnsi="Cambria Math"/>
                  <w:i/>
                </w:rPr>
              </m:ctrlPr>
            </m:dPr>
            <m:e>
              <m:r>
                <w:rPr>
                  <w:rFonts w:ascii="Cambria Math" w:hAnsi="Cambria Math"/>
                </w:rPr>
                <m:t>M</m:t>
              </m:r>
              <m:d>
                <m:dPr>
                  <m:ctrlPr>
                    <w:rPr>
                      <w:rFonts w:ascii="Cambria Math" w:hAnsi="Cambria Math"/>
                      <w:i/>
                    </w:rPr>
                  </m:ctrlPr>
                </m:dPr>
                <m:e>
                  <m:r>
                    <w:rPr>
                      <w:rFonts w:ascii="Cambria Math" w:eastAsiaTheme="minorEastAsia" w:hAnsi="Cambria Math"/>
                    </w:rPr>
                    <m:t>F'(G,x)</m:t>
                  </m:r>
                </m:e>
              </m:d>
            </m:e>
          </m:d>
          <m:r>
            <w:rPr>
              <w:rFonts w:ascii="Cambria Math" w:eastAsiaTheme="minorEastAsia" w:hAnsi="Cambria Math"/>
            </w:rPr>
            <m:t>&lt;1</m:t>
          </m:r>
        </m:oMath>
      </m:oMathPara>
    </w:p>
    <w:p w14:paraId="2322B677" w14:textId="77777777" w:rsidR="002D2830" w:rsidRDefault="002D2830" w:rsidP="002D2830">
      <w:pPr>
        <w:jc w:val="left"/>
        <w:rPr>
          <w:rFonts w:eastAsiaTheme="minorEastAsia"/>
        </w:rPr>
      </w:pPr>
      <w:r>
        <w:rPr>
          <w:rFonts w:eastAsiaTheme="minorEastAsia"/>
        </w:rPr>
        <w:t xml:space="preserve">where </w:t>
      </w:r>
      <m:oMath>
        <m:r>
          <w:rPr>
            <w:rFonts w:ascii="Cambria Math" w:hAnsi="Cambria Math"/>
          </w:rPr>
          <m:t>M</m:t>
        </m:r>
      </m:oMath>
      <w:r>
        <w:rPr>
          <w:rFonts w:eastAsiaTheme="minorEastAsia"/>
        </w:rPr>
        <w:t xml:space="preserve"> is the next generation matrix produced following the mitigated epidemic which has elements</w:t>
      </w:r>
    </w:p>
    <w:p w14:paraId="05BEB206" w14:textId="77777777" w:rsidR="002D2830" w:rsidRDefault="003624D6" w:rsidP="002D2830">
      <w:pPr>
        <w:jc w:val="center"/>
        <w:rPr>
          <w:rFonts w:eastAsiaTheme="minorEastAsia"/>
        </w:rPr>
      </w:pPr>
      <m:oMath>
        <m:sSub>
          <m:sSubPr>
            <m:ctrlPr>
              <w:rPr>
                <w:rFonts w:ascii="Cambria Math" w:hAnsi="Cambria Math"/>
                <w:i/>
              </w:rPr>
            </m:ctrlPr>
          </m:sSubPr>
          <m:e>
            <m:r>
              <w:rPr>
                <w:rFonts w:ascii="Cambria Math" w:hAnsi="Cambria Math"/>
              </w:rPr>
              <m:t>m</m:t>
            </m:r>
          </m:e>
          <m:sub>
            <m:r>
              <w:rPr>
                <w:rFonts w:ascii="Cambria Math" w:hAnsi="Cambria Math"/>
              </w:rPr>
              <m:t>ij</m:t>
            </m:r>
          </m:sub>
        </m:sSub>
        <m:r>
          <w:rPr>
            <w:rFonts w:ascii="Cambria Math" w:hAnsi="Cambria Math"/>
          </w:rPr>
          <m:t>=z</m:t>
        </m:r>
        <m:sSub>
          <m:sSubPr>
            <m:ctrlPr>
              <w:rPr>
                <w:rFonts w:ascii="Cambria Math" w:hAnsi="Cambria Math"/>
                <w:i/>
              </w:rPr>
            </m:ctrlPr>
          </m:sSubPr>
          <m:e>
            <m:r>
              <w:rPr>
                <w:rFonts w:ascii="Cambria Math" w:hAnsi="Cambria Math"/>
              </w:rPr>
              <m:t>c</m:t>
            </m:r>
          </m:e>
          <m:sub>
            <m:r>
              <w:rPr>
                <w:rFonts w:ascii="Cambria Math" w:hAnsi="Cambria Math"/>
              </w:rPr>
              <m:t>ij</m:t>
            </m:r>
          </m:sub>
        </m:sSub>
        <m:d>
          <m:dPr>
            <m:ctrlPr>
              <w:rPr>
                <w:rFonts w:ascii="Cambria Math" w:hAnsi="Cambria Math"/>
                <w:i/>
              </w:rPr>
            </m:ctrlPr>
          </m:dPr>
          <m:e>
            <m:r>
              <w:rPr>
                <w:rFonts w:ascii="Cambria Math" w:hAnsi="Cambria Math"/>
              </w:rPr>
              <m:t>1-</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r>
                  <w:rPr>
                    <w:rFonts w:ascii="Cambria Math" w:hAnsi="Cambria Math"/>
                  </w:rPr>
                  <m:t>,j</m:t>
                </m:r>
              </m:sub>
            </m:sSub>
          </m:e>
        </m:d>
      </m:oMath>
      <w:r w:rsidR="002D2830">
        <w:rPr>
          <w:rFonts w:eastAsiaTheme="minorEastAsia"/>
        </w:rPr>
        <w:t>.</w:t>
      </w:r>
    </w:p>
    <w:p w14:paraId="7FC04BE5" w14:textId="77777777" w:rsidR="002D2830" w:rsidRDefault="002D2830" w:rsidP="002D2830">
      <w:pPr>
        <w:rPr>
          <w:rFonts w:eastAsiaTheme="minorEastAsia"/>
        </w:rPr>
      </w:pPr>
      <w:r w:rsidRPr="006D795B">
        <w:rPr>
          <w:rFonts w:eastAsiaTheme="minorEastAsia"/>
        </w:rPr>
        <w:t xml:space="preserve">The same approach was applied to our mitigation scenarios which included enhanced protection for the elderly, adjusted so that reductions </w:t>
      </w:r>
      <m:oMath>
        <m:r>
          <w:rPr>
            <w:rFonts w:ascii="Cambria Math" w:eastAsiaTheme="minorEastAsia" w:hAnsi="Cambria Math"/>
          </w:rPr>
          <m:t>x</m:t>
        </m:r>
      </m:oMath>
      <w:r w:rsidRPr="006D795B">
        <w:rPr>
          <w:rFonts w:eastAsiaTheme="minorEastAsia"/>
        </w:rPr>
        <w:t xml:space="preserve"> were applied to contacts of those under 70 years old and </w:t>
      </w:r>
      <w:r w:rsidRPr="006D795B">
        <w:rPr>
          <w:rFonts w:eastAsiaTheme="minorEastAsia"/>
        </w:rPr>
        <w:lastRenderedPageBreak/>
        <w:t>optimised to achieve mitigation whilst reduction in contacts in those over 70 years old were fixed to 60%.</w:t>
      </w:r>
      <w:r>
        <w:rPr>
          <w:rFonts w:eastAsiaTheme="minorEastAsia"/>
        </w:rPr>
        <w:t xml:space="preserve"> </w:t>
      </w:r>
    </w:p>
    <w:p w14:paraId="0F2C877B" w14:textId="77777777" w:rsidR="002D2830" w:rsidRDefault="002D2830" w:rsidP="002D2830">
      <w:pPr>
        <w:rPr>
          <w:color w:val="000000"/>
        </w:rPr>
      </w:pPr>
      <w:r w:rsidRPr="00B1164B">
        <w:rPr>
          <w:color w:val="000000"/>
        </w:rPr>
        <w:t>To illustrate this concept</w:t>
      </w:r>
      <w:r>
        <w:rPr>
          <w:color w:val="000000"/>
        </w:rPr>
        <w:t xml:space="preserve">, Figure S1 shows the course of the epidemic under </w:t>
      </w:r>
      <w:r w:rsidRPr="00B1164B">
        <w:rPr>
          <w:color w:val="000000"/>
        </w:rPr>
        <w:t xml:space="preserve">three levels of reduction in transmission </w:t>
      </w:r>
      <w:r>
        <w:rPr>
          <w:color w:val="000000"/>
        </w:rPr>
        <w:t xml:space="preserve">- </w:t>
      </w:r>
      <w:r w:rsidRPr="00B1164B">
        <w:rPr>
          <w:color w:val="000000"/>
        </w:rPr>
        <w:t>20%, 45% (“optimal mitigation”) and 60%. The optimal mitigation scenario</w:t>
      </w:r>
      <w:r>
        <w:rPr>
          <w:color w:val="000000"/>
        </w:rPr>
        <w:t xml:space="preserve"> (45%)</w:t>
      </w:r>
      <w:r w:rsidRPr="00B1164B">
        <w:rPr>
          <w:color w:val="000000"/>
        </w:rPr>
        <w:t xml:space="preserve"> is clearly better than the lower reduction in transmission </w:t>
      </w:r>
      <w:r>
        <w:rPr>
          <w:color w:val="000000"/>
        </w:rPr>
        <w:t xml:space="preserve">(20%) </w:t>
      </w:r>
      <w:r w:rsidRPr="00B1164B">
        <w:rPr>
          <w:color w:val="000000"/>
        </w:rPr>
        <w:t xml:space="preserve">as the peak of the epidemic is flattened. The 60% reduction scenario, whilst also generating an apparent </w:t>
      </w:r>
      <w:r>
        <w:rPr>
          <w:color w:val="000000"/>
        </w:rPr>
        <w:t xml:space="preserve">smaller </w:t>
      </w:r>
      <w:r w:rsidRPr="00B1164B">
        <w:rPr>
          <w:color w:val="000000"/>
        </w:rPr>
        <w:t>single-peaked epidemic due to reaching herd immunity whilst at the level under control (R</w:t>
      </w:r>
      <w:r w:rsidRPr="00B4714F">
        <w:rPr>
          <w:color w:val="000000"/>
          <w:vertAlign w:val="subscript"/>
        </w:rPr>
        <w:t>t</w:t>
      </w:r>
      <w:r w:rsidRPr="00B1164B">
        <w:rPr>
          <w:color w:val="000000"/>
        </w:rPr>
        <w:t>=0.4R</w:t>
      </w:r>
      <w:r w:rsidRPr="00B4714F">
        <w:rPr>
          <w:color w:val="000000"/>
          <w:vertAlign w:val="subscript"/>
        </w:rPr>
        <w:t>0</w:t>
      </w:r>
      <w:r w:rsidRPr="00B1164B">
        <w:rPr>
          <w:color w:val="000000"/>
        </w:rPr>
        <w:t>=1.2), rebound</w:t>
      </w:r>
      <w:r>
        <w:rPr>
          <w:color w:val="000000"/>
        </w:rPr>
        <w:t>s</w:t>
      </w:r>
      <w:r w:rsidRPr="00B1164B">
        <w:rPr>
          <w:color w:val="000000"/>
        </w:rPr>
        <w:t xml:space="preserve"> once interventions are lifted because the level of herd immunity required at the original R</w:t>
      </w:r>
      <w:r w:rsidRPr="00B4714F">
        <w:rPr>
          <w:color w:val="000000"/>
          <w:vertAlign w:val="subscript"/>
        </w:rPr>
        <w:t>0</w:t>
      </w:r>
      <w:r w:rsidRPr="00B1164B">
        <w:rPr>
          <w:color w:val="000000"/>
        </w:rPr>
        <w:t xml:space="preserve"> has not been achieved. Mathematically this optimal mitigation scenario is therefore the one that minimises the area under the curve (i.e. total deaths) under the assumption that suppression is not continued indefinitely. </w:t>
      </w:r>
    </w:p>
    <w:p w14:paraId="3A5633C1" w14:textId="77777777" w:rsidR="002D2830" w:rsidRDefault="002D2830" w:rsidP="002D2830">
      <w:pPr>
        <w:spacing w:line="259" w:lineRule="auto"/>
        <w:jc w:val="left"/>
      </w:pPr>
    </w:p>
    <w:p w14:paraId="180C4430" w14:textId="77777777" w:rsidR="002D2830" w:rsidRDefault="002D2830" w:rsidP="002D2830">
      <w:pPr>
        <w:spacing w:line="259" w:lineRule="auto"/>
        <w:jc w:val="left"/>
      </w:pPr>
      <w:r>
        <w:rPr>
          <w:noProof/>
          <w:lang w:eastAsia="en-GB"/>
        </w:rPr>
        <w:drawing>
          <wp:inline distT="0" distB="0" distL="0" distR="0" wp14:anchorId="03F1E5B9" wp14:editId="720693A4">
            <wp:extent cx="5731510" cy="4093845"/>
            <wp:effectExtent l="0" t="0" r="2540" b="190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timal_mitigation_example.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093845"/>
                    </a:xfrm>
                    <a:prstGeom prst="rect">
                      <a:avLst/>
                    </a:prstGeom>
                  </pic:spPr>
                </pic:pic>
              </a:graphicData>
            </a:graphic>
          </wp:inline>
        </w:drawing>
      </w:r>
    </w:p>
    <w:p w14:paraId="29A0AD72" w14:textId="4451E199" w:rsidR="002D2830" w:rsidRPr="005E545E" w:rsidRDefault="002D2830" w:rsidP="002D2830">
      <w:pPr>
        <w:rPr>
          <w:i/>
          <w:iCs/>
          <w:color w:val="000000"/>
        </w:rPr>
      </w:pPr>
      <w:r w:rsidRPr="00457DD7">
        <w:rPr>
          <w:b/>
          <w:bCs/>
          <w:i/>
          <w:iCs/>
          <w:color w:val="000000"/>
        </w:rPr>
        <w:t>Figure S1: Example of an epidemic under three different mitigation scenarios</w:t>
      </w:r>
      <w:r w:rsidR="005E545E">
        <w:rPr>
          <w:b/>
          <w:bCs/>
          <w:i/>
          <w:iCs/>
          <w:color w:val="000000"/>
        </w:rPr>
        <w:t xml:space="preserve">. </w:t>
      </w:r>
      <w:r w:rsidR="005E545E" w:rsidRPr="005E545E">
        <w:rPr>
          <w:i/>
          <w:iCs/>
          <w:color w:val="000000"/>
        </w:rPr>
        <w:t xml:space="preserve">Scenarios show reductions in </w:t>
      </w:r>
      <w:r w:rsidRPr="005E545E">
        <w:rPr>
          <w:i/>
          <w:iCs/>
          <w:color w:val="000000"/>
        </w:rPr>
        <w:t xml:space="preserve">transmission </w:t>
      </w:r>
      <w:r w:rsidR="005E545E" w:rsidRPr="005E545E">
        <w:rPr>
          <w:i/>
          <w:iCs/>
          <w:color w:val="000000"/>
        </w:rPr>
        <w:t>of</w:t>
      </w:r>
      <w:r w:rsidRPr="005E545E">
        <w:rPr>
          <w:i/>
          <w:iCs/>
          <w:color w:val="000000"/>
        </w:rPr>
        <w:t xml:space="preserve"> 20%, 45% (optimal mitigation) and 60%. The optimal mitigation scenario minimises the total area under the curve under the assumption that suppression is not continued indefinitely. </w:t>
      </w:r>
    </w:p>
    <w:p w14:paraId="142AB73F" w14:textId="77777777" w:rsidR="002D2830" w:rsidRPr="00813869" w:rsidRDefault="002D2830" w:rsidP="002D2830">
      <w:pPr>
        <w:pStyle w:val="Heading3"/>
      </w:pPr>
      <w:r>
        <w:t>SEIR Model</w:t>
      </w:r>
    </w:p>
    <w:p w14:paraId="45C4B4A4" w14:textId="0644716B" w:rsidR="002D2830" w:rsidRDefault="002D2830" w:rsidP="002D2830">
      <w:r w:rsidRPr="00813869">
        <w:t xml:space="preserve">To </w:t>
      </w:r>
      <w:r>
        <w:t>model</w:t>
      </w:r>
      <w:r w:rsidRPr="00813869">
        <w:t xml:space="preserve"> the dynamics of </w:t>
      </w:r>
      <w:r>
        <w:t>the epidemic and its demand on</w:t>
      </w:r>
      <w:r w:rsidRPr="00813869">
        <w:t xml:space="preserve"> healthcare over time we used a</w:t>
      </w:r>
      <w:r>
        <w:t>n</w:t>
      </w:r>
      <w:r w:rsidRPr="00813869">
        <w:t xml:space="preserve"> age-structured stochastic Susceptible-Exposed-Infected-Recovered (SEIR) model </w:t>
      </w:r>
      <w:r>
        <w:t xml:space="preserve">(available as an R package at </w:t>
      </w:r>
      <w:hyperlink r:id="rId33" w:history="1">
        <w:r>
          <w:rPr>
            <w:rStyle w:val="Hyperlink"/>
          </w:rPr>
          <w:t>https://github.com/mrc-ide/squire</w:t>
        </w:r>
      </w:hyperlink>
      <w:r w:rsidR="00A75D8F">
        <w:t xml:space="preserve">, </w:t>
      </w:r>
      <w:r w:rsidR="00E074AE">
        <w:t>V</w:t>
      </w:r>
      <w:r w:rsidR="00F86632">
        <w:t xml:space="preserve">ersion </w:t>
      </w:r>
      <w:r w:rsidR="00E074AE">
        <w:t>0.4.14)</w:t>
      </w:r>
      <w:r>
        <w:t xml:space="preserve"> </w:t>
      </w:r>
      <w:r w:rsidRPr="00813869">
        <w:t xml:space="preserve">parameterised to match best estimates of key parameters determining the dynamics of spread of </w:t>
      </w:r>
      <w:r>
        <w:t>SARS-CoV-2</w:t>
      </w:r>
      <w:r w:rsidRPr="00813869">
        <w:t xml:space="preserve">. </w:t>
      </w:r>
      <w:r>
        <w:t xml:space="preserve">This model structure is relatively simple as it assumes homogeneous mixing within settings other than the stratification by </w:t>
      </w:r>
      <w:r>
        <w:lastRenderedPageBreak/>
        <w:t xml:space="preserve">age. However, as noted above for the final size epidemic calculation, it produces a similar outputs although with a  more tightly peaked epidemic curve.  </w:t>
      </w:r>
    </w:p>
    <w:p w14:paraId="2652DFBB" w14:textId="77777777" w:rsidR="002D2830" w:rsidRDefault="002D2830" w:rsidP="002D2830">
      <w:r>
        <w:rPr>
          <w:noProof/>
          <w:lang w:eastAsia="en-GB"/>
        </w:rPr>
        <w:drawing>
          <wp:inline distT="0" distB="0" distL="0" distR="0" wp14:anchorId="015AE594" wp14:editId="172620EE">
            <wp:extent cx="5731510" cy="30035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003550"/>
                    </a:xfrm>
                    <a:prstGeom prst="rect">
                      <a:avLst/>
                    </a:prstGeom>
                  </pic:spPr>
                </pic:pic>
              </a:graphicData>
            </a:graphic>
          </wp:inline>
        </w:drawing>
      </w:r>
    </w:p>
    <w:p w14:paraId="545DCED7" w14:textId="77777777" w:rsidR="002D2830" w:rsidRPr="00CA1B50" w:rsidRDefault="002D2830" w:rsidP="002D2830">
      <w:pPr>
        <w:rPr>
          <w:i/>
          <w:iCs/>
        </w:rPr>
      </w:pPr>
      <w:r w:rsidRPr="006D795B">
        <w:rPr>
          <w:b/>
          <w:bCs/>
          <w:i/>
          <w:iCs/>
        </w:rPr>
        <w:t xml:space="preserve">Figure </w:t>
      </w:r>
      <w:r>
        <w:rPr>
          <w:b/>
          <w:bCs/>
          <w:i/>
          <w:iCs/>
        </w:rPr>
        <w:t>S2</w:t>
      </w:r>
      <w:r w:rsidRPr="007C0398">
        <w:rPr>
          <w:b/>
          <w:bCs/>
          <w:i/>
          <w:iCs/>
        </w:rPr>
        <w:t xml:space="preserve">: An age-structured SEIR model of </w:t>
      </w:r>
      <w:r>
        <w:rPr>
          <w:b/>
          <w:bCs/>
          <w:i/>
          <w:iCs/>
        </w:rPr>
        <w:t>SARS-CoV-2</w:t>
      </w:r>
      <w:r w:rsidRPr="007C0398">
        <w:rPr>
          <w:b/>
          <w:bCs/>
          <w:i/>
          <w:iCs/>
        </w:rPr>
        <w:t xml:space="preserve"> transmission, explicitly incorporating disease severity and passage through different healthcare</w:t>
      </w:r>
      <w:r>
        <w:rPr>
          <w:b/>
          <w:bCs/>
          <w:i/>
          <w:iCs/>
        </w:rPr>
        <w:t xml:space="preserve"> levels</w:t>
      </w:r>
      <w:r w:rsidRPr="00CA1B50">
        <w:rPr>
          <w:b/>
          <w:bCs/>
          <w:i/>
          <w:iCs/>
        </w:rPr>
        <w:t xml:space="preserve">. </w:t>
      </w:r>
      <w:r w:rsidRPr="00CA1B50">
        <w:rPr>
          <w:i/>
          <w:iCs/>
        </w:rPr>
        <w:t xml:space="preserve">In the above schematic, </w:t>
      </w:r>
      <m:oMath>
        <m:r>
          <w:rPr>
            <w:rFonts w:ascii="Cambria Math" w:hAnsi="Cambria Math"/>
          </w:rPr>
          <m:t>S</m:t>
        </m:r>
      </m:oMath>
      <w:r w:rsidRPr="00CA1B50">
        <w:rPr>
          <w:i/>
          <w:iCs/>
        </w:rPr>
        <w:t xml:space="preserve"> = Susceptibles, </w:t>
      </w:r>
      <m:oMath>
        <m:r>
          <w:rPr>
            <w:rFonts w:ascii="Cambria Math" w:hAnsi="Cambria Math"/>
          </w:rPr>
          <m:t>E</m:t>
        </m:r>
      </m:oMath>
      <w:r w:rsidRPr="00CA1B50">
        <w:rPr>
          <w:i/>
          <w:iCs/>
        </w:rPr>
        <w:t xml:space="preserve"> = Exposed (Latent Infection),</w:t>
      </w:r>
      <m:oMath>
        <m:r>
          <w:rPr>
            <w:rFonts w:ascii="Cambria Math" w:hAnsi="Cambria Math"/>
          </w:rPr>
          <m:t xml:space="preserve"> </m:t>
        </m:r>
        <m:sSub>
          <m:sSubPr>
            <m:ctrlPr>
              <w:rPr>
                <w:rFonts w:ascii="Cambria Math" w:hAnsi="Cambria Math"/>
                <w:i/>
                <w:iCs/>
              </w:rPr>
            </m:ctrlPr>
          </m:sSubPr>
          <m:e>
            <m:r>
              <w:rPr>
                <w:rFonts w:ascii="Cambria Math" w:hAnsi="Cambria Math"/>
              </w:rPr>
              <m:t>I</m:t>
            </m:r>
          </m:e>
          <m:sub>
            <m:r>
              <w:rPr>
                <w:rFonts w:ascii="Cambria Math" w:hAnsi="Cambria Math"/>
                <w:vertAlign w:val="subscript"/>
              </w:rPr>
              <m:t>Mild</m:t>
            </m:r>
          </m:sub>
        </m:sSub>
      </m:oMath>
      <w:r w:rsidRPr="00CA1B50">
        <w:rPr>
          <w:i/>
          <w:iCs/>
        </w:rPr>
        <w:t xml:space="preserve"> = Mild Infections (not requiring hospitalisation), </w:t>
      </w:r>
      <m:oMath>
        <m:sSub>
          <m:sSubPr>
            <m:ctrlPr>
              <w:rPr>
                <w:rFonts w:ascii="Cambria Math" w:hAnsi="Cambria Math"/>
                <w:i/>
                <w:iCs/>
              </w:rPr>
            </m:ctrlPr>
          </m:sSubPr>
          <m:e>
            <m:r>
              <w:rPr>
                <w:rFonts w:ascii="Cambria Math" w:hAnsi="Cambria Math"/>
              </w:rPr>
              <m:t>I</m:t>
            </m:r>
          </m:e>
          <m:sub>
            <m:r>
              <w:rPr>
                <w:rFonts w:ascii="Cambria Math" w:hAnsi="Cambria Math"/>
              </w:rPr>
              <m:t>Case</m:t>
            </m:r>
          </m:sub>
        </m:sSub>
      </m:oMath>
      <w:r w:rsidRPr="00CA1B50">
        <w:rPr>
          <w:i/>
          <w:iCs/>
        </w:rPr>
        <w:t xml:space="preserve"> = Infections Requiring Hospitalisation (but not yet hospitalised),</w:t>
      </w:r>
      <m:oMath>
        <m:r>
          <w:rPr>
            <w:rFonts w:ascii="Cambria Math" w:hAnsi="Cambria Math"/>
          </w:rPr>
          <m:t xml:space="preserve"> </m:t>
        </m:r>
        <m:sSub>
          <m:sSubPr>
            <m:ctrlPr>
              <w:rPr>
                <w:rFonts w:ascii="Cambria Math" w:hAnsi="Cambria Math"/>
                <w:i/>
                <w:iCs/>
              </w:rPr>
            </m:ctrlPr>
          </m:sSubPr>
          <m:e>
            <m:r>
              <w:rPr>
                <w:rFonts w:ascii="Cambria Math" w:hAnsi="Cambria Math"/>
              </w:rPr>
              <m:t>I</m:t>
            </m:r>
          </m:e>
          <m:sub>
            <m:r>
              <w:rPr>
                <w:rFonts w:ascii="Cambria Math" w:hAnsi="Cambria Math"/>
              </w:rPr>
              <m:t>Hospital</m:t>
            </m:r>
          </m:sub>
        </m:sSub>
      </m:oMath>
      <w:r w:rsidRPr="00CA1B50">
        <w:rPr>
          <w:i/>
          <w:iCs/>
        </w:rPr>
        <w:t xml:space="preserve"> = Hos</w:t>
      </w:r>
      <w:r>
        <w:rPr>
          <w:i/>
          <w:iCs/>
        </w:rPr>
        <w:t>p</w:t>
      </w:r>
      <w:r w:rsidRPr="00CA1B50">
        <w:rPr>
          <w:i/>
          <w:iCs/>
        </w:rPr>
        <w:t xml:space="preserve">italised Infections (requiring a general hospital bed), </w:t>
      </w:r>
      <m:oMath>
        <m:sSub>
          <m:sSubPr>
            <m:ctrlPr>
              <w:rPr>
                <w:rFonts w:ascii="Cambria Math" w:hAnsi="Cambria Math"/>
                <w:i/>
                <w:iCs/>
              </w:rPr>
            </m:ctrlPr>
          </m:sSubPr>
          <m:e>
            <m:r>
              <w:rPr>
                <w:rFonts w:ascii="Cambria Math" w:hAnsi="Cambria Math"/>
              </w:rPr>
              <m:t>I</m:t>
            </m:r>
          </m:e>
          <m:sub>
            <m:r>
              <w:rPr>
                <w:rFonts w:ascii="Cambria Math" w:hAnsi="Cambria Math"/>
              </w:rPr>
              <m:t>ICU</m:t>
            </m:r>
          </m:sub>
        </m:sSub>
      </m:oMath>
      <w:r w:rsidRPr="00CA1B50">
        <w:rPr>
          <w:i/>
          <w:iCs/>
        </w:rPr>
        <w:t>= Hospitali</w:t>
      </w:r>
      <w:r>
        <w:rPr>
          <w:i/>
          <w:iCs/>
        </w:rPr>
        <w:t>s</w:t>
      </w:r>
      <w:r w:rsidRPr="00CA1B50">
        <w:rPr>
          <w:i/>
          <w:iCs/>
        </w:rPr>
        <w:t xml:space="preserve">ed Infections (requiring an ICU bed), </w:t>
      </w:r>
      <m:oMath>
        <m:sSub>
          <m:sSubPr>
            <m:ctrlPr>
              <w:rPr>
                <w:rFonts w:ascii="Cambria Math" w:hAnsi="Cambria Math"/>
                <w:i/>
                <w:iCs/>
              </w:rPr>
            </m:ctrlPr>
          </m:sSubPr>
          <m:e>
            <m:r>
              <w:rPr>
                <w:rFonts w:ascii="Cambria Math" w:hAnsi="Cambria Math"/>
              </w:rPr>
              <m:t>I</m:t>
            </m:r>
          </m:e>
          <m:sub>
            <m:r>
              <w:rPr>
                <w:rFonts w:ascii="Cambria Math" w:hAnsi="Cambria Math"/>
              </w:rPr>
              <m:t>Rec</m:t>
            </m:r>
          </m:sub>
        </m:sSub>
      </m:oMath>
      <w:r w:rsidRPr="00CA1B50">
        <w:rPr>
          <w:i/>
          <w:iCs/>
        </w:rPr>
        <w:t xml:space="preserve"> = Hospitalised Infections (requiring a general hospital bed after recovering from ICU stay), </w:t>
      </w:r>
      <m:oMath>
        <m:r>
          <w:rPr>
            <w:rFonts w:ascii="Cambria Math" w:hAnsi="Cambria Math"/>
          </w:rPr>
          <m:t>R</m:t>
        </m:r>
      </m:oMath>
      <w:r w:rsidRPr="00CA1B50">
        <w:rPr>
          <w:i/>
          <w:iCs/>
        </w:rPr>
        <w:t xml:space="preserve"> = Recovered and </w:t>
      </w:r>
      <m:oMath>
        <m:r>
          <w:rPr>
            <w:rFonts w:ascii="Cambria Math" w:hAnsi="Cambria Math"/>
          </w:rPr>
          <m:t>D</m:t>
        </m:r>
      </m:oMath>
      <w:r w:rsidRPr="00CA1B50">
        <w:rPr>
          <w:i/>
          <w:iCs/>
        </w:rPr>
        <w:t xml:space="preserve"> = Dead. Pale blue box indicates compartments related to hospitalisation and occupation of a general hospital bed, pale red box indicates compartments related to hospitalisation and that occupy an ICU hospital bed. </w:t>
      </w:r>
    </w:p>
    <w:p w14:paraId="2DD4FA01" w14:textId="77777777" w:rsidR="002D2830" w:rsidRPr="0002576B" w:rsidRDefault="002D2830" w:rsidP="002D2830">
      <w:r>
        <w:rPr>
          <w:noProof/>
          <w:lang w:eastAsia="en-GB"/>
        </w:rPr>
        <w:drawing>
          <wp:inline distT="0" distB="0" distL="0" distR="0" wp14:anchorId="2CCA0CDA" wp14:editId="5E5BC3A0">
            <wp:extent cx="5731510" cy="28028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802890"/>
                    </a:xfrm>
                    <a:prstGeom prst="rect">
                      <a:avLst/>
                    </a:prstGeom>
                  </pic:spPr>
                </pic:pic>
              </a:graphicData>
            </a:graphic>
          </wp:inline>
        </w:drawing>
      </w:r>
    </w:p>
    <w:p w14:paraId="5E87C16B" w14:textId="77777777" w:rsidR="002D2830" w:rsidRPr="009C4CAE" w:rsidRDefault="002D2830" w:rsidP="002D2830">
      <w:pPr>
        <w:rPr>
          <w:i/>
          <w:iCs/>
        </w:rPr>
      </w:pPr>
      <w:r w:rsidRPr="007C0398">
        <w:rPr>
          <w:b/>
          <w:bCs/>
          <w:i/>
          <w:iCs/>
        </w:rPr>
        <w:t xml:space="preserve">Figure </w:t>
      </w:r>
      <w:r>
        <w:rPr>
          <w:b/>
          <w:bCs/>
          <w:i/>
          <w:iCs/>
        </w:rPr>
        <w:t>S3</w:t>
      </w:r>
      <w:r w:rsidRPr="00D6601C">
        <w:rPr>
          <w:b/>
          <w:bCs/>
          <w:i/>
          <w:iCs/>
        </w:rPr>
        <w:t xml:space="preserve">: The decision tree cascade included to model excess mortality associated with healthcare capacity being exceeded. </w:t>
      </w:r>
      <w:r w:rsidRPr="00D6601C">
        <w:rPr>
          <w:i/>
          <w:iCs/>
        </w:rPr>
        <w:t xml:space="preserve">The modelling framework utilised here explicitly tracks healthcare capacity </w:t>
      </w:r>
      <w:r w:rsidRPr="00D6601C">
        <w:rPr>
          <w:i/>
          <w:iCs/>
        </w:rPr>
        <w:lastRenderedPageBreak/>
        <w:t>and availability. At each timestep, individuals requiring general hospital and ICU beds respectively</w:t>
      </w:r>
      <w:r>
        <w:rPr>
          <w:i/>
          <w:iCs/>
        </w:rPr>
        <w:t xml:space="preserve"> are assigned available beds (independently of age) Those receiving a bed are subject to a lower </w:t>
      </w:r>
      <w:r w:rsidRPr="005940C7">
        <w:rPr>
          <w:i/>
          <w:iCs/>
        </w:rPr>
        <w:t>probabilit</w:t>
      </w:r>
      <w:r>
        <w:rPr>
          <w:i/>
          <w:iCs/>
        </w:rPr>
        <w:t>y</w:t>
      </w:r>
      <w:r w:rsidRPr="005940C7">
        <w:rPr>
          <w:i/>
          <w:iCs/>
        </w:rPr>
        <w:t xml:space="preserve"> of mortality</w:t>
      </w:r>
      <w:r>
        <w:rPr>
          <w:i/>
          <w:iCs/>
        </w:rPr>
        <w:t xml:space="preserve"> than those who do not. Notation to the right hand side of each box describes the compartment in terms of the notation introduced in the details below.</w:t>
      </w:r>
    </w:p>
    <w:p w14:paraId="23E45840" w14:textId="77777777" w:rsidR="006F60B3" w:rsidRDefault="002D2830" w:rsidP="005F4289">
      <w:pPr>
        <w:sectPr w:rsidR="006F60B3" w:rsidSect="00B34D5A">
          <w:footerReference w:type="default" r:id="rId36"/>
          <w:pgSz w:w="11906" w:h="16838"/>
          <w:pgMar w:top="1440" w:right="1440" w:bottom="1440" w:left="1440" w:header="708" w:footer="708" w:gutter="0"/>
          <w:cols w:space="708"/>
          <w:docGrid w:linePitch="360"/>
        </w:sectPr>
      </w:pPr>
      <w:r>
        <w:t>Let S(a) denote the susceptible population in age-group a, E</w:t>
      </w:r>
      <w:r>
        <w:rPr>
          <w:vertAlign w:val="subscript"/>
        </w:rPr>
        <w:t>1</w:t>
      </w:r>
      <w:r>
        <w:t>(a) and E</w:t>
      </w:r>
      <w:r>
        <w:rPr>
          <w:vertAlign w:val="subscript"/>
        </w:rPr>
        <w:t>2</w:t>
      </w:r>
      <w:r>
        <w:t>(a) two sequential latent periods, I</w:t>
      </w:r>
      <w:r>
        <w:rPr>
          <w:vertAlign w:val="subscript"/>
        </w:rPr>
        <w:t>MILD</w:t>
      </w:r>
      <w:r>
        <w:t>(a) infections that are either asymptomatic or symptomatic but do not require hospitalisation, I</w:t>
      </w:r>
      <w:r>
        <w:rPr>
          <w:vertAlign w:val="subscript"/>
        </w:rPr>
        <w:t xml:space="preserve">CASE,0 </w:t>
      </w:r>
      <w:r>
        <w:t>(a) and I</w:t>
      </w:r>
      <w:r>
        <w:rPr>
          <w:vertAlign w:val="subscript"/>
        </w:rPr>
        <w:t xml:space="preserve">CASE,1 </w:t>
      </w:r>
      <w:r>
        <w:t>(a) two sequential states for infections that are symptomatic and will subsequently require hospitalisation. I</w:t>
      </w:r>
      <w:r>
        <w:rPr>
          <w:vertAlign w:val="subscript"/>
        </w:rPr>
        <w:t>HOSPITAl,,0</w:t>
      </w:r>
      <w:r>
        <w:t>(a) and I</w:t>
      </w:r>
      <w:r>
        <w:rPr>
          <w:vertAlign w:val="subscript"/>
        </w:rPr>
        <w:t>HOSPITAL,1</w:t>
      </w:r>
      <w:r>
        <w:t>(a) are two sequential states for infections requiring a general hospital bed. I</w:t>
      </w:r>
      <w:r>
        <w:rPr>
          <w:vertAlign w:val="subscript"/>
        </w:rPr>
        <w:t>ICU,0</w:t>
      </w:r>
      <w:r>
        <w:t>(a) and I</w:t>
      </w:r>
      <w:r>
        <w:rPr>
          <w:vertAlign w:val="subscript"/>
        </w:rPr>
        <w:t>ICU,1</w:t>
      </w:r>
      <w:r>
        <w:t>(a) are two sequential states for infections requiring an ICU bed. I</w:t>
      </w:r>
      <w:r>
        <w:rPr>
          <w:vertAlign w:val="subscript"/>
        </w:rPr>
        <w:t>REC,0</w:t>
      </w:r>
      <w:r>
        <w:t>(a) and I</w:t>
      </w:r>
      <w:r>
        <w:rPr>
          <w:vertAlign w:val="subscript"/>
        </w:rPr>
        <w:t>REC,1</w:t>
      </w:r>
      <w:r>
        <w:t>(a) are two sequential states for hospitalised infections in general beds recovering from ICU whilst R(a) those that have recovered (assumed to be immune to re-infection for the duration of the epidemic and D(a) those that die from the disease in age-group a. We further split I</w:t>
      </w:r>
      <w:r>
        <w:rPr>
          <w:vertAlign w:val="subscript"/>
        </w:rPr>
        <w:t>HOSPITAL,i</w:t>
      </w:r>
      <w:r>
        <w:t>(a) and I</w:t>
      </w:r>
      <w:r>
        <w:rPr>
          <w:vertAlign w:val="subscript"/>
        </w:rPr>
        <w:t>ICU,i</w:t>
      </w:r>
      <w:r>
        <w:t>(a) i=1,2 states to track those that either receive or do not receive their hospital or ICU bed respectively (1, 0 respectively depending on capacity constraints) and through these route either die or recover (0 and 1 respectively)  in order to capture different durations of stay in hospital dependent on outcome (Figure S3). For example, the state tracking those that require a general bed, receive it and go on to die is I</w:t>
      </w:r>
      <w:r>
        <w:rPr>
          <w:vertAlign w:val="subscript"/>
        </w:rPr>
        <w:t>HOSPITAL,i</w:t>
      </w:r>
      <w:r>
        <w:t>(a,1,0) whilst the state tracking those that require a general bed, do not receive it and go on to die is  I</w:t>
      </w:r>
      <w:r>
        <w:rPr>
          <w:vertAlign w:val="subscript"/>
        </w:rPr>
        <w:t>HOSPITAL,i</w:t>
      </w:r>
      <w:r>
        <w:t>(a,0,0). Given the short-term dynamics we do not model births, deaths or aging. The discrete-time stochastic equations are then given by the following equations:</w:t>
      </w:r>
    </w:p>
    <w:p w14:paraId="2FD85432" w14:textId="73617339" w:rsidR="002D2830" w:rsidRDefault="002D2830" w:rsidP="005F4289">
      <w:r>
        <w:lastRenderedPageBreak/>
        <w:tab/>
      </w:r>
      <w:r w:rsidR="006F60B3" w:rsidRPr="008B3E6D">
        <w:rPr>
          <w:position w:val="-14"/>
        </w:rPr>
        <w:object w:dxaOrig="11120" w:dyaOrig="10640" w14:anchorId="2CD8A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532pt" o:ole="">
            <v:imagedata r:id="rId37" o:title=""/>
          </v:shape>
          <o:OLEObject Type="Embed" ProgID="Equation.DSMT4" ShapeID="_x0000_i1025" DrawAspect="Content" ObjectID="_1654001907" r:id="rId38"/>
        </w:object>
      </w:r>
    </w:p>
    <w:p w14:paraId="2FB4C642" w14:textId="77777777" w:rsidR="006F60B3" w:rsidRDefault="006F60B3" w:rsidP="002D2830">
      <w:pPr>
        <w:sectPr w:rsidR="006F60B3" w:rsidSect="006F60B3">
          <w:pgSz w:w="16838" w:h="11906" w:orient="landscape"/>
          <w:pgMar w:top="720" w:right="720" w:bottom="720" w:left="720" w:header="708" w:footer="708" w:gutter="0"/>
          <w:cols w:space="708"/>
          <w:docGrid w:linePitch="360"/>
        </w:sectPr>
      </w:pPr>
    </w:p>
    <w:p w14:paraId="1922C933" w14:textId="0A1A5829" w:rsidR="002D2830" w:rsidRPr="0061725B" w:rsidRDefault="002D2830" w:rsidP="002D2830">
      <w:r>
        <w:lastRenderedPageBreak/>
        <w:t xml:space="preserve">where </w:t>
      </w:r>
      <w:r w:rsidRPr="00E74AF8">
        <w:rPr>
          <w:position w:val="-10"/>
        </w:rPr>
        <w:object w:dxaOrig="760" w:dyaOrig="320" w14:anchorId="0F4C150F">
          <v:shape id="_x0000_i1026" type="#_x0000_t75" style="width:38pt;height:16pt" o:ole="">
            <v:imagedata r:id="rId39" o:title=""/>
          </v:shape>
          <o:OLEObject Type="Embed" ProgID="Equation.DSMT4" ShapeID="_x0000_i1026" DrawAspect="Content" ObjectID="_1654001908" r:id="rId40"/>
        </w:object>
      </w:r>
      <w:r>
        <w:t xml:space="preserve">is the social contact mixing matrix by age and </w:t>
      </w:r>
      <w:r>
        <w:rPr>
          <w:i/>
          <w:iCs/>
        </w:rPr>
        <w:t>t</w:t>
      </w:r>
      <w:r>
        <w:t xml:space="preserve"> denotes time. Here </w:t>
      </w:r>
      <w:r w:rsidRPr="00076D3F">
        <w:rPr>
          <w:position w:val="-10"/>
        </w:rPr>
        <w:object w:dxaOrig="420" w:dyaOrig="320" w14:anchorId="74D0AC3C">
          <v:shape id="_x0000_i1027" type="#_x0000_t75" style="width:21pt;height:16pt" o:ole="">
            <v:imagedata r:id="rId41" o:title=""/>
          </v:shape>
          <o:OLEObject Type="Embed" ProgID="Equation.DSMT4" ShapeID="_x0000_i1027" DrawAspect="Content" ObjectID="_1654001909" r:id="rId42"/>
        </w:object>
      </w:r>
      <w:r>
        <w:t xml:space="preserve"> denotes the Kronecker delta function such that this equals 1 if there is capacity (Hospital or ICU) and zero otherwise.</w:t>
      </w:r>
    </w:p>
    <w:p w14:paraId="668D647E" w14:textId="77777777" w:rsidR="002D2830" w:rsidRDefault="002D2830" w:rsidP="002D2830">
      <w:r>
        <w:t xml:space="preserve">The age-independent parameter symbols, description and values are shown </w:t>
      </w:r>
      <w:r w:rsidRPr="008B30DE">
        <w:t>in Table S1.</w:t>
      </w:r>
      <w:r>
        <w:t xml:space="preserve"> The age-dependent probability of hospitalisations </w:t>
      </w:r>
      <w:r w:rsidRPr="00CA6F6E">
        <w:rPr>
          <w:position w:val="-10"/>
        </w:rPr>
        <w:object w:dxaOrig="499" w:dyaOrig="320" w14:anchorId="046C82CF">
          <v:shape id="_x0000_i1028" type="#_x0000_t75" style="width:24.5pt;height:16pt" o:ole="">
            <v:imagedata r:id="rId43" o:title=""/>
          </v:shape>
          <o:OLEObject Type="Embed" ProgID="Equation.DSMT4" ShapeID="_x0000_i1028" DrawAspect="Content" ObjectID="_1654001910" r:id="rId44"/>
        </w:object>
      </w:r>
      <w:r>
        <w:t xml:space="preserve"> and probability of dying </w:t>
      </w:r>
      <w:r w:rsidRPr="00DD3E1C">
        <w:rPr>
          <w:position w:val="-10"/>
        </w:rPr>
        <w:object w:dxaOrig="540" w:dyaOrig="320" w14:anchorId="51E2E496">
          <v:shape id="_x0000_i1029" type="#_x0000_t75" style="width:27pt;height:16pt" o:ole="">
            <v:imagedata r:id="rId45" o:title=""/>
          </v:shape>
          <o:OLEObject Type="Embed" ProgID="Equation.DSMT4" ShapeID="_x0000_i1029" DrawAspect="Content" ObjectID="_1654001911" r:id="rId46"/>
        </w:object>
      </w:r>
      <w:r>
        <w:t xml:space="preserve"> are described in subsequent sections. </w:t>
      </w:r>
    </w:p>
    <w:p w14:paraId="34BCACBA" w14:textId="77777777" w:rsidR="002D2830" w:rsidRPr="008B30DE" w:rsidRDefault="002D2830" w:rsidP="002D2830">
      <w:pPr>
        <w:rPr>
          <w:b/>
          <w:bCs/>
          <w:i/>
          <w:iCs/>
        </w:rPr>
      </w:pPr>
      <w:r w:rsidRPr="008B30DE">
        <w:rPr>
          <w:b/>
          <w:bCs/>
          <w:i/>
          <w:iCs/>
        </w:rPr>
        <w:t xml:space="preserve">Table S1: Parameter descriptions and values. </w:t>
      </w:r>
    </w:p>
    <w:tbl>
      <w:tblPr>
        <w:tblStyle w:val="TableGrid"/>
        <w:tblW w:w="0" w:type="auto"/>
        <w:tblLook w:val="04A0" w:firstRow="1" w:lastRow="0" w:firstColumn="1" w:lastColumn="0" w:noHBand="0" w:noVBand="1"/>
      </w:tblPr>
      <w:tblGrid>
        <w:gridCol w:w="1836"/>
        <w:gridCol w:w="941"/>
        <w:gridCol w:w="2895"/>
        <w:gridCol w:w="3344"/>
      </w:tblGrid>
      <w:tr w:rsidR="002D2830" w14:paraId="5EDBA9CC" w14:textId="77777777" w:rsidTr="00AB5852">
        <w:tc>
          <w:tcPr>
            <w:tcW w:w="1836" w:type="dxa"/>
          </w:tcPr>
          <w:p w14:paraId="453B28E5" w14:textId="77777777" w:rsidR="002D2830" w:rsidRPr="00A20119" w:rsidRDefault="002D2830" w:rsidP="00AB5852">
            <w:pPr>
              <w:spacing w:line="240" w:lineRule="auto"/>
              <w:rPr>
                <w:b/>
                <w:bCs/>
              </w:rPr>
            </w:pPr>
            <w:r w:rsidRPr="00A20119">
              <w:rPr>
                <w:b/>
                <w:bCs/>
              </w:rPr>
              <w:t xml:space="preserve">Parameter </w:t>
            </w:r>
          </w:p>
        </w:tc>
        <w:tc>
          <w:tcPr>
            <w:tcW w:w="941" w:type="dxa"/>
          </w:tcPr>
          <w:p w14:paraId="099CC46B" w14:textId="77777777" w:rsidR="002D2830" w:rsidRPr="00A20119" w:rsidRDefault="002D2830" w:rsidP="00AB5852">
            <w:pPr>
              <w:spacing w:line="240" w:lineRule="auto"/>
              <w:rPr>
                <w:b/>
                <w:bCs/>
              </w:rPr>
            </w:pPr>
            <w:r w:rsidRPr="00A20119">
              <w:rPr>
                <w:b/>
                <w:bCs/>
              </w:rPr>
              <w:t>Symbol</w:t>
            </w:r>
          </w:p>
        </w:tc>
        <w:tc>
          <w:tcPr>
            <w:tcW w:w="2895" w:type="dxa"/>
          </w:tcPr>
          <w:p w14:paraId="5E27ED93" w14:textId="77777777" w:rsidR="002D2830" w:rsidRPr="00A20119" w:rsidRDefault="002D2830" w:rsidP="00AB5852">
            <w:pPr>
              <w:spacing w:line="240" w:lineRule="auto"/>
              <w:rPr>
                <w:b/>
                <w:bCs/>
              </w:rPr>
            </w:pPr>
            <w:r w:rsidRPr="00A20119">
              <w:rPr>
                <w:b/>
                <w:bCs/>
              </w:rPr>
              <w:t>Value</w:t>
            </w:r>
          </w:p>
        </w:tc>
        <w:tc>
          <w:tcPr>
            <w:tcW w:w="3344" w:type="dxa"/>
          </w:tcPr>
          <w:p w14:paraId="3CD1FCCA" w14:textId="77777777" w:rsidR="002D2830" w:rsidRPr="00A20119" w:rsidRDefault="002D2830" w:rsidP="00AB5852">
            <w:pPr>
              <w:spacing w:line="240" w:lineRule="auto"/>
              <w:rPr>
                <w:b/>
                <w:bCs/>
              </w:rPr>
            </w:pPr>
            <w:r w:rsidRPr="00A20119">
              <w:rPr>
                <w:b/>
                <w:bCs/>
              </w:rPr>
              <w:t>Description</w:t>
            </w:r>
          </w:p>
        </w:tc>
      </w:tr>
      <w:tr w:rsidR="002D2830" w14:paraId="7A9E5D8C" w14:textId="77777777" w:rsidTr="00AB5852">
        <w:tc>
          <w:tcPr>
            <w:tcW w:w="1836" w:type="dxa"/>
          </w:tcPr>
          <w:p w14:paraId="2C0DDDD6" w14:textId="77777777" w:rsidR="002D2830" w:rsidRDefault="002D2830" w:rsidP="00AB5852">
            <w:pPr>
              <w:spacing w:line="240" w:lineRule="auto"/>
            </w:pPr>
            <w:r>
              <w:t>Transmission parameter</w:t>
            </w:r>
          </w:p>
        </w:tc>
        <w:tc>
          <w:tcPr>
            <w:tcW w:w="941" w:type="dxa"/>
          </w:tcPr>
          <w:p w14:paraId="2B0435B5" w14:textId="77777777" w:rsidR="002D2830" w:rsidRDefault="002D2830" w:rsidP="00AB5852">
            <w:pPr>
              <w:spacing w:line="240" w:lineRule="auto"/>
            </w:pPr>
            <w:r w:rsidRPr="002613CF">
              <w:rPr>
                <w:position w:val="-10"/>
              </w:rPr>
              <w:object w:dxaOrig="240" w:dyaOrig="320" w14:anchorId="086840D6">
                <v:shape id="_x0000_i1030" type="#_x0000_t75" style="width:12pt;height:16pt" o:ole="">
                  <v:imagedata r:id="rId47" o:title=""/>
                </v:shape>
                <o:OLEObject Type="Embed" ProgID="Equation.DSMT4" ShapeID="_x0000_i1030" DrawAspect="Content" ObjectID="_1654001912" r:id="rId48"/>
              </w:object>
            </w:r>
            <w:r>
              <w:t xml:space="preserve"> </w:t>
            </w:r>
          </w:p>
        </w:tc>
        <w:tc>
          <w:tcPr>
            <w:tcW w:w="2895" w:type="dxa"/>
          </w:tcPr>
          <w:p w14:paraId="5B8D27DC" w14:textId="77777777" w:rsidR="002D2830" w:rsidRDefault="002D2830" w:rsidP="00AB5852">
            <w:pPr>
              <w:spacing w:line="240" w:lineRule="auto"/>
            </w:pPr>
            <w:r>
              <w:t>-</w:t>
            </w:r>
          </w:p>
        </w:tc>
        <w:tc>
          <w:tcPr>
            <w:tcW w:w="3344" w:type="dxa"/>
          </w:tcPr>
          <w:p w14:paraId="513F0B39" w14:textId="77777777" w:rsidR="002D2830" w:rsidRDefault="002D2830" w:rsidP="00AB5852">
            <w:pPr>
              <w:spacing w:line="240" w:lineRule="auto"/>
            </w:pPr>
            <w:r>
              <w:t>Calculated from R</w:t>
            </w:r>
            <w:r>
              <w:rPr>
                <w:vertAlign w:val="subscript"/>
              </w:rPr>
              <w:t>0</w:t>
            </w:r>
            <w:r>
              <w:t xml:space="preserve"> </w:t>
            </w:r>
          </w:p>
        </w:tc>
      </w:tr>
      <w:tr w:rsidR="002D2830" w14:paraId="4EE4A581" w14:textId="77777777" w:rsidTr="00AB5852">
        <w:tc>
          <w:tcPr>
            <w:tcW w:w="1836" w:type="dxa"/>
          </w:tcPr>
          <w:p w14:paraId="2877CDE1" w14:textId="77777777" w:rsidR="002D2830" w:rsidRDefault="002D2830" w:rsidP="00AB5852">
            <w:pPr>
              <w:spacing w:line="240" w:lineRule="auto"/>
            </w:pPr>
            <w:r>
              <w:t>Basic reproduction number</w:t>
            </w:r>
          </w:p>
        </w:tc>
        <w:tc>
          <w:tcPr>
            <w:tcW w:w="941" w:type="dxa"/>
          </w:tcPr>
          <w:p w14:paraId="1721FAB2" w14:textId="77777777" w:rsidR="002D2830" w:rsidRDefault="002D2830" w:rsidP="00AB5852">
            <w:pPr>
              <w:spacing w:line="240" w:lineRule="auto"/>
            </w:pPr>
            <w:r>
              <w:t>R</w:t>
            </w:r>
            <w:r>
              <w:rPr>
                <w:vertAlign w:val="subscript"/>
              </w:rPr>
              <w:t>0</w:t>
            </w:r>
          </w:p>
        </w:tc>
        <w:tc>
          <w:tcPr>
            <w:tcW w:w="2895" w:type="dxa"/>
          </w:tcPr>
          <w:p w14:paraId="0D9B3CDC" w14:textId="79EEE534" w:rsidR="002D2830" w:rsidRDefault="002D2830" w:rsidP="00AB5852">
            <w:pPr>
              <w:spacing w:line="240" w:lineRule="auto"/>
            </w:pPr>
            <w:r>
              <w:t>3.0</w:t>
            </w:r>
            <w:r w:rsidR="00470D8F">
              <w:t xml:space="preserve"> (2.3, 3.5)</w:t>
            </w:r>
          </w:p>
        </w:tc>
        <w:tc>
          <w:tcPr>
            <w:tcW w:w="3344" w:type="dxa"/>
          </w:tcPr>
          <w:p w14:paraId="177A6E42" w14:textId="23F22A93" w:rsidR="002D2830" w:rsidRDefault="002D2830" w:rsidP="00AB5852">
            <w:pPr>
              <w:spacing w:line="240" w:lineRule="auto"/>
            </w:pPr>
            <w:r>
              <w:t xml:space="preserve">Estimated from European data </w:t>
            </w:r>
            <w:r>
              <w:fldChar w:fldCharType="begin" w:fldLock="1"/>
            </w:r>
            <w:r w:rsidR="00FB0C07">
              <w:instrText>ADDIN CSL_CITATION {"citationItems":[{"id":"ITEM-1","itemData":{"DOI":"https://doi.org/10.25561/77731","abstract":"Following the emergence of a novel coronavirus (SARS-CoV-2) and its spread outside of China, Europe is now experiencing large epidemics. In response, many European countries have implemented unprecedented non-pharmaceutical interventions including case isolation, the closure of schools and universities, banning of mass gatherings and/or public events, and most recently, widescale social distancing including local and national lockdowns. In this report, we use a semi-mechanistic Bayesian hierarchical model to attempt to infer the impact of these interventions across 11 European countries. Our methods assume that changes in the reproductive number-a measure of transmission-are an immediate response to these interventions being implemented rather than broader gradual changes in behaviour. Our model estimates these changes by calculating backwards from the deaths observed over time to estimate transmission that occurred several weeks prior, allowing for the time lag between infection and death.","author":[{"dropping-particle":"","family":"Flaxman","given":"Seth","non-dropping-particle":"","parse-names":false,"suffix":""},{"dropping-particle":"","family":"Mishra","given":"Swapnil","non-dropping-particle":"","parse-names":false,"suffix":""},{"dropping-particle":"","family":"Gandy","given":"Axel","non-dropping-particle":"","parse-names":false,"suffix":""},{"dropping-particle":"","family":"Unwin","given":"Juliette T","non-dropping-particle":"","parse-names":false,"suffix":""},{"dropping-particle":"","family":"Coupland","given":"Helen","non-dropping-particle":"","parse-names":false,"suffix":""},{"dropping-particle":"","family":"Mellan","given":"Thomas A","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W","non-dropping-particle":"","parse-names":false,"suffix":""},{"dropping-particle":"","family":"Guzman","given":"Pablo N P","non-dropping-particle":"","parse-names":false,"suffix":""},{"dropping-particle":"","family":"Schmit","given":"Nora","non-dropping-particle":"","parse-names":false,"suffix":""},{"dropping-particle":"","family":"Cilloni","given":"Lucia","non-dropping-particle":"","parse-names":false,"suffix":""},{"dropping-particle":"","family":"Ainslie","given":"Kylie E C","non-dropping-particle":"","parse-names":false,"suffix":""},{"dropping-particle":"","family":"Baguelin","given":"Marc","non-dropping-particle":"","parse-names":false,"suffix":""},{"dropping-particle":"","family":"Blake","given":"Isobel","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iavarella","given":"Constanze","non-dropping-particle":"","parse-names":false,"suffix":""},{"dropping-particle":"","family":"Cooper","given":"Laur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jaafara","given":"Bimandra","non-dropping-particle":"","parse-names":false,"suffix":""},{"dropping-particle":"","family":"Dorigatti","given":"Ilaria","non-dropping-particle":"","parse-names":false,"suffix":""},{"dropping-particle":"","family":"Elsland","given":"Sabine","non-dropping-particle":"Van","parse-names":false,"suffix":""},{"dropping-particle":"","family":"Fitzjohn","given":"Rich","non-dropping-particle":"","parse-names":false,"suffix":""},{"dropping-particle":"","family":"Fu","given":"Han","non-dropping-particle":"","parse-names":false,"suffix":""},{"dropping-particle":"","family":"Gaythorpe","given":"Katy","non-dropping-particle":"","parse-names":false,"suffix":""},{"dropping-particle":"","family":"Geidelberg","given":"Lily","non-dropping-particle":"","parse-names":false,"suffix":""},{"dropping-particle":"","family":"Grassly","given":"Nicholas","non-dropping-particle":"","parse-names":false,"suffix":""},{"dropping-particle":"","family":"Green","given":"Will","non-dropping-particle":"","parse-names":false,"suffix":""},{"dropping-particle":"","family":"Hallett","given":"Timothy","non-dropping-particle":"","parse-names":false,"suffix":""},{"dropping-particle":"","family":"Hamlet","given":"Arran","non-dropping-particle":"","parse-names":false,"suffix":""},{"dropping-particle":"","family":"Hinsley","given":"Wes","non-dropping-particle":"","parse-names":false,"suffix":""},{"dropping-particle":"","family":"Jeffrey","given":"Ben","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Nedjati-Gilani","given":"Gemma","non-dropping-particle":"","parse-names":false,"suffix":""},{"dropping-particle":"","family":"Nouvellet","given":"Pierre","non-dropping-particle":"","parse-names":false,"suffix":""},{"dropping-particle":"","family":"Parag","given":"Kris","non-dropping-particle":"","parse-names":false,"suffix":""},{"dropping-particle":"","family":"Siveroni","given":"Igor","non-dropping-particle":"","parse-names":false,"suffix":""},{"dropping-particle":"","family":"Thompson","given":"Hayley","non-dropping-particle":"","parse-names":false,"suffix":""},{"dropping-particle":"","family":"Verity","given":"Robert","non-dropping-particle":"","parse-names":false,"suffix":""},{"dropping-particle":"","family":"Volz","given":"Erik","non-dropping-particle":"","parse-names":false,"suffix":""},{"dropping-particle":"","family":"Gt Walker","given":"Patrick","non-dropping-particle":"","parse-names":false,"suffix":""},{"dropping-particle":"","family":"Walters","given":"Caroline","non-dropping-particle":"","parse-names":false,"suffix":""},{"dropping-particle":"","family":"Wang","given":"Haowei","non-dropping-particle":"","parse-names":false,"suffix":""},{"dropping-particle":"","family":"Wang","given":"Yuanrong","non-dropping-particle":"","parse-names":false,"suffix":""},{"dropping-particle":"","family":"Watson","given":"Oliver","non-dropping-particle":"","parse-names":false,"suffix":""},{"dropping-particle":"","family":"Xi","given":"Xiaoyue","non-dropping-particle":"","parse-names":false,"suffix":""},{"dropping-particle":"","family":"Winskill","given":"Peter","non-dropping-particle":"","parse-names":false,"suffix":""},{"dropping-particle":"","family":"Whittaker","given":"Charles","non-dropping-particle":"","parse-names":false,"suffix":""},{"dropping-particle":"","family":"Ghani","given":"Azra","non-dropping-particle":"","parse-names":false,"suffix":""},{"dropping-particle":"","family":"Donnelly","given":"Christl A","non-dropping-particle":"","parse-names":false,"suffix":""},{"dropping-particle":"","family":"Riley","given":"Steven","non-dropping-particle":"","parse-names":false,"suffix":""},{"dropping-particle":"","family":"Okell","given":"Lucy C","non-dropping-particle":"","parse-names":false,"suffix":""},{"dropping-particle":"","family":"Vollmer","given":"Michaela A C","non-dropping-particle":"","parse-names":false,"suffix":""},{"dropping-particle":"","family":"Ferguson","given":"Neil M","non-dropping-particle":"","parse-names":false,"suffix":""},{"dropping-particle":"","family":"Bhatt","given":"Samir","non-dropping-particle":"","parse-names":false,"suffix":""}],"id":"ITEM-1","issued":{"date-parts":[["2020"]]},"title":"Estimating the number of infections and the impact of non-pharmaceutical interventions on COVID-19 in 11 European countries. (Imperial College COVID-19 Response Team)","type":"article-journal"},"uris":["http://www.mendeley.com/documents/?uuid=e43c81aa-7602-363d-9d61-cf4bfceb26f3"]}],"mendeley":{"formattedCitation":"(&lt;i&gt;6&lt;/i&gt;)","plainTextFormattedCitation":"(6)","previouslyFormattedCitation":"(&lt;i&gt;6&lt;/i&gt;)"},"properties":{"noteIndex":0},"schema":"https://github.com/citation-style-language/schema/raw/master/csl-citation.json"}</w:instrText>
            </w:r>
            <w:r>
              <w:fldChar w:fldCharType="separate"/>
            </w:r>
            <w:r w:rsidR="005B4868" w:rsidRPr="005B4868">
              <w:rPr>
                <w:noProof/>
              </w:rPr>
              <w:t>(</w:t>
            </w:r>
            <w:r w:rsidR="005B4868" w:rsidRPr="005B4868">
              <w:rPr>
                <w:i/>
                <w:noProof/>
              </w:rPr>
              <w:t>6</w:t>
            </w:r>
            <w:r w:rsidR="005B4868" w:rsidRPr="005B4868">
              <w:rPr>
                <w:noProof/>
              </w:rPr>
              <w:t>)</w:t>
            </w:r>
            <w:r>
              <w:fldChar w:fldCharType="end"/>
            </w:r>
            <w:r>
              <w:t xml:space="preserve"> consistent with a doubling time of 3</w:t>
            </w:r>
            <w:r w:rsidR="00A56593">
              <w:t>.5</w:t>
            </w:r>
            <w:r>
              <w:t xml:space="preserve"> days</w:t>
            </w:r>
            <w:r w:rsidR="00A56593">
              <w:t xml:space="preserve"> (5 days and 3 days for R</w:t>
            </w:r>
            <w:r w:rsidR="00A56593">
              <w:rPr>
                <w:vertAlign w:val="subscript"/>
              </w:rPr>
              <w:t>0</w:t>
            </w:r>
            <w:r w:rsidR="00A56593">
              <w:t>=</w:t>
            </w:r>
            <w:r w:rsidR="00293658">
              <w:t>2.3 and 3.5 respectively)</w:t>
            </w:r>
          </w:p>
        </w:tc>
      </w:tr>
      <w:tr w:rsidR="002D2830" w14:paraId="1FE5FE5D" w14:textId="77777777" w:rsidTr="00AB5852">
        <w:tc>
          <w:tcPr>
            <w:tcW w:w="1836" w:type="dxa"/>
          </w:tcPr>
          <w:p w14:paraId="34AE234D" w14:textId="77777777" w:rsidR="002D2830" w:rsidRDefault="002D2830" w:rsidP="00AB5852">
            <w:pPr>
              <w:spacing w:line="240" w:lineRule="auto"/>
            </w:pPr>
            <w:r>
              <w:t>Mean Latent Period</w:t>
            </w:r>
          </w:p>
        </w:tc>
        <w:tc>
          <w:tcPr>
            <w:tcW w:w="941" w:type="dxa"/>
          </w:tcPr>
          <w:p w14:paraId="178D07DC" w14:textId="77777777" w:rsidR="002D2830" w:rsidRDefault="002D2830" w:rsidP="00AB5852">
            <w:pPr>
              <w:spacing w:line="240" w:lineRule="auto"/>
            </w:pPr>
            <w:r w:rsidRPr="00DB4F8E">
              <w:rPr>
                <w:position w:val="-4"/>
              </w:rPr>
              <w:object w:dxaOrig="180" w:dyaOrig="279" w14:anchorId="228C0C43">
                <v:shape id="_x0000_i1031" type="#_x0000_t75" style="width:9pt;height:14pt" o:ole="">
                  <v:imagedata r:id="rId49" o:title=""/>
                </v:shape>
                <o:OLEObject Type="Embed" ProgID="Equation.DSMT4" ShapeID="_x0000_i1031" DrawAspect="Content" ObjectID="_1654001913" r:id="rId50"/>
              </w:object>
            </w:r>
            <w:r w:rsidRPr="00DB4F8E">
              <w:rPr>
                <w:position w:val="-24"/>
              </w:rPr>
              <w:object w:dxaOrig="279" w:dyaOrig="620" w14:anchorId="71BF3ADB">
                <v:shape id="_x0000_i1032" type="#_x0000_t75" style="width:14pt;height:31pt" o:ole="">
                  <v:imagedata r:id="rId51" o:title=""/>
                </v:shape>
                <o:OLEObject Type="Embed" ProgID="Equation.DSMT4" ShapeID="_x0000_i1032" DrawAspect="Content" ObjectID="_1654001914" r:id="rId52"/>
              </w:object>
            </w:r>
            <w:r>
              <w:t xml:space="preserve"> </w:t>
            </w:r>
          </w:p>
        </w:tc>
        <w:tc>
          <w:tcPr>
            <w:tcW w:w="2895" w:type="dxa"/>
          </w:tcPr>
          <w:p w14:paraId="18732FF5" w14:textId="77777777" w:rsidR="002D2830" w:rsidRDefault="002D2830" w:rsidP="00AB5852">
            <w:pPr>
              <w:spacing w:line="240" w:lineRule="auto"/>
            </w:pPr>
            <w:r>
              <w:t>4.6 days</w:t>
            </w:r>
          </w:p>
        </w:tc>
        <w:tc>
          <w:tcPr>
            <w:tcW w:w="3344" w:type="dxa"/>
          </w:tcPr>
          <w:p w14:paraId="160383DA" w14:textId="303855D6" w:rsidR="002D2830" w:rsidRDefault="002D2830" w:rsidP="00AB5852">
            <w:pPr>
              <w:spacing w:line="240" w:lineRule="auto"/>
            </w:pPr>
            <w:r>
              <w:t xml:space="preserve">Estimated at 5.1 days </w:t>
            </w:r>
            <w:r>
              <w:fldChar w:fldCharType="begin" w:fldLock="1"/>
            </w:r>
            <w:r w:rsidR="008D059C">
              <w:instrText>ADDIN CSL_CITATION {"citationItems":[{"id":"ITEM-1","itemData":{"DOI":"10.3390/jcm9020538","ISSN":"2077-0383","PMID":"32079150","abstract":"The geographic spread of 2019 novel coronavirus (COVID-19) infections from the epicenter of Wuhan, China, has provided an opportunity to study the natural history of the recently emerged virus. Using publicly available event-date data from the ongoing epidemic, the present study investigated the incubation period and other time intervals that govern the epidemiological dynamics of COVID-19 infections. Our results show that the incubation period falls within the range of 2–14 days with 95% confidence and has a mean of around 5 days when approximated using the best-fit lognormal distribution. The mean time from illness onset to hospital admission (for treatment and/or isolation) was estimated at 3–4 days without truncation and at 5–9 days when right truncated. Based on the 95th percentile estimate of the incubation period, we recommend that the length of quarantine should be at least 14 days. The median time delay of 13 days from illness onset to death (17 days with right truncation) should be considered when estimating the COVID-19 case fatality risk.","author":[{"dropping-particle":"","family":"Linton","given":"Natalie M.","non-dropping-particle":"","parse-names":false,"suffix":""},{"dropping-particle":"","family":"Kobayashi","given":"Tetsuro","non-dropping-particle":"","parse-names":false,"suffix":""},{"dropping-particle":"","family":"Yang","given":"Yichi","non-dropping-particle":"","parse-names":false,"suffix":""},{"dropping-particle":"","family":"Hayashi","given":"Katsuma","non-dropping-particle":"","parse-names":false,"suffix":""},{"dropping-particle":"","family":"Akhmetzhanov","given":"Andrei R.","non-dropping-particle":"","parse-names":false,"suffix":""},{"dropping-particle":"","family":"Jung","given":"Sung-mok","non-dropping-particle":"","parse-names":false,"suffix":""},{"dropping-particle":"","family":"Yuan","given":"Baoyin","non-dropping-particle":"","parse-names":false,"suffix":""},{"dropping-particle":"","family":"Kinoshita","given":"Ryo","non-dropping-particle":"","parse-names":false,"suffix":""},{"dropping-particle":"","family":"Nishiura","given":"Hiroshi","non-dropping-particle":"","parse-names":false,"suffix":""}],"container-title":"Journal of Clinical Medicine","id":"ITEM-1","issue":"2","issued":{"date-parts":[["2020","2","17"]]},"page":"538","publisher":"MDPI AG","title":"Incubation Period and Other Epidemiological Characteristics of 2019 Novel Coronavirus Infections with Right Truncation: A Statistical Analysis of Publicly Available Case Data","type":"article-journal","volume":"9"},"uris":["http://www.mendeley.com/documents/?uuid=e362a0ba-a123-365d-86fc-8f8c1a7d9711"]},{"id":"ITEM-2","itemData":{"DOI":"10.7326/M20-0504","ISSN":"15393704","PMID":"32150748","abstract":"Background: A novel human coronavirus, severe acute respiratory syndrome coronavirus 2 (SARS-CoV-2), was identified in China in December 2019. There is limited support for many of its key epidemiologic features, including the incubation period for clinical disease (coronavirus disease 2019 [COVID-19]), which has important implications for surveillance and control activities. Objective: To estimate the length of the incubation period of COVID-19 and describe its public health implications. Design: Pooled analysis of confirmed COVID-19 cases reported between 4 January 2020 and 24 February 2020. Setting: News reports and press releases from 50 provinces, regions, and countries outside Wuhan, Hubei province, China. Participants: Persons with confirmed SARS-CoV-2 infection outside Hubei province, China. Measurements: Patient demographic characteristics and dates and times of possible exposure, symptom onset, fever onset, and hospitalization. Results: There were 181 confirmed cases with identifiable exposure and symptom onset windows to estimate the incubation period of COVID-19. The median incubation period was estimated to be 5.1 days (95% CI, 4.5 to 5.8 days), and 97.5% of those who develop symptoms will do so within 11.5 days (CI, 8.2 to 15.6 days) of infection. These estimates imply that, under conservative assumptions, 101 out of every 10 000 cases (99th percentile, 482) will develop symptoms after 14 days of active monitoring or quarantine. Limitation: Publicly reported cases may overrepresent severe cases, the incubation period for which may differ from that of mild cases. Conclusion: This work provides additional evidence for a median incubation period for COVID-19 of approximately 5 days, similar to SARS. Our results support current proposals for the length of quarantine or active monitoring of persons potentially exposed to SARS-CoV-2, although longer monitoring periods might be justified in extreme cases. Primary Funding Source: U.S. Centers for Disease Control and Prevention, National Institute of Allergy and Infectious Diseases, National Institute of General Medical Sciences, and Alexander von Humboldt Foundation.","author":[{"dropping-particle":"","family":"Lauer","given":"Stephen A.","non-dropping-particle":"","parse-names":false,"suffix":""},{"dropping-particle":"","family":"Grantz","given":"Kyra H.","non-dropping-particle":"","parse-names":false,"suffix":""},{"dropping-particle":"","family":"Bi","given":"Qifang","non-dropping-particle":"","parse-names":false,"suffix":""},{"dropping-particle":"","family":"Jones","given":"Forrest K.","non-dropping-particle":"","parse-names":false,"suffix":""},{"dropping-particle":"","family":"Zheng","given":"Qulu","non-dropping-particle":"","parse-names":false,"suffix":""},{"dropping-particle":"","family":"Meredith","given":"Hannah R.","non-dropping-particle":"","parse-names":false,"suffix":""},{"dropping-particle":"","family":"Azman","given":"Andrew S.","non-dropping-particle":"","parse-names":false,"suffix":""},{"dropping-particle":"","family":"Reich","given":"Nicholas G.","non-dropping-particle":"","parse-names":false,"suffix":""},{"dropping-particle":"","family":"Lessler","given":"Justin","non-dropping-particle":"","parse-names":false,"suffix":""}],"container-title":"Annals of internal medicine","id":"ITEM-2","issued":{"date-parts":[["2020","3","10"]]},"publisher":"NLM (Medline)","title":"The Incubation Period of Coronavirus Disease 2019 (COVID-19) From Publicly Reported Confirmed Cases: Estimation and Application","type":"article-journal"},"uris":["http://www.mendeley.com/documents/?uuid=b433f4a8-9769-361d-974d-b43df76d8684"]}],"mendeley":{"formattedCitation":"(&lt;i&gt;58&lt;/i&gt;, &lt;i&gt;59&lt;/i&gt;)","plainTextFormattedCitation":"(58, 59)","previouslyFormattedCitation":"(&lt;i&gt;58&lt;/i&gt;, &lt;i&gt;59&lt;/i&gt;)"},"properties":{"noteIndex":0},"schema":"https://github.com/citation-style-language/schema/raw/master/csl-citation.json"}</w:instrText>
            </w:r>
            <w:r>
              <w:fldChar w:fldCharType="separate"/>
            </w:r>
            <w:r w:rsidR="001D089A" w:rsidRPr="001D089A">
              <w:rPr>
                <w:noProof/>
              </w:rPr>
              <w:t>(</w:t>
            </w:r>
            <w:r w:rsidR="001D089A" w:rsidRPr="001D089A">
              <w:rPr>
                <w:i/>
                <w:noProof/>
              </w:rPr>
              <w:t>58</w:t>
            </w:r>
            <w:r w:rsidR="001D089A" w:rsidRPr="001D089A">
              <w:rPr>
                <w:noProof/>
              </w:rPr>
              <w:t xml:space="preserve">, </w:t>
            </w:r>
            <w:r w:rsidR="001D089A" w:rsidRPr="001D089A">
              <w:rPr>
                <w:i/>
                <w:noProof/>
              </w:rPr>
              <w:t>59</w:t>
            </w:r>
            <w:r w:rsidR="001D089A" w:rsidRPr="001D089A">
              <w:rPr>
                <w:noProof/>
              </w:rPr>
              <w:t>)</w:t>
            </w:r>
            <w:r>
              <w:fldChar w:fldCharType="end"/>
            </w:r>
            <w:r>
              <w:t>. The last 0.5 days are incorporated in the infectious periods to capture pre-symptomatic infectivity</w:t>
            </w:r>
          </w:p>
        </w:tc>
      </w:tr>
      <w:tr w:rsidR="002D2830" w14:paraId="3AE90663" w14:textId="77777777" w:rsidTr="00AB5852">
        <w:tc>
          <w:tcPr>
            <w:tcW w:w="1836" w:type="dxa"/>
          </w:tcPr>
          <w:p w14:paraId="555C0A27" w14:textId="77777777" w:rsidR="002D2830" w:rsidRDefault="002D2830" w:rsidP="00AB5852">
            <w:pPr>
              <w:spacing w:line="240" w:lineRule="auto"/>
            </w:pPr>
            <w:r>
              <w:t>Mean Duration of Mild Infection</w:t>
            </w:r>
          </w:p>
        </w:tc>
        <w:tc>
          <w:tcPr>
            <w:tcW w:w="941" w:type="dxa"/>
          </w:tcPr>
          <w:p w14:paraId="46FE683D" w14:textId="77777777" w:rsidR="002D2830" w:rsidRDefault="002D2830" w:rsidP="00AB5852">
            <w:pPr>
              <w:spacing w:line="240" w:lineRule="auto"/>
            </w:pPr>
            <w:r w:rsidRPr="002E1E64">
              <w:rPr>
                <w:position w:val="-30"/>
              </w:rPr>
              <w:object w:dxaOrig="300" w:dyaOrig="680" w14:anchorId="5041DF90">
                <v:shape id="_x0000_i1033" type="#_x0000_t75" style="width:15pt;height:34pt" o:ole="">
                  <v:imagedata r:id="rId53" o:title=""/>
                </v:shape>
                <o:OLEObject Type="Embed" ProgID="Equation.DSMT4" ShapeID="_x0000_i1033" DrawAspect="Content" ObjectID="_1654001915" r:id="rId54"/>
              </w:object>
            </w:r>
          </w:p>
        </w:tc>
        <w:tc>
          <w:tcPr>
            <w:tcW w:w="2895" w:type="dxa"/>
          </w:tcPr>
          <w:p w14:paraId="28F1BF7B" w14:textId="77777777" w:rsidR="002D2830" w:rsidRDefault="002D2830" w:rsidP="00AB5852">
            <w:pPr>
              <w:spacing w:line="240" w:lineRule="auto"/>
            </w:pPr>
            <w:r>
              <w:t>2.1 days</w:t>
            </w:r>
          </w:p>
        </w:tc>
        <w:tc>
          <w:tcPr>
            <w:tcW w:w="3344" w:type="dxa"/>
          </w:tcPr>
          <w:p w14:paraId="5D4BAAEC" w14:textId="1FABF261" w:rsidR="002D2830" w:rsidRDefault="002D2830" w:rsidP="00AB5852">
            <w:pPr>
              <w:spacing w:line="240" w:lineRule="auto"/>
            </w:pPr>
            <w:r>
              <w:t xml:space="preserve">Incorporates 0.5 days of infectiousness prior to symptoms. In combination with mean duration of severe illness this gives a mean serial interval of 6.75 days </w:t>
            </w:r>
            <w:r>
              <w:fldChar w:fldCharType="begin" w:fldLock="1"/>
            </w:r>
            <w:r w:rsidR="008D059C">
              <w:instrText>ADDIN CSL_CITATION {"citationItems":[{"id":"ITEM-1","itemData":{"DOI":"10.1016/S1473-3099(20)30287-5","ISSN":"14733099","abstract":"&lt;h2&gt;Summary&lt;/h2&gt;&lt;h3&gt;Background&lt;/h3&gt;&lt;p&gt;Rapid spread of severe acute respiratory syndrome coronavirus 2 (SARS-CoV-2) in Wuhan, China, prompted heightened surveillance in Shenzhen, China. The resulting data provide a rare opportunity to measure key metrics of disease course, transmission, and the impact of control measures.&lt;/p&gt;&lt;h3&gt;Methods&lt;/h3&gt;&lt;p&gt;From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risk.&lt;/p&gt;&lt;h3&gt;Findings&lt;/h3&gt;&lt;p&gt;Cases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&lt;i&gt;vs&lt;/i&gt; population average of 6·6%). The observed reproductive number (&lt;i&gt;R&lt;/i&gt;) was 0·4 (95% CI 0·3–0·5), with a mean serial interval of 6·3 days (95% CI 5·2–7·6).&lt;/p&gt;&lt;h3&gt;Interpretation&lt;/h3&gt;&lt;p&gt;Our data on cases as well as their infected and uninfected close contacts provide key insights into the epidemiology of SARS-CoV-2. This analysis shows that isolation and contact tracing reduce the time during which cases are infectious in the community, thereby reducing the &lt;i&gt;R&lt;/i&gt;.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control.&lt;/p&gt;&lt;h3&gt;Funding&lt;/h3&gt;&lt;p&gt;Emergency Response Progr…","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Diseases","id":"ITEM-1","issue":"0","issued":{"date-parts":[["2020","4"]]},"publisher":"Elsevier","title":"Epidemiology and transmission of COVID-19 in 391 cases and 1286 of their close contacts in Shenzhen, China: a retrospective cohort study","type":"article-journal","volume":"0"},"uris":["http://www.mendeley.com/documents/?uuid=78b8d3e4-fcbd-3fe3-ac74-a147251f745c"]}],"mendeley":{"formattedCitation":"(&lt;i&gt;60&lt;/i&gt;)","plainTextFormattedCitation":"(60)","previouslyFormattedCitation":"(&lt;i&gt;60&lt;/i&gt;)"},"properties":{"noteIndex":0},"schema":"https://github.com/citation-style-language/schema/raw/master/csl-citation.json"}</w:instrText>
            </w:r>
            <w:r>
              <w:fldChar w:fldCharType="separate"/>
            </w:r>
            <w:r w:rsidR="001D089A" w:rsidRPr="001D089A">
              <w:rPr>
                <w:noProof/>
              </w:rPr>
              <w:t>(</w:t>
            </w:r>
            <w:r w:rsidR="001D089A" w:rsidRPr="001D089A">
              <w:rPr>
                <w:i/>
                <w:noProof/>
              </w:rPr>
              <w:t>60</w:t>
            </w:r>
            <w:r w:rsidR="001D089A" w:rsidRPr="001D089A">
              <w:rPr>
                <w:noProof/>
              </w:rPr>
              <w:t>)</w:t>
            </w:r>
            <w:r>
              <w:fldChar w:fldCharType="end"/>
            </w:r>
            <w:r>
              <w:t xml:space="preserve">. </w:t>
            </w:r>
          </w:p>
        </w:tc>
      </w:tr>
      <w:tr w:rsidR="002D2830" w14:paraId="4F8BA718" w14:textId="77777777" w:rsidTr="00AB5852">
        <w:tc>
          <w:tcPr>
            <w:tcW w:w="1836" w:type="dxa"/>
          </w:tcPr>
          <w:p w14:paraId="18A6D7F6" w14:textId="77777777" w:rsidR="002D2830" w:rsidRDefault="002D2830" w:rsidP="00AB5852">
            <w:pPr>
              <w:spacing w:line="240" w:lineRule="auto"/>
            </w:pPr>
            <w:r>
              <w:t>Mean Duration of Severe Infection Prior to Hospitalisation</w:t>
            </w:r>
          </w:p>
        </w:tc>
        <w:tc>
          <w:tcPr>
            <w:tcW w:w="941" w:type="dxa"/>
          </w:tcPr>
          <w:p w14:paraId="53B7C398" w14:textId="77777777" w:rsidR="002D2830" w:rsidRDefault="002D2830" w:rsidP="00AB5852">
            <w:pPr>
              <w:spacing w:line="240" w:lineRule="auto"/>
            </w:pPr>
            <w:r w:rsidRPr="002E1E64">
              <w:rPr>
                <w:position w:val="-30"/>
              </w:rPr>
              <w:object w:dxaOrig="320" w:dyaOrig="680" w14:anchorId="0A2A88D5">
                <v:shape id="_x0000_i1034" type="#_x0000_t75" style="width:16pt;height:34pt" o:ole="">
                  <v:imagedata r:id="rId55" o:title=""/>
                </v:shape>
                <o:OLEObject Type="Embed" ProgID="Equation.DSMT4" ShapeID="_x0000_i1034" DrawAspect="Content" ObjectID="_1654001916" r:id="rId56"/>
              </w:object>
            </w:r>
          </w:p>
        </w:tc>
        <w:tc>
          <w:tcPr>
            <w:tcW w:w="2895" w:type="dxa"/>
          </w:tcPr>
          <w:p w14:paraId="4BD78625" w14:textId="77777777" w:rsidR="002D2830" w:rsidRDefault="002D2830" w:rsidP="00AB5852">
            <w:pPr>
              <w:spacing w:line="240" w:lineRule="auto"/>
            </w:pPr>
            <w:r>
              <w:t>4.5 days</w:t>
            </w:r>
          </w:p>
        </w:tc>
        <w:tc>
          <w:tcPr>
            <w:tcW w:w="3344" w:type="dxa"/>
          </w:tcPr>
          <w:p w14:paraId="264210CF" w14:textId="47480826" w:rsidR="002D2830" w:rsidRDefault="002D2830" w:rsidP="00AB5852">
            <w:pPr>
              <w:spacing w:line="240" w:lineRule="auto"/>
            </w:pPr>
            <w:r>
              <w:t xml:space="preserve">Mean onset-to-admission of 4 days based on unpublished analysis of data from the ICNARC study </w:t>
            </w:r>
            <w:r>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fldChar w:fldCharType="separate"/>
            </w:r>
            <w:r w:rsidR="00E57DCE" w:rsidRPr="00E57DCE">
              <w:rPr>
                <w:noProof/>
              </w:rPr>
              <w:t>(</w:t>
            </w:r>
            <w:r w:rsidR="00E57DCE" w:rsidRPr="00E57DCE">
              <w:rPr>
                <w:i/>
                <w:noProof/>
              </w:rPr>
              <w:t>9</w:t>
            </w:r>
            <w:r w:rsidR="00E57DCE" w:rsidRPr="00E57DCE">
              <w:rPr>
                <w:noProof/>
              </w:rPr>
              <w:t>)</w:t>
            </w:r>
            <w:r>
              <w:fldChar w:fldCharType="end"/>
            </w:r>
            <w:r>
              <w:t>. Includes 0.5 days of infectiousness prior to symptom onset.</w:t>
            </w:r>
          </w:p>
        </w:tc>
      </w:tr>
      <w:tr w:rsidR="002D2830" w14:paraId="1EACA52F" w14:textId="77777777" w:rsidTr="00AB5852">
        <w:tc>
          <w:tcPr>
            <w:tcW w:w="1836" w:type="dxa"/>
          </w:tcPr>
          <w:p w14:paraId="3B963204" w14:textId="77777777" w:rsidR="002D2830" w:rsidRDefault="002D2830" w:rsidP="00AB5852">
            <w:pPr>
              <w:spacing w:line="240" w:lineRule="auto"/>
            </w:pPr>
            <w:r>
              <w:t>Mean Duration of Hospitalisation for non-critical cases if survive</w:t>
            </w:r>
          </w:p>
        </w:tc>
        <w:tc>
          <w:tcPr>
            <w:tcW w:w="941" w:type="dxa"/>
          </w:tcPr>
          <w:p w14:paraId="0C098552" w14:textId="77777777" w:rsidR="002D2830" w:rsidRDefault="002D2830" w:rsidP="00AB5852">
            <w:pPr>
              <w:spacing w:line="240" w:lineRule="auto"/>
            </w:pPr>
            <w:r w:rsidRPr="005C5799">
              <w:rPr>
                <w:position w:val="-32"/>
              </w:rPr>
              <w:object w:dxaOrig="400" w:dyaOrig="700" w14:anchorId="1CD00DFA">
                <v:shape id="_x0000_i1035" type="#_x0000_t75" style="width:20.5pt;height:35pt" o:ole="">
                  <v:imagedata r:id="rId57" o:title=""/>
                </v:shape>
                <o:OLEObject Type="Embed" ProgID="Equation.DSMT4" ShapeID="_x0000_i1035" DrawAspect="Content" ObjectID="_1654001917" r:id="rId58"/>
              </w:object>
            </w:r>
          </w:p>
        </w:tc>
        <w:tc>
          <w:tcPr>
            <w:tcW w:w="2895" w:type="dxa"/>
          </w:tcPr>
          <w:p w14:paraId="644C414D" w14:textId="77777777" w:rsidR="002D2830" w:rsidRDefault="002D2830" w:rsidP="00AB5852">
            <w:pPr>
              <w:spacing w:line="240" w:lineRule="auto"/>
            </w:pPr>
            <w:r>
              <w:t>9.5 days</w:t>
            </w:r>
          </w:p>
        </w:tc>
        <w:tc>
          <w:tcPr>
            <w:tcW w:w="3344" w:type="dxa"/>
          </w:tcPr>
          <w:p w14:paraId="5C720EBF" w14:textId="65ED1E85" w:rsidR="002D2830" w:rsidRDefault="002D2830" w:rsidP="00AB5852">
            <w:pPr>
              <w:spacing w:line="240" w:lineRule="auto"/>
            </w:pPr>
            <w:r>
              <w:t xml:space="preserve">Based on unpublished analysis of data from the ICNARC study </w:t>
            </w:r>
            <w:r w:rsidR="00E57DCE">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E57DCE">
              <w:fldChar w:fldCharType="separate"/>
            </w:r>
            <w:r w:rsidR="00E57DCE" w:rsidRPr="00E57DCE">
              <w:rPr>
                <w:noProof/>
              </w:rPr>
              <w:t>(</w:t>
            </w:r>
            <w:r w:rsidR="00E57DCE" w:rsidRPr="00E57DCE">
              <w:rPr>
                <w:i/>
                <w:noProof/>
              </w:rPr>
              <w:t>9</w:t>
            </w:r>
            <w:r w:rsidR="00E57DCE" w:rsidRPr="00E57DCE">
              <w:rPr>
                <w:noProof/>
              </w:rPr>
              <w:t>)</w:t>
            </w:r>
            <w:r w:rsidR="00E57DCE">
              <w:fldChar w:fldCharType="end"/>
            </w:r>
            <w:r>
              <w:t>.</w:t>
            </w:r>
          </w:p>
        </w:tc>
      </w:tr>
      <w:tr w:rsidR="002D2830" w14:paraId="6CC1B949" w14:textId="77777777" w:rsidTr="00AB5852">
        <w:tc>
          <w:tcPr>
            <w:tcW w:w="1836" w:type="dxa"/>
          </w:tcPr>
          <w:p w14:paraId="6049AFD9" w14:textId="77777777" w:rsidR="002D2830" w:rsidRDefault="002D2830" w:rsidP="00AB5852">
            <w:pPr>
              <w:spacing w:line="240" w:lineRule="auto"/>
            </w:pPr>
            <w:r>
              <w:t>Mean Duration of Hospitalisation for non-critical cases if die</w:t>
            </w:r>
          </w:p>
        </w:tc>
        <w:tc>
          <w:tcPr>
            <w:tcW w:w="941" w:type="dxa"/>
          </w:tcPr>
          <w:p w14:paraId="05EC0562" w14:textId="77777777" w:rsidR="002D2830" w:rsidRDefault="002D2830" w:rsidP="00AB5852">
            <w:pPr>
              <w:spacing w:line="240" w:lineRule="auto"/>
            </w:pPr>
            <w:r w:rsidRPr="005C5799">
              <w:rPr>
                <w:position w:val="-32"/>
              </w:rPr>
              <w:object w:dxaOrig="440" w:dyaOrig="700" w14:anchorId="74B4E4F1">
                <v:shape id="_x0000_i1036" type="#_x0000_t75" style="width:21.5pt;height:35pt" o:ole="">
                  <v:imagedata r:id="rId59" o:title=""/>
                </v:shape>
                <o:OLEObject Type="Embed" ProgID="Equation.DSMT4" ShapeID="_x0000_i1036" DrawAspect="Content" ObjectID="_1654001918" r:id="rId60"/>
              </w:object>
            </w:r>
          </w:p>
        </w:tc>
        <w:tc>
          <w:tcPr>
            <w:tcW w:w="2895" w:type="dxa"/>
          </w:tcPr>
          <w:p w14:paraId="4A972325" w14:textId="77777777" w:rsidR="002D2830" w:rsidRDefault="002D2830" w:rsidP="00AB5852">
            <w:pPr>
              <w:spacing w:line="240" w:lineRule="auto"/>
            </w:pPr>
            <w:r>
              <w:t>7.6 days</w:t>
            </w:r>
          </w:p>
        </w:tc>
        <w:tc>
          <w:tcPr>
            <w:tcW w:w="3344" w:type="dxa"/>
          </w:tcPr>
          <w:p w14:paraId="232C122B" w14:textId="5FE643B5" w:rsidR="002D2830" w:rsidRDefault="002D2830" w:rsidP="00AB5852">
            <w:pPr>
              <w:spacing w:line="240" w:lineRule="auto"/>
            </w:pPr>
            <w:r>
              <w:t xml:space="preserve">Based on unpublished analysis of data from the ICNARC study </w:t>
            </w:r>
            <w:r w:rsidR="00E57DCE">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E57DCE">
              <w:fldChar w:fldCharType="separate"/>
            </w:r>
            <w:r w:rsidR="00E57DCE" w:rsidRPr="00E57DCE">
              <w:rPr>
                <w:noProof/>
              </w:rPr>
              <w:t>(</w:t>
            </w:r>
            <w:r w:rsidR="00E57DCE" w:rsidRPr="00E57DCE">
              <w:rPr>
                <w:i/>
                <w:noProof/>
              </w:rPr>
              <w:t>9</w:t>
            </w:r>
            <w:r w:rsidR="00E57DCE" w:rsidRPr="00E57DCE">
              <w:rPr>
                <w:noProof/>
              </w:rPr>
              <w:t>)</w:t>
            </w:r>
            <w:r w:rsidR="00E57DCE">
              <w:fldChar w:fldCharType="end"/>
            </w:r>
            <w:r>
              <w:t xml:space="preserve">. </w:t>
            </w:r>
          </w:p>
        </w:tc>
      </w:tr>
      <w:tr w:rsidR="002D2830" w14:paraId="22315693" w14:textId="77777777" w:rsidTr="00AB5852">
        <w:tc>
          <w:tcPr>
            <w:tcW w:w="1836" w:type="dxa"/>
          </w:tcPr>
          <w:p w14:paraId="5EEE122A" w14:textId="77777777" w:rsidR="002D2830" w:rsidRDefault="002D2830" w:rsidP="00AB5852">
            <w:pPr>
              <w:spacing w:line="240" w:lineRule="auto"/>
            </w:pPr>
            <w:r>
              <w:t>Mean Duration in ICU if survive</w:t>
            </w:r>
          </w:p>
        </w:tc>
        <w:tc>
          <w:tcPr>
            <w:tcW w:w="941" w:type="dxa"/>
          </w:tcPr>
          <w:p w14:paraId="6E3BBDC8" w14:textId="77777777" w:rsidR="002D2830" w:rsidRDefault="002D2830" w:rsidP="00AB5852">
            <w:pPr>
              <w:spacing w:line="240" w:lineRule="auto"/>
            </w:pPr>
            <w:r w:rsidRPr="005C5799">
              <w:rPr>
                <w:position w:val="-32"/>
              </w:rPr>
              <w:object w:dxaOrig="420" w:dyaOrig="700" w14:anchorId="5ABFE96F">
                <v:shape id="_x0000_i1037" type="#_x0000_t75" style="width:21pt;height:35pt" o:ole="">
                  <v:imagedata r:id="rId61" o:title=""/>
                </v:shape>
                <o:OLEObject Type="Embed" ProgID="Equation.DSMT4" ShapeID="_x0000_i1037" DrawAspect="Content" ObjectID="_1654001919" r:id="rId62"/>
              </w:object>
            </w:r>
          </w:p>
        </w:tc>
        <w:tc>
          <w:tcPr>
            <w:tcW w:w="2895" w:type="dxa"/>
          </w:tcPr>
          <w:p w14:paraId="04EC8A69" w14:textId="77777777" w:rsidR="002D2830" w:rsidRDefault="002D2830" w:rsidP="00AB5852">
            <w:pPr>
              <w:spacing w:line="240" w:lineRule="auto"/>
            </w:pPr>
            <w:r>
              <w:t>11.3 days</w:t>
            </w:r>
          </w:p>
        </w:tc>
        <w:tc>
          <w:tcPr>
            <w:tcW w:w="3344" w:type="dxa"/>
          </w:tcPr>
          <w:p w14:paraId="01868F3A" w14:textId="043909C8" w:rsidR="002D2830" w:rsidRDefault="002D2830" w:rsidP="00AB5852">
            <w:pPr>
              <w:spacing w:line="240" w:lineRule="auto"/>
            </w:pPr>
            <w:r>
              <w:t>Based on data from the ICNARC study</w:t>
            </w:r>
            <w:r w:rsidR="00E57DCE">
              <w:t xml:space="preserve"> </w:t>
            </w:r>
            <w:r w:rsidR="00E57DCE">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E57DCE">
              <w:fldChar w:fldCharType="separate"/>
            </w:r>
            <w:r w:rsidR="00E57DCE" w:rsidRPr="00E57DCE">
              <w:rPr>
                <w:noProof/>
              </w:rPr>
              <w:t>(</w:t>
            </w:r>
            <w:r w:rsidR="00E57DCE" w:rsidRPr="00E57DCE">
              <w:rPr>
                <w:i/>
                <w:noProof/>
              </w:rPr>
              <w:t>9</w:t>
            </w:r>
            <w:r w:rsidR="00E57DCE" w:rsidRPr="00E57DCE">
              <w:rPr>
                <w:noProof/>
              </w:rPr>
              <w:t>)</w:t>
            </w:r>
            <w:r w:rsidR="00E57DCE">
              <w:fldChar w:fldCharType="end"/>
            </w:r>
            <w:r>
              <w:t xml:space="preserve"> adjusted for censoring. </w:t>
            </w:r>
          </w:p>
        </w:tc>
      </w:tr>
      <w:tr w:rsidR="002D2830" w14:paraId="246A4E03" w14:textId="77777777" w:rsidTr="00AB5852">
        <w:tc>
          <w:tcPr>
            <w:tcW w:w="1836" w:type="dxa"/>
          </w:tcPr>
          <w:p w14:paraId="59D30936" w14:textId="77777777" w:rsidR="002D2830" w:rsidRDefault="002D2830" w:rsidP="00AB5852">
            <w:pPr>
              <w:spacing w:line="240" w:lineRule="auto"/>
            </w:pPr>
            <w:r>
              <w:t>Mean Duration in ICU if die</w:t>
            </w:r>
          </w:p>
        </w:tc>
        <w:tc>
          <w:tcPr>
            <w:tcW w:w="941" w:type="dxa"/>
          </w:tcPr>
          <w:p w14:paraId="101550B9" w14:textId="77777777" w:rsidR="002D2830" w:rsidRDefault="002D2830" w:rsidP="00AB5852">
            <w:pPr>
              <w:spacing w:line="240" w:lineRule="auto"/>
            </w:pPr>
            <w:r w:rsidRPr="005C5799">
              <w:rPr>
                <w:position w:val="-32"/>
              </w:rPr>
              <w:object w:dxaOrig="440" w:dyaOrig="700" w14:anchorId="0F6B3925">
                <v:shape id="_x0000_i1038" type="#_x0000_t75" style="width:21.5pt;height:35pt" o:ole="">
                  <v:imagedata r:id="rId63" o:title=""/>
                </v:shape>
                <o:OLEObject Type="Embed" ProgID="Equation.DSMT4" ShapeID="_x0000_i1038" DrawAspect="Content" ObjectID="_1654001920" r:id="rId64"/>
              </w:object>
            </w:r>
          </w:p>
        </w:tc>
        <w:tc>
          <w:tcPr>
            <w:tcW w:w="2895" w:type="dxa"/>
          </w:tcPr>
          <w:p w14:paraId="1CC67AD0" w14:textId="77777777" w:rsidR="002D2830" w:rsidRDefault="002D2830" w:rsidP="00AB5852">
            <w:pPr>
              <w:spacing w:line="240" w:lineRule="auto"/>
            </w:pPr>
            <w:r>
              <w:t>10.1 days</w:t>
            </w:r>
          </w:p>
        </w:tc>
        <w:tc>
          <w:tcPr>
            <w:tcW w:w="3344" w:type="dxa"/>
          </w:tcPr>
          <w:p w14:paraId="05623A7C" w14:textId="0F76EF80" w:rsidR="002D2830" w:rsidRDefault="002D2830" w:rsidP="00AB5852">
            <w:pPr>
              <w:spacing w:line="240" w:lineRule="auto"/>
            </w:pPr>
            <w:r>
              <w:t>Based on data from the ICNARC study</w:t>
            </w:r>
            <w:r w:rsidR="00E57DCE">
              <w:t xml:space="preserve"> </w:t>
            </w:r>
            <w:r w:rsidR="00E57DCE">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E57DCE">
              <w:fldChar w:fldCharType="separate"/>
            </w:r>
            <w:r w:rsidR="00E57DCE" w:rsidRPr="00E57DCE">
              <w:rPr>
                <w:noProof/>
              </w:rPr>
              <w:t>(</w:t>
            </w:r>
            <w:r w:rsidR="00E57DCE" w:rsidRPr="00E57DCE">
              <w:rPr>
                <w:i/>
                <w:noProof/>
              </w:rPr>
              <w:t>9</w:t>
            </w:r>
            <w:r w:rsidR="00E57DCE" w:rsidRPr="00E57DCE">
              <w:rPr>
                <w:noProof/>
              </w:rPr>
              <w:t>)</w:t>
            </w:r>
            <w:r w:rsidR="00E57DCE">
              <w:fldChar w:fldCharType="end"/>
            </w:r>
            <w:r>
              <w:t xml:space="preserve"> adjusted for censoring.</w:t>
            </w:r>
          </w:p>
        </w:tc>
      </w:tr>
      <w:tr w:rsidR="002D2830" w14:paraId="00AA85B0" w14:textId="77777777" w:rsidTr="00AB5852">
        <w:tc>
          <w:tcPr>
            <w:tcW w:w="1836" w:type="dxa"/>
          </w:tcPr>
          <w:p w14:paraId="1D3F8DF4" w14:textId="77777777" w:rsidR="002D2830" w:rsidRDefault="002D2830" w:rsidP="00AB5852">
            <w:pPr>
              <w:spacing w:line="240" w:lineRule="auto"/>
            </w:pPr>
            <w:r>
              <w:t>Mean Duration in Recovery after ICU</w:t>
            </w:r>
          </w:p>
        </w:tc>
        <w:tc>
          <w:tcPr>
            <w:tcW w:w="941" w:type="dxa"/>
          </w:tcPr>
          <w:p w14:paraId="2A357A58" w14:textId="77777777" w:rsidR="002D2830" w:rsidRDefault="002D2830" w:rsidP="00AB5852">
            <w:pPr>
              <w:spacing w:line="240" w:lineRule="auto"/>
            </w:pPr>
            <w:r w:rsidRPr="007A5331">
              <w:rPr>
                <w:position w:val="-30"/>
              </w:rPr>
              <w:object w:dxaOrig="320" w:dyaOrig="680" w14:anchorId="1F7BF08C">
                <v:shape id="_x0000_i1039" type="#_x0000_t75" style="width:16pt;height:34pt" o:ole="">
                  <v:imagedata r:id="rId65" o:title=""/>
                </v:shape>
                <o:OLEObject Type="Embed" ProgID="Equation.DSMT4" ShapeID="_x0000_i1039" DrawAspect="Content" ObjectID="_1654001921" r:id="rId66"/>
              </w:object>
            </w:r>
          </w:p>
        </w:tc>
        <w:tc>
          <w:tcPr>
            <w:tcW w:w="2895" w:type="dxa"/>
          </w:tcPr>
          <w:p w14:paraId="60A35E5B" w14:textId="77777777" w:rsidR="002D2830" w:rsidRDefault="002D2830" w:rsidP="00AB5852">
            <w:pPr>
              <w:spacing w:line="240" w:lineRule="auto"/>
            </w:pPr>
            <w:r>
              <w:t>3.4 days</w:t>
            </w:r>
          </w:p>
        </w:tc>
        <w:tc>
          <w:tcPr>
            <w:tcW w:w="3344" w:type="dxa"/>
          </w:tcPr>
          <w:p w14:paraId="7667A179" w14:textId="6442D97B" w:rsidR="002D2830" w:rsidRDefault="002D2830" w:rsidP="00AB5852">
            <w:pPr>
              <w:spacing w:line="240" w:lineRule="auto"/>
            </w:pPr>
            <w:r>
              <w:t xml:space="preserve">Based on unpublished analysis of data from the ICNARC study </w:t>
            </w:r>
            <w:r w:rsidR="006A3931">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6A3931">
              <w:fldChar w:fldCharType="separate"/>
            </w:r>
            <w:r w:rsidR="006A3931" w:rsidRPr="00E57DCE">
              <w:rPr>
                <w:noProof/>
              </w:rPr>
              <w:t>(</w:t>
            </w:r>
            <w:r w:rsidR="006A3931" w:rsidRPr="00E57DCE">
              <w:rPr>
                <w:i/>
                <w:noProof/>
              </w:rPr>
              <w:t>9</w:t>
            </w:r>
            <w:r w:rsidR="006A3931" w:rsidRPr="00E57DCE">
              <w:rPr>
                <w:noProof/>
              </w:rPr>
              <w:t>)</w:t>
            </w:r>
            <w:r w:rsidR="006A3931">
              <w:fldChar w:fldCharType="end"/>
            </w:r>
            <w:r w:rsidR="006A3931">
              <w:t>.</w:t>
            </w:r>
          </w:p>
        </w:tc>
      </w:tr>
    </w:tbl>
    <w:p w14:paraId="28D7659D" w14:textId="77777777" w:rsidR="002D2830" w:rsidRDefault="002D2830" w:rsidP="002D2830"/>
    <w:p w14:paraId="6A62061C" w14:textId="1EF08B98" w:rsidR="002D2830" w:rsidRDefault="002D2830" w:rsidP="002D2830">
      <w:r w:rsidRPr="00B52AFA">
        <w:t>By convoluting the latent periods and the infectious compartments we estimated the mean duration in I</w:t>
      </w:r>
      <w:r w:rsidRPr="00B52AFA">
        <w:rPr>
          <w:vertAlign w:val="subscript"/>
        </w:rPr>
        <w:t>MILD</w:t>
      </w:r>
      <w:r w:rsidRPr="00B52AFA">
        <w:t xml:space="preserve"> in order to obtain an</w:t>
      </w:r>
      <w:r>
        <w:t xml:space="preserve"> overall serial interval of 6.75 days </w:t>
      </w:r>
      <w:r>
        <w:fldChar w:fldCharType="begin" w:fldLock="1"/>
      </w:r>
      <w:r w:rsidR="008D059C">
        <w:instrText>ADDIN CSL_CITATION {"citationItems":[{"id":"ITEM-1","itemData":{"DOI":"10.1016/S1473-3099(20)30287-5","ISSN":"14733099","abstract":"&lt;h2&gt;Summary&lt;/h2&gt;&lt;h3&gt;Background&lt;/h3&gt;&lt;p&gt;Rapid spread of severe acute respiratory syndrome coronavirus 2 (SARS-CoV-2) in Wuhan, China, prompted heightened surveillance in Shenzhen, China. The resulting data provide a rare opportunity to measure key metrics of disease course, transmission, and the impact of control measures.&lt;/p&gt;&lt;h3&gt;Methods&lt;/h3&gt;&lt;p&gt;From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risk.&lt;/p&gt;&lt;h3&gt;Findings&lt;/h3&gt;&lt;p&gt;Cases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&lt;i&gt;vs&lt;/i&gt; population average of 6·6%). The observed reproductive number (&lt;i&gt;R&lt;/i&gt;) was 0·4 (95% CI 0·3–0·5), with a mean serial interval of 6·3 days (95% CI 5·2–7·6).&lt;/p&gt;&lt;h3&gt;Interpretation&lt;/h3&gt;&lt;p&gt;Our data on cases as well as their infected and uninfected close contacts provide key insights into the epidemiology of SARS-CoV-2. This analysis shows that isolation and contact tracing reduce the time during which cases are infectious in the community, thereby reducing the &lt;i&gt;R&lt;/i&gt;.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control.&lt;/p&gt;&lt;h3&gt;Funding&lt;/h3&gt;&lt;p&gt;Emergency Response Progr…","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Diseases","id":"ITEM-1","issue":"0","issued":{"date-parts":[["2020","4"]]},"publisher":"Elsevier","title":"Epidemiology and transmission of COVID-19 in 391 cases and 1286 of their close contacts in Shenzhen, China: a retrospective cohort study","type":"article-journal","volume":"0"},"uris":["http://www.mendeley.com/documents/?uuid=78b8d3e4-fcbd-3fe3-ac74-a147251f745c"]}],"mendeley":{"formattedCitation":"(&lt;i&gt;60&lt;/i&gt;)","plainTextFormattedCitation":"(60)","previouslyFormattedCitation":"(&lt;i&gt;60&lt;/i&gt;)"},"properties":{"noteIndex":0},"schema":"https://github.com/citation-style-language/schema/raw/master/csl-citation.json"}</w:instrText>
      </w:r>
      <w:r>
        <w:fldChar w:fldCharType="separate"/>
      </w:r>
      <w:r w:rsidR="001D089A" w:rsidRPr="001D089A">
        <w:rPr>
          <w:noProof/>
        </w:rPr>
        <w:t>(</w:t>
      </w:r>
      <w:r w:rsidR="001D089A" w:rsidRPr="001D089A">
        <w:rPr>
          <w:i/>
          <w:noProof/>
        </w:rPr>
        <w:t>60</w:t>
      </w:r>
      <w:r w:rsidR="001D089A" w:rsidRPr="001D089A">
        <w:rPr>
          <w:noProof/>
        </w:rPr>
        <w:t>)</w:t>
      </w:r>
      <w:r>
        <w:fldChar w:fldCharType="end"/>
      </w:r>
      <w:r>
        <w:t xml:space="preserve">. Unless otherwise stated, an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 xml:space="preserve"> </m:t>
        </m:r>
      </m:oMath>
      <w:r>
        <w:t xml:space="preserve">of </w:t>
      </w:r>
      <w:r>
        <w:lastRenderedPageBreak/>
        <w:t xml:space="preserve">3.0 was used for all scenarios explored and presented in this report based upon estimates observed across Europe </w:t>
      </w:r>
      <w:r>
        <w:fldChar w:fldCharType="begin" w:fldLock="1"/>
      </w:r>
      <w:r w:rsidR="00FB0C07">
        <w:instrText>ADDIN CSL_CITATION {"citationItems":[{"id":"ITEM-1","itemData":{"DOI":"https://doi.org/10.25561/77731","abstract":"Following the emergence of a novel coronavirus (SARS-CoV-2) and its spread outside of China, Europe is now experiencing large epidemics. In response, many European countries have implemented unprecedented non-pharmaceutical interventions including case isolation, the closure of schools and universities, banning of mass gatherings and/or public events, and most recently, widescale social distancing including local and national lockdowns. In this report, we use a semi-mechanistic Bayesian hierarchical model to attempt to infer the impact of these interventions across 11 European countries. Our methods assume that changes in the reproductive number-a measure of transmission-are an immediate response to these interventions being implemented rather than broader gradual changes in behaviour. Our model estimates these changes by calculating backwards from the deaths observed over time to estimate transmission that occurred several weeks prior, allowing for the time lag between infection and death.","author":[{"dropping-particle":"","family":"Flaxman","given":"Seth","non-dropping-particle":"","parse-names":false,"suffix":""},{"dropping-particle":"","family":"Mishra","given":"Swapnil","non-dropping-particle":"","parse-names":false,"suffix":""},{"dropping-particle":"","family":"Gandy","given":"Axel","non-dropping-particle":"","parse-names":false,"suffix":""},{"dropping-particle":"","family":"Unwin","given":"Juliette T","non-dropping-particle":"","parse-names":false,"suffix":""},{"dropping-particle":"","family":"Coupland","given":"Helen","non-dropping-particle":"","parse-names":false,"suffix":""},{"dropping-particle":"","family":"Mellan","given":"Thomas A","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W","non-dropping-particle":"","parse-names":false,"suffix":""},{"dropping-particle":"","family":"Guzman","given":"Pablo N P","non-dropping-particle":"","parse-names":false,"suffix":""},{"dropping-particle":"","family":"Schmit","given":"Nora","non-dropping-particle":"","parse-names":false,"suffix":""},{"dropping-particle":"","family":"Cilloni","given":"Lucia","non-dropping-particle":"","parse-names":false,"suffix":""},{"dropping-particle":"","family":"Ainslie","given":"Kylie E C","non-dropping-particle":"","parse-names":false,"suffix":""},{"dropping-particle":"","family":"Baguelin","given":"Marc","non-dropping-particle":"","parse-names":false,"suffix":""},{"dropping-particle":"","family":"Blake","given":"Isobel","non-dropping-particle":"","parse-names":false,"suffix":""},{"dropping-particle":"","family":"Boonyasiri","given":"Adhiratha","non-dropping-particle":"","parse-names":false,"suffix":""},{"dropping-particle":"","family":"Boyd","given":"Olivia","non-dropping-particle":"","parse-names":false,"suffix":""},{"dropping-particle":"","family":"Cattarino","given":"Lorenzo","non-dropping-particle":"","parse-names":false,"suffix":""},{"dropping-particle":"","family":"Ciavarella","given":"Constanze","non-dropping-particle":"","parse-names":false,"suffix":""},{"dropping-particle":"","family":"Cooper","given":"Laura","non-dropping-particle":"","parse-names":false,"suffix":""},{"dropping-particle":"","family":"Cucunubá","given":"Zulma","non-dropping-particle":"","parse-names":false,"suffix":""},{"dropping-particle":"","family":"Cuomo-Dannenburg","given":"Gina","non-dropping-particle":"","parse-names":false,"suffix":""},{"dropping-particle":"","family":"Dighe","given":"Amy","non-dropping-particle":"","parse-names":false,"suffix":""},{"dropping-particle":"","family":"Djaafara","given":"Bimandra","non-dropping-particle":"","parse-names":false,"suffix":""},{"dropping-particle":"","family":"Dorigatti","given":"Ilaria","non-dropping-particle":"","parse-names":false,"suffix":""},{"dropping-particle":"","family":"Elsland","given":"Sabine","non-dropping-particle":"Van","parse-names":false,"suffix":""},{"dropping-particle":"","family":"Fitzjohn","given":"Rich","non-dropping-particle":"","parse-names":false,"suffix":""},{"dropping-particle":"","family":"Fu","given":"Han","non-dropping-particle":"","parse-names":false,"suffix":""},{"dropping-particle":"","family":"Gaythorpe","given":"Katy","non-dropping-particle":"","parse-names":false,"suffix":""},{"dropping-particle":"","family":"Geidelberg","given":"Lily","non-dropping-particle":"","parse-names":false,"suffix":""},{"dropping-particle":"","family":"Grassly","given":"Nicholas","non-dropping-particle":"","parse-names":false,"suffix":""},{"dropping-particle":"","family":"Green","given":"Will","non-dropping-particle":"","parse-names":false,"suffix":""},{"dropping-particle":"","family":"Hallett","given":"Timothy","non-dropping-particle":"","parse-names":false,"suffix":""},{"dropping-particle":"","family":"Hamlet","given":"Arran","non-dropping-particle":"","parse-names":false,"suffix":""},{"dropping-particle":"","family":"Hinsley","given":"Wes","non-dropping-particle":"","parse-names":false,"suffix":""},{"dropping-particle":"","family":"Jeffrey","given":"Ben","non-dropping-particle":"","parse-names":false,"suffix":""},{"dropping-particle":"","family":"Jorgensen","given":"David","non-dropping-particle":"","parse-names":false,"suffix":""},{"dropping-particle":"","family":"Knock","given":"Edward","non-dropping-particle":"","parse-names":false,"suffix":""},{"dropping-particle":"","family":"Laydon","given":"Daniel","non-dropping-particle":"","parse-names":false,"suffix":""},{"dropping-particle":"","family":"Nedjati-Gilani","given":"Gemma","non-dropping-particle":"","parse-names":false,"suffix":""},{"dropping-particle":"","family":"Nouvellet","given":"Pierre","non-dropping-particle":"","parse-names":false,"suffix":""},{"dropping-particle":"","family":"Parag","given":"Kris","non-dropping-particle":"","parse-names":false,"suffix":""},{"dropping-particle":"","family":"Siveroni","given":"Igor","non-dropping-particle":"","parse-names":false,"suffix":""},{"dropping-particle":"","family":"Thompson","given":"Hayley","non-dropping-particle":"","parse-names":false,"suffix":""},{"dropping-particle":"","family":"Verity","given":"Robert","non-dropping-particle":"","parse-names":false,"suffix":""},{"dropping-particle":"","family":"Volz","given":"Erik","non-dropping-particle":"","parse-names":false,"suffix":""},{"dropping-particle":"","family":"Gt Walker","given":"Patrick","non-dropping-particle":"","parse-names":false,"suffix":""},{"dropping-particle":"","family":"Walters","given":"Caroline","non-dropping-particle":"","parse-names":false,"suffix":""},{"dropping-particle":"","family":"Wang","given":"Haowei","non-dropping-particle":"","parse-names":false,"suffix":""},{"dropping-particle":"","family":"Wang","given":"Yuanrong","non-dropping-particle":"","parse-names":false,"suffix":""},{"dropping-particle":"","family":"Watson","given":"Oliver","non-dropping-particle":"","parse-names":false,"suffix":""},{"dropping-particle":"","family":"Xi","given":"Xiaoyue","non-dropping-particle":"","parse-names":false,"suffix":""},{"dropping-particle":"","family":"Winskill","given":"Peter","non-dropping-particle":"","parse-names":false,"suffix":""},{"dropping-particle":"","family":"Whittaker","given":"Charles","non-dropping-particle":"","parse-names":false,"suffix":""},{"dropping-particle":"","family":"Ghani","given":"Azra","non-dropping-particle":"","parse-names":false,"suffix":""},{"dropping-particle":"","family":"Donnelly","given":"Christl A","non-dropping-particle":"","parse-names":false,"suffix":""},{"dropping-particle":"","family":"Riley","given":"Steven","non-dropping-particle":"","parse-names":false,"suffix":""},{"dropping-particle":"","family":"Okell","given":"Lucy C","non-dropping-particle":"","parse-names":false,"suffix":""},{"dropping-particle":"","family":"Vollmer","given":"Michaela A C","non-dropping-particle":"","parse-names":false,"suffix":""},{"dropping-particle":"","family":"Ferguson","given":"Neil M","non-dropping-particle":"","parse-names":false,"suffix":""},{"dropping-particle":"","family":"Bhatt","given":"Samir","non-dropping-particle":"","parse-names":false,"suffix":""}],"id":"ITEM-1","issued":{"date-parts":[["2020"]]},"title":"Estimating the number of infections and the impact of non-pharmaceutical interventions on COVID-19 in 11 European countries. (Imperial College COVID-19 Response Team)","type":"article-journal"},"uris":["http://www.mendeley.com/documents/?uuid=e43c81aa-7602-363d-9d61-cf4bfceb26f3"]}],"mendeley":{"formattedCitation":"(&lt;i&gt;6&lt;/i&gt;)","plainTextFormattedCitation":"(6)","previouslyFormattedCitation":"(&lt;i&gt;6&lt;/i&gt;)"},"properties":{"noteIndex":0},"schema":"https://github.com/citation-style-language/schema/raw/master/csl-citation.json"}</w:instrText>
      </w:r>
      <w:r>
        <w:fldChar w:fldCharType="separate"/>
      </w:r>
      <w:r w:rsidR="005B4868" w:rsidRPr="005B4868">
        <w:rPr>
          <w:noProof/>
        </w:rPr>
        <w:t>(</w:t>
      </w:r>
      <w:r w:rsidR="005B4868" w:rsidRPr="005B4868">
        <w:rPr>
          <w:i/>
          <w:noProof/>
        </w:rPr>
        <w:t>6</w:t>
      </w:r>
      <w:r w:rsidR="005B4868" w:rsidRPr="005B4868">
        <w:rPr>
          <w:noProof/>
        </w:rPr>
        <w:t>)</w:t>
      </w:r>
      <w:r>
        <w:fldChar w:fldCharType="end"/>
      </w:r>
      <w:r>
        <w:t xml:space="preserve">. </w:t>
      </w:r>
      <w:r>
        <w:tab/>
      </w:r>
    </w:p>
    <w:p w14:paraId="4D914FDA" w14:textId="77777777" w:rsidR="002D2830" w:rsidRDefault="002D2830" w:rsidP="002D2830">
      <w:pPr>
        <w:pStyle w:val="Heading3"/>
      </w:pPr>
      <w:r>
        <w:t>Infection Fatality Ratio</w:t>
      </w:r>
    </w:p>
    <w:p w14:paraId="5AB14119" w14:textId="23910430" w:rsidR="002D2830" w:rsidRDefault="002D2830" w:rsidP="002D2830">
      <w:r>
        <w:t xml:space="preserve">We use age-stratified estimates of the IFR as presented in Verity et al. </w:t>
      </w:r>
      <w:r>
        <w:fldChar w:fldCharType="begin" w:fldLock="1"/>
      </w:r>
      <w:r w:rsidR="00AA26B4">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fldChar w:fldCharType="separate"/>
      </w:r>
      <w:r w:rsidR="005B4868" w:rsidRPr="005B4868">
        <w:rPr>
          <w:noProof/>
        </w:rPr>
        <w:t>(</w:t>
      </w:r>
      <w:r w:rsidR="005B4868" w:rsidRPr="005B4868">
        <w:rPr>
          <w:i/>
          <w:noProof/>
        </w:rPr>
        <w:t>5</w:t>
      </w:r>
      <w:r w:rsidR="005B4868" w:rsidRPr="005B4868">
        <w:rPr>
          <w:noProof/>
        </w:rPr>
        <w:t>)</w:t>
      </w:r>
      <w:r>
        <w:fldChar w:fldCharType="end"/>
      </w:r>
      <w:r>
        <w:t xml:space="preserve">, using linear interpolation on a log10 scale to obtain estimates in 5-year age-bands. These estimates were made assuming a uniform attack rate across all age-groups. To better match model-based estimates of attack rates by age generated in the presence of more detailed mixing patterns, we scale our IFR estimates as follows. </w:t>
      </w:r>
    </w:p>
    <w:p w14:paraId="5D1B534B" w14:textId="1E4D34F2" w:rsidR="002D2830" w:rsidRDefault="002D2830" w:rsidP="002D2830">
      <w:r>
        <w:t>First, we analytically generated the final epidemic size for a Chinese demography using age-based mixing patterns obtained in Zhang</w:t>
      </w:r>
      <w:r w:rsidRPr="00AE3FE4">
        <w:t xml:space="preserve"> et al.</w:t>
      </w:r>
      <w:r>
        <w:t xml:space="preserve"> </w:t>
      </w:r>
      <w:r>
        <w:fldChar w:fldCharType="begin" w:fldLock="1"/>
      </w:r>
      <w:r w:rsidR="008D059C">
        <w:instrText>ADDIN CSL_CITATION {"citationItems":[{"id":"ITEM-1","itemData":{"DOI":"10.1038/s41598-019-51609-8","ISSN":"20452322","abstract":"East Asia is as a principal hotspot for emerging zoonotic infections. Understanding the likely pathways for their emergence and spread requires knowledge on human-human and human-animal contacts, but such studies are rare. We used self-completed and interviewer-completed contact diaries to quantify patterns of these contacts for 965 individuals in 2017/2018 in a high-income densely-populated area of China, Shanghai City. Interviewer-completed diaries recorded more social contacts (19.3 vs. 18.0) and longer social contact duration (35.0 vs. 29.1 hours) than self-reporting. Strong age-assortativity was observed in all age groups especially among young participants (aged 7–20) and middle aged participants (25–55 years). 17.7% of participants reported touching animals (15.3% (pets), 0.0% (poultry) and 0.1% (livestock)). Human-human contact was very frequent but contact with animals (especially poultry) was rare although associated with frequent human-human contact. Hence, this densely populated area is more likely to act as an accelerator for human-human spread but less likely to be at the source of a zoonosis outbreak. We also propose that telephone interview at the end of reporting day is a potential improvement of the design of future contact surveys.","author":[{"dropping-particle":"","family":"Zhang","given":"Juanjuan","non-dropping-particle":"","parse-names":false,"suffix":""},{"dropping-particle":"","family":"Klepac","given":"Petra","non-dropping-particle":"","parse-names":false,"suffix":""},{"dropping-particle":"","family":"Read","given":"Jonathan M.","non-dropping-particle":"","parse-names":false,"suffix":""},{"dropping-particle":"","family":"Rosello","given":"Alicia","non-dropping-particle":"","parse-names":false,"suffix":""},{"dropping-particle":"","family":"Wang","given":"Xiling","non-dropping-particle":"","parse-names":false,"suffix":""},{"dropping-particle":"","family":"Lai","given":"Shengjie","non-dropping-particle":"","parse-names":false,"suffix":""},{"dropping-particle":"","family":"Li","given":"Meng","non-dropping-particle":"","parse-names":false,"suffix":""},{"dropping-particle":"","family":"Song","given":"Yujian","non-dropping-particle":"","parse-names":false,"suffix":""},{"dropping-particle":"","family":"Wei","given":"Qingzhen","non-dropping-particle":"","parse-names":false,"suffix":""},{"dropping-particle":"","family":"Jiang","given":"Hao","non-dropping-particle":"","parse-names":false,"suffix":""},{"dropping-particle":"","family":"Yang","given":"Juan","non-dropping-particle":"","parse-names":false,"suffix":""},{"dropping-particle":"","family":"Lynn","given":"Henry","non-dropping-particle":"","parse-names":false,"suffix":""},{"dropping-particle":"","family":"Flasche","given":"Stefan","non-dropping-particle":"","parse-names":false,"suffix":""},{"dropping-particle":"","family":"Jit","given":"Mark","non-dropping-particle":"","parse-names":false,"suffix":""},{"dropping-particle":"","family":"Yu","given":"Hongjie","non-dropping-particle":"","parse-names":false,"suffix":""}],"container-title":"Scientific Reports","id":"ITEM-1","issue":"1","issued":{"date-parts":[["2019","12","1"]]},"page":"1-11","publisher":"Nature Publishing Group","title":"Patterns of human social contact and contact with animals in Shanghai, China","type":"article-journal","volume":"9"},"uris":["http://www.mendeley.com/documents/?uuid=c5f4b0cb-2e80-3597-8158-5a1f18e22caa"]}],"mendeley":{"formattedCitation":"(&lt;i&gt;45&lt;/i&gt;)","plainTextFormattedCitation":"(45)","previouslyFormattedCitation":"(&lt;i&gt;45&lt;/i&gt;)"},"properties":{"noteIndex":0},"schema":"https://github.com/citation-style-language/schema/raw/master/csl-citation.json"}</w:instrText>
      </w:r>
      <w:r>
        <w:fldChar w:fldCharType="separate"/>
      </w:r>
      <w:r w:rsidR="001D089A" w:rsidRPr="001D089A">
        <w:rPr>
          <w:noProof/>
        </w:rPr>
        <w:t>(</w:t>
      </w:r>
      <w:r w:rsidR="001D089A" w:rsidRPr="001D089A">
        <w:rPr>
          <w:i/>
          <w:noProof/>
        </w:rPr>
        <w:t>45</w:t>
      </w:r>
      <w:r w:rsidR="001D089A" w:rsidRPr="001D089A">
        <w:rPr>
          <w:noProof/>
        </w:rPr>
        <w:t>)</w:t>
      </w:r>
      <w:r>
        <w:fldChar w:fldCharType="end"/>
      </w:r>
      <w:r>
        <w:t xml:space="preserve"> Let </w:t>
      </w:r>
      <w:r w:rsidRPr="00287F4A">
        <w:rPr>
          <w:position w:val="-10"/>
        </w:rPr>
        <w:object w:dxaOrig="480" w:dyaOrig="320" w14:anchorId="70C7F5DC">
          <v:shape id="_x0000_i1040" type="#_x0000_t75" style="width:24pt;height:16pt" o:ole="">
            <v:imagedata r:id="rId67" o:title=""/>
          </v:shape>
          <o:OLEObject Type="Embed" ProgID="Equation.DSMT4" ShapeID="_x0000_i1040" DrawAspect="Content" ObjectID="_1654001922" r:id="rId68"/>
        </w:object>
      </w:r>
      <w:r>
        <w:t xml:space="preserve"> denote the number of infections generated in age-group </w:t>
      </w:r>
      <w:r w:rsidRPr="00287F4A">
        <w:rPr>
          <w:i/>
          <w:iCs/>
        </w:rPr>
        <w:t>a</w:t>
      </w:r>
      <w:r>
        <w:t xml:space="preserve">, </w:t>
      </w:r>
      <w:r w:rsidRPr="00287F4A">
        <w:rPr>
          <w:position w:val="-10"/>
        </w:rPr>
        <w:object w:dxaOrig="560" w:dyaOrig="320" w14:anchorId="422FF24E">
          <v:shape id="_x0000_i1041" type="#_x0000_t75" style="width:27.5pt;height:16pt" o:ole="">
            <v:imagedata r:id="rId69" o:title=""/>
          </v:shape>
          <o:OLEObject Type="Embed" ProgID="Equation.DSMT4" ShapeID="_x0000_i1041" DrawAspect="Content" ObjectID="_1654001923" r:id="rId70"/>
        </w:object>
      </w:r>
      <w:r>
        <w:t xml:space="preserve"> the underlying population and </w:t>
      </w:r>
      <w:r w:rsidRPr="008B625A">
        <w:rPr>
          <w:position w:val="-10"/>
        </w:rPr>
        <w:object w:dxaOrig="2000" w:dyaOrig="320" w14:anchorId="446F7E11">
          <v:shape id="_x0000_i1042" type="#_x0000_t75" style="width:99.5pt;height:16pt" o:ole="">
            <v:imagedata r:id="rId71" o:title=""/>
          </v:shape>
          <o:OLEObject Type="Embed" ProgID="Equation.DSMT4" ShapeID="_x0000_i1042" DrawAspect="Content" ObjectID="_1654001924" r:id="rId72"/>
        </w:object>
      </w:r>
      <w:r>
        <w:t xml:space="preserve"> the attack rate. Then our adjusted IFR is given by:</w:t>
      </w:r>
    </w:p>
    <w:p w14:paraId="7C573DB5" w14:textId="77777777" w:rsidR="002D2830" w:rsidRDefault="002D2830" w:rsidP="002D2830">
      <w:pPr>
        <w:jc w:val="center"/>
      </w:pPr>
      <w:r w:rsidRPr="004D5B59">
        <w:rPr>
          <w:position w:val="-4"/>
        </w:rPr>
        <w:object w:dxaOrig="180" w:dyaOrig="279" w14:anchorId="044422F4">
          <v:shape id="_x0000_i1043" type="#_x0000_t75" style="width:9pt;height:14pt" o:ole="">
            <v:imagedata r:id="rId73" o:title=""/>
          </v:shape>
          <o:OLEObject Type="Embed" ProgID="Equation.DSMT4" ShapeID="_x0000_i1043" DrawAspect="Content" ObjectID="_1654001925" r:id="rId74"/>
        </w:object>
      </w:r>
      <w:r>
        <w:t xml:space="preserve"> </w:t>
      </w:r>
      <w:r w:rsidRPr="00091A37">
        <w:rPr>
          <w:position w:val="-28"/>
        </w:rPr>
        <w:object w:dxaOrig="2960" w:dyaOrig="660" w14:anchorId="44FD96C6">
          <v:shape id="_x0000_i1044" type="#_x0000_t75" style="width:147.5pt;height:33pt" o:ole="">
            <v:imagedata r:id="rId75" o:title=""/>
          </v:shape>
          <o:OLEObject Type="Embed" ProgID="Equation.DSMT4" ShapeID="_x0000_i1044" DrawAspect="Content" ObjectID="_1654001926" r:id="rId76"/>
        </w:object>
      </w:r>
    </w:p>
    <w:p w14:paraId="39E74450" w14:textId="77777777" w:rsidR="002D2830" w:rsidRDefault="002D2830" w:rsidP="002D2830">
      <w:pPr>
        <w:pStyle w:val="Heading3"/>
      </w:pPr>
      <w:r>
        <w:t>Probability of Hospitalisation</w:t>
      </w:r>
    </w:p>
    <w:p w14:paraId="783478C4" w14:textId="5F6D1E29" w:rsidR="002D2830" w:rsidRDefault="002D2830" w:rsidP="002D2830">
      <w:pPr>
        <w:rPr>
          <w:rFonts w:cstheme="minorHAnsi"/>
          <w:color w:val="191919"/>
          <w:shd w:val="clear" w:color="auto" w:fill="FFFFFF"/>
        </w:rPr>
      </w:pPr>
      <w:r>
        <w:t xml:space="preserve">We use age-stratified estimate of the proportion of infections that require hospitalisation as presented in Verity et al. </w:t>
      </w:r>
      <w:r>
        <w:fldChar w:fldCharType="begin" w:fldLock="1"/>
      </w:r>
      <w:r w:rsidR="00AA26B4">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fldChar w:fldCharType="separate"/>
      </w:r>
      <w:r w:rsidR="005B4868" w:rsidRPr="005B4868">
        <w:rPr>
          <w:noProof/>
        </w:rPr>
        <w:t>(</w:t>
      </w:r>
      <w:r w:rsidR="005B4868" w:rsidRPr="005B4868">
        <w:rPr>
          <w:i/>
          <w:noProof/>
        </w:rPr>
        <w:t>5</w:t>
      </w:r>
      <w:r w:rsidR="005B4868" w:rsidRPr="005B4868">
        <w:rPr>
          <w:noProof/>
        </w:rPr>
        <w:t>)</w:t>
      </w:r>
      <w:r>
        <w:fldChar w:fldCharType="end"/>
      </w:r>
      <w:r>
        <w:t>. These estimates were made on a subset of COVID</w:t>
      </w:r>
      <w:r w:rsidRPr="00751271">
        <w:rPr>
          <w:rFonts w:cstheme="minorHAnsi"/>
        </w:rPr>
        <w:t>-19 cases reported in China between January and</w:t>
      </w:r>
      <w:r w:rsidRPr="00E97E82">
        <w:rPr>
          <w:rFonts w:cstheme="minorHAnsi"/>
        </w:rPr>
        <w:t xml:space="preserve"> early February 2020. </w:t>
      </w:r>
      <w:r>
        <w:rPr>
          <w:rFonts w:cstheme="minorHAnsi"/>
          <w:color w:val="191919"/>
          <w:shd w:val="clear" w:color="auto" w:fill="FFFFFF"/>
        </w:rPr>
        <w:t>Whilst we have no reason to doubt the validity of the original numbers, t</w:t>
      </w:r>
      <w:r w:rsidRPr="00EB0F2B">
        <w:rPr>
          <w:rFonts w:cstheme="minorHAnsi"/>
        </w:rPr>
        <w:t>he preprint from which these numbers were obtained, whilst still available, has been retracted</w:t>
      </w:r>
      <w:r>
        <w:rPr>
          <w:rFonts w:cstheme="minorHAnsi"/>
        </w:rPr>
        <w:t xml:space="preserve">. These </w:t>
      </w:r>
      <w:r>
        <w:rPr>
          <w:rFonts w:cstheme="minorHAnsi"/>
          <w:color w:val="191919"/>
          <w:shd w:val="clear" w:color="auto" w:fill="FFFFFF"/>
        </w:rPr>
        <w:t xml:space="preserve">estimates (Figure S4 in blue, used for the analyses here) represent an intermediate assumption between two more recent estimates of the risk of hospitalisation as a function of age. The estimates from France </w:t>
      </w:r>
      <w:r>
        <w:rPr>
          <w:rFonts w:cstheme="minorHAnsi"/>
          <w:color w:val="191919"/>
          <w:shd w:val="clear" w:color="auto" w:fill="FFFFFF"/>
        </w:rPr>
        <w:fldChar w:fldCharType="begin" w:fldLock="1"/>
      </w:r>
      <w:r w:rsidR="000F0FC7">
        <w:rPr>
          <w:rFonts w:cstheme="minorHAnsi"/>
          <w:color w:val="191919"/>
          <w:shd w:val="clear" w:color="auto" w:fill="FFFFFF"/>
        </w:rPr>
        <w:instrText>ADDIN CSL_CITATION {"citationItems":[{"id":"ITEM-1","itemData":{"DOI":"10.1126/science.abc3517","abstract":"France has been heavily affected by the SARS-CoV-2 epidemic and went into lockdown on the 17 March 2020. Using models applied to hospital and death data, we estimate the impact of the lockdown and current population immunity. We find 3.6% of infected individuals are hospitalized and 0.7% die, ranging from 0.001% in those &lt;20 years of age (ya) to 10.1% in those &gt;80ya. Across all ages, men are more likely to be hospitalized, enter intensive care, and die than women. The lockdown reduced the reproductive number from 2.90 to 0.67 (77% reduction). By 11 May 2020, when interventions are scheduled to be eased, we project 2.8 million (range: 1.8–4.7) people, or 4.4% (range: 2.8–7.2) of the population, will have been infected. Population immunity appears insufficient to avoid a second wave if all control measures are released at the end of the lockdown.","author":[{"dropping-particle":"","family":"Salje","given":"Henrik","non-dropping-particle":"","parse-names":false,"suffix":""},{"dropping-particle":"","family":"Tran Kiem","given":"Cécile","non-dropping-particle":"","parse-names":false,"suffix":""},{"dropping-particle":"","family":"Lefrancq","given":"Noémie","non-dropping-particle":"","parse-names":false,"suffix":""},{"dropping-particle":"","family":"Courtejoie","given":"Noémie","non-dropping-particle":"","parse-names":false,"suffix":""},{"dropping-particle":"","family":"Bosetti","given":"Paolo","non-dropping-particle":"","parse-names":false,"suffix":""},{"dropping-particle":"","family":"Paireau","given":"Juliette","non-dropping-particle":"","parse-names":false,"suffix":""},{"dropping-particle":"","family":"Andronico","given":"Alessio","non-dropping-particle":"","parse-names":false,"suffix":""},{"dropping-particle":"","family":"Hozé","given":"Nathanaël","non-dropping-particle":"","parse-names":false,"suffix":""},{"dropping-particle":"","family":"Richet","given":"Jehanne","non-dropping-particle":"","parse-names":false,"suffix":""},{"dropping-particle":"","family":"Dubost","given":"Claire-Lise","non-dropping-particle":"","parse-names":false,"suffix":""},{"dropping-particle":"","family":"Strat","given":"Yann","non-dropping-particle":"Le","parse-names":false,"suffix":""},{"dropping-particle":"","family":"Lessler","given":"Justin","non-dropping-particle":"","parse-names":false,"suffix":""},{"dropping-particle":"","family":"Levy-Bruhl","given":"Daniel","non-dropping-particle":"","parse-names":false,"suffix":""},{"dropping-particle":"","family":"Fontanet","given":"Arnaud","non-dropping-particle":"","parse-names":false,"suffix":""},{"dropping-particle":"","family":"Opatowski","given":"Lulla","non-dropping-particle":"","parse-names":false,"suffix":""},{"dropping-particle":"","family":"Boelle","given":"Pierre-Yves","non-dropping-particle":"","parse-names":false,"suffix":""},{"dropping-particle":"","family":"Cauchemez","given":"Simon","non-dropping-particle":"","parse-names":false,"suffix":""}],"container-title":"Science","id":"ITEM-1","issued":{"date-parts":[["2020","5","13"]]},"publisher":"American Association for the Advancement of Science (AAAS)","title":"Estimating the burden of SARS-CoV-2 in France","type":"article-journal"},"uris":["http://www.mendeley.com/documents/?uuid=c11b9449-49f4-3a1e-8ba1-e9adedbf69b0"]}],"mendeley":{"formattedCitation":"(&lt;i&gt;61&lt;/i&gt;)","plainTextFormattedCitation":"(61)","previouslyFormattedCitation":"(&lt;i&gt;61&lt;/i&gt;)"},"properties":{"noteIndex":0},"schema":"https://github.com/citation-style-language/schema/raw/master/csl-citation.json"}</w:instrText>
      </w:r>
      <w:r>
        <w:rPr>
          <w:rFonts w:cstheme="minorHAnsi"/>
          <w:color w:val="191919"/>
          <w:shd w:val="clear" w:color="auto" w:fill="FFFFFF"/>
        </w:rPr>
        <w:fldChar w:fldCharType="separate"/>
      </w:r>
      <w:r w:rsidR="001D089A" w:rsidRPr="001D089A">
        <w:rPr>
          <w:rFonts w:cstheme="minorHAnsi"/>
          <w:noProof/>
          <w:color w:val="191919"/>
          <w:shd w:val="clear" w:color="auto" w:fill="FFFFFF"/>
        </w:rPr>
        <w:t>(</w:t>
      </w:r>
      <w:r w:rsidR="001D089A" w:rsidRPr="001D089A">
        <w:rPr>
          <w:rFonts w:cstheme="minorHAnsi"/>
          <w:i/>
          <w:noProof/>
          <w:color w:val="191919"/>
          <w:shd w:val="clear" w:color="auto" w:fill="FFFFFF"/>
        </w:rPr>
        <w:t>61</w:t>
      </w:r>
      <w:r w:rsidR="001D089A" w:rsidRPr="001D089A">
        <w:rPr>
          <w:rFonts w:cstheme="minorHAnsi"/>
          <w:noProof/>
          <w:color w:val="191919"/>
          <w:shd w:val="clear" w:color="auto" w:fill="FFFFFF"/>
        </w:rPr>
        <w:t>)</w:t>
      </w:r>
      <w:r>
        <w:rPr>
          <w:rFonts w:cstheme="minorHAnsi"/>
          <w:color w:val="191919"/>
          <w:shd w:val="clear" w:color="auto" w:fill="FFFFFF"/>
        </w:rPr>
        <w:fldChar w:fldCharType="end"/>
      </w:r>
      <w:r>
        <w:rPr>
          <w:rFonts w:cstheme="minorHAnsi"/>
          <w:color w:val="191919"/>
          <w:shd w:val="clear" w:color="auto" w:fill="FFFFFF"/>
        </w:rPr>
        <w:t xml:space="preserve"> show a steeper increase with age, whilst the more recent study from China shows an increase in risk from age 50 onwards </w:t>
      </w:r>
      <w:r>
        <w:rPr>
          <w:rFonts w:cstheme="minorHAnsi"/>
          <w:color w:val="191919"/>
          <w:shd w:val="clear" w:color="auto" w:fill="FFFFFF"/>
        </w:rPr>
        <w:fldChar w:fldCharType="begin" w:fldLock="1"/>
      </w:r>
      <w:r w:rsidR="008D059C">
        <w:rPr>
          <w:rFonts w:cstheme="minorHAnsi"/>
          <w:color w:val="191919"/>
          <w:shd w:val="clear" w:color="auto" w:fill="FFFFFF"/>
        </w:rPr>
        <w:instrText>ADDIN CSL_CITATION {"citationItems":[{"id":"ITEM-1","itemData":{"DOI":"10.1016/S1473-3099(20)30287-5","ISSN":"14733099","abstract":"&lt;h2&gt;Summary&lt;/h2&gt;&lt;h3&gt;Background&lt;/h3&gt;&lt;p&gt;Rapid spread of severe acute respiratory syndrome coronavirus 2 (SARS-CoV-2) in Wuhan, China, prompted heightened surveillance in Shenzhen, China. The resulting data provide a rare opportunity to measure key metrics of disease course, transmission, and the impact of control measures.&lt;/p&gt;&lt;h3&gt;Methods&lt;/h3&gt;&lt;p&gt;From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risk.&lt;/p&gt;&lt;h3&gt;Findings&lt;/h3&gt;&lt;p&gt;Cases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&lt;i&gt;vs&lt;/i&gt; population average of 6·6%). The observed reproductive number (&lt;i&gt;R&lt;/i&gt;) was 0·4 (95% CI 0·3–0·5), with a mean serial interval of 6·3 days (95% CI 5·2–7·6).&lt;/p&gt;&lt;h3&gt;Interpretation&lt;/h3&gt;&lt;p&gt;Our data on cases as well as their infected and uninfected close contacts provide key insights into the epidemiology of SARS-CoV-2. This analysis shows that isolation and contact tracing reduce the time during which cases are infectious in the community, thereby reducing the &lt;i&gt;R&lt;/i&gt;.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control.&lt;/p&gt;&lt;h3&gt;Funding&lt;/h3&gt;&lt;p&gt;Emergency Response Progr…","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Diseases","id":"ITEM-1","issue":"0","issued":{"date-parts":[["2020","4"]]},"publisher":"Elsevier","title":"Epidemiology and transmission of COVID-19 in 391 cases and 1286 of their close contacts in Shenzhen, China: a retrospective cohort study","type":"article-journal","volume":"0"},"uris":["http://www.mendeley.com/documents/?uuid=78b8d3e4-fcbd-3fe3-ac74-a147251f745c"]}],"mendeley":{"formattedCitation":"(&lt;i&gt;60&lt;/i&gt;)","plainTextFormattedCitation":"(60)","previouslyFormattedCitation":"(&lt;i&gt;60&lt;/i&gt;)"},"properties":{"noteIndex":0},"schema":"https://github.com/citation-style-language/schema/raw/master/csl-citation.json"}</w:instrText>
      </w:r>
      <w:r>
        <w:rPr>
          <w:rFonts w:cstheme="minorHAnsi"/>
          <w:color w:val="191919"/>
          <w:shd w:val="clear" w:color="auto" w:fill="FFFFFF"/>
        </w:rPr>
        <w:fldChar w:fldCharType="separate"/>
      </w:r>
      <w:r w:rsidR="001D089A" w:rsidRPr="001D089A">
        <w:rPr>
          <w:rFonts w:cstheme="minorHAnsi"/>
          <w:noProof/>
          <w:color w:val="191919"/>
          <w:shd w:val="clear" w:color="auto" w:fill="FFFFFF"/>
        </w:rPr>
        <w:t>(</w:t>
      </w:r>
      <w:r w:rsidR="001D089A" w:rsidRPr="001D089A">
        <w:rPr>
          <w:rFonts w:cstheme="minorHAnsi"/>
          <w:i/>
          <w:noProof/>
          <w:color w:val="191919"/>
          <w:shd w:val="clear" w:color="auto" w:fill="FFFFFF"/>
        </w:rPr>
        <w:t>60</w:t>
      </w:r>
      <w:r w:rsidR="001D089A" w:rsidRPr="001D089A">
        <w:rPr>
          <w:rFonts w:cstheme="minorHAnsi"/>
          <w:noProof/>
          <w:color w:val="191919"/>
          <w:shd w:val="clear" w:color="auto" w:fill="FFFFFF"/>
        </w:rPr>
        <w:t>)</w:t>
      </w:r>
      <w:r>
        <w:rPr>
          <w:rFonts w:cstheme="minorHAnsi"/>
          <w:color w:val="191919"/>
          <w:shd w:val="clear" w:color="auto" w:fill="FFFFFF"/>
        </w:rPr>
        <w:fldChar w:fldCharType="end"/>
      </w:r>
      <w:r>
        <w:rPr>
          <w:rFonts w:cstheme="minorHAnsi"/>
          <w:color w:val="191919"/>
          <w:shd w:val="clear" w:color="auto" w:fill="FFFFFF"/>
        </w:rPr>
        <w:t>.</w:t>
      </w:r>
    </w:p>
    <w:p w14:paraId="6560700F" w14:textId="77777777" w:rsidR="00EC01F2" w:rsidRDefault="00EC01F2" w:rsidP="002D2830">
      <w:pPr>
        <w:rPr>
          <w:rFonts w:cstheme="minorHAnsi"/>
          <w:color w:val="191919"/>
          <w:shd w:val="clear" w:color="auto" w:fill="FFFFFF"/>
        </w:rPr>
      </w:pPr>
    </w:p>
    <w:p w14:paraId="34EEA510" w14:textId="7CD0076A" w:rsidR="00B53E2F" w:rsidRDefault="00EC01F2" w:rsidP="002D2830">
      <w:pPr>
        <w:rPr>
          <w:rFonts w:cstheme="minorHAnsi"/>
          <w:color w:val="191919"/>
          <w:shd w:val="clear" w:color="auto" w:fill="FFFFFF"/>
        </w:rPr>
      </w:pPr>
      <w:r>
        <w:rPr>
          <w:rFonts w:cstheme="minorHAnsi"/>
          <w:noProof/>
          <w:color w:val="191919"/>
          <w:shd w:val="clear" w:color="auto" w:fill="FFFFFF"/>
          <w:lang w:eastAsia="en-GB"/>
        </w:rPr>
        <w:drawing>
          <wp:inline distT="0" distB="0" distL="0" distR="0" wp14:anchorId="53B96923" wp14:editId="467B5B69">
            <wp:extent cx="5731510" cy="2865755"/>
            <wp:effectExtent l="0" t="0" r="254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4_compare_uncertainty.t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009F0E4" w14:textId="007CEC11" w:rsidR="002D2830" w:rsidRDefault="002D2830" w:rsidP="002D2830">
      <w:pPr>
        <w:jc w:val="left"/>
        <w:rPr>
          <w:rFonts w:cstheme="minorHAnsi"/>
        </w:rPr>
      </w:pPr>
    </w:p>
    <w:p w14:paraId="5745FB62" w14:textId="7C99C83D" w:rsidR="006E5D4B" w:rsidRPr="00E37B8B" w:rsidRDefault="006E5D4B" w:rsidP="006E5D4B">
      <w:pPr>
        <w:jc w:val="left"/>
        <w:rPr>
          <w:rFonts w:cstheme="minorHAnsi"/>
          <w:i/>
          <w:iCs/>
        </w:rPr>
      </w:pPr>
      <w:r w:rsidRPr="00413F2F">
        <w:rPr>
          <w:rFonts w:cstheme="minorHAnsi"/>
          <w:b/>
          <w:bCs/>
          <w:i/>
          <w:iCs/>
        </w:rPr>
        <w:lastRenderedPageBreak/>
        <w:t>Figure S</w:t>
      </w:r>
      <w:r>
        <w:rPr>
          <w:rFonts w:cstheme="minorHAnsi"/>
          <w:b/>
          <w:bCs/>
          <w:i/>
          <w:iCs/>
        </w:rPr>
        <w:t>4</w:t>
      </w:r>
      <w:r w:rsidRPr="00413F2F">
        <w:rPr>
          <w:rFonts w:cstheme="minorHAnsi"/>
          <w:b/>
          <w:bCs/>
          <w:i/>
          <w:iCs/>
        </w:rPr>
        <w:t xml:space="preserve">: </w:t>
      </w:r>
      <w:r>
        <w:rPr>
          <w:rFonts w:cstheme="minorHAnsi"/>
          <w:b/>
          <w:bCs/>
          <w:i/>
          <w:iCs/>
        </w:rPr>
        <w:t xml:space="preserve">Relationship between risk of hospitalisation, the need for critical care and mortality in the presence of oxygen and mechanical ventilation. </w:t>
      </w:r>
      <w:r w:rsidRPr="00E37B8B">
        <w:rPr>
          <w:rFonts w:cstheme="minorHAnsi"/>
          <w:i/>
          <w:iCs/>
        </w:rPr>
        <w:t xml:space="preserve">Estimates used in the modelling analyses presented here (left). Comparison of estimated proportion of infections hospitalised from China (used in this analysis) with more recent analyses from France </w:t>
      </w:r>
      <w:r w:rsidRPr="00E37B8B">
        <w:rPr>
          <w:rFonts w:cstheme="minorHAnsi"/>
          <w:i/>
          <w:iCs/>
        </w:rPr>
        <w:fldChar w:fldCharType="begin" w:fldLock="1"/>
      </w:r>
      <w:r w:rsidR="000F0FC7">
        <w:rPr>
          <w:rFonts w:cstheme="minorHAnsi"/>
          <w:i/>
          <w:iCs/>
        </w:rPr>
        <w:instrText>ADDIN CSL_CITATION {"citationItems":[{"id":"ITEM-1","itemData":{"DOI":"10.1126/science.abc3517","abstract":"France has been heavily affected by the SARS-CoV-2 epidemic and went into lockdown on the 17 March 2020. Using models applied to hospital and death data, we estimate the impact of the lockdown and current population immunity. We find 3.6% of infected individuals are hospitalized and 0.7% die, ranging from 0.001% in those &lt;20 years of age (ya) to 10.1% in those &gt;80ya. Across all ages, men are more likely to be hospitalized, enter intensive care, and die than women. The lockdown reduced the reproductive number from 2.90 to 0.67 (77% reduction). By 11 May 2020, when interventions are scheduled to be eased, we project 2.8 million (range: 1.8–4.7) people, or 4.4% (range: 2.8–7.2) of the population, will have been infected. Population immunity appears insufficient to avoid a second wave if all control measures are released at the end of the lockdown.","author":[{"dropping-particle":"","family":"Salje","given":"Henrik","non-dropping-particle":"","parse-names":false,"suffix":""},{"dropping-particle":"","family":"Tran Kiem","given":"Cécile","non-dropping-particle":"","parse-names":false,"suffix":""},{"dropping-particle":"","family":"Lefrancq","given":"Noémie","non-dropping-particle":"","parse-names":false,"suffix":""},{"dropping-particle":"","family":"Courtejoie","given":"Noémie","non-dropping-particle":"","parse-names":false,"suffix":""},{"dropping-particle":"","family":"Bosetti","given":"Paolo","non-dropping-particle":"","parse-names":false,"suffix":""},{"dropping-particle":"","family":"Paireau","given":"Juliette","non-dropping-particle":"","parse-names":false,"suffix":""},{"dropping-particle":"","family":"Andronico","given":"Alessio","non-dropping-particle":"","parse-names":false,"suffix":""},{"dropping-particle":"","family":"Hozé","given":"Nathanaël","non-dropping-particle":"","parse-names":false,"suffix":""},{"dropping-particle":"","family":"Richet","given":"Jehanne","non-dropping-particle":"","parse-names":false,"suffix":""},{"dropping-particle":"","family":"Dubost","given":"Claire-Lise","non-dropping-particle":"","parse-names":false,"suffix":""},{"dropping-particle":"","family":"Strat","given":"Yann","non-dropping-particle":"Le","parse-names":false,"suffix":""},{"dropping-particle":"","family":"Lessler","given":"Justin","non-dropping-particle":"","parse-names":false,"suffix":""},{"dropping-particle":"","family":"Levy-Bruhl","given":"Daniel","non-dropping-particle":"","parse-names":false,"suffix":""},{"dropping-particle":"","family":"Fontanet","given":"Arnaud","non-dropping-particle":"","parse-names":false,"suffix":""},{"dropping-particle":"","family":"Opatowski","given":"Lulla","non-dropping-particle":"","parse-names":false,"suffix":""},{"dropping-particle":"","family":"Boelle","given":"Pierre-Yves","non-dropping-particle":"","parse-names":false,"suffix":""},{"dropping-particle":"","family":"Cauchemez","given":"Simon","non-dropping-particle":"","parse-names":false,"suffix":""}],"container-title":"Science","id":"ITEM-1","issued":{"date-parts":[["2020","5","13"]]},"publisher":"American Association for the Advancement of Science (AAAS)","title":"Estimating the burden of SARS-CoV-2 in France","type":"article-journal"},"uris":["http://www.mendeley.com/documents/?uuid=c11b9449-49f4-3a1e-8ba1-e9adedbf69b0"]}],"mendeley":{"formattedCitation":"(&lt;i&gt;61&lt;/i&gt;)","plainTextFormattedCitation":"(61)","previouslyFormattedCitation":"(&lt;i&gt;61&lt;/i&gt;)"},"properties":{"noteIndex":0},"schema":"https://github.com/citation-style-language/schema/raw/master/csl-citation.json"}</w:instrText>
      </w:r>
      <w:r w:rsidRPr="00E37B8B">
        <w:rPr>
          <w:rFonts w:cstheme="minorHAnsi"/>
          <w:i/>
          <w:iCs/>
        </w:rPr>
        <w:fldChar w:fldCharType="separate"/>
      </w:r>
      <w:r w:rsidR="00E75B57" w:rsidRPr="00E75B57">
        <w:rPr>
          <w:rFonts w:cstheme="minorHAnsi"/>
          <w:iCs/>
          <w:noProof/>
        </w:rPr>
        <w:t>(</w:t>
      </w:r>
      <w:r w:rsidR="00E75B57" w:rsidRPr="00E75B57">
        <w:rPr>
          <w:rFonts w:cstheme="minorHAnsi"/>
          <w:i/>
          <w:iCs/>
          <w:noProof/>
        </w:rPr>
        <w:t>61</w:t>
      </w:r>
      <w:r w:rsidR="00E75B57" w:rsidRPr="00E75B57">
        <w:rPr>
          <w:rFonts w:cstheme="minorHAnsi"/>
          <w:iCs/>
          <w:noProof/>
        </w:rPr>
        <w:t>)</w:t>
      </w:r>
      <w:r w:rsidRPr="00E37B8B">
        <w:rPr>
          <w:rFonts w:cstheme="minorHAnsi"/>
          <w:i/>
          <w:iCs/>
        </w:rPr>
        <w:fldChar w:fldCharType="end"/>
      </w:r>
      <w:r w:rsidRPr="00E37B8B">
        <w:rPr>
          <w:rFonts w:cstheme="minorHAnsi"/>
          <w:i/>
          <w:iCs/>
        </w:rPr>
        <w:t xml:space="preserve"> and a second dataset from China </w:t>
      </w:r>
      <w:r w:rsidRPr="00E37B8B">
        <w:rPr>
          <w:rFonts w:cstheme="minorHAnsi"/>
          <w:i/>
          <w:iCs/>
        </w:rPr>
        <w:fldChar w:fldCharType="begin" w:fldLock="1"/>
      </w:r>
      <w:r w:rsidR="008D059C">
        <w:rPr>
          <w:rFonts w:cstheme="minorHAnsi"/>
          <w:i/>
          <w:iCs/>
        </w:rPr>
        <w:instrText>ADDIN CSL_CITATION {"citationItems":[{"id":"ITEM-1","itemData":{"DOI":"10.1016/S1473-3099(20)30287-5","ISSN":"14733099","abstract":"&lt;h2&gt;Summary&lt;/h2&gt;&lt;h3&gt;Background&lt;/h3&gt;&lt;p&gt;Rapid spread of severe acute respiratory syndrome coronavirus 2 (SARS-CoV-2) in Wuhan, China, prompted heightened surveillance in Shenzhen, China. The resulting data provide a rare opportunity to measure key metrics of disease course, transmission, and the impact of control measures.&lt;/p&gt;&lt;h3&gt;Methods&lt;/h3&gt;&lt;p&gt;From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risk.&lt;/p&gt;&lt;h3&gt;Findings&lt;/h3&gt;&lt;p&gt;Cases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&lt;i&gt;vs&lt;/i&gt; population average of 6·6%). The observed reproductive number (&lt;i&gt;R&lt;/i&gt;) was 0·4 (95% CI 0·3–0·5), with a mean serial interval of 6·3 days (95% CI 5·2–7·6).&lt;/p&gt;&lt;h3&gt;Interpretation&lt;/h3&gt;&lt;p&gt;Our data on cases as well as their infected and uninfected close contacts provide key insights into the epidemiology of SARS-CoV-2. This analysis shows that isolation and contact tracing reduce the time during which cases are infectious in the community, thereby reducing the &lt;i&gt;R&lt;/i&gt;.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control.&lt;/p&gt;&lt;h3&gt;Funding&lt;/h3&gt;&lt;p&gt;Emergency Response Progr…","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Diseases","id":"ITEM-1","issue":"0","issued":{"date-parts":[["2020","4"]]},"publisher":"Elsevier","title":"Epidemiology and transmission of COVID-19 in 391 cases and 1286 of their close contacts in Shenzhen, China: a retrospective cohort study","type":"article-journal","volume":"0"},"uris":["http://www.mendeley.com/documents/?uuid=78b8d3e4-fcbd-3fe3-ac74-a147251f745c"]}],"mendeley":{"formattedCitation":"(&lt;i&gt;60&lt;/i&gt;)","plainTextFormattedCitation":"(60)","previouslyFormattedCitation":"(&lt;i&gt;60&lt;/i&gt;)"},"properties":{"noteIndex":0},"schema":"https://github.com/citation-style-language/schema/raw/master/csl-citation.json"}</w:instrText>
      </w:r>
      <w:r w:rsidRPr="00E37B8B">
        <w:rPr>
          <w:rFonts w:cstheme="minorHAnsi"/>
          <w:i/>
          <w:iCs/>
        </w:rPr>
        <w:fldChar w:fldCharType="separate"/>
      </w:r>
      <w:r w:rsidR="001D089A" w:rsidRPr="001D089A">
        <w:rPr>
          <w:rFonts w:cstheme="minorHAnsi"/>
          <w:iCs/>
          <w:noProof/>
        </w:rPr>
        <w:t>(</w:t>
      </w:r>
      <w:r w:rsidR="001D089A" w:rsidRPr="001D089A">
        <w:rPr>
          <w:rFonts w:cstheme="minorHAnsi"/>
          <w:i/>
          <w:iCs/>
          <w:noProof/>
        </w:rPr>
        <w:t>60</w:t>
      </w:r>
      <w:r w:rsidR="001D089A" w:rsidRPr="001D089A">
        <w:rPr>
          <w:rFonts w:cstheme="minorHAnsi"/>
          <w:iCs/>
          <w:noProof/>
        </w:rPr>
        <w:t>)</w:t>
      </w:r>
      <w:r w:rsidRPr="00E37B8B">
        <w:rPr>
          <w:rFonts w:cstheme="minorHAnsi"/>
          <w:i/>
          <w:iCs/>
        </w:rPr>
        <w:fldChar w:fldCharType="end"/>
      </w:r>
      <w:r w:rsidRPr="00E37B8B">
        <w:rPr>
          <w:rFonts w:cstheme="minorHAnsi"/>
          <w:i/>
          <w:iCs/>
        </w:rPr>
        <w:t xml:space="preserve"> (right). </w:t>
      </w:r>
    </w:p>
    <w:p w14:paraId="6DF9990A" w14:textId="77777777" w:rsidR="002D2830" w:rsidRDefault="002D2830" w:rsidP="002D2830">
      <w:r>
        <w:t xml:space="preserve">Due to the small numbers of severe cases in younger age-groups, we first need to smooth this pattern to relate it directly to the estimates of IFR to avoid fluctuations in these age-groups in the proportion of hospitalised infections that die. </w:t>
      </w:r>
    </w:p>
    <w:p w14:paraId="1B710EFE" w14:textId="77777777" w:rsidR="002D2830" w:rsidRDefault="002D2830" w:rsidP="002D2830">
      <w:r>
        <w:t xml:space="preserve">To do so, we first scale both the original IFR estimates and the proportion of infections hospitalised (PIH) relative to the oldest age group: </w:t>
      </w:r>
    </w:p>
    <w:p w14:paraId="5B58F193" w14:textId="77777777" w:rsidR="002D2830" w:rsidRDefault="002D2830" w:rsidP="002D2830">
      <w:pPr>
        <w:pStyle w:val="MTDisplayEquation"/>
      </w:pPr>
      <w:r>
        <w:tab/>
      </w:r>
      <w:r w:rsidRPr="008B01A2">
        <w:rPr>
          <w:position w:val="-62"/>
        </w:rPr>
        <w:object w:dxaOrig="2040" w:dyaOrig="1359" w14:anchorId="4F8E033E">
          <v:shape id="_x0000_i1045" type="#_x0000_t75" style="width:102.5pt;height:68.5pt" o:ole="">
            <v:imagedata r:id="rId78" o:title=""/>
          </v:shape>
          <o:OLEObject Type="Embed" ProgID="Equation.DSMT4" ShapeID="_x0000_i1045" DrawAspect="Content" ObjectID="_1654001927" r:id="rId79"/>
        </w:object>
      </w:r>
      <w:r>
        <w:t xml:space="preserve"> </w:t>
      </w:r>
    </w:p>
    <w:p w14:paraId="7E38834B" w14:textId="77777777" w:rsidR="002D2830" w:rsidRDefault="002D2830" w:rsidP="002D2830">
      <w:pPr>
        <w:spacing w:line="259" w:lineRule="auto"/>
      </w:pPr>
      <w:r>
        <w:t xml:space="preserve">We then smooth the ratio of </w:t>
      </w:r>
      <w:r w:rsidRPr="00EB0F25">
        <w:rPr>
          <w:position w:val="-12"/>
        </w:rPr>
        <w:object w:dxaOrig="1620" w:dyaOrig="360" w14:anchorId="161F4F25">
          <v:shape id="_x0000_i1046" type="#_x0000_t75" style="width:81pt;height:18.5pt" o:ole="">
            <v:imagedata r:id="rId80" o:title=""/>
          </v:shape>
          <o:OLEObject Type="Embed" ProgID="Equation.DSMT4" ShapeID="_x0000_i1046" DrawAspect="Content" ObjectID="_1654001928" r:id="rId81"/>
        </w:object>
      </w:r>
      <w:r>
        <w:t xml:space="preserve"> in those aged 40 and under to ensure a constant proportion of deaths in hospitalised cases (of 3%) in this age-group. We subsequently use the smoothed scaling </w:t>
      </w:r>
      <w:r w:rsidRPr="00EB0F25">
        <w:rPr>
          <w:position w:val="-12"/>
        </w:rPr>
        <w:object w:dxaOrig="1620" w:dyaOrig="360" w14:anchorId="4A2C0E51">
          <v:shape id="_x0000_i1047" type="#_x0000_t75" style="width:81pt;height:18.5pt" o:ole="">
            <v:imagedata r:id="rId80" o:title=""/>
          </v:shape>
          <o:OLEObject Type="Embed" ProgID="Equation.DSMT4" ShapeID="_x0000_i1047" DrawAspect="Content" ObjectID="_1654001929" r:id="rId82"/>
        </w:object>
      </w:r>
      <w:r>
        <w:t xml:space="preserve">and IFR’(a) to obtain an adjusted PIH’(a) that can be applied to model output for non-uniform attack rates by age. </w:t>
      </w:r>
    </w:p>
    <w:p w14:paraId="5911CDDA" w14:textId="77777777" w:rsidR="002D2830" w:rsidRDefault="002D2830" w:rsidP="002D2830">
      <w:pPr>
        <w:pStyle w:val="Heading3"/>
      </w:pPr>
      <w:r>
        <w:t>Estimates of Critical Care Demand</w:t>
      </w:r>
    </w:p>
    <w:p w14:paraId="1B131CE8" w14:textId="77777777" w:rsidR="002D2830" w:rsidRDefault="002D2830" w:rsidP="002D2830">
      <w:r>
        <w:t xml:space="preserve">The above calculations allow us to obtain estimates of symptomatic cases, hospitalisations and deaths from the model outputted numbers of infections. </w:t>
      </w:r>
    </w:p>
    <w:p w14:paraId="4748BBA9" w14:textId="77777777" w:rsidR="002D2830" w:rsidRDefault="002D2830" w:rsidP="002D2830">
      <w:r>
        <w:t xml:space="preserve">To obtain estimates of the number of cases requiring critical care, we first assume that the overall age-distribution of those in critical care will be the same as the age-distribution of the IFR. If we let the proportion of infections requiring critical care be denoted by </w:t>
      </w:r>
      <w:r w:rsidRPr="00D97692">
        <w:rPr>
          <w:position w:val="-12"/>
        </w:rPr>
        <w:object w:dxaOrig="680" w:dyaOrig="360" w14:anchorId="172E0508">
          <v:shape id="_x0000_i1048" type="#_x0000_t75" style="width:34pt;height:18.5pt" o:ole="">
            <v:imagedata r:id="rId83" o:title=""/>
          </v:shape>
          <o:OLEObject Type="Embed" ProgID="Equation.DSMT4" ShapeID="_x0000_i1048" DrawAspect="Content" ObjectID="_1654001930" r:id="rId84"/>
        </w:object>
      </w:r>
      <w:r>
        <w:t xml:space="preserve"> then</w:t>
      </w:r>
    </w:p>
    <w:p w14:paraId="4C5411E5" w14:textId="77777777" w:rsidR="002D2830" w:rsidRDefault="002D2830" w:rsidP="002D2830">
      <w:pPr>
        <w:pStyle w:val="MTDisplayEquation"/>
      </w:pPr>
      <w:r>
        <w:tab/>
      </w:r>
      <w:r w:rsidRPr="00D97692">
        <w:rPr>
          <w:position w:val="-12"/>
        </w:rPr>
        <w:object w:dxaOrig="2439" w:dyaOrig="360" w14:anchorId="5B83C1F2">
          <v:shape id="_x0000_i1049" type="#_x0000_t75" style="width:122pt;height:18.5pt" o:ole="">
            <v:imagedata r:id="rId85" o:title=""/>
          </v:shape>
          <o:OLEObject Type="Embed" ProgID="Equation.DSMT4" ShapeID="_x0000_i1049" DrawAspect="Content" ObjectID="_1654001931" r:id="rId86"/>
        </w:object>
      </w:r>
      <w:r>
        <w:t xml:space="preserve"> </w:t>
      </w:r>
    </w:p>
    <w:p w14:paraId="503F4D51" w14:textId="77777777" w:rsidR="002D2830" w:rsidRDefault="002D2830" w:rsidP="002D2830">
      <w:r>
        <w:t xml:space="preserve">We fix </w:t>
      </w:r>
      <w:r w:rsidRPr="00D97692">
        <w:rPr>
          <w:position w:val="-12"/>
        </w:rPr>
        <w:object w:dxaOrig="920" w:dyaOrig="360" w14:anchorId="68B44A09">
          <v:shape id="_x0000_i1050" type="#_x0000_t75" style="width:46.5pt;height:18.5pt" o:ole="">
            <v:imagedata r:id="rId87" o:title=""/>
          </v:shape>
          <o:OLEObject Type="Embed" ProgID="Equation.DSMT4" ShapeID="_x0000_i1050" DrawAspect="Content" ObjectID="_1654001932" r:id="rId88"/>
        </w:object>
      </w:r>
      <w:r>
        <w:t xml:space="preserve">so that the proportion of overall hospitalised cases requiring critical care is 30% </w:t>
      </w:r>
      <w:r w:rsidRPr="00913250">
        <w:t>based on early reports from COVID-19 cases in the UK, China and Italy</w:t>
      </w:r>
      <w:r>
        <w:t xml:space="preserve">. The number of cases in critical care is therefore </w:t>
      </w:r>
      <w:r w:rsidRPr="00576A06">
        <w:rPr>
          <w:position w:val="-12"/>
        </w:rPr>
        <w:object w:dxaOrig="1960" w:dyaOrig="360" w14:anchorId="67893567">
          <v:shape id="_x0000_i1051" type="#_x0000_t75" style="width:98.5pt;height:18.5pt" o:ole="">
            <v:imagedata r:id="rId89" o:title=""/>
          </v:shape>
          <o:OLEObject Type="Embed" ProgID="Equation.DSMT4" ShapeID="_x0000_i1051" DrawAspect="Content" ObjectID="_1654001933" r:id="rId90"/>
        </w:object>
      </w:r>
      <w:r>
        <w:t xml:space="preserve"> whilst the number of cases not in critical care is </w:t>
      </w:r>
      <w:r w:rsidRPr="00576A06">
        <w:rPr>
          <w:position w:val="-10"/>
        </w:rPr>
        <w:object w:dxaOrig="2299" w:dyaOrig="320" w14:anchorId="15D28D1B">
          <v:shape id="_x0000_i1052" type="#_x0000_t75" style="width:114.5pt;height:16pt" o:ole="">
            <v:imagedata r:id="rId91" o:title=""/>
          </v:shape>
          <o:OLEObject Type="Embed" ProgID="Equation.DSMT4" ShapeID="_x0000_i1052" DrawAspect="Content" ObjectID="_1654001934" r:id="rId92"/>
        </w:object>
      </w:r>
      <w:r>
        <w:t xml:space="preserve"> where H(a) is the number of hospitalised cases in age-group a. </w:t>
      </w:r>
    </w:p>
    <w:p w14:paraId="2785EF13" w14:textId="6EF5620F" w:rsidR="002D2830" w:rsidRDefault="002D2830" w:rsidP="002D2830">
      <w:r>
        <w:t xml:space="preserve">Based on early observations of COVID-19 progression in the UK, we assume that the probability of death in those in critical care is 50% </w:t>
      </w:r>
      <w:r w:rsidR="00C51E88">
        <w:fldChar w:fldCharType="begin" w:fldLock="1"/>
      </w:r>
      <w:r w:rsidR="005A5DEF">
        <w:instrText>ADDIN CSL_CITATION {"citationItems":[{"id":"ITEM-1","itemData":{"author":[{"dropping-particle":"","family":"Intensive Care National Audit &amp; Research Centre (ICNARC)","given":"","non-dropping-particle":"","parse-names":false,"suffix":""}],"id":"ITEM-1","issued":{"date-parts":[["2020"]]},"title":"ICNARC report on COVID-19 in critical care 10 April 2020","type":"article-journal"},"uris":["http://www.mendeley.com/documents/?uuid=a57a64af-0537-42ac-9121-960978ac43b7"]}],"mendeley":{"formattedCitation":"(&lt;i&gt;9&lt;/i&gt;)","plainTextFormattedCitation":"(9)","previouslyFormattedCitation":"(&lt;i&gt;9&lt;/i&gt;)"},"properties":{"noteIndex":0},"schema":"https://github.com/citation-style-language/schema/raw/master/csl-citation.json"}</w:instrText>
      </w:r>
      <w:r w:rsidR="00C51E88">
        <w:fldChar w:fldCharType="separate"/>
      </w:r>
      <w:r w:rsidR="00C51E88" w:rsidRPr="00E57DCE">
        <w:rPr>
          <w:noProof/>
        </w:rPr>
        <w:t>(</w:t>
      </w:r>
      <w:r w:rsidR="00C51E88" w:rsidRPr="00E57DCE">
        <w:rPr>
          <w:i/>
          <w:noProof/>
        </w:rPr>
        <w:t>9</w:t>
      </w:r>
      <w:r w:rsidR="00C51E88" w:rsidRPr="00E57DCE">
        <w:rPr>
          <w:noProof/>
        </w:rPr>
        <w:t>)</w:t>
      </w:r>
      <w:r w:rsidR="00C51E88">
        <w:fldChar w:fldCharType="end"/>
      </w:r>
      <w:r>
        <w:t>. We then obtain age-dependent fatality ratios in non-critical care as:</w:t>
      </w:r>
      <w:r w:rsidRPr="008F636A">
        <w:rPr>
          <w:position w:val="-4"/>
        </w:rPr>
        <w:object w:dxaOrig="180" w:dyaOrig="279" w14:anchorId="497C12BC">
          <v:shape id="_x0000_i1053" type="#_x0000_t75" style="width:9pt;height:14pt" o:ole="">
            <v:imagedata r:id="rId93" o:title=""/>
          </v:shape>
          <o:OLEObject Type="Embed" ProgID="Equation.DSMT4" ShapeID="_x0000_i1053" DrawAspect="Content" ObjectID="_1654001935" r:id="rId94"/>
        </w:object>
      </w:r>
      <w:r>
        <w:t xml:space="preserve"> </w:t>
      </w:r>
      <w:r w:rsidRPr="00576A06">
        <w:rPr>
          <w:position w:val="-4"/>
        </w:rPr>
        <w:object w:dxaOrig="180" w:dyaOrig="279" w14:anchorId="37E78C8A">
          <v:shape id="_x0000_i1054" type="#_x0000_t75" style="width:9pt;height:14pt" o:ole="">
            <v:imagedata r:id="rId93" o:title=""/>
          </v:shape>
          <o:OLEObject Type="Embed" ProgID="Equation.DSMT4" ShapeID="_x0000_i1054" DrawAspect="Content" ObjectID="_1654001936" r:id="rId95"/>
        </w:object>
      </w:r>
      <w:r>
        <w:t xml:space="preserve"> </w:t>
      </w:r>
    </w:p>
    <w:p w14:paraId="58316CCA" w14:textId="77777777" w:rsidR="002D2830" w:rsidRDefault="002D2830" w:rsidP="002D2830">
      <w:pPr>
        <w:jc w:val="center"/>
      </w:pPr>
      <w:r w:rsidRPr="008F636A">
        <w:rPr>
          <w:position w:val="-28"/>
        </w:rPr>
        <w:object w:dxaOrig="4160" w:dyaOrig="660" w14:anchorId="49076698">
          <v:shape id="_x0000_i1055" type="#_x0000_t75" style="width:208pt;height:33pt" o:ole="">
            <v:imagedata r:id="rId96" o:title=""/>
          </v:shape>
          <o:OLEObject Type="Embed" ProgID="Equation.DSMT4" ShapeID="_x0000_i1055" DrawAspect="Content" ObjectID="_1654001937" r:id="rId97"/>
        </w:object>
      </w:r>
    </w:p>
    <w:p w14:paraId="7B2766C2" w14:textId="77777777" w:rsidR="002D2830" w:rsidRDefault="002D2830" w:rsidP="002D2830">
      <w:pPr>
        <w:pStyle w:val="Heading3"/>
      </w:pPr>
    </w:p>
    <w:p w14:paraId="319E1777" w14:textId="0BD04D2B" w:rsidR="002D2830" w:rsidRDefault="002D2830" w:rsidP="002D2830">
      <w:r>
        <w:lastRenderedPageBreak/>
        <w:t>The key resulting model parameters are shown in Table S</w:t>
      </w:r>
      <w:r w:rsidR="003D5566">
        <w:t>2</w:t>
      </w:r>
      <w:r>
        <w:t>.</w:t>
      </w:r>
    </w:p>
    <w:p w14:paraId="18F6F4CB" w14:textId="2FA89D8D" w:rsidR="002D2830" w:rsidRPr="00F408E7" w:rsidRDefault="002D2830" w:rsidP="002D2830">
      <w:pPr>
        <w:rPr>
          <w:b/>
          <w:bCs/>
          <w:i/>
          <w:iCs/>
        </w:rPr>
      </w:pPr>
      <w:r w:rsidRPr="00F408E7">
        <w:rPr>
          <w:b/>
          <w:bCs/>
          <w:i/>
          <w:iCs/>
        </w:rPr>
        <w:t>Table S</w:t>
      </w:r>
      <w:r w:rsidR="003D5566">
        <w:rPr>
          <w:b/>
          <w:bCs/>
          <w:i/>
          <w:iCs/>
        </w:rPr>
        <w:t>2</w:t>
      </w:r>
      <w:r>
        <w:rPr>
          <w:b/>
          <w:bCs/>
          <w:i/>
          <w:iCs/>
        </w:rPr>
        <w:t xml:space="preserve">: Age-stratified parameters including IFR, the proportion of infections hospitalised, the proportion of hospitalised cases requiring critical care and the proportion of non-critical care cases that die. </w:t>
      </w:r>
    </w:p>
    <w:tbl>
      <w:tblPr>
        <w:tblStyle w:val="TableGrid"/>
        <w:tblW w:w="0" w:type="auto"/>
        <w:tblLook w:val="04A0" w:firstRow="1" w:lastRow="0" w:firstColumn="1" w:lastColumn="0" w:noHBand="0" w:noVBand="1"/>
      </w:tblPr>
      <w:tblGrid>
        <w:gridCol w:w="1280"/>
        <w:gridCol w:w="2015"/>
        <w:gridCol w:w="1907"/>
        <w:gridCol w:w="1907"/>
        <w:gridCol w:w="1907"/>
      </w:tblGrid>
      <w:tr w:rsidR="002D2830" w14:paraId="5C767823" w14:textId="77777777" w:rsidTr="00AB5852">
        <w:tc>
          <w:tcPr>
            <w:tcW w:w="1280" w:type="dxa"/>
            <w:shd w:val="clear" w:color="auto" w:fill="E7E6E6" w:themeFill="background2"/>
          </w:tcPr>
          <w:p w14:paraId="5519CAF0" w14:textId="77777777" w:rsidR="002D2830" w:rsidRDefault="002D2830" w:rsidP="00AB5852">
            <w:pPr>
              <w:spacing w:line="259" w:lineRule="auto"/>
              <w:jc w:val="left"/>
            </w:pPr>
            <w:r>
              <w:t>Age-group</w:t>
            </w:r>
          </w:p>
        </w:tc>
        <w:tc>
          <w:tcPr>
            <w:tcW w:w="2015" w:type="dxa"/>
            <w:shd w:val="clear" w:color="auto" w:fill="E7E6E6" w:themeFill="background2"/>
          </w:tcPr>
          <w:p w14:paraId="598B460F" w14:textId="77777777" w:rsidR="002D2830" w:rsidRDefault="002D2830" w:rsidP="00AB5852">
            <w:pPr>
              <w:spacing w:line="259" w:lineRule="auto"/>
              <w:jc w:val="left"/>
            </w:pPr>
            <w:r>
              <w:t>Adjusted IFR</w:t>
            </w:r>
          </w:p>
        </w:tc>
        <w:tc>
          <w:tcPr>
            <w:tcW w:w="1907" w:type="dxa"/>
            <w:shd w:val="clear" w:color="auto" w:fill="E7E6E6" w:themeFill="background2"/>
          </w:tcPr>
          <w:p w14:paraId="4F0B845E" w14:textId="77777777" w:rsidR="002D2830" w:rsidRDefault="002D2830" w:rsidP="00AB5852">
            <w:pPr>
              <w:spacing w:line="259" w:lineRule="auto"/>
              <w:jc w:val="left"/>
            </w:pPr>
            <w:r>
              <w:t>Proportion of Infections Hospitalised</w:t>
            </w:r>
          </w:p>
        </w:tc>
        <w:tc>
          <w:tcPr>
            <w:tcW w:w="1907" w:type="dxa"/>
            <w:shd w:val="clear" w:color="auto" w:fill="E7E6E6" w:themeFill="background2"/>
          </w:tcPr>
          <w:p w14:paraId="07E1D89A" w14:textId="77777777" w:rsidR="002D2830" w:rsidRDefault="002D2830" w:rsidP="00AB5852">
            <w:pPr>
              <w:spacing w:line="259" w:lineRule="auto"/>
              <w:jc w:val="left"/>
            </w:pPr>
            <w:r>
              <w:t>Proportion of Hospitalised Cases requiring Critical Care</w:t>
            </w:r>
          </w:p>
        </w:tc>
        <w:tc>
          <w:tcPr>
            <w:tcW w:w="1907" w:type="dxa"/>
            <w:shd w:val="clear" w:color="auto" w:fill="E7E6E6" w:themeFill="background2"/>
          </w:tcPr>
          <w:p w14:paraId="7E3F463C" w14:textId="77777777" w:rsidR="002D2830" w:rsidRDefault="002D2830" w:rsidP="00AB5852">
            <w:pPr>
              <w:spacing w:line="259" w:lineRule="auto"/>
              <w:jc w:val="left"/>
            </w:pPr>
            <w:r>
              <w:t>Proportion of non-critical care cases dying</w:t>
            </w:r>
          </w:p>
        </w:tc>
      </w:tr>
      <w:tr w:rsidR="002D2830" w14:paraId="32AB7040" w14:textId="77777777" w:rsidTr="00AB5852">
        <w:tc>
          <w:tcPr>
            <w:tcW w:w="1280" w:type="dxa"/>
          </w:tcPr>
          <w:p w14:paraId="47EBB8CC" w14:textId="77777777" w:rsidR="002D2830" w:rsidRDefault="002D2830" w:rsidP="00AB5852">
            <w:pPr>
              <w:spacing w:line="259" w:lineRule="auto"/>
              <w:jc w:val="left"/>
            </w:pPr>
            <w:r>
              <w:t>0 to 4</w:t>
            </w:r>
          </w:p>
        </w:tc>
        <w:tc>
          <w:tcPr>
            <w:tcW w:w="2015" w:type="dxa"/>
            <w:vAlign w:val="center"/>
          </w:tcPr>
          <w:p w14:paraId="391D3B08" w14:textId="77777777" w:rsidR="002D2830" w:rsidRDefault="002D2830" w:rsidP="00AB5852">
            <w:pPr>
              <w:spacing w:line="259" w:lineRule="auto"/>
              <w:jc w:val="center"/>
            </w:pPr>
            <w:r>
              <w:t>0.003%</w:t>
            </w:r>
          </w:p>
        </w:tc>
        <w:tc>
          <w:tcPr>
            <w:tcW w:w="1907" w:type="dxa"/>
            <w:vAlign w:val="center"/>
          </w:tcPr>
          <w:p w14:paraId="316E8257"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0.001</w:t>
            </w:r>
          </w:p>
        </w:tc>
        <w:tc>
          <w:tcPr>
            <w:tcW w:w="1907" w:type="dxa"/>
            <w:vAlign w:val="center"/>
          </w:tcPr>
          <w:p w14:paraId="778B14AD"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2DA51F38"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63EE8321" w14:textId="77777777" w:rsidTr="00AB5852">
        <w:tc>
          <w:tcPr>
            <w:tcW w:w="1280" w:type="dxa"/>
          </w:tcPr>
          <w:p w14:paraId="75FE16F9" w14:textId="77777777" w:rsidR="002D2830" w:rsidRDefault="002D2830" w:rsidP="00AB5852">
            <w:pPr>
              <w:spacing w:line="259" w:lineRule="auto"/>
              <w:jc w:val="left"/>
            </w:pPr>
            <w:r>
              <w:t>5 to 9</w:t>
            </w:r>
          </w:p>
        </w:tc>
        <w:tc>
          <w:tcPr>
            <w:tcW w:w="2015" w:type="dxa"/>
            <w:vAlign w:val="center"/>
          </w:tcPr>
          <w:p w14:paraId="2FC4327D" w14:textId="77777777" w:rsidR="002D2830" w:rsidRDefault="002D2830" w:rsidP="00AB5852">
            <w:pPr>
              <w:spacing w:line="259" w:lineRule="auto"/>
              <w:jc w:val="center"/>
            </w:pPr>
            <w:r>
              <w:t>0.002%</w:t>
            </w:r>
          </w:p>
        </w:tc>
        <w:tc>
          <w:tcPr>
            <w:tcW w:w="1907" w:type="dxa"/>
            <w:vAlign w:val="center"/>
          </w:tcPr>
          <w:p w14:paraId="14D1ABC5"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0.001</w:t>
            </w:r>
          </w:p>
        </w:tc>
        <w:tc>
          <w:tcPr>
            <w:tcW w:w="1907" w:type="dxa"/>
            <w:vAlign w:val="center"/>
          </w:tcPr>
          <w:p w14:paraId="4AB76D8C"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79F26A8C"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5E9B0B64" w14:textId="77777777" w:rsidTr="00AB5852">
        <w:tc>
          <w:tcPr>
            <w:tcW w:w="1280" w:type="dxa"/>
          </w:tcPr>
          <w:p w14:paraId="50297602" w14:textId="77777777" w:rsidR="002D2830" w:rsidRDefault="002D2830" w:rsidP="00AB5852">
            <w:pPr>
              <w:spacing w:line="259" w:lineRule="auto"/>
              <w:jc w:val="left"/>
            </w:pPr>
            <w:r>
              <w:t>10 to 14</w:t>
            </w:r>
          </w:p>
        </w:tc>
        <w:tc>
          <w:tcPr>
            <w:tcW w:w="2015" w:type="dxa"/>
            <w:vAlign w:val="center"/>
          </w:tcPr>
          <w:p w14:paraId="61A10F94" w14:textId="77777777" w:rsidR="002D2830" w:rsidRDefault="002D2830" w:rsidP="00AB5852">
            <w:pPr>
              <w:spacing w:line="259" w:lineRule="auto"/>
              <w:jc w:val="center"/>
            </w:pPr>
            <w:r>
              <w:t>0.004%</w:t>
            </w:r>
          </w:p>
        </w:tc>
        <w:tc>
          <w:tcPr>
            <w:tcW w:w="1907" w:type="dxa"/>
            <w:vAlign w:val="center"/>
          </w:tcPr>
          <w:p w14:paraId="7ADF8D55"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0.001</w:t>
            </w:r>
          </w:p>
        </w:tc>
        <w:tc>
          <w:tcPr>
            <w:tcW w:w="1907" w:type="dxa"/>
            <w:vAlign w:val="center"/>
          </w:tcPr>
          <w:p w14:paraId="6D3DFDA6"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7E38A83C"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68AB8CAD" w14:textId="77777777" w:rsidTr="00AB5852">
        <w:tc>
          <w:tcPr>
            <w:tcW w:w="1280" w:type="dxa"/>
          </w:tcPr>
          <w:p w14:paraId="7D10F66F" w14:textId="77777777" w:rsidR="002D2830" w:rsidRDefault="002D2830" w:rsidP="00AB5852">
            <w:pPr>
              <w:spacing w:line="259" w:lineRule="auto"/>
              <w:jc w:val="left"/>
            </w:pPr>
            <w:r>
              <w:t>15 to 19</w:t>
            </w:r>
          </w:p>
        </w:tc>
        <w:tc>
          <w:tcPr>
            <w:tcW w:w="2015" w:type="dxa"/>
            <w:vAlign w:val="center"/>
          </w:tcPr>
          <w:p w14:paraId="0ECAEAE0" w14:textId="77777777" w:rsidR="002D2830" w:rsidRDefault="002D2830" w:rsidP="00AB5852">
            <w:pPr>
              <w:spacing w:line="259" w:lineRule="auto"/>
              <w:jc w:val="center"/>
            </w:pPr>
            <w:r>
              <w:t>0.01%</w:t>
            </w:r>
          </w:p>
        </w:tc>
        <w:tc>
          <w:tcPr>
            <w:tcW w:w="1907" w:type="dxa"/>
            <w:vAlign w:val="center"/>
          </w:tcPr>
          <w:p w14:paraId="19A1523E"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0.002</w:t>
            </w:r>
          </w:p>
        </w:tc>
        <w:tc>
          <w:tcPr>
            <w:tcW w:w="1907" w:type="dxa"/>
            <w:vAlign w:val="center"/>
          </w:tcPr>
          <w:p w14:paraId="5CDCD735"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1F38FF6C"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774EC561" w14:textId="77777777" w:rsidTr="00AB5852">
        <w:tc>
          <w:tcPr>
            <w:tcW w:w="1280" w:type="dxa"/>
          </w:tcPr>
          <w:p w14:paraId="1840BCC4" w14:textId="77777777" w:rsidR="002D2830" w:rsidRDefault="002D2830" w:rsidP="00AB5852">
            <w:pPr>
              <w:spacing w:line="259" w:lineRule="auto"/>
              <w:jc w:val="left"/>
            </w:pPr>
            <w:r>
              <w:t>20 to 24</w:t>
            </w:r>
          </w:p>
        </w:tc>
        <w:tc>
          <w:tcPr>
            <w:tcW w:w="2015" w:type="dxa"/>
            <w:vAlign w:val="center"/>
          </w:tcPr>
          <w:p w14:paraId="06965E9C" w14:textId="77777777" w:rsidR="002D2830" w:rsidRDefault="002D2830" w:rsidP="00AB5852">
            <w:pPr>
              <w:spacing w:line="259" w:lineRule="auto"/>
              <w:jc w:val="center"/>
            </w:pPr>
            <w:r>
              <w:t>0.02%</w:t>
            </w:r>
          </w:p>
        </w:tc>
        <w:tc>
          <w:tcPr>
            <w:tcW w:w="1907" w:type="dxa"/>
            <w:vAlign w:val="center"/>
          </w:tcPr>
          <w:p w14:paraId="51B82B03"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0.005</w:t>
            </w:r>
          </w:p>
        </w:tc>
        <w:tc>
          <w:tcPr>
            <w:tcW w:w="1907" w:type="dxa"/>
            <w:vAlign w:val="center"/>
          </w:tcPr>
          <w:p w14:paraId="2156EF9A"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1F32B4CC"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44ECC891" w14:textId="77777777" w:rsidTr="00AB5852">
        <w:tc>
          <w:tcPr>
            <w:tcW w:w="1280" w:type="dxa"/>
          </w:tcPr>
          <w:p w14:paraId="23F72130" w14:textId="77777777" w:rsidR="002D2830" w:rsidRDefault="002D2830" w:rsidP="00AB5852">
            <w:pPr>
              <w:spacing w:line="259" w:lineRule="auto"/>
              <w:jc w:val="left"/>
            </w:pPr>
            <w:r>
              <w:t>25 to 29</w:t>
            </w:r>
          </w:p>
        </w:tc>
        <w:tc>
          <w:tcPr>
            <w:tcW w:w="2015" w:type="dxa"/>
            <w:vAlign w:val="center"/>
          </w:tcPr>
          <w:p w14:paraId="5AC0E728" w14:textId="77777777" w:rsidR="002D2830" w:rsidRDefault="002D2830" w:rsidP="00AB5852">
            <w:pPr>
              <w:spacing w:line="259" w:lineRule="auto"/>
              <w:jc w:val="center"/>
            </w:pPr>
            <w:r>
              <w:t>0.04%</w:t>
            </w:r>
          </w:p>
        </w:tc>
        <w:tc>
          <w:tcPr>
            <w:tcW w:w="1907" w:type="dxa"/>
            <w:vAlign w:val="center"/>
          </w:tcPr>
          <w:p w14:paraId="3570D6A1"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0.010</w:t>
            </w:r>
          </w:p>
        </w:tc>
        <w:tc>
          <w:tcPr>
            <w:tcW w:w="1907" w:type="dxa"/>
            <w:vAlign w:val="center"/>
          </w:tcPr>
          <w:p w14:paraId="44E6A3F2"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5F2C635D"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4D2B683E" w14:textId="77777777" w:rsidTr="00AB5852">
        <w:tc>
          <w:tcPr>
            <w:tcW w:w="1280" w:type="dxa"/>
          </w:tcPr>
          <w:p w14:paraId="4AD73E17" w14:textId="77777777" w:rsidR="002D2830" w:rsidRDefault="002D2830" w:rsidP="00AB5852">
            <w:pPr>
              <w:spacing w:line="259" w:lineRule="auto"/>
              <w:jc w:val="left"/>
            </w:pPr>
            <w:r>
              <w:t>30 to 34</w:t>
            </w:r>
          </w:p>
        </w:tc>
        <w:tc>
          <w:tcPr>
            <w:tcW w:w="2015" w:type="dxa"/>
            <w:vAlign w:val="center"/>
          </w:tcPr>
          <w:p w14:paraId="3E75C2E9" w14:textId="77777777" w:rsidR="002D2830" w:rsidRDefault="002D2830" w:rsidP="00AB5852">
            <w:pPr>
              <w:spacing w:line="259" w:lineRule="auto"/>
              <w:jc w:val="center"/>
            </w:pPr>
            <w:r>
              <w:t>0.06%</w:t>
            </w:r>
          </w:p>
        </w:tc>
        <w:tc>
          <w:tcPr>
            <w:tcW w:w="1907" w:type="dxa"/>
            <w:vAlign w:val="center"/>
          </w:tcPr>
          <w:p w14:paraId="46C33438"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0.016</w:t>
            </w:r>
          </w:p>
        </w:tc>
        <w:tc>
          <w:tcPr>
            <w:tcW w:w="1907" w:type="dxa"/>
            <w:vAlign w:val="center"/>
          </w:tcPr>
          <w:p w14:paraId="49B71E70"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0.050</w:t>
            </w:r>
          </w:p>
        </w:tc>
        <w:tc>
          <w:tcPr>
            <w:tcW w:w="1907" w:type="dxa"/>
            <w:vAlign w:val="center"/>
          </w:tcPr>
          <w:p w14:paraId="11177D37"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20410A18" w14:textId="77777777" w:rsidTr="00AB5852">
        <w:tc>
          <w:tcPr>
            <w:tcW w:w="1280" w:type="dxa"/>
          </w:tcPr>
          <w:p w14:paraId="154AF462" w14:textId="77777777" w:rsidR="002D2830" w:rsidRDefault="002D2830" w:rsidP="00AB5852">
            <w:pPr>
              <w:spacing w:line="259" w:lineRule="auto"/>
              <w:jc w:val="left"/>
            </w:pPr>
            <w:r>
              <w:t>35 to 39</w:t>
            </w:r>
          </w:p>
        </w:tc>
        <w:tc>
          <w:tcPr>
            <w:tcW w:w="2015" w:type="dxa"/>
            <w:vAlign w:val="center"/>
          </w:tcPr>
          <w:p w14:paraId="778E0F9E" w14:textId="77777777" w:rsidR="002D2830" w:rsidRDefault="002D2830" w:rsidP="00AB5852">
            <w:pPr>
              <w:spacing w:line="259" w:lineRule="auto"/>
              <w:jc w:val="center"/>
            </w:pPr>
            <w:r>
              <w:t>0.09%</w:t>
            </w:r>
          </w:p>
        </w:tc>
        <w:tc>
          <w:tcPr>
            <w:tcW w:w="1907" w:type="dxa"/>
            <w:vAlign w:val="center"/>
          </w:tcPr>
          <w:p w14:paraId="1FFA0D32"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0.023</w:t>
            </w:r>
          </w:p>
        </w:tc>
        <w:tc>
          <w:tcPr>
            <w:tcW w:w="1907" w:type="dxa"/>
            <w:vAlign w:val="center"/>
          </w:tcPr>
          <w:p w14:paraId="56D9071D"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0.053</w:t>
            </w:r>
          </w:p>
        </w:tc>
        <w:tc>
          <w:tcPr>
            <w:tcW w:w="1907" w:type="dxa"/>
            <w:vAlign w:val="center"/>
          </w:tcPr>
          <w:p w14:paraId="5EF2B61B"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0.013</w:t>
            </w:r>
          </w:p>
        </w:tc>
      </w:tr>
      <w:tr w:rsidR="002D2830" w14:paraId="2EA620F2" w14:textId="77777777" w:rsidTr="00AB5852">
        <w:tc>
          <w:tcPr>
            <w:tcW w:w="1280" w:type="dxa"/>
          </w:tcPr>
          <w:p w14:paraId="7A2CFDDA" w14:textId="77777777" w:rsidR="002D2830" w:rsidRDefault="002D2830" w:rsidP="00AB5852">
            <w:pPr>
              <w:spacing w:line="259" w:lineRule="auto"/>
              <w:jc w:val="left"/>
            </w:pPr>
            <w:r>
              <w:t>40 to 44</w:t>
            </w:r>
          </w:p>
        </w:tc>
        <w:tc>
          <w:tcPr>
            <w:tcW w:w="2015" w:type="dxa"/>
            <w:vAlign w:val="center"/>
          </w:tcPr>
          <w:p w14:paraId="2B138ACF" w14:textId="77777777" w:rsidR="002D2830" w:rsidRDefault="002D2830" w:rsidP="00AB5852">
            <w:pPr>
              <w:spacing w:line="259" w:lineRule="auto"/>
              <w:jc w:val="center"/>
            </w:pPr>
            <w:r>
              <w:t>0.13%</w:t>
            </w:r>
          </w:p>
        </w:tc>
        <w:tc>
          <w:tcPr>
            <w:tcW w:w="1907" w:type="dxa"/>
            <w:vAlign w:val="center"/>
          </w:tcPr>
          <w:p w14:paraId="27C0EF5B"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0.029</w:t>
            </w:r>
          </w:p>
        </w:tc>
        <w:tc>
          <w:tcPr>
            <w:tcW w:w="1907" w:type="dxa"/>
            <w:vAlign w:val="center"/>
          </w:tcPr>
          <w:p w14:paraId="2FAB4CD4"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0.060</w:t>
            </w:r>
          </w:p>
        </w:tc>
        <w:tc>
          <w:tcPr>
            <w:tcW w:w="1907" w:type="dxa"/>
            <w:vAlign w:val="center"/>
          </w:tcPr>
          <w:p w14:paraId="59AF2187" w14:textId="77777777" w:rsidR="002D2830" w:rsidRPr="00F63B05" w:rsidRDefault="002D2830" w:rsidP="00AB5852">
            <w:pPr>
              <w:spacing w:line="259" w:lineRule="auto"/>
              <w:jc w:val="center"/>
              <w:rPr>
                <w:rFonts w:cstheme="minorHAnsi"/>
              </w:rPr>
            </w:pPr>
            <w:r w:rsidRPr="00F63B05">
              <w:rPr>
                <w:rFonts w:eastAsia="Times New Roman" w:cstheme="minorHAnsi"/>
                <w:color w:val="333333"/>
                <w:lang w:eastAsia="en-GB"/>
              </w:rPr>
              <w:t>0.015</w:t>
            </w:r>
          </w:p>
        </w:tc>
      </w:tr>
      <w:tr w:rsidR="002D2830" w14:paraId="2E47465D" w14:textId="77777777" w:rsidTr="00AB5852">
        <w:tc>
          <w:tcPr>
            <w:tcW w:w="1280" w:type="dxa"/>
          </w:tcPr>
          <w:p w14:paraId="364AA2C8" w14:textId="77777777" w:rsidR="002D2830" w:rsidRDefault="002D2830" w:rsidP="00AB5852">
            <w:pPr>
              <w:spacing w:line="259" w:lineRule="auto"/>
              <w:jc w:val="left"/>
            </w:pPr>
            <w:r>
              <w:t>45 to 49</w:t>
            </w:r>
          </w:p>
        </w:tc>
        <w:tc>
          <w:tcPr>
            <w:tcW w:w="2015" w:type="dxa"/>
            <w:vAlign w:val="center"/>
          </w:tcPr>
          <w:p w14:paraId="68539557"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0.21%</w:t>
            </w:r>
          </w:p>
        </w:tc>
        <w:tc>
          <w:tcPr>
            <w:tcW w:w="1907" w:type="dxa"/>
            <w:vAlign w:val="center"/>
          </w:tcPr>
          <w:p w14:paraId="69951DC5"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0.039</w:t>
            </w:r>
          </w:p>
        </w:tc>
        <w:tc>
          <w:tcPr>
            <w:tcW w:w="1907" w:type="dxa"/>
            <w:vAlign w:val="center"/>
          </w:tcPr>
          <w:p w14:paraId="18A3EF60"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0.075</w:t>
            </w:r>
          </w:p>
        </w:tc>
        <w:tc>
          <w:tcPr>
            <w:tcW w:w="1907" w:type="dxa"/>
            <w:vAlign w:val="center"/>
          </w:tcPr>
          <w:p w14:paraId="6423036D"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0.019</w:t>
            </w:r>
          </w:p>
        </w:tc>
      </w:tr>
      <w:tr w:rsidR="002D2830" w14:paraId="771F2907" w14:textId="77777777" w:rsidTr="00AB5852">
        <w:tc>
          <w:tcPr>
            <w:tcW w:w="1280" w:type="dxa"/>
          </w:tcPr>
          <w:p w14:paraId="7F63287C" w14:textId="77777777" w:rsidR="002D2830" w:rsidRDefault="002D2830" w:rsidP="00AB5852">
            <w:pPr>
              <w:spacing w:line="259" w:lineRule="auto"/>
              <w:jc w:val="left"/>
            </w:pPr>
            <w:r>
              <w:t>50 to 54</w:t>
            </w:r>
          </w:p>
        </w:tc>
        <w:tc>
          <w:tcPr>
            <w:tcW w:w="2015" w:type="dxa"/>
            <w:vAlign w:val="center"/>
          </w:tcPr>
          <w:p w14:paraId="1A1520EC"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0.44%</w:t>
            </w:r>
          </w:p>
        </w:tc>
        <w:tc>
          <w:tcPr>
            <w:tcW w:w="1907" w:type="dxa"/>
            <w:vAlign w:val="center"/>
          </w:tcPr>
          <w:p w14:paraId="379CCB96"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0.058</w:t>
            </w:r>
          </w:p>
        </w:tc>
        <w:tc>
          <w:tcPr>
            <w:tcW w:w="1907" w:type="dxa"/>
            <w:vAlign w:val="center"/>
          </w:tcPr>
          <w:p w14:paraId="153B08C5"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0.104</w:t>
            </w:r>
          </w:p>
        </w:tc>
        <w:tc>
          <w:tcPr>
            <w:tcW w:w="1907" w:type="dxa"/>
            <w:vAlign w:val="center"/>
          </w:tcPr>
          <w:p w14:paraId="14CC27CA"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0.027</w:t>
            </w:r>
          </w:p>
        </w:tc>
      </w:tr>
      <w:tr w:rsidR="002D2830" w14:paraId="5EBED8E8" w14:textId="77777777" w:rsidTr="00AB5852">
        <w:tc>
          <w:tcPr>
            <w:tcW w:w="1280" w:type="dxa"/>
          </w:tcPr>
          <w:p w14:paraId="0175D7AD" w14:textId="77777777" w:rsidR="002D2830" w:rsidRDefault="002D2830" w:rsidP="00AB5852">
            <w:pPr>
              <w:spacing w:line="259" w:lineRule="auto"/>
              <w:jc w:val="left"/>
            </w:pPr>
            <w:r>
              <w:t>55 to 59</w:t>
            </w:r>
          </w:p>
        </w:tc>
        <w:tc>
          <w:tcPr>
            <w:tcW w:w="2015" w:type="dxa"/>
            <w:vAlign w:val="center"/>
          </w:tcPr>
          <w:p w14:paraId="20DFAB24"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0.80%</w:t>
            </w:r>
          </w:p>
        </w:tc>
        <w:tc>
          <w:tcPr>
            <w:tcW w:w="1907" w:type="dxa"/>
            <w:vAlign w:val="center"/>
          </w:tcPr>
          <w:p w14:paraId="3FB54CC3"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0.072</w:t>
            </w:r>
          </w:p>
        </w:tc>
        <w:tc>
          <w:tcPr>
            <w:tcW w:w="1907" w:type="dxa"/>
            <w:vAlign w:val="center"/>
          </w:tcPr>
          <w:p w14:paraId="294E9B29"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0.149</w:t>
            </w:r>
          </w:p>
        </w:tc>
        <w:tc>
          <w:tcPr>
            <w:tcW w:w="1907" w:type="dxa"/>
            <w:vAlign w:val="center"/>
          </w:tcPr>
          <w:p w14:paraId="47A34C9C"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0.042</w:t>
            </w:r>
          </w:p>
        </w:tc>
      </w:tr>
      <w:tr w:rsidR="002D2830" w14:paraId="3520AC2B" w14:textId="77777777" w:rsidTr="00AB5852">
        <w:tc>
          <w:tcPr>
            <w:tcW w:w="1280" w:type="dxa"/>
          </w:tcPr>
          <w:p w14:paraId="5A942D1F" w14:textId="77777777" w:rsidR="002D2830" w:rsidRDefault="002D2830" w:rsidP="00AB5852">
            <w:pPr>
              <w:spacing w:line="259" w:lineRule="auto"/>
              <w:jc w:val="left"/>
            </w:pPr>
            <w:r>
              <w:t>60 to 64</w:t>
            </w:r>
          </w:p>
        </w:tc>
        <w:tc>
          <w:tcPr>
            <w:tcW w:w="2015" w:type="dxa"/>
            <w:vAlign w:val="center"/>
          </w:tcPr>
          <w:p w14:paraId="0193ED3C"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1.68%</w:t>
            </w:r>
          </w:p>
        </w:tc>
        <w:tc>
          <w:tcPr>
            <w:tcW w:w="1907" w:type="dxa"/>
            <w:vAlign w:val="center"/>
          </w:tcPr>
          <w:p w14:paraId="2300CAA6"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0.102</w:t>
            </w:r>
          </w:p>
        </w:tc>
        <w:tc>
          <w:tcPr>
            <w:tcW w:w="1907" w:type="dxa"/>
            <w:vAlign w:val="center"/>
          </w:tcPr>
          <w:p w14:paraId="706B1074"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0.224</w:t>
            </w:r>
          </w:p>
        </w:tc>
        <w:tc>
          <w:tcPr>
            <w:tcW w:w="1907" w:type="dxa"/>
            <w:vAlign w:val="center"/>
          </w:tcPr>
          <w:p w14:paraId="566328CA"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0.069</w:t>
            </w:r>
          </w:p>
        </w:tc>
      </w:tr>
      <w:tr w:rsidR="002D2830" w14:paraId="48650ACA" w14:textId="77777777" w:rsidTr="00AB5852">
        <w:tc>
          <w:tcPr>
            <w:tcW w:w="1280" w:type="dxa"/>
          </w:tcPr>
          <w:p w14:paraId="4179BED8" w14:textId="77777777" w:rsidR="002D2830" w:rsidRDefault="002D2830" w:rsidP="00AB5852">
            <w:pPr>
              <w:spacing w:line="259" w:lineRule="auto"/>
              <w:jc w:val="left"/>
            </w:pPr>
            <w:r>
              <w:t>65 to 69</w:t>
            </w:r>
          </w:p>
        </w:tc>
        <w:tc>
          <w:tcPr>
            <w:tcW w:w="2015" w:type="dxa"/>
            <w:vAlign w:val="center"/>
          </w:tcPr>
          <w:p w14:paraId="769B3A69"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2.65%</w:t>
            </w:r>
          </w:p>
        </w:tc>
        <w:tc>
          <w:tcPr>
            <w:tcW w:w="1907" w:type="dxa"/>
            <w:vAlign w:val="center"/>
          </w:tcPr>
          <w:p w14:paraId="3C1CB519"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0.117</w:t>
            </w:r>
          </w:p>
        </w:tc>
        <w:tc>
          <w:tcPr>
            <w:tcW w:w="1907" w:type="dxa"/>
            <w:vAlign w:val="center"/>
          </w:tcPr>
          <w:p w14:paraId="345C49BD"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0.307</w:t>
            </w:r>
          </w:p>
        </w:tc>
        <w:tc>
          <w:tcPr>
            <w:tcW w:w="1907" w:type="dxa"/>
            <w:vAlign w:val="center"/>
          </w:tcPr>
          <w:p w14:paraId="5385A057"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0.105</w:t>
            </w:r>
          </w:p>
        </w:tc>
      </w:tr>
      <w:tr w:rsidR="002D2830" w14:paraId="10A88D85" w14:textId="77777777" w:rsidTr="00AB5852">
        <w:tc>
          <w:tcPr>
            <w:tcW w:w="1280" w:type="dxa"/>
          </w:tcPr>
          <w:p w14:paraId="675BB169" w14:textId="77777777" w:rsidR="002D2830" w:rsidRDefault="002D2830" w:rsidP="00AB5852">
            <w:pPr>
              <w:spacing w:line="259" w:lineRule="auto"/>
              <w:jc w:val="left"/>
            </w:pPr>
            <w:r>
              <w:t>70 to 74</w:t>
            </w:r>
          </w:p>
        </w:tc>
        <w:tc>
          <w:tcPr>
            <w:tcW w:w="2015" w:type="dxa"/>
            <w:vAlign w:val="center"/>
          </w:tcPr>
          <w:p w14:paraId="43B1F4AB"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4.16%</w:t>
            </w:r>
          </w:p>
        </w:tc>
        <w:tc>
          <w:tcPr>
            <w:tcW w:w="1907" w:type="dxa"/>
            <w:vAlign w:val="center"/>
          </w:tcPr>
          <w:p w14:paraId="1D0410B3"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0.146</w:t>
            </w:r>
          </w:p>
        </w:tc>
        <w:tc>
          <w:tcPr>
            <w:tcW w:w="1907" w:type="dxa"/>
            <w:vAlign w:val="center"/>
          </w:tcPr>
          <w:p w14:paraId="40016EEE"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0.386</w:t>
            </w:r>
          </w:p>
        </w:tc>
        <w:tc>
          <w:tcPr>
            <w:tcW w:w="1907" w:type="dxa"/>
            <w:vAlign w:val="center"/>
          </w:tcPr>
          <w:p w14:paraId="12097A61"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0.149</w:t>
            </w:r>
          </w:p>
        </w:tc>
      </w:tr>
      <w:tr w:rsidR="002D2830" w14:paraId="0804A5CD" w14:textId="77777777" w:rsidTr="00AB5852">
        <w:tc>
          <w:tcPr>
            <w:tcW w:w="1280" w:type="dxa"/>
          </w:tcPr>
          <w:p w14:paraId="2D49D639" w14:textId="77777777" w:rsidR="002D2830" w:rsidRDefault="002D2830" w:rsidP="00AB5852">
            <w:pPr>
              <w:spacing w:line="259" w:lineRule="auto"/>
              <w:jc w:val="left"/>
            </w:pPr>
            <w:r>
              <w:t>75 to 79</w:t>
            </w:r>
          </w:p>
        </w:tc>
        <w:tc>
          <w:tcPr>
            <w:tcW w:w="2015" w:type="dxa"/>
            <w:vAlign w:val="center"/>
          </w:tcPr>
          <w:p w14:paraId="04AC1750"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6.01%</w:t>
            </w:r>
          </w:p>
        </w:tc>
        <w:tc>
          <w:tcPr>
            <w:tcW w:w="1907" w:type="dxa"/>
            <w:vAlign w:val="center"/>
          </w:tcPr>
          <w:p w14:paraId="5906F9EE"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0.177</w:t>
            </w:r>
          </w:p>
        </w:tc>
        <w:tc>
          <w:tcPr>
            <w:tcW w:w="1907" w:type="dxa"/>
            <w:vAlign w:val="center"/>
          </w:tcPr>
          <w:p w14:paraId="7BAEFD31"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0.461</w:t>
            </w:r>
          </w:p>
        </w:tc>
        <w:tc>
          <w:tcPr>
            <w:tcW w:w="1907" w:type="dxa"/>
            <w:vAlign w:val="center"/>
          </w:tcPr>
          <w:p w14:paraId="033449EC"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0.203</w:t>
            </w:r>
          </w:p>
        </w:tc>
      </w:tr>
      <w:tr w:rsidR="002D2830" w14:paraId="6C903416" w14:textId="77777777" w:rsidTr="00AB5852">
        <w:tc>
          <w:tcPr>
            <w:tcW w:w="1280" w:type="dxa"/>
          </w:tcPr>
          <w:p w14:paraId="35594C64" w14:textId="77777777" w:rsidR="002D2830" w:rsidRDefault="002D2830" w:rsidP="00AB5852">
            <w:pPr>
              <w:spacing w:line="259" w:lineRule="auto"/>
              <w:jc w:val="left"/>
            </w:pPr>
            <w:r>
              <w:t>80+</w:t>
            </w:r>
          </w:p>
        </w:tc>
        <w:tc>
          <w:tcPr>
            <w:tcW w:w="2015" w:type="dxa"/>
            <w:vAlign w:val="center"/>
          </w:tcPr>
          <w:p w14:paraId="3DD47B86" w14:textId="77777777" w:rsidR="002D2830" w:rsidRDefault="002D2830" w:rsidP="00AB5852">
            <w:pPr>
              <w:spacing w:line="259" w:lineRule="auto"/>
              <w:jc w:val="center"/>
              <w:rPr>
                <w:rFonts w:ascii="Calibri" w:hAnsi="Calibri" w:cs="Calibri"/>
                <w:color w:val="000000"/>
              </w:rPr>
            </w:pPr>
            <w:r>
              <w:rPr>
                <w:rFonts w:ascii="Calibri" w:hAnsi="Calibri" w:cs="Calibri"/>
                <w:color w:val="000000"/>
              </w:rPr>
              <w:t>9.42%</w:t>
            </w:r>
          </w:p>
        </w:tc>
        <w:tc>
          <w:tcPr>
            <w:tcW w:w="1907" w:type="dxa"/>
            <w:vAlign w:val="center"/>
          </w:tcPr>
          <w:p w14:paraId="1B93A128"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0.180</w:t>
            </w:r>
          </w:p>
        </w:tc>
        <w:tc>
          <w:tcPr>
            <w:tcW w:w="1907" w:type="dxa"/>
            <w:vAlign w:val="center"/>
          </w:tcPr>
          <w:p w14:paraId="099A32AF"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0.709</w:t>
            </w:r>
          </w:p>
        </w:tc>
        <w:tc>
          <w:tcPr>
            <w:tcW w:w="1907" w:type="dxa"/>
            <w:vAlign w:val="center"/>
          </w:tcPr>
          <w:p w14:paraId="7B970B0F" w14:textId="77777777" w:rsidR="002D2830" w:rsidRPr="00F63B05" w:rsidRDefault="002D2830" w:rsidP="00AB5852">
            <w:pPr>
              <w:spacing w:line="259" w:lineRule="auto"/>
              <w:jc w:val="center"/>
              <w:rPr>
                <w:rFonts w:cstheme="minorHAnsi"/>
                <w:color w:val="000000"/>
              </w:rPr>
            </w:pPr>
            <w:r w:rsidRPr="00F63B05">
              <w:rPr>
                <w:rFonts w:eastAsia="Times New Roman" w:cstheme="minorHAnsi"/>
                <w:color w:val="333333"/>
                <w:lang w:eastAsia="en-GB"/>
              </w:rPr>
              <w:t>0.580</w:t>
            </w:r>
          </w:p>
        </w:tc>
      </w:tr>
    </w:tbl>
    <w:p w14:paraId="732B10B9" w14:textId="77777777" w:rsidR="002D2830" w:rsidRDefault="002D2830" w:rsidP="002D2830"/>
    <w:p w14:paraId="69F7F12D" w14:textId="77777777" w:rsidR="002D2830" w:rsidRDefault="002D2830" w:rsidP="002D2830">
      <w:pPr>
        <w:pStyle w:val="Heading3"/>
      </w:pPr>
      <w:r>
        <w:t>Modified Standard of Care for LIC and LMIC</w:t>
      </w:r>
    </w:p>
    <w:p w14:paraId="67EC28A2" w14:textId="1203A1CC" w:rsidR="002D2830" w:rsidRDefault="002D2830" w:rsidP="002D2830">
      <w:r>
        <w:t>Current data on outcomes for hospitalised COVID-19 patients are currently based on data from HIC and MIC (China, Europe and US). Given the substantially weaker health systems in LIC and LMIC, it is likely that these outcomes will differ. To derive estimates for the key parameters determining the severity outcomes, a rapid expert clinical review was convened by DL. Eight clinical experts with experience both in treating COVID-19 patients and the UK and with previous experience in clinical practice in LIC/LMICs were asked to provide their assessment for the questions in Table S</w:t>
      </w:r>
      <w:r w:rsidR="003D5566">
        <w:t>3</w:t>
      </w:r>
      <w:r>
        <w:t>. Using these consensus inputs, we modified the following parameters to explore different IFRs in LIC and LMICs, though it should be noted that there was also consensus that this is likely to be highly heterogeneous both within and between countries due to other factors that are difficult to quantify.</w:t>
      </w:r>
    </w:p>
    <w:p w14:paraId="2F5624E0" w14:textId="02B8E746" w:rsidR="002D2830" w:rsidRPr="00F408E7" w:rsidRDefault="002D2830" w:rsidP="002D2830">
      <w:pPr>
        <w:rPr>
          <w:b/>
          <w:bCs/>
          <w:i/>
          <w:iCs/>
        </w:rPr>
      </w:pPr>
      <w:r w:rsidRPr="00F408E7">
        <w:rPr>
          <w:b/>
          <w:bCs/>
          <w:i/>
          <w:iCs/>
        </w:rPr>
        <w:t>Table S</w:t>
      </w:r>
      <w:r w:rsidR="003D5566">
        <w:rPr>
          <w:b/>
          <w:bCs/>
          <w:i/>
          <w:iCs/>
        </w:rPr>
        <w:t>3</w:t>
      </w:r>
      <w:r w:rsidRPr="00F408E7">
        <w:rPr>
          <w:b/>
          <w:bCs/>
          <w:i/>
          <w:iCs/>
        </w:rPr>
        <w:t xml:space="preserve">: </w:t>
      </w:r>
      <w:r>
        <w:rPr>
          <w:b/>
          <w:bCs/>
          <w:i/>
          <w:iCs/>
        </w:rPr>
        <w:t>Expert Clinical Opinion for Severity Outcomes</w:t>
      </w:r>
    </w:p>
    <w:tbl>
      <w:tblPr>
        <w:tblStyle w:val="TableGrid"/>
        <w:tblW w:w="9180" w:type="dxa"/>
        <w:tblInd w:w="-113" w:type="dxa"/>
        <w:tblLook w:val="04A0" w:firstRow="1" w:lastRow="0" w:firstColumn="1" w:lastColumn="0" w:noHBand="0" w:noVBand="1"/>
      </w:tblPr>
      <w:tblGrid>
        <w:gridCol w:w="2744"/>
        <w:gridCol w:w="4030"/>
        <w:gridCol w:w="2406"/>
      </w:tblGrid>
      <w:tr w:rsidR="002D2830" w:rsidRPr="00686E16" w14:paraId="3CA00671" w14:textId="77777777" w:rsidTr="00AB5852">
        <w:tc>
          <w:tcPr>
            <w:tcW w:w="2744" w:type="dxa"/>
          </w:tcPr>
          <w:p w14:paraId="16D16A03" w14:textId="77777777" w:rsidR="002D2830" w:rsidRPr="00F408E7" w:rsidRDefault="002D2830" w:rsidP="00AB5852">
            <w:pPr>
              <w:rPr>
                <w:b/>
                <w:bCs/>
              </w:rPr>
            </w:pPr>
            <w:r w:rsidRPr="00F408E7">
              <w:rPr>
                <w:b/>
                <w:bCs/>
              </w:rPr>
              <w:t>Questions</w:t>
            </w:r>
          </w:p>
        </w:tc>
        <w:tc>
          <w:tcPr>
            <w:tcW w:w="4030" w:type="dxa"/>
          </w:tcPr>
          <w:p w14:paraId="7ADCB740" w14:textId="77777777" w:rsidR="002D2830" w:rsidRPr="00F408E7" w:rsidRDefault="002D2830" w:rsidP="00AB5852">
            <w:pPr>
              <w:rPr>
                <w:b/>
                <w:bCs/>
              </w:rPr>
            </w:pPr>
            <w:r w:rsidRPr="00F408E7">
              <w:rPr>
                <w:b/>
                <w:bCs/>
              </w:rPr>
              <w:t>Clinical Inputs</w:t>
            </w:r>
          </w:p>
        </w:tc>
        <w:tc>
          <w:tcPr>
            <w:tcW w:w="2406" w:type="dxa"/>
          </w:tcPr>
          <w:p w14:paraId="006EFB01" w14:textId="77777777" w:rsidR="002D2830" w:rsidRPr="00F408E7" w:rsidRDefault="002D2830" w:rsidP="00AB5852">
            <w:pPr>
              <w:rPr>
                <w:b/>
                <w:bCs/>
              </w:rPr>
            </w:pPr>
            <w:r w:rsidRPr="00F408E7">
              <w:rPr>
                <w:b/>
                <w:bCs/>
              </w:rPr>
              <w:t>Data Source(s)</w:t>
            </w:r>
          </w:p>
        </w:tc>
      </w:tr>
      <w:tr w:rsidR="002D2830" w:rsidRPr="00686E16" w14:paraId="189E07A6" w14:textId="77777777" w:rsidTr="00AB5852">
        <w:tc>
          <w:tcPr>
            <w:tcW w:w="9180" w:type="dxa"/>
            <w:gridSpan w:val="3"/>
            <w:shd w:val="clear" w:color="auto" w:fill="E7E6E6" w:themeFill="background2"/>
          </w:tcPr>
          <w:p w14:paraId="6223F5EA" w14:textId="77777777" w:rsidR="002D2830" w:rsidRPr="00F408E7" w:rsidRDefault="002D2830" w:rsidP="00AB5852">
            <w:r w:rsidRPr="00F408E7">
              <w:t>Fatality rate in those who require ICU</w:t>
            </w:r>
          </w:p>
        </w:tc>
      </w:tr>
      <w:tr w:rsidR="002D2830" w:rsidRPr="00686E16" w14:paraId="752B6B66" w14:textId="77777777" w:rsidTr="00AB5852">
        <w:tc>
          <w:tcPr>
            <w:tcW w:w="2744" w:type="dxa"/>
          </w:tcPr>
          <w:p w14:paraId="01982587" w14:textId="77777777" w:rsidR="002D2830" w:rsidRPr="00F408E7" w:rsidRDefault="002D2830" w:rsidP="002D2830">
            <w:pPr>
              <w:pStyle w:val="ListParagraph"/>
              <w:numPr>
                <w:ilvl w:val="0"/>
                <w:numId w:val="17"/>
              </w:numPr>
              <w:spacing w:line="240" w:lineRule="auto"/>
              <w:ind w:left="360"/>
              <w:jc w:val="left"/>
            </w:pPr>
            <w:r w:rsidRPr="00F408E7">
              <w:t xml:space="preserve">If require mechanical ventilation (~80% of UK ICU patients) but </w:t>
            </w:r>
            <w:r w:rsidRPr="00F408E7">
              <w:lastRenderedPageBreak/>
              <w:t>ventilation is not available</w:t>
            </w:r>
          </w:p>
          <w:p w14:paraId="44E464B0" w14:textId="77777777" w:rsidR="002D2830" w:rsidRPr="00F408E7" w:rsidRDefault="002D2830" w:rsidP="00AB5852"/>
        </w:tc>
        <w:tc>
          <w:tcPr>
            <w:tcW w:w="4030" w:type="dxa"/>
          </w:tcPr>
          <w:p w14:paraId="08F79A12" w14:textId="77777777" w:rsidR="002D2830" w:rsidRPr="00F408E7" w:rsidRDefault="002D2830" w:rsidP="00AB5852">
            <w:r w:rsidRPr="00F408E7">
              <w:lastRenderedPageBreak/>
              <w:t xml:space="preserve">95-100% </w:t>
            </w:r>
          </w:p>
        </w:tc>
        <w:tc>
          <w:tcPr>
            <w:tcW w:w="2406" w:type="dxa"/>
          </w:tcPr>
          <w:p w14:paraId="1DDE5339" w14:textId="77777777" w:rsidR="002D2830" w:rsidRPr="00F408E7" w:rsidRDefault="002D2830" w:rsidP="00AB5852">
            <w:r w:rsidRPr="00F408E7">
              <w:t>Multiple clinical opinion</w:t>
            </w:r>
          </w:p>
        </w:tc>
      </w:tr>
      <w:tr w:rsidR="002D2830" w:rsidRPr="00686E16" w14:paraId="663D26F4" w14:textId="77777777" w:rsidTr="00AB5852">
        <w:tc>
          <w:tcPr>
            <w:tcW w:w="2744" w:type="dxa"/>
          </w:tcPr>
          <w:p w14:paraId="1DC42304" w14:textId="77777777" w:rsidR="002D2830" w:rsidRPr="00F408E7" w:rsidRDefault="002D2830" w:rsidP="002D2830">
            <w:pPr>
              <w:pStyle w:val="ListParagraph"/>
              <w:numPr>
                <w:ilvl w:val="0"/>
                <w:numId w:val="17"/>
              </w:numPr>
              <w:spacing w:line="240" w:lineRule="auto"/>
              <w:ind w:left="360"/>
              <w:jc w:val="left"/>
            </w:pPr>
            <w:r w:rsidRPr="00F408E7">
              <w:t>Do not require invasive ventilation but require UK-level ICU – if in ICU in LMIC setting?</w:t>
            </w:r>
          </w:p>
          <w:p w14:paraId="088006C8" w14:textId="77777777" w:rsidR="002D2830" w:rsidRPr="00F408E7" w:rsidRDefault="002D2830" w:rsidP="00AB5852">
            <w:pPr>
              <w:pStyle w:val="ListParagraph"/>
              <w:ind w:left="360"/>
            </w:pPr>
          </w:p>
        </w:tc>
        <w:tc>
          <w:tcPr>
            <w:tcW w:w="4030" w:type="dxa"/>
          </w:tcPr>
          <w:p w14:paraId="3290CE38" w14:textId="77777777" w:rsidR="002D2830" w:rsidRPr="00F408E7" w:rsidRDefault="002D2830" w:rsidP="00AB5852">
            <w:r w:rsidRPr="00F408E7">
              <w:t xml:space="preserve">In the UK the CFR is ~20%. In an LMIC setting we estimate 50-65%. This assumes that oxygen support is available. We note that there is enormous heterogeneity – with some LMIC ICUs better equipped than in the UK. </w:t>
            </w:r>
          </w:p>
        </w:tc>
        <w:tc>
          <w:tcPr>
            <w:tcW w:w="2406" w:type="dxa"/>
          </w:tcPr>
          <w:p w14:paraId="78441095" w14:textId="77777777" w:rsidR="002D2830" w:rsidRPr="00F408E7" w:rsidRDefault="002D2830" w:rsidP="00AB5852">
            <w:r w:rsidRPr="00F408E7">
              <w:t xml:space="preserve">Multiple clinical opinion. </w:t>
            </w:r>
          </w:p>
        </w:tc>
      </w:tr>
      <w:tr w:rsidR="002D2830" w:rsidRPr="00686E16" w14:paraId="1BF88800" w14:textId="77777777" w:rsidTr="00AB5852">
        <w:tc>
          <w:tcPr>
            <w:tcW w:w="2744" w:type="dxa"/>
          </w:tcPr>
          <w:p w14:paraId="530C3E2C" w14:textId="77777777" w:rsidR="002D2830" w:rsidRPr="00F408E7" w:rsidRDefault="002D2830" w:rsidP="002D2830">
            <w:pPr>
              <w:pStyle w:val="ListParagraph"/>
              <w:numPr>
                <w:ilvl w:val="0"/>
                <w:numId w:val="17"/>
              </w:numPr>
              <w:spacing w:line="240" w:lineRule="auto"/>
              <w:ind w:left="360"/>
              <w:jc w:val="left"/>
            </w:pPr>
            <w:r w:rsidRPr="00F408E7">
              <w:t>Do not require invasive ventilation but require UK-level ICU – if not able to access ICU?</w:t>
            </w:r>
          </w:p>
          <w:p w14:paraId="17BA0E88" w14:textId="77777777" w:rsidR="002D2830" w:rsidRPr="00F408E7" w:rsidRDefault="002D2830" w:rsidP="00AB5852">
            <w:pPr>
              <w:pStyle w:val="ListParagraph"/>
              <w:ind w:left="360"/>
            </w:pPr>
          </w:p>
        </w:tc>
        <w:tc>
          <w:tcPr>
            <w:tcW w:w="4030" w:type="dxa"/>
          </w:tcPr>
          <w:p w14:paraId="57CC2423" w14:textId="77777777" w:rsidR="002D2830" w:rsidRPr="00F408E7" w:rsidRDefault="002D2830" w:rsidP="00AB5852">
            <w:r w:rsidRPr="00F408E7">
              <w:t xml:space="preserve">Assume that the baseline UK CFR is 20% as above. In an LMIC setting we estimate 75% (though some thought higher). </w:t>
            </w:r>
          </w:p>
          <w:p w14:paraId="4D933D6A" w14:textId="77777777" w:rsidR="002D2830" w:rsidRPr="00F408E7" w:rsidRDefault="002D2830" w:rsidP="00AB5852"/>
          <w:p w14:paraId="24A7D829" w14:textId="77777777" w:rsidR="002D2830" w:rsidRPr="00F408E7" w:rsidRDefault="002D2830" w:rsidP="00AB5852">
            <w:r w:rsidRPr="00F408E7">
              <w:t>Malawi pneumonia data (all aetiologies). Cohort of 459 with median age 34.7 (IQR 29.4-41.9) and an HIV prevalence of 78%, the 30-day mor</w:t>
            </w:r>
            <w:r>
              <w:t>t</w:t>
            </w:r>
            <w:r w:rsidRPr="00F408E7">
              <w:t xml:space="preserve">ality rate was 14.6% (64/439). Reported </w:t>
            </w:r>
            <w:r w:rsidRPr="00F408E7">
              <w:rPr>
                <w:rFonts w:cs="Arial"/>
              </w:rPr>
              <w:t xml:space="preserve">30-day mortality in the UK for individuals under 50 with community-acquired pneumonia is 1.5%. </w:t>
            </w:r>
            <w:r w:rsidRPr="00F408E7">
              <w:t>Hypoxaemia at presentation defined as SpO2 &lt;90% was found in 16% (73/450) and was associated with four-fold increased risk of mortality (adjusted OR 4.40).</w:t>
            </w:r>
          </w:p>
        </w:tc>
        <w:tc>
          <w:tcPr>
            <w:tcW w:w="2406" w:type="dxa"/>
          </w:tcPr>
          <w:p w14:paraId="561C6FC4" w14:textId="77777777" w:rsidR="002D2830" w:rsidRPr="00F408E7" w:rsidRDefault="002D2830" w:rsidP="00AB5852">
            <w:r w:rsidRPr="00F408E7">
              <w:t xml:space="preserve">Multiple clinical opinion + Malawi data on pneumonia </w:t>
            </w:r>
          </w:p>
        </w:tc>
      </w:tr>
      <w:tr w:rsidR="002D2830" w:rsidRPr="00686E16" w14:paraId="4E68A4DD" w14:textId="77777777" w:rsidTr="00AB5852">
        <w:tc>
          <w:tcPr>
            <w:tcW w:w="9180" w:type="dxa"/>
            <w:gridSpan w:val="3"/>
            <w:shd w:val="clear" w:color="auto" w:fill="E7E6E6" w:themeFill="background2"/>
          </w:tcPr>
          <w:p w14:paraId="28861AA7" w14:textId="77777777" w:rsidR="002D2830" w:rsidRPr="00F408E7" w:rsidRDefault="002D2830" w:rsidP="00AB5852">
            <w:r w:rsidRPr="00F408E7">
              <w:t>Fatality rate in those that require hospitalisation</w:t>
            </w:r>
          </w:p>
          <w:p w14:paraId="3BB94A6A" w14:textId="77777777" w:rsidR="002D2830" w:rsidRPr="00F408E7" w:rsidRDefault="002D2830" w:rsidP="00AB5852"/>
        </w:tc>
      </w:tr>
      <w:tr w:rsidR="002D2830" w:rsidRPr="00686E16" w14:paraId="0482B639" w14:textId="77777777" w:rsidTr="00AB5852">
        <w:tc>
          <w:tcPr>
            <w:tcW w:w="2744" w:type="dxa"/>
          </w:tcPr>
          <w:p w14:paraId="1F89A2C1" w14:textId="77777777" w:rsidR="002D2830" w:rsidRPr="00F408E7" w:rsidRDefault="002D2830" w:rsidP="002D2830">
            <w:pPr>
              <w:pStyle w:val="ListParagraph"/>
              <w:numPr>
                <w:ilvl w:val="0"/>
                <w:numId w:val="17"/>
              </w:numPr>
              <w:spacing w:line="240" w:lineRule="auto"/>
              <w:ind w:left="360"/>
              <w:jc w:val="left"/>
            </w:pPr>
            <w:r w:rsidRPr="00F408E7">
              <w:t>If in hospital but in LMIC setting compared to UK setting?</w:t>
            </w:r>
          </w:p>
          <w:p w14:paraId="7E35923D" w14:textId="77777777" w:rsidR="002D2830" w:rsidRPr="00F408E7" w:rsidRDefault="002D2830" w:rsidP="00AB5852">
            <w:pPr>
              <w:pStyle w:val="ListParagraph"/>
              <w:ind w:left="360"/>
            </w:pPr>
          </w:p>
        </w:tc>
        <w:tc>
          <w:tcPr>
            <w:tcW w:w="4030" w:type="dxa"/>
          </w:tcPr>
          <w:p w14:paraId="68381CFA" w14:textId="77777777" w:rsidR="002D2830" w:rsidRPr="00F408E7" w:rsidRDefault="002D2830" w:rsidP="00AB5852">
            <w:r w:rsidRPr="00F408E7">
              <w:t xml:space="preserve">Highly dependent upon a) who gets into hospital and b) availability of oxygen. Likely to be high if only severe get to hospital and availability is limited. </w:t>
            </w:r>
          </w:p>
          <w:p w14:paraId="4BBC9589" w14:textId="77777777" w:rsidR="002D2830" w:rsidRPr="00F408E7" w:rsidRDefault="002D2830" w:rsidP="00AB5852"/>
          <w:p w14:paraId="1CC18622" w14:textId="77777777" w:rsidR="002D2830" w:rsidRPr="00F408E7" w:rsidRDefault="002D2830" w:rsidP="00AB5852">
            <w:r w:rsidRPr="00F408E7">
              <w:t>Range 20-30% if oxygen is available, up to 60% if not for severe pneumonia. Considerations such as severely reduced access to care (transport, fear, lack of funding) will play a big part here in meaning that the hospital population highly likely to be much more severe than in UK</w:t>
            </w:r>
          </w:p>
        </w:tc>
        <w:tc>
          <w:tcPr>
            <w:tcW w:w="2406" w:type="dxa"/>
          </w:tcPr>
          <w:p w14:paraId="47438644" w14:textId="77777777" w:rsidR="002D2830" w:rsidRPr="00F408E7" w:rsidRDefault="002D2830" w:rsidP="00AB5852">
            <w:r w:rsidRPr="00F408E7">
              <w:t>Consensus</w:t>
            </w:r>
          </w:p>
        </w:tc>
      </w:tr>
      <w:tr w:rsidR="002D2830" w:rsidRPr="00686E16" w14:paraId="7F01A775" w14:textId="77777777" w:rsidTr="00AB5852">
        <w:tc>
          <w:tcPr>
            <w:tcW w:w="2744" w:type="dxa"/>
          </w:tcPr>
          <w:p w14:paraId="2595622E" w14:textId="77777777" w:rsidR="002D2830" w:rsidRPr="00F408E7" w:rsidRDefault="002D2830" w:rsidP="002D2830">
            <w:pPr>
              <w:pStyle w:val="ListParagraph"/>
              <w:numPr>
                <w:ilvl w:val="0"/>
                <w:numId w:val="17"/>
              </w:numPr>
              <w:spacing w:line="240" w:lineRule="auto"/>
              <w:ind w:left="360"/>
              <w:jc w:val="left"/>
            </w:pPr>
            <w:r w:rsidRPr="00F408E7">
              <w:t>If not able to access hospital?</w:t>
            </w:r>
          </w:p>
          <w:p w14:paraId="6EE43E66" w14:textId="77777777" w:rsidR="002D2830" w:rsidRPr="00F408E7" w:rsidRDefault="002D2830" w:rsidP="00AB5852">
            <w:pPr>
              <w:pStyle w:val="ListParagraph"/>
              <w:ind w:left="360"/>
            </w:pPr>
          </w:p>
        </w:tc>
        <w:tc>
          <w:tcPr>
            <w:tcW w:w="4030" w:type="dxa"/>
          </w:tcPr>
          <w:p w14:paraId="453AB807" w14:textId="77777777" w:rsidR="002D2830" w:rsidRPr="00F408E7" w:rsidRDefault="002D2830" w:rsidP="00AB5852">
            <w:r w:rsidRPr="00F408E7">
              <w:t>Could be as high as 50-70% for those with severe pneumonia</w:t>
            </w:r>
          </w:p>
        </w:tc>
        <w:tc>
          <w:tcPr>
            <w:tcW w:w="2406" w:type="dxa"/>
          </w:tcPr>
          <w:p w14:paraId="78B2D0D0" w14:textId="77777777" w:rsidR="002D2830" w:rsidRPr="00F408E7" w:rsidRDefault="002D2830" w:rsidP="00AB5852">
            <w:r w:rsidRPr="00F408E7">
              <w:t>Multiple clinical opinion</w:t>
            </w:r>
          </w:p>
        </w:tc>
      </w:tr>
      <w:tr w:rsidR="002D2830" w:rsidRPr="00686E16" w14:paraId="04829579" w14:textId="77777777" w:rsidTr="00AB5852">
        <w:tc>
          <w:tcPr>
            <w:tcW w:w="9180" w:type="dxa"/>
            <w:gridSpan w:val="3"/>
            <w:shd w:val="clear" w:color="auto" w:fill="E7E6E6" w:themeFill="background2"/>
          </w:tcPr>
          <w:p w14:paraId="7D8222EB" w14:textId="77777777" w:rsidR="002D2830" w:rsidRPr="00F408E7" w:rsidRDefault="002D2830" w:rsidP="00AB5852">
            <w:r w:rsidRPr="00F408E7">
              <w:t>Length of stay</w:t>
            </w:r>
          </w:p>
        </w:tc>
      </w:tr>
      <w:tr w:rsidR="002D2830" w:rsidRPr="00686E16" w14:paraId="6D751C99" w14:textId="77777777" w:rsidTr="00AB5852">
        <w:tc>
          <w:tcPr>
            <w:tcW w:w="2744" w:type="dxa"/>
          </w:tcPr>
          <w:p w14:paraId="20ACFF6D" w14:textId="77777777" w:rsidR="002D2830" w:rsidRPr="00F408E7" w:rsidRDefault="002D2830" w:rsidP="002D2830">
            <w:pPr>
              <w:pStyle w:val="ListParagraph"/>
              <w:numPr>
                <w:ilvl w:val="0"/>
                <w:numId w:val="17"/>
              </w:numPr>
              <w:spacing w:line="240" w:lineRule="auto"/>
              <w:ind w:left="360"/>
              <w:jc w:val="left"/>
            </w:pPr>
            <w:r w:rsidRPr="00F408E7">
              <w:t xml:space="preserve">How would an LMIC setting affect length of </w:t>
            </w:r>
            <w:r w:rsidRPr="00F408E7">
              <w:lastRenderedPageBreak/>
              <w:t>stay in hospital and ICU compared to the data we are seeing in China and high-income countries?</w:t>
            </w:r>
          </w:p>
          <w:p w14:paraId="27CFC27B" w14:textId="77777777" w:rsidR="002D2830" w:rsidRPr="00F408E7" w:rsidRDefault="002D2830" w:rsidP="00AB5852">
            <w:pPr>
              <w:ind w:left="360"/>
            </w:pPr>
          </w:p>
        </w:tc>
        <w:tc>
          <w:tcPr>
            <w:tcW w:w="4030" w:type="dxa"/>
          </w:tcPr>
          <w:p w14:paraId="68649FE7" w14:textId="77777777" w:rsidR="002D2830" w:rsidRPr="00F408E7" w:rsidRDefault="002D2830" w:rsidP="00AB5852">
            <w:r w:rsidRPr="00F408E7">
              <w:lastRenderedPageBreak/>
              <w:t xml:space="preserve">Potential to be shorter; death more rapid or dying patients more likely to be sent </w:t>
            </w:r>
            <w:r w:rsidRPr="00F408E7">
              <w:lastRenderedPageBreak/>
              <w:t>home, mild illness less likely to present, length of stay in Europe heavily influenced by co-morbidity/ infection control issues</w:t>
            </w:r>
          </w:p>
        </w:tc>
        <w:tc>
          <w:tcPr>
            <w:tcW w:w="2406" w:type="dxa"/>
          </w:tcPr>
          <w:p w14:paraId="77575C19" w14:textId="77777777" w:rsidR="002D2830" w:rsidRPr="00F408E7" w:rsidRDefault="002D2830" w:rsidP="00AB5852">
            <w:r w:rsidRPr="00F408E7">
              <w:lastRenderedPageBreak/>
              <w:t>Consensus</w:t>
            </w:r>
          </w:p>
        </w:tc>
      </w:tr>
    </w:tbl>
    <w:p w14:paraId="40D6FA9D" w14:textId="77777777" w:rsidR="002D2830" w:rsidRDefault="002D2830" w:rsidP="002D2830">
      <w:pPr>
        <w:spacing w:line="259" w:lineRule="auto"/>
        <w:jc w:val="left"/>
        <w:rPr>
          <w:b/>
          <w:bCs/>
          <w:i/>
          <w:iCs/>
        </w:rPr>
      </w:pPr>
    </w:p>
    <w:p w14:paraId="12593B92" w14:textId="625D65FD" w:rsidR="002D2830" w:rsidRPr="0065570D" w:rsidRDefault="002D2830" w:rsidP="002D2830">
      <w:pPr>
        <w:rPr>
          <w:b/>
          <w:bCs/>
          <w:i/>
          <w:iCs/>
        </w:rPr>
      </w:pPr>
      <w:r w:rsidRPr="0065570D">
        <w:rPr>
          <w:b/>
          <w:bCs/>
          <w:i/>
          <w:iCs/>
        </w:rPr>
        <w:t>Table S</w:t>
      </w:r>
      <w:r w:rsidR="003D5566">
        <w:rPr>
          <w:b/>
          <w:bCs/>
          <w:i/>
          <w:iCs/>
        </w:rPr>
        <w:t>4</w:t>
      </w:r>
      <w:r w:rsidRPr="0065570D">
        <w:rPr>
          <w:b/>
          <w:bCs/>
          <w:i/>
          <w:iCs/>
        </w:rPr>
        <w:t xml:space="preserve">: Assumed model parameters to capture different outcomes in LIC and LMIC compared to UMIC and HIC. </w:t>
      </w:r>
    </w:p>
    <w:tbl>
      <w:tblPr>
        <w:tblStyle w:val="TableGrid"/>
        <w:tblW w:w="9067" w:type="dxa"/>
        <w:tblLook w:val="04A0" w:firstRow="1" w:lastRow="0" w:firstColumn="1" w:lastColumn="0" w:noHBand="0" w:noVBand="1"/>
      </w:tblPr>
      <w:tblGrid>
        <w:gridCol w:w="3964"/>
        <w:gridCol w:w="1843"/>
        <w:gridCol w:w="3260"/>
      </w:tblGrid>
      <w:tr w:rsidR="002D2830" w14:paraId="4B808E60" w14:textId="77777777" w:rsidTr="00AB5852">
        <w:tc>
          <w:tcPr>
            <w:tcW w:w="3964" w:type="dxa"/>
          </w:tcPr>
          <w:p w14:paraId="044EFE0D" w14:textId="77777777" w:rsidR="002D2830" w:rsidRPr="00A20119" w:rsidRDefault="002D2830" w:rsidP="00AB5852">
            <w:pPr>
              <w:spacing w:line="240" w:lineRule="auto"/>
              <w:rPr>
                <w:b/>
                <w:bCs/>
              </w:rPr>
            </w:pPr>
            <w:r w:rsidRPr="00A20119">
              <w:rPr>
                <w:b/>
                <w:bCs/>
              </w:rPr>
              <w:t xml:space="preserve">Parameter </w:t>
            </w:r>
          </w:p>
        </w:tc>
        <w:tc>
          <w:tcPr>
            <w:tcW w:w="1843" w:type="dxa"/>
          </w:tcPr>
          <w:p w14:paraId="6574DA10" w14:textId="77777777" w:rsidR="002D2830" w:rsidRPr="00A20119" w:rsidRDefault="002D2830" w:rsidP="00AB5852">
            <w:pPr>
              <w:spacing w:line="240" w:lineRule="auto"/>
              <w:rPr>
                <w:b/>
                <w:bCs/>
              </w:rPr>
            </w:pPr>
            <w:r w:rsidRPr="00A20119">
              <w:rPr>
                <w:b/>
                <w:bCs/>
              </w:rPr>
              <w:t>Value</w:t>
            </w:r>
          </w:p>
        </w:tc>
        <w:tc>
          <w:tcPr>
            <w:tcW w:w="3260" w:type="dxa"/>
          </w:tcPr>
          <w:p w14:paraId="4EDE917F" w14:textId="77777777" w:rsidR="002D2830" w:rsidRPr="00A20119" w:rsidRDefault="002D2830" w:rsidP="00AB5852">
            <w:pPr>
              <w:spacing w:line="240" w:lineRule="auto"/>
              <w:rPr>
                <w:b/>
                <w:bCs/>
              </w:rPr>
            </w:pPr>
            <w:r w:rsidRPr="00A20119">
              <w:rPr>
                <w:b/>
                <w:bCs/>
              </w:rPr>
              <w:t>Description</w:t>
            </w:r>
          </w:p>
        </w:tc>
      </w:tr>
      <w:tr w:rsidR="002D2830" w14:paraId="1508E3DA" w14:textId="77777777" w:rsidTr="00AB5852">
        <w:tc>
          <w:tcPr>
            <w:tcW w:w="3964" w:type="dxa"/>
          </w:tcPr>
          <w:p w14:paraId="1DE2DF87" w14:textId="77777777" w:rsidR="002D2830" w:rsidRDefault="002D2830" w:rsidP="00AB5852">
            <w:pPr>
              <w:spacing w:line="240" w:lineRule="auto"/>
            </w:pPr>
            <w:r>
              <w:t>Mean duration of hospitalisation if require critical care (ICU) but only a general bed is available</w:t>
            </w:r>
          </w:p>
        </w:tc>
        <w:tc>
          <w:tcPr>
            <w:tcW w:w="1843" w:type="dxa"/>
          </w:tcPr>
          <w:p w14:paraId="23A6120A" w14:textId="77777777" w:rsidR="002D2830" w:rsidRDefault="002D2830" w:rsidP="00AB5852">
            <w:pPr>
              <w:spacing w:line="240" w:lineRule="auto"/>
              <w:jc w:val="left"/>
            </w:pPr>
            <w:r>
              <w:t>1 day</w:t>
            </w:r>
          </w:p>
        </w:tc>
        <w:tc>
          <w:tcPr>
            <w:tcW w:w="3260" w:type="dxa"/>
          </w:tcPr>
          <w:p w14:paraId="350ED4DD" w14:textId="577D915A" w:rsidR="002D2830" w:rsidRDefault="002D2830" w:rsidP="00AB5852">
            <w:pPr>
              <w:spacing w:line="240" w:lineRule="auto"/>
            </w:pPr>
            <w:r>
              <w:t>Death is likely to be rapid ((6) in Table S</w:t>
            </w:r>
            <w:r w:rsidR="005F1B66">
              <w:t>3</w:t>
            </w:r>
            <w:r>
              <w:t xml:space="preserve">) </w:t>
            </w:r>
          </w:p>
        </w:tc>
      </w:tr>
      <w:tr w:rsidR="002D2830" w14:paraId="1A8A7145" w14:textId="77777777" w:rsidTr="00AB5852">
        <w:tc>
          <w:tcPr>
            <w:tcW w:w="3964" w:type="dxa"/>
          </w:tcPr>
          <w:p w14:paraId="1119D334" w14:textId="77777777" w:rsidR="002D2830" w:rsidRDefault="002D2830" w:rsidP="00AB5852">
            <w:pPr>
              <w:spacing w:line="240" w:lineRule="auto"/>
            </w:pPr>
            <w:r>
              <w:t>Probability of death if require critical care but do not receive it</w:t>
            </w:r>
          </w:p>
        </w:tc>
        <w:tc>
          <w:tcPr>
            <w:tcW w:w="1843" w:type="dxa"/>
          </w:tcPr>
          <w:p w14:paraId="26C81D6D" w14:textId="77777777" w:rsidR="002D2830" w:rsidRDefault="002D2830" w:rsidP="00AB5852">
            <w:pPr>
              <w:spacing w:line="240" w:lineRule="auto"/>
              <w:jc w:val="left"/>
            </w:pPr>
            <w:r>
              <w:t>90.5% (range 85%-95%)</w:t>
            </w:r>
          </w:p>
        </w:tc>
        <w:tc>
          <w:tcPr>
            <w:tcW w:w="3260" w:type="dxa"/>
          </w:tcPr>
          <w:p w14:paraId="661DA687" w14:textId="70FAD1DC" w:rsidR="002D2830" w:rsidRDefault="002D2830" w:rsidP="00AB5852">
            <w:pPr>
              <w:spacing w:line="240" w:lineRule="auto"/>
            </w:pPr>
            <w:r>
              <w:t>(1) and (2) in Table S</w:t>
            </w:r>
            <w:r w:rsidR="005F1B66">
              <w:t>3</w:t>
            </w:r>
            <w:r>
              <w:t xml:space="preserve"> weighted as 80% requiring mechanical ventilation, 20% other ICU</w:t>
            </w:r>
          </w:p>
        </w:tc>
      </w:tr>
      <w:tr w:rsidR="002D2830" w14:paraId="6EF97E0D" w14:textId="77777777" w:rsidTr="00AB5852">
        <w:tc>
          <w:tcPr>
            <w:tcW w:w="3964" w:type="dxa"/>
          </w:tcPr>
          <w:p w14:paraId="4C2830F1" w14:textId="10237631" w:rsidR="002D2830" w:rsidRDefault="002D2830" w:rsidP="00AB5852">
            <w:pPr>
              <w:spacing w:line="240" w:lineRule="auto"/>
            </w:pPr>
            <w:r>
              <w:t xml:space="preserve">Probability of death if hospitalised (non-ICU) with oxygen available </w:t>
            </w:r>
            <w:r w:rsidR="00574F44">
              <w:t xml:space="preserve"> (referred to as “poorer outcomes”).</w:t>
            </w:r>
          </w:p>
        </w:tc>
        <w:tc>
          <w:tcPr>
            <w:tcW w:w="1843" w:type="dxa"/>
          </w:tcPr>
          <w:p w14:paraId="3CEA7554" w14:textId="77777777" w:rsidR="002D2830" w:rsidRDefault="002D2830" w:rsidP="00AB5852">
            <w:pPr>
              <w:spacing w:line="240" w:lineRule="auto"/>
              <w:jc w:val="left"/>
            </w:pPr>
            <w:r>
              <w:t xml:space="preserve">25% (range 20-30%) </w:t>
            </w:r>
          </w:p>
        </w:tc>
        <w:tc>
          <w:tcPr>
            <w:tcW w:w="3260" w:type="dxa"/>
          </w:tcPr>
          <w:p w14:paraId="09A3E0F3" w14:textId="1EC9E333" w:rsidR="002D2830" w:rsidRDefault="002D2830" w:rsidP="00AB5852">
            <w:pPr>
              <w:spacing w:line="240" w:lineRule="auto"/>
            </w:pPr>
            <w:r>
              <w:t>(4) in Table S</w:t>
            </w:r>
            <w:r w:rsidR="005F1B66">
              <w:t>3</w:t>
            </w:r>
          </w:p>
        </w:tc>
      </w:tr>
      <w:tr w:rsidR="002D2830" w14:paraId="434FB178" w14:textId="77777777" w:rsidTr="00AB5852">
        <w:tc>
          <w:tcPr>
            <w:tcW w:w="3964" w:type="dxa"/>
          </w:tcPr>
          <w:p w14:paraId="7465A644" w14:textId="46664028" w:rsidR="002D2830" w:rsidRDefault="002D2830" w:rsidP="00AB5852">
            <w:pPr>
              <w:spacing w:line="240" w:lineRule="auto"/>
            </w:pPr>
            <w:r>
              <w:t xml:space="preserve">Probability of death if hospitalised (non-ICU) but no oxygen available </w:t>
            </w:r>
          </w:p>
        </w:tc>
        <w:tc>
          <w:tcPr>
            <w:tcW w:w="1843" w:type="dxa"/>
          </w:tcPr>
          <w:p w14:paraId="7AA86E1E" w14:textId="77777777" w:rsidR="002D2830" w:rsidRDefault="002D2830" w:rsidP="00AB5852">
            <w:pPr>
              <w:spacing w:line="240" w:lineRule="auto"/>
              <w:jc w:val="left"/>
            </w:pPr>
            <w:r>
              <w:t>60% (range 50-70%)</w:t>
            </w:r>
          </w:p>
        </w:tc>
        <w:tc>
          <w:tcPr>
            <w:tcW w:w="3260" w:type="dxa"/>
          </w:tcPr>
          <w:p w14:paraId="2A957900" w14:textId="0CA3CAA7" w:rsidR="002D2830" w:rsidRDefault="002D2830" w:rsidP="00AB5852">
            <w:pPr>
              <w:spacing w:line="240" w:lineRule="auto"/>
            </w:pPr>
            <w:r>
              <w:t>(4) in Table S</w:t>
            </w:r>
            <w:r w:rsidR="005F1B66">
              <w:t>3</w:t>
            </w:r>
          </w:p>
        </w:tc>
      </w:tr>
      <w:tr w:rsidR="002D2830" w14:paraId="78CAE493" w14:textId="77777777" w:rsidTr="00AB5852">
        <w:tc>
          <w:tcPr>
            <w:tcW w:w="3964" w:type="dxa"/>
          </w:tcPr>
          <w:p w14:paraId="63581279" w14:textId="77777777" w:rsidR="002D2830" w:rsidRDefault="002D2830" w:rsidP="00AB5852">
            <w:pPr>
              <w:spacing w:line="240" w:lineRule="auto"/>
            </w:pPr>
            <w:r>
              <w:t>Probability of death if require hospitalisation but no hospital beds are available</w:t>
            </w:r>
          </w:p>
        </w:tc>
        <w:tc>
          <w:tcPr>
            <w:tcW w:w="1843" w:type="dxa"/>
          </w:tcPr>
          <w:p w14:paraId="44C9898B" w14:textId="77777777" w:rsidR="002D2830" w:rsidRDefault="002D2830" w:rsidP="00AB5852">
            <w:pPr>
              <w:spacing w:line="240" w:lineRule="auto"/>
              <w:jc w:val="left"/>
            </w:pPr>
            <w:r>
              <w:t>60% (range 50-70%)</w:t>
            </w:r>
          </w:p>
        </w:tc>
        <w:tc>
          <w:tcPr>
            <w:tcW w:w="3260" w:type="dxa"/>
          </w:tcPr>
          <w:p w14:paraId="02AE6E52" w14:textId="77777777" w:rsidR="002D2830" w:rsidRDefault="002D2830" w:rsidP="00AB5852">
            <w:pPr>
              <w:spacing w:line="240" w:lineRule="auto"/>
            </w:pPr>
            <w:r>
              <w:t>We assume that the outcome is similar to not receiving oxygen.</w:t>
            </w:r>
          </w:p>
        </w:tc>
      </w:tr>
    </w:tbl>
    <w:p w14:paraId="1AAFE2BA" w14:textId="77777777" w:rsidR="002D2830" w:rsidRDefault="002D2830" w:rsidP="002D2830">
      <w:pPr>
        <w:pStyle w:val="Heading3"/>
      </w:pPr>
    </w:p>
    <w:p w14:paraId="1CECE9E4" w14:textId="5D8678AE" w:rsidR="008604DA" w:rsidRDefault="008604DA" w:rsidP="008604DA">
      <w:pPr>
        <w:pStyle w:val="Heading3"/>
      </w:pPr>
      <w:r>
        <w:t>Capturing uncertainty in hospital demand</w:t>
      </w:r>
    </w:p>
    <w:p w14:paraId="7F8F72BB" w14:textId="637A1306" w:rsidR="008604DA" w:rsidRDefault="000C7787" w:rsidP="00EC43CB">
      <w:r>
        <w:t>In our forward projections using the SEIR model we capture uncertainty in key parameters driving hospital demand and outcomes (deaths/recovery) – these include uncertainty in the IFR</w:t>
      </w:r>
      <w:r w:rsidR="00932F68">
        <w:t xml:space="preserve">, the probability of requiring hospitalisation and the </w:t>
      </w:r>
      <w:r w:rsidR="00343629">
        <w:t xml:space="preserve">assumed probabilities of death </w:t>
      </w:r>
      <w:r w:rsidR="005A4C84">
        <w:t>under poorer outcomes or in the absence of mechanical ventilation and/or oxygen. As the</w:t>
      </w:r>
      <w:r w:rsidR="00897183">
        <w:t xml:space="preserve"> impact of incorporating uncertainty in</w:t>
      </w:r>
      <w:r w:rsidR="005A4C84">
        <w:t xml:space="preserve"> durations of hospital stay </w:t>
      </w:r>
      <w:r w:rsidR="00897183">
        <w:t>will be similar to varying the overall level of demand, we kept these fixed. Uncertainty in R</w:t>
      </w:r>
      <w:r w:rsidR="00897183" w:rsidRPr="005F1CD0">
        <w:rPr>
          <w:vertAlign w:val="subscript"/>
        </w:rPr>
        <w:t>0</w:t>
      </w:r>
      <w:r w:rsidR="00897183">
        <w:t xml:space="preserve"> is captured through sensitivity analyses; other parameters (</w:t>
      </w:r>
      <w:r w:rsidR="00F7296C">
        <w:t xml:space="preserve">the </w:t>
      </w:r>
      <w:r w:rsidR="00897183">
        <w:t xml:space="preserve">latent period and serial interval) were kept fixed as </w:t>
      </w:r>
      <w:r w:rsidR="004229B1">
        <w:t xml:space="preserve">uncertainty in </w:t>
      </w:r>
      <w:r w:rsidR="00897183">
        <w:t>these h</w:t>
      </w:r>
      <w:r w:rsidR="004229B1">
        <w:t>as</w:t>
      </w:r>
      <w:r w:rsidR="00897183">
        <w:t xml:space="preserve"> little impact on hospital demand. </w:t>
      </w:r>
    </w:p>
    <w:p w14:paraId="0F2A7AFC" w14:textId="29E47883" w:rsidR="000C7787" w:rsidRPr="00444990" w:rsidRDefault="004229B1" w:rsidP="000C7787">
      <w:r>
        <w:t>To capture u</w:t>
      </w:r>
      <w:r w:rsidR="000C7787">
        <w:t xml:space="preserve">ncertainty in </w:t>
      </w:r>
      <w:r w:rsidR="005C6176">
        <w:t xml:space="preserve">the adjusted IFR, the proportion of infections hospitalised, the proportion of hospitalised cases requiring critical care and the proportion of non-critical cases dying by age, </w:t>
      </w:r>
      <w:r w:rsidR="009C2529">
        <w:t>we used</w:t>
      </w:r>
      <w:r w:rsidR="003D013D">
        <w:t xml:space="preserve"> </w:t>
      </w:r>
      <w:r w:rsidR="000C7787">
        <w:t xml:space="preserve">the same process </w:t>
      </w:r>
      <w:r w:rsidR="009C2529">
        <w:t>as described above for the media</w:t>
      </w:r>
      <w:r w:rsidR="003D013D">
        <w:t>n</w:t>
      </w:r>
      <w:r w:rsidR="009C2529">
        <w:t xml:space="preserve"> estimate but </w:t>
      </w:r>
      <w:r w:rsidR="000C7787">
        <w:t xml:space="preserve">applied </w:t>
      </w:r>
      <w:r w:rsidR="009C2529">
        <w:t xml:space="preserve">this </w:t>
      </w:r>
      <w:r w:rsidR="000C7787">
        <w:t>to a sample from the posterior distribution of the fits in Verity et al.</w:t>
      </w:r>
      <w:r w:rsidR="000C7787">
        <w:fldChar w:fldCharType="begin" w:fldLock="1"/>
      </w:r>
      <w:r w:rsidR="00AA26B4">
        <w:instrText>ADDIN CSL_CITATION {"citationItems":[{"id":"ITEM-1","itemData":{"DOI":"10.1016/S1473-3099(20)30243-7","abstract":"&lt;h2&gt;Summary&lt;/h2&gt;&lt;h3&gt;Background&lt;/h3&gt;&lt;p&gt;In the face of rapidly changing data, a range of case fatality ratio estimates for coronavirus disease 2019 (COVID-19) have been produced that differ substantially in magnitude. We aimed to provide robust estimates, accounting for censoring and ascertainment biases.&lt;/p&gt;&lt;h3&gt;Methods&lt;/h3&gt;&lt;p&gt;We collected individual-case data for patients who died from COVID-19 in Hubei, mainland China (reported by national and provincial health commissions to Feb 8, 2020), and for cases outside of mainland China (from government or ministry of health websites and media reports for 37 countries, as well as Hong Kong and Macau, until Feb 25, 2020). These individual-case data were used to estimate the time between onset of symptoms and outcome (death or discharge from hospital). We next obtained age-stratified estimates of the case fatality ratio by relating the aggregate distribution of cases to the observed cumulative deaths in China, assuming a constant attack rate by age and adjusting for demography and age-based and location-based under-ascertainment. We also estimated the case fatality ratio from individual line-list data on 1334 cases identified outside of mainland China. Using data on the prevalence of PCR-confirmed cases in international residents repatriated from China, we obtained age-stratified estimates of the infection fatality ratio. Furthermore, data on age-stratified severity in a subset of 3665 cases from China were used to estimate the proportion of infected individuals who are likely to require hospitalisation.&lt;/p&gt;&lt;h3&gt;Findings&lt;/h3&gt;&lt;p&gt;Using data on 24 deaths that occurred in mainland China and 165 recoveries outside of China, we estimated the mean duration from onset of symptoms to death to be 17·8 days (95% credible interval [CrI] 16·9–19·2) and to hospital discharge to be 24·7 days (22·9–28·1). In all laboratory confirmed and clinically diagnosed cases from mainland China (n=70 117), we estimated a crude case fatality ratio (adjusted for censoring) of 3·67% (95% CrI 3·56–3·80). However, after further adjusting for demography and under-ascertainment, we obtained a best estimate of the case fatality ratio in China of 1·38% (1·23–1·53), with substantially higher ratios in older age groups (0·32% [0·27–0·38] in those aged &lt;60 years &lt;i&gt;vs&lt;/i&gt; 6·4% [5·7–7·2] in those aged ≥60 years), up to 13·4% (11·2–15·9) in those aged 80 years or older. Estimates of case fatality ratio from international cases stratified by age were consi…","author":[{"dropping-particle":"","family":"Verity","given":"Robert","non-dropping-particle":"","parse-names":false,"suffix":""},{"dropping-particle":"","family":"Okell","given":"Lucy C","non-dropping-particle":"","parse-names":false,"suffix":""},{"dropping-particle":"","family":"Dorigatti","given":"Ilaria","non-dropping-particle":"","parse-names":false,"suffix":""},{"dropping-particle":"","family":"Winskill","given":"Peter","non-dropping-particle":"","parse-names":false,"suffix":""},{"dropping-particle":"","family":"Whittaker","given":"Charles","non-dropping-particle":"","parse-names":false,"suffix":""},{"dropping-particle":"","family":"Imai","given":"Natsuko","non-dropping-particle":"","parse-names":false,"suffix":""},{"dropping-particle":"","family":"Cuomo-dannenburg","given":"Gina","non-dropping-particle":"","parse-names":false,"suffix":""},{"dropping-particle":"","family":"Thompson","given":"Hayley","non-dropping-particle":"","parse-names":false,"suffix":""},{"dropping-particle":"","family":"Walker","given":"Patrick G T","non-dropping-particle":"","parse-names":false,"suffix":""},{"dropping-particle":"","family":"Fu","given":"Han","non-dropping-particle":"","parse-names":false,"suffix":""},{"dropping-particle":"","family":"Dighe","given":"Amy","non-dropping-particle":"","parse-names":false,"suffix":""},{"dropping-particle":"","family":"Griffin","given":"Jamie T","non-dropping-particle":"","parse-names":false,"suffix":""},{"dropping-particle":"","family":"Baguelin","given":"Marc","non-dropping-particle":"","parse-names":false,"suffix":""},{"dropping-particle":"","family":"Bhatia","given":"Sangeeta","non-dropping-particle":"","parse-names":false,"suffix":""},{"dropping-particle":"","family":"Boonyasiri","given":"Adhiratha","non-dropping-particle":"","parse-names":false,"suffix":""},{"dropping-particle":"","family":"Cori","given":"Anne","non-dropping-particle":"","parse-names":false,"suffix":""},{"dropping-particle":"","family":"Cucunubá","given":"Zulma","non-dropping-particle":"","parse-names":false,"suffix":""},{"dropping-particle":"","family":"Fitzjohn","given":"Rich","non-dropping-particle":"","parse-names":false,"suffix":""},{"dropping-particle":"","family":"Gaythorpe","given":"Katy","non-dropping-particle":"","parse-names":false,"suffix":""},{"dropping-particle":"","family":"Green","given":"Will","non-dropping-particle":"","parse-names":false,"suffix":""},{"dropping-particle":"","family":"Hamlet","given":"Arran","non-dropping-particle":"","parse-names":false,"suffix":""},{"dropping-particle":"","family":"Hinsley","given":"Wes","non-dropping-particle":"","parse-names":false,"suffix":""},{"dropping-particle":"","family":"Laydon","given":"Daniel","non-dropping-particle":"","parse-names":false,"suffix":""},{"dropping-particle":"","family":"Nedjati-gilani","given":"Gemma","non-dropping-particle":"","parse-names":false,"suffix":""},{"dropping-particle":"","family":"Riley","given":"Steven","non-dropping-particle":"","parse-names":false,"suffix":""},{"dropping-particle":"Van","family":"Elsland","given":"Sabine","non-dropping-particle":"","parse-names":false,"suffix":""},{"dropping-particle":"","family":"Volz","given":"Erik","non-dropping-particle":"","parse-names":false,"suffix":""},{"dropping-particle":"","family":"Wang","given":"Haowei","non-dropping-particle":"","parse-names":false,"suffix":""},{"dropping-particle":"","family":"Wang","given":"Yuanrong","non-dropping-particle":"","parse-names":false,"suffix":""},{"dropping-particle":"","family":"Xi","given":"Xiaoyue","non-dropping-particle":"","parse-names":false,"suffix":""},{"dropping-particle":"","family":"Donnelly","given":"Christl A","non-dropping-particle":"","parse-names":false,"suffix":""},{"dropping-particle":"","family":"Ghani","given":"Azra C","non-dropping-particle":"","parse-names":false,"suffix":""},{"dropping-particle":"","family":"Ferguson","given":"Neil M","non-dropping-particle":"","parse-names":false,"suffix":""}],"container-title":"Lancet Infectious Diseases","id":"ITEM-1","issue":"20","issued":{"date-parts":[["2020"]]},"page":"1-9","publisher":"Elsevier","title":"Estimates of the severity of coronavirus disease 2019 : a model-based analysis","type":"article-journal","volume":"3099"},"uris":["http://www.mendeley.com/documents/?uuid=eab9fb9a-9d70-3275-82a9-5e4f4704ea80"]}],"mendeley":{"formattedCitation":"(&lt;i&gt;5&lt;/i&gt;)","plainTextFormattedCitation":"(5)","previouslyFormattedCitation":"(&lt;i&gt;5&lt;/i&gt;)"},"properties":{"noteIndex":0},"schema":"https://github.com/citation-style-language/schema/raw/master/csl-citation.json"}</w:instrText>
      </w:r>
      <w:r w:rsidR="000C7787">
        <w:fldChar w:fldCharType="separate"/>
      </w:r>
      <w:r w:rsidR="005B4868" w:rsidRPr="005B4868">
        <w:rPr>
          <w:noProof/>
        </w:rPr>
        <w:t>(</w:t>
      </w:r>
      <w:r w:rsidR="005B4868" w:rsidRPr="005B4868">
        <w:rPr>
          <w:i/>
          <w:noProof/>
        </w:rPr>
        <w:t>5</w:t>
      </w:r>
      <w:r w:rsidR="005B4868" w:rsidRPr="005B4868">
        <w:rPr>
          <w:noProof/>
        </w:rPr>
        <w:t>)</w:t>
      </w:r>
      <w:r w:rsidR="000C7787">
        <w:fldChar w:fldCharType="end"/>
      </w:r>
      <w:r w:rsidR="000C7787">
        <w:t xml:space="preserve">. 500 parameter sets of the age specific IFR were drawn from the fitted joint </w:t>
      </w:r>
      <w:r w:rsidR="000C7787" w:rsidRPr="00444990">
        <w:t>posterior distribution, whilst holding the relative risk of death following hospitalisation and critical care constant.</w:t>
      </w:r>
    </w:p>
    <w:p w14:paraId="76CCFCDB" w14:textId="1E32FF3B" w:rsidR="00743CEA" w:rsidRDefault="00743CEA" w:rsidP="000C7787">
      <w:r w:rsidRPr="00444990">
        <w:t xml:space="preserve">Uncertainty in the </w:t>
      </w:r>
      <w:r w:rsidR="00574F44" w:rsidRPr="00444990">
        <w:t>probability of death if require critical</w:t>
      </w:r>
      <w:r w:rsidR="00574F44">
        <w:t xml:space="preserve"> care but do not receive it, the probability of death if hospitalised with oxygen available (poorer outcome), probability of death if hospitalised but no oxygen is available) and probability of death if require hospitalisation but no hospital beds are available were sampled </w:t>
      </w:r>
      <w:r w:rsidR="00AA69D5">
        <w:t xml:space="preserve">independently </w:t>
      </w:r>
      <w:r w:rsidR="00574F44">
        <w:t>using triangular distributions from the ranges as shown in Table S</w:t>
      </w:r>
      <w:r w:rsidR="005F1B66">
        <w:t>4</w:t>
      </w:r>
      <w:r w:rsidR="00574F44">
        <w:t xml:space="preserve">. </w:t>
      </w:r>
    </w:p>
    <w:p w14:paraId="6B2C9FAE" w14:textId="2482789F" w:rsidR="00574F44" w:rsidRDefault="00950304" w:rsidP="000C7787">
      <w:r>
        <w:lastRenderedPageBreak/>
        <w:t>A single stochastic realisation of the model was run for each of the 500 parameter sets with t</w:t>
      </w:r>
      <w:r w:rsidR="00AA69D5">
        <w:t xml:space="preserve">he combined uncertainty presented as a 95% </w:t>
      </w:r>
      <w:r w:rsidR="003A5AD5">
        <w:t>uncertainty</w:t>
      </w:r>
      <w:r w:rsidR="00AA69D5">
        <w:t xml:space="preserve"> interval</w:t>
      </w:r>
      <w:r w:rsidR="00005097">
        <w:t xml:space="preserve"> from these 500 model realisations</w:t>
      </w:r>
      <w:r w:rsidR="00AA69D5">
        <w:t xml:space="preserve">. </w:t>
      </w:r>
    </w:p>
    <w:p w14:paraId="6899C5C5" w14:textId="237D38AA" w:rsidR="002D2830" w:rsidRDefault="003B6296" w:rsidP="002D2830">
      <w:pPr>
        <w:pStyle w:val="Heading3"/>
      </w:pPr>
      <w:r>
        <w:t>Measuring reported case to reported death ratios prior to suppression</w:t>
      </w:r>
      <w:r w:rsidR="002D2830">
        <w:t xml:space="preserve">. </w:t>
      </w:r>
    </w:p>
    <w:p w14:paraId="6E450C5A" w14:textId="0D485FDF" w:rsidR="002D2830" w:rsidRPr="005520C2" w:rsidRDefault="002D2830" w:rsidP="002D2830">
      <w:r>
        <w:t xml:space="preserve">In countries in which suppression measures were identified </w:t>
      </w:r>
      <w:r w:rsidR="00DE56C4">
        <w:t>estimates were based on reported deaths and cases up to this dat</w:t>
      </w:r>
      <w:r w:rsidR="00B056A5">
        <w:t>e</w:t>
      </w:r>
      <w:r w:rsidR="00DE56C4">
        <w:t xml:space="preserve"> (conditional on </w:t>
      </w:r>
      <w:r w:rsidR="00C76E9D">
        <w:t>3 or more deaths reported prior to suppression)</w:t>
      </w:r>
      <w:r>
        <w:t xml:space="preserve">. In countries in which suppression measures were not identified </w:t>
      </w:r>
      <w:r w:rsidR="00C76E9D">
        <w:t xml:space="preserve">estimates were based on reported deaths and cases up to </w:t>
      </w:r>
      <w:r w:rsidR="00B056A5">
        <w:t xml:space="preserve">the last date at which a measure was reported within the ACAPs data </w:t>
      </w:r>
      <w:r w:rsidR="00C76E9D">
        <w:t>(conditional on 3 or more deaths reported prior to suppression)</w:t>
      </w:r>
      <w:r>
        <w:t xml:space="preserve">In countries where a determination as to whether suppression measures had been applied (Brazil and the United States of America) </w:t>
      </w:r>
      <w:r w:rsidR="00B056A5">
        <w:t xml:space="preserve">could not be made </w:t>
      </w:r>
      <w:r>
        <w:t xml:space="preserve">and in countries experiencing much earlier epidemics (China Iran, Japan, Singapore and South Korea), </w:t>
      </w:r>
      <w:r w:rsidR="00B056A5">
        <w:t xml:space="preserve">estimates were based on reported deaths and cases up to the </w:t>
      </w:r>
      <w:r>
        <w:t xml:space="preserve">date at which the tenth cumulative death was reported. </w:t>
      </w:r>
    </w:p>
    <w:p w14:paraId="69F7C736" w14:textId="77777777" w:rsidR="002D2830" w:rsidRDefault="002D2830" w:rsidP="002D2830">
      <w:pPr>
        <w:spacing w:line="259" w:lineRule="auto"/>
        <w:jc w:val="left"/>
      </w:pPr>
    </w:p>
    <w:p w14:paraId="61A25FD2" w14:textId="77777777" w:rsidR="002D2830" w:rsidRDefault="002D2830" w:rsidP="002D2830">
      <w:pPr>
        <w:spacing w:line="259" w:lineRule="auto"/>
        <w:jc w:val="left"/>
      </w:pPr>
      <w:r>
        <w:br w:type="page"/>
      </w:r>
    </w:p>
    <w:p w14:paraId="09AAD819" w14:textId="77777777" w:rsidR="005B203A" w:rsidRDefault="005B203A" w:rsidP="002D2830">
      <w:pPr>
        <w:pStyle w:val="Heading2"/>
        <w:sectPr w:rsidR="005B203A" w:rsidSect="00B34D5A">
          <w:pgSz w:w="11906" w:h="16838"/>
          <w:pgMar w:top="1440" w:right="1440" w:bottom="1440" w:left="1440" w:header="708" w:footer="708" w:gutter="0"/>
          <w:cols w:space="708"/>
          <w:docGrid w:linePitch="360"/>
        </w:sectPr>
      </w:pPr>
    </w:p>
    <w:p w14:paraId="2D42E923" w14:textId="77777777" w:rsidR="002D2830" w:rsidRDefault="002D2830" w:rsidP="002D2830">
      <w:pPr>
        <w:pStyle w:val="Heading2"/>
      </w:pPr>
      <w:r>
        <w:lastRenderedPageBreak/>
        <w:t>Additional Results</w:t>
      </w:r>
    </w:p>
    <w:p w14:paraId="567088C3" w14:textId="25DDB45B" w:rsidR="009C5417" w:rsidRDefault="009C5417" w:rsidP="00A87818">
      <w:r>
        <w:rPr>
          <w:noProof/>
          <w:lang w:eastAsia="en-GB"/>
        </w:rPr>
        <w:drawing>
          <wp:inline distT="0" distB="0" distL="0" distR="0" wp14:anchorId="455CC64C" wp14:editId="74BB8796">
            <wp:extent cx="8742981" cy="2914650"/>
            <wp:effectExtent l="0" t="0" r="127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S5_contact_rates_by_age.t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757844" cy="2919605"/>
                    </a:xfrm>
                    <a:prstGeom prst="rect">
                      <a:avLst/>
                    </a:prstGeom>
                  </pic:spPr>
                </pic:pic>
              </a:graphicData>
            </a:graphic>
          </wp:inline>
        </w:drawing>
      </w:r>
    </w:p>
    <w:p w14:paraId="58749AE2" w14:textId="60169D7D" w:rsidR="00A87818" w:rsidRPr="00E37B8B" w:rsidRDefault="00A87818" w:rsidP="00A87818">
      <w:pPr>
        <w:rPr>
          <w:b/>
          <w:bCs/>
          <w:i/>
          <w:iCs/>
        </w:rPr>
      </w:pPr>
      <w:r w:rsidRPr="00E37B8B">
        <w:rPr>
          <w:b/>
          <w:bCs/>
          <w:i/>
          <w:iCs/>
        </w:rPr>
        <w:t xml:space="preserve">Figure </w:t>
      </w:r>
      <w:r w:rsidR="00EF69DC" w:rsidRPr="00E37B8B">
        <w:rPr>
          <w:b/>
          <w:bCs/>
          <w:i/>
          <w:iCs/>
        </w:rPr>
        <w:t>S5</w:t>
      </w:r>
      <w:r w:rsidR="00E37B8B" w:rsidRPr="00E37B8B">
        <w:rPr>
          <w:b/>
          <w:bCs/>
          <w:i/>
          <w:iCs/>
        </w:rPr>
        <w:t xml:space="preserve">: </w:t>
      </w:r>
      <w:r w:rsidR="00EF69DC" w:rsidRPr="00E37B8B">
        <w:rPr>
          <w:b/>
          <w:bCs/>
          <w:i/>
          <w:iCs/>
        </w:rPr>
        <w:t xml:space="preserve"> Per-capita contacts per day across all identified surveys.</w:t>
      </w:r>
    </w:p>
    <w:p w14:paraId="449CFF5A" w14:textId="77777777" w:rsidR="005B203A" w:rsidRDefault="005B203A" w:rsidP="00A87818">
      <w:pPr>
        <w:rPr>
          <w:b/>
          <w:bCs/>
        </w:rPr>
      </w:pPr>
    </w:p>
    <w:p w14:paraId="1A3FB1CE" w14:textId="77777777" w:rsidR="005B203A" w:rsidRDefault="005B203A" w:rsidP="00A87818">
      <w:pPr>
        <w:rPr>
          <w:b/>
          <w:bCs/>
        </w:rPr>
        <w:sectPr w:rsidR="005B203A" w:rsidSect="00A43741">
          <w:pgSz w:w="16838" w:h="11906" w:orient="landscape"/>
          <w:pgMar w:top="1440" w:right="1440" w:bottom="1440" w:left="1440" w:header="708" w:footer="708" w:gutter="0"/>
          <w:cols w:space="708"/>
          <w:docGrid w:linePitch="360"/>
        </w:sectPr>
      </w:pPr>
    </w:p>
    <w:p w14:paraId="62406DFF" w14:textId="5CC8B11E" w:rsidR="005B203A" w:rsidRPr="00EF69DC" w:rsidRDefault="005B203A" w:rsidP="00A87818">
      <w:pPr>
        <w:rPr>
          <w:b/>
          <w:bCs/>
        </w:rPr>
      </w:pPr>
    </w:p>
    <w:p w14:paraId="7AF6A220" w14:textId="4233BC43" w:rsidR="002D2830" w:rsidRDefault="00A87818" w:rsidP="002D2830">
      <w:r>
        <w:rPr>
          <w:noProof/>
          <w:lang w:eastAsia="en-GB"/>
        </w:rPr>
        <w:drawing>
          <wp:inline distT="0" distB="0" distL="0" distR="0" wp14:anchorId="55CA3293" wp14:editId="663521AE">
            <wp:extent cx="5731510" cy="5731510"/>
            <wp:effectExtent l="0" t="0" r="2540" b="254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6_age_ARs_by_strategy_R0.t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2B6B197" w14:textId="4ADE887F" w:rsidR="002D2830" w:rsidRPr="000972ED" w:rsidRDefault="002D2830" w:rsidP="002D2830">
      <w:pPr>
        <w:rPr>
          <w:i/>
          <w:iCs/>
        </w:rPr>
      </w:pPr>
      <w:r>
        <w:rPr>
          <w:b/>
          <w:bCs/>
          <w:i/>
          <w:iCs/>
        </w:rPr>
        <w:t>Figure S</w:t>
      </w:r>
      <w:r w:rsidR="00A87818">
        <w:rPr>
          <w:b/>
          <w:bCs/>
          <w:i/>
          <w:iCs/>
        </w:rPr>
        <w:t>6</w:t>
      </w:r>
      <w:r w:rsidR="00E37B8B">
        <w:rPr>
          <w:b/>
          <w:bCs/>
          <w:i/>
          <w:iCs/>
        </w:rPr>
        <w:t>:</w:t>
      </w:r>
      <w:r w:rsidRPr="000972ED">
        <w:rPr>
          <w:b/>
          <w:bCs/>
          <w:i/>
          <w:iCs/>
        </w:rPr>
        <w:t xml:space="preserve"> Age stratified final size attack rates for different settings, R</w:t>
      </w:r>
      <w:r w:rsidRPr="005F1CD0">
        <w:rPr>
          <w:b/>
          <w:bCs/>
          <w:i/>
          <w:iCs/>
          <w:vertAlign w:val="subscript"/>
        </w:rPr>
        <w:t>0</w:t>
      </w:r>
      <w:r w:rsidRPr="000972ED">
        <w:rPr>
          <w:b/>
          <w:bCs/>
          <w:i/>
          <w:iCs/>
        </w:rPr>
        <w:t xml:space="preserve"> and mitigation scenarios. </w:t>
      </w:r>
      <w:r w:rsidR="00771947">
        <w:rPr>
          <w:b/>
          <w:bCs/>
          <w:i/>
          <w:iCs/>
        </w:rPr>
        <w:t>(</w:t>
      </w:r>
      <w:r w:rsidRPr="000972ED">
        <w:rPr>
          <w:b/>
          <w:bCs/>
          <w:i/>
          <w:iCs/>
        </w:rPr>
        <w:t>A</w:t>
      </w:r>
      <w:r w:rsidR="00771947">
        <w:rPr>
          <w:b/>
          <w:bCs/>
          <w:i/>
          <w:iCs/>
        </w:rPr>
        <w:t>)</w:t>
      </w:r>
      <w:r w:rsidRPr="000972ED">
        <w:rPr>
          <w:i/>
          <w:iCs/>
        </w:rPr>
        <w:t xml:space="preserve"> shows final size attack rates by age for Zimbabwe, China and Netherlands as examples of a LMIC, UMIC and HIC respectively. Thick dark lines show our central estimate of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=3.0</m:t>
        </m:r>
      </m:oMath>
      <w:r w:rsidRPr="000972ED">
        <w:rPr>
          <w:rFonts w:eastAsiaTheme="minorEastAsia"/>
          <w:i/>
          <w:iCs/>
        </w:rPr>
        <w:t xml:space="preserve">, lower and upper lighter lines show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 xml:space="preserve">=2.3 </m:t>
        </m:r>
      </m:oMath>
      <w:r w:rsidRPr="000972ED">
        <w:rPr>
          <w:rFonts w:eastAsiaTheme="minorEastAsia"/>
          <w:i/>
          <w:iCs/>
        </w:rPr>
        <w:t xml:space="preserve">and </w:t>
      </w: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0</m:t>
            </m:r>
          </m:sub>
        </m:sSub>
        <m:r>
          <w:rPr>
            <w:rFonts w:ascii="Cambria Math" w:eastAsiaTheme="minorEastAsia" w:hAnsi="Cambria Math"/>
          </w:rPr>
          <m:t>=3.5</m:t>
        </m:r>
      </m:oMath>
      <w:r w:rsidRPr="000972ED">
        <w:rPr>
          <w:rFonts w:eastAsiaTheme="minorEastAsia"/>
          <w:i/>
          <w:iCs/>
        </w:rPr>
        <w:t xml:space="preserve"> respectively. </w:t>
      </w:r>
      <w:r w:rsidR="00771947">
        <w:rPr>
          <w:rFonts w:eastAsiaTheme="minorEastAsia"/>
          <w:i/>
          <w:iCs/>
        </w:rPr>
        <w:t>(</w:t>
      </w:r>
      <w:r w:rsidRPr="000972ED">
        <w:rPr>
          <w:rFonts w:eastAsiaTheme="minorEastAsia"/>
          <w:b/>
          <w:bCs/>
          <w:i/>
          <w:iCs/>
        </w:rPr>
        <w:t>B-D</w:t>
      </w:r>
      <w:r w:rsidR="00771947">
        <w:rPr>
          <w:rFonts w:eastAsiaTheme="minorEastAsia"/>
          <w:b/>
          <w:bCs/>
          <w:i/>
          <w:iCs/>
        </w:rPr>
        <w:t>)</w:t>
      </w:r>
      <w:r w:rsidRPr="000972ED">
        <w:rPr>
          <w:rFonts w:eastAsiaTheme="minorEastAsia"/>
          <w:b/>
          <w:bCs/>
          <w:i/>
          <w:iCs/>
        </w:rPr>
        <w:t xml:space="preserve"> </w:t>
      </w:r>
      <w:r w:rsidRPr="000972ED">
        <w:rPr>
          <w:rFonts w:eastAsiaTheme="minorEastAsia"/>
          <w:i/>
          <w:iCs/>
        </w:rPr>
        <w:t xml:space="preserve">show attack rates in unmitigated and mitigation scenarios including social distancing and enhanced protection of the elderly for Zimbabwe, China and Netherlands respectively. </w:t>
      </w:r>
    </w:p>
    <w:p w14:paraId="15C7D363" w14:textId="77777777" w:rsidR="002D2830" w:rsidRDefault="002D2830" w:rsidP="002D2830">
      <w:pPr>
        <w:spacing w:line="259" w:lineRule="auto"/>
        <w:jc w:val="left"/>
      </w:pPr>
    </w:p>
    <w:p w14:paraId="2E05352A" w14:textId="77777777" w:rsidR="002D2830" w:rsidRPr="00032CCA" w:rsidRDefault="002D2830" w:rsidP="002D2830">
      <w:pPr>
        <w:spacing w:line="259" w:lineRule="auto"/>
        <w:jc w:val="left"/>
        <w:rPr>
          <w:b/>
        </w:rPr>
        <w:sectPr w:rsidR="002D2830" w:rsidRPr="00032CCA" w:rsidSect="00B34D5A">
          <w:pgSz w:w="11906" w:h="16838"/>
          <w:pgMar w:top="1440" w:right="1440" w:bottom="1440" w:left="1440" w:header="708" w:footer="708" w:gutter="0"/>
          <w:cols w:space="708"/>
          <w:docGrid w:linePitch="360"/>
        </w:sectPr>
      </w:pPr>
      <w:r>
        <w:t xml:space="preserve"> </w:t>
      </w:r>
    </w:p>
    <w:p w14:paraId="18D54894" w14:textId="2B703484" w:rsidR="002D2830" w:rsidRPr="0028501A" w:rsidRDefault="002D2830" w:rsidP="002D2830">
      <w:pPr>
        <w:rPr>
          <w:b/>
          <w:i/>
        </w:rPr>
      </w:pPr>
      <w:r w:rsidRPr="0028501A">
        <w:rPr>
          <w:b/>
          <w:i/>
        </w:rPr>
        <w:lastRenderedPageBreak/>
        <w:t>Table S</w:t>
      </w:r>
      <w:r w:rsidR="008A53A6">
        <w:rPr>
          <w:b/>
          <w:bCs/>
          <w:i/>
          <w:iCs/>
        </w:rPr>
        <w:t>5</w:t>
      </w:r>
      <w:r>
        <w:rPr>
          <w:b/>
          <w:bCs/>
          <w:i/>
          <w:iCs/>
        </w:rPr>
        <w:t xml:space="preserve">: Reduction in infections and deaths, and degree of reduction in social contacts in general population required for optimised mitigation strategies involving social distancing and enhanced protection of elderly within SIR final size modelling framework. </w:t>
      </w:r>
    </w:p>
    <w:tbl>
      <w:tblPr>
        <w:tblStyle w:val="TableGrid"/>
        <w:tblW w:w="14029" w:type="dxa"/>
        <w:tblLook w:val="04A0" w:firstRow="1" w:lastRow="0" w:firstColumn="1" w:lastColumn="0" w:noHBand="0" w:noVBand="1"/>
      </w:tblPr>
      <w:tblGrid>
        <w:gridCol w:w="1101"/>
        <w:gridCol w:w="2154"/>
        <w:gridCol w:w="2155"/>
        <w:gridCol w:w="2155"/>
        <w:gridCol w:w="2154"/>
        <w:gridCol w:w="2155"/>
        <w:gridCol w:w="2155"/>
      </w:tblGrid>
      <w:tr w:rsidR="002D2830" w14:paraId="36B540B9" w14:textId="77777777" w:rsidTr="00AB5852">
        <w:tc>
          <w:tcPr>
            <w:tcW w:w="1101" w:type="dxa"/>
            <w:shd w:val="clear" w:color="auto" w:fill="BFBFBF" w:themeFill="background1" w:themeFillShade="BF"/>
            <w:vAlign w:val="center"/>
          </w:tcPr>
          <w:p w14:paraId="494E11B5" w14:textId="77777777" w:rsidR="002D2830" w:rsidRPr="009C75F3" w:rsidRDefault="002D2830" w:rsidP="00AB5852">
            <w:pPr>
              <w:jc w:val="center"/>
              <w:rPr>
                <w:b/>
              </w:rPr>
            </w:pPr>
          </w:p>
        </w:tc>
        <w:tc>
          <w:tcPr>
            <w:tcW w:w="6464" w:type="dxa"/>
            <w:gridSpan w:val="3"/>
            <w:shd w:val="clear" w:color="auto" w:fill="BFBFBF" w:themeFill="background1" w:themeFillShade="BF"/>
            <w:vAlign w:val="center"/>
          </w:tcPr>
          <w:p w14:paraId="530A3295" w14:textId="77777777" w:rsidR="002D2830" w:rsidRPr="009C75F3" w:rsidRDefault="002D2830" w:rsidP="00AB5852">
            <w:pPr>
              <w:jc w:val="center"/>
              <w:rPr>
                <w:b/>
              </w:rPr>
            </w:pPr>
            <w:r>
              <w:rPr>
                <w:b/>
                <w:bCs/>
              </w:rPr>
              <w:t>Median country-level reductions with optimal</w:t>
            </w:r>
            <w:r w:rsidRPr="009C75F3">
              <w:rPr>
                <w:b/>
              </w:rPr>
              <w:t xml:space="preserve"> mitigation including social distancing</w:t>
            </w:r>
            <w:r>
              <w:rPr>
                <w:b/>
                <w:bCs/>
              </w:rPr>
              <w:t xml:space="preserve"> vs unmitigated scenario (range) </w:t>
            </w:r>
          </w:p>
        </w:tc>
        <w:tc>
          <w:tcPr>
            <w:tcW w:w="6464" w:type="dxa"/>
            <w:gridSpan w:val="3"/>
            <w:shd w:val="clear" w:color="auto" w:fill="BFBFBF" w:themeFill="background1" w:themeFillShade="BF"/>
            <w:vAlign w:val="center"/>
          </w:tcPr>
          <w:p w14:paraId="49435233" w14:textId="77777777" w:rsidR="002D2830" w:rsidRPr="009C75F3" w:rsidRDefault="002D2830" w:rsidP="00AB5852">
            <w:pPr>
              <w:jc w:val="center"/>
              <w:rPr>
                <w:b/>
              </w:rPr>
            </w:pPr>
            <w:r>
              <w:rPr>
                <w:b/>
                <w:bCs/>
              </w:rPr>
              <w:t>Median country-level reductions with optimal</w:t>
            </w:r>
            <w:r w:rsidRPr="009C75F3">
              <w:rPr>
                <w:b/>
                <w:bCs/>
              </w:rPr>
              <w:t xml:space="preserve"> </w:t>
            </w:r>
            <w:r w:rsidRPr="009C75F3">
              <w:rPr>
                <w:b/>
              </w:rPr>
              <w:t xml:space="preserve">mitigation including </w:t>
            </w:r>
            <w:r w:rsidRPr="009C75F3">
              <w:rPr>
                <w:b/>
                <w:bCs/>
              </w:rPr>
              <w:t xml:space="preserve">social </w:t>
            </w:r>
            <w:r w:rsidRPr="009C75F3">
              <w:rPr>
                <w:b/>
              </w:rPr>
              <w:t>distancing and enhanced protection of elderly</w:t>
            </w:r>
            <w:r>
              <w:rPr>
                <w:b/>
                <w:bCs/>
              </w:rPr>
              <w:t xml:space="preserve"> vs unmitigated scenario (range) </w:t>
            </w:r>
          </w:p>
        </w:tc>
      </w:tr>
      <w:tr w:rsidR="002D2830" w14:paraId="20C7082A" w14:textId="77777777" w:rsidTr="00AB5852">
        <w:tc>
          <w:tcPr>
            <w:tcW w:w="1101" w:type="dxa"/>
            <w:shd w:val="clear" w:color="auto" w:fill="BFBFBF" w:themeFill="background1" w:themeFillShade="BF"/>
            <w:vAlign w:val="center"/>
          </w:tcPr>
          <w:p w14:paraId="6280DD02" w14:textId="77777777" w:rsidR="002D2830" w:rsidRPr="009C75F3" w:rsidRDefault="002D2830" w:rsidP="00AB5852">
            <w:pPr>
              <w:jc w:val="center"/>
              <w:rPr>
                <w:b/>
              </w:rPr>
            </w:pPr>
            <w:r w:rsidRPr="009C75F3">
              <w:rPr>
                <w:b/>
              </w:rPr>
              <w:t>Income strata</w:t>
            </w:r>
          </w:p>
        </w:tc>
        <w:tc>
          <w:tcPr>
            <w:tcW w:w="2154" w:type="dxa"/>
            <w:shd w:val="clear" w:color="auto" w:fill="BFBFBF" w:themeFill="background1" w:themeFillShade="BF"/>
            <w:vAlign w:val="center"/>
          </w:tcPr>
          <w:p w14:paraId="04AB93D6" w14:textId="77777777" w:rsidR="002D2830" w:rsidRPr="009C75F3" w:rsidRDefault="002D2830" w:rsidP="00AB5852">
            <w:pPr>
              <w:jc w:val="center"/>
              <w:rPr>
                <w:b/>
              </w:rPr>
            </w:pPr>
            <w:r>
              <w:rPr>
                <w:b/>
                <w:bCs/>
              </w:rPr>
              <w:t>Social</w:t>
            </w:r>
            <w:r w:rsidRPr="009C75F3">
              <w:rPr>
                <w:b/>
              </w:rPr>
              <w:t xml:space="preserve"> contacts</w:t>
            </w:r>
            <w:r w:rsidRPr="00C3393C">
              <w:rPr>
                <w:rFonts w:cstheme="minorHAnsi"/>
                <w:b/>
                <w:bCs/>
                <w:vertAlign w:val="superscript"/>
              </w:rPr>
              <w:t>¥</w:t>
            </w:r>
          </w:p>
        </w:tc>
        <w:tc>
          <w:tcPr>
            <w:tcW w:w="2155" w:type="dxa"/>
            <w:shd w:val="clear" w:color="auto" w:fill="BFBFBF" w:themeFill="background1" w:themeFillShade="BF"/>
            <w:vAlign w:val="center"/>
          </w:tcPr>
          <w:p w14:paraId="455320C1" w14:textId="77777777" w:rsidR="002D2830" w:rsidRPr="009C75F3" w:rsidRDefault="002D2830" w:rsidP="00AB5852">
            <w:pPr>
              <w:jc w:val="center"/>
              <w:rPr>
                <w:b/>
              </w:rPr>
            </w:pPr>
            <w:r>
              <w:rPr>
                <w:b/>
                <w:bCs/>
              </w:rPr>
              <w:t>I</w:t>
            </w:r>
            <w:r w:rsidRPr="009C75F3">
              <w:rPr>
                <w:b/>
                <w:bCs/>
              </w:rPr>
              <w:t>nfections</w:t>
            </w:r>
          </w:p>
        </w:tc>
        <w:tc>
          <w:tcPr>
            <w:tcW w:w="2155" w:type="dxa"/>
            <w:shd w:val="clear" w:color="auto" w:fill="BFBFBF" w:themeFill="background1" w:themeFillShade="BF"/>
            <w:vAlign w:val="center"/>
          </w:tcPr>
          <w:p w14:paraId="211C65CE" w14:textId="77777777" w:rsidR="002D2830" w:rsidRPr="009C75F3" w:rsidRDefault="002D2830" w:rsidP="00AB5852">
            <w:pPr>
              <w:jc w:val="center"/>
              <w:rPr>
                <w:b/>
              </w:rPr>
            </w:pPr>
            <w:r>
              <w:rPr>
                <w:b/>
                <w:bCs/>
              </w:rPr>
              <w:t>D</w:t>
            </w:r>
            <w:r w:rsidRPr="009C75F3">
              <w:rPr>
                <w:b/>
                <w:bCs/>
              </w:rPr>
              <w:t>eaths</w:t>
            </w:r>
          </w:p>
        </w:tc>
        <w:tc>
          <w:tcPr>
            <w:tcW w:w="2154" w:type="dxa"/>
            <w:shd w:val="clear" w:color="auto" w:fill="BFBFBF" w:themeFill="background1" w:themeFillShade="BF"/>
            <w:vAlign w:val="center"/>
          </w:tcPr>
          <w:p w14:paraId="597A5392" w14:textId="77777777" w:rsidR="002D2830" w:rsidRPr="009C75F3" w:rsidRDefault="002D2830" w:rsidP="00AB5852">
            <w:pPr>
              <w:jc w:val="center"/>
              <w:rPr>
                <w:b/>
              </w:rPr>
            </w:pPr>
            <w:r>
              <w:rPr>
                <w:b/>
                <w:bCs/>
              </w:rPr>
              <w:t>Social</w:t>
            </w:r>
            <w:r w:rsidRPr="009C75F3">
              <w:rPr>
                <w:b/>
              </w:rPr>
              <w:t xml:space="preserve"> contacts</w:t>
            </w:r>
            <w:r w:rsidRPr="00C3393C">
              <w:rPr>
                <w:rFonts w:cstheme="minorHAnsi"/>
                <w:b/>
                <w:bCs/>
                <w:vertAlign w:val="superscript"/>
              </w:rPr>
              <w:t>€</w:t>
            </w:r>
          </w:p>
        </w:tc>
        <w:tc>
          <w:tcPr>
            <w:tcW w:w="2155" w:type="dxa"/>
            <w:shd w:val="clear" w:color="auto" w:fill="BFBFBF" w:themeFill="background1" w:themeFillShade="BF"/>
            <w:vAlign w:val="center"/>
          </w:tcPr>
          <w:p w14:paraId="44E4E9AC" w14:textId="77777777" w:rsidR="002D2830" w:rsidRPr="009C75F3" w:rsidRDefault="002D2830" w:rsidP="00AB5852">
            <w:pPr>
              <w:jc w:val="center"/>
              <w:rPr>
                <w:b/>
              </w:rPr>
            </w:pPr>
            <w:r>
              <w:rPr>
                <w:b/>
                <w:bCs/>
              </w:rPr>
              <w:t>I</w:t>
            </w:r>
            <w:r w:rsidRPr="009C75F3">
              <w:rPr>
                <w:b/>
                <w:bCs/>
              </w:rPr>
              <w:t>nfections</w:t>
            </w:r>
          </w:p>
        </w:tc>
        <w:tc>
          <w:tcPr>
            <w:tcW w:w="2155" w:type="dxa"/>
            <w:shd w:val="clear" w:color="auto" w:fill="BFBFBF" w:themeFill="background1" w:themeFillShade="BF"/>
            <w:vAlign w:val="center"/>
          </w:tcPr>
          <w:p w14:paraId="1CE538F6" w14:textId="77777777" w:rsidR="002D2830" w:rsidRPr="009C75F3" w:rsidRDefault="002D2830" w:rsidP="00AB5852">
            <w:pPr>
              <w:jc w:val="center"/>
              <w:rPr>
                <w:b/>
              </w:rPr>
            </w:pPr>
            <w:r>
              <w:rPr>
                <w:b/>
                <w:bCs/>
              </w:rPr>
              <w:t>D</w:t>
            </w:r>
            <w:r w:rsidRPr="009C75F3">
              <w:rPr>
                <w:b/>
                <w:bCs/>
              </w:rPr>
              <w:t>eaths</w:t>
            </w:r>
          </w:p>
        </w:tc>
      </w:tr>
      <w:tr w:rsidR="002D2830" w14:paraId="6C09BCC3" w14:textId="77777777" w:rsidTr="00AB5852">
        <w:tc>
          <w:tcPr>
            <w:tcW w:w="14029" w:type="dxa"/>
            <w:gridSpan w:val="7"/>
            <w:shd w:val="clear" w:color="auto" w:fill="BFBFBF" w:themeFill="background1" w:themeFillShade="BF"/>
            <w:vAlign w:val="center"/>
          </w:tcPr>
          <w:p w14:paraId="0E910216" w14:textId="5838A719" w:rsidR="002D2830" w:rsidRPr="009C75F3" w:rsidRDefault="002D2830" w:rsidP="00AB5852">
            <w:pPr>
              <w:jc w:val="center"/>
              <w:rPr>
                <w:b/>
              </w:rPr>
            </w:pPr>
            <w:r w:rsidRPr="009C75F3">
              <w:rPr>
                <w:b/>
                <w:bCs/>
              </w:rPr>
              <w:t>R</w:t>
            </w:r>
            <w:r w:rsidRPr="009C75F3">
              <w:rPr>
                <w:b/>
                <w:bCs/>
                <w:vertAlign w:val="subscript"/>
              </w:rPr>
              <w:t>0</w:t>
            </w:r>
            <w:r w:rsidRPr="009C75F3">
              <w:rPr>
                <w:b/>
                <w:bCs/>
              </w:rPr>
              <w:t>=2.</w:t>
            </w:r>
            <w:r w:rsidR="00167ED3">
              <w:rPr>
                <w:b/>
                <w:bCs/>
              </w:rPr>
              <w:t>3</w:t>
            </w:r>
            <w:r w:rsidR="00167ED3" w:rsidRPr="009C75F3">
              <w:rPr>
                <w:b/>
                <w:bCs/>
              </w:rPr>
              <w:t xml:space="preserve"> </w:t>
            </w:r>
            <w:r w:rsidRPr="009C75F3">
              <w:rPr>
                <w:b/>
                <w:bCs/>
              </w:rPr>
              <w:t xml:space="preserve">(doubling time of </w:t>
            </w:r>
            <w:r w:rsidR="00167ED3">
              <w:rPr>
                <w:b/>
                <w:bCs/>
              </w:rPr>
              <w:t>5</w:t>
            </w:r>
            <w:r w:rsidR="00D34AAA">
              <w:rPr>
                <w:b/>
                <w:bCs/>
              </w:rPr>
              <w:t xml:space="preserve"> </w:t>
            </w:r>
            <w:r w:rsidRPr="009C75F3">
              <w:rPr>
                <w:b/>
                <w:bCs/>
              </w:rPr>
              <w:t>days)</w:t>
            </w:r>
          </w:p>
        </w:tc>
      </w:tr>
      <w:tr w:rsidR="00F2406E" w14:paraId="3D7EA84F" w14:textId="77777777" w:rsidTr="00AB5852">
        <w:tc>
          <w:tcPr>
            <w:tcW w:w="1101" w:type="dxa"/>
            <w:shd w:val="clear" w:color="auto" w:fill="BFBFBF" w:themeFill="background1" w:themeFillShade="BF"/>
            <w:vAlign w:val="center"/>
          </w:tcPr>
          <w:p w14:paraId="4C9B7C93" w14:textId="77777777" w:rsidR="00F2406E" w:rsidRPr="009C75F3" w:rsidRDefault="00F2406E" w:rsidP="00F2406E">
            <w:pPr>
              <w:jc w:val="center"/>
              <w:rPr>
                <w:b/>
              </w:rPr>
            </w:pPr>
            <w:r w:rsidRPr="009C75F3">
              <w:rPr>
                <w:rFonts w:ascii="Calibri" w:hAnsi="Calibri" w:cs="Calibri"/>
                <w:b/>
                <w:color w:val="000000"/>
              </w:rPr>
              <w:t>LIC</w:t>
            </w:r>
          </w:p>
        </w:tc>
        <w:tc>
          <w:tcPr>
            <w:tcW w:w="2154" w:type="dxa"/>
            <w:vAlign w:val="center"/>
          </w:tcPr>
          <w:p w14:paraId="0406F770" w14:textId="293C288C" w:rsidR="00F2406E" w:rsidRDefault="001D1DB7" w:rsidP="00F2406E">
            <w:pPr>
              <w:jc w:val="center"/>
            </w:pPr>
            <w:r w:rsidRPr="001D1DB7">
              <w:t>35.7% (34.7%-35.8%)</w:t>
            </w:r>
          </w:p>
        </w:tc>
        <w:tc>
          <w:tcPr>
            <w:tcW w:w="2155" w:type="dxa"/>
            <w:vAlign w:val="center"/>
          </w:tcPr>
          <w:p w14:paraId="1A4F239C" w14:textId="132B74A2" w:rsidR="00F2406E" w:rsidRDefault="00F2406E" w:rsidP="00F2406E">
            <w:pPr>
              <w:jc w:val="center"/>
            </w:pPr>
            <w:r w:rsidRPr="0069398B">
              <w:rPr>
                <w:rFonts w:ascii="Calibri" w:hAnsi="Calibri" w:cs="Calibri"/>
                <w:color w:val="000000"/>
              </w:rPr>
              <w:t>35.9% (35.2%-39.1%)</w:t>
            </w:r>
          </w:p>
        </w:tc>
        <w:tc>
          <w:tcPr>
            <w:tcW w:w="2155" w:type="dxa"/>
            <w:vAlign w:val="center"/>
          </w:tcPr>
          <w:p w14:paraId="6915D9AE" w14:textId="25315290" w:rsidR="00F2406E" w:rsidRDefault="00F2406E" w:rsidP="00F2406E">
            <w:pPr>
              <w:jc w:val="center"/>
            </w:pPr>
            <w:r w:rsidRPr="00A60191">
              <w:t>31.4% (25.9%-46.1%)</w:t>
            </w:r>
          </w:p>
        </w:tc>
        <w:tc>
          <w:tcPr>
            <w:tcW w:w="2154" w:type="dxa"/>
            <w:vAlign w:val="center"/>
          </w:tcPr>
          <w:p w14:paraId="064CE964" w14:textId="6B49518E" w:rsidR="00F2406E" w:rsidRDefault="00F2406E" w:rsidP="00F2406E">
            <w:pPr>
              <w:jc w:val="center"/>
            </w:pPr>
            <w:r w:rsidRPr="002D2BA7">
              <w:t>34.3% (33.6%-34.6%)</w:t>
            </w:r>
          </w:p>
        </w:tc>
        <w:tc>
          <w:tcPr>
            <w:tcW w:w="2155" w:type="dxa"/>
            <w:vAlign w:val="center"/>
          </w:tcPr>
          <w:p w14:paraId="4FA25A7F" w14:textId="45BB8340" w:rsidR="00F2406E" w:rsidRDefault="005A05AF" w:rsidP="00F2406E">
            <w:pPr>
              <w:jc w:val="center"/>
            </w:pPr>
            <w:r w:rsidRPr="005A05AF">
              <w:t>35.4% (34.8%-39.6%)</w:t>
            </w:r>
          </w:p>
        </w:tc>
        <w:tc>
          <w:tcPr>
            <w:tcW w:w="2155" w:type="dxa"/>
            <w:vAlign w:val="center"/>
          </w:tcPr>
          <w:p w14:paraId="2276AAAE" w14:textId="7D77640F" w:rsidR="00F2406E" w:rsidRDefault="00E06D97" w:rsidP="00F2406E">
            <w:pPr>
              <w:jc w:val="center"/>
            </w:pPr>
            <w:r w:rsidRPr="00E06D97">
              <w:t>42.7% (35.9%-58.6%)</w:t>
            </w:r>
          </w:p>
        </w:tc>
      </w:tr>
      <w:tr w:rsidR="00F2406E" w14:paraId="5C4609CB" w14:textId="77777777" w:rsidTr="00AB5852">
        <w:tc>
          <w:tcPr>
            <w:tcW w:w="1101" w:type="dxa"/>
            <w:shd w:val="clear" w:color="auto" w:fill="BFBFBF" w:themeFill="background1" w:themeFillShade="BF"/>
            <w:vAlign w:val="center"/>
          </w:tcPr>
          <w:p w14:paraId="3F0BA309" w14:textId="77777777" w:rsidR="00F2406E" w:rsidRPr="009C75F3" w:rsidRDefault="00F2406E" w:rsidP="00F2406E">
            <w:pPr>
              <w:jc w:val="center"/>
              <w:rPr>
                <w:b/>
              </w:rPr>
            </w:pPr>
            <w:r w:rsidRPr="009C75F3">
              <w:rPr>
                <w:rFonts w:ascii="Calibri" w:hAnsi="Calibri" w:cs="Calibri"/>
                <w:b/>
                <w:color w:val="000000"/>
              </w:rPr>
              <w:t>LMIC</w:t>
            </w:r>
          </w:p>
        </w:tc>
        <w:tc>
          <w:tcPr>
            <w:tcW w:w="2154" w:type="dxa"/>
            <w:vAlign w:val="center"/>
          </w:tcPr>
          <w:p w14:paraId="3C7A5CEC" w14:textId="37DC0147" w:rsidR="00F2406E" w:rsidRDefault="00826BCE" w:rsidP="00F2406E">
            <w:pPr>
              <w:jc w:val="center"/>
            </w:pPr>
            <w:r w:rsidRPr="00826BCE">
              <w:t>35.6% (33.7%-35.8%)</w:t>
            </w:r>
          </w:p>
        </w:tc>
        <w:tc>
          <w:tcPr>
            <w:tcW w:w="2155" w:type="dxa"/>
            <w:vAlign w:val="center"/>
          </w:tcPr>
          <w:p w14:paraId="3D4B9C9B" w14:textId="7445EE55" w:rsidR="00F2406E" w:rsidRDefault="00F2406E" w:rsidP="00F2406E">
            <w:pPr>
              <w:jc w:val="center"/>
            </w:pPr>
            <w:r w:rsidRPr="004E6DDE">
              <w:rPr>
                <w:rFonts w:ascii="Calibri" w:hAnsi="Calibri" w:cs="Calibri"/>
                <w:color w:val="000000"/>
              </w:rPr>
              <w:t>36.1% (35</w:t>
            </w:r>
            <w:r>
              <w:rPr>
                <w:rFonts w:ascii="Calibri" w:hAnsi="Calibri" w:cs="Calibri"/>
                <w:color w:val="000000"/>
              </w:rPr>
              <w:t>.0</w:t>
            </w:r>
            <w:r w:rsidRPr="004E6DDE">
              <w:rPr>
                <w:rFonts w:ascii="Calibri" w:hAnsi="Calibri" w:cs="Calibri"/>
                <w:color w:val="000000"/>
              </w:rPr>
              <w:t>%-40.3%)</w:t>
            </w:r>
          </w:p>
        </w:tc>
        <w:tc>
          <w:tcPr>
            <w:tcW w:w="2155" w:type="dxa"/>
            <w:vAlign w:val="center"/>
          </w:tcPr>
          <w:p w14:paraId="18C3BC1B" w14:textId="682BC6EA" w:rsidR="00F2406E" w:rsidRDefault="00F2406E" w:rsidP="00F2406E">
            <w:pPr>
              <w:jc w:val="center"/>
            </w:pPr>
            <w:r w:rsidRPr="00594924">
              <w:t>35.3% (28.5%-53.3%)</w:t>
            </w:r>
          </w:p>
        </w:tc>
        <w:tc>
          <w:tcPr>
            <w:tcW w:w="2154" w:type="dxa"/>
            <w:vAlign w:val="center"/>
          </w:tcPr>
          <w:p w14:paraId="28140A76" w14:textId="76CA9205" w:rsidR="00F2406E" w:rsidRDefault="00F2406E" w:rsidP="00F2406E">
            <w:pPr>
              <w:jc w:val="center"/>
            </w:pPr>
            <w:r w:rsidRPr="00DE3253">
              <w:t>34</w:t>
            </w:r>
            <w:r>
              <w:t>.0</w:t>
            </w:r>
            <w:r w:rsidRPr="00DE3253">
              <w:t>% (32</w:t>
            </w:r>
            <w:r>
              <w:t>.0</w:t>
            </w:r>
            <w:r w:rsidRPr="00DE3253">
              <w:t>%-34.5%)</w:t>
            </w:r>
          </w:p>
        </w:tc>
        <w:tc>
          <w:tcPr>
            <w:tcW w:w="2155" w:type="dxa"/>
            <w:vAlign w:val="center"/>
          </w:tcPr>
          <w:p w14:paraId="23E2229E" w14:textId="4C01C537" w:rsidR="00F2406E" w:rsidRDefault="00FF7160" w:rsidP="00F2406E">
            <w:pPr>
              <w:jc w:val="center"/>
            </w:pPr>
            <w:r w:rsidRPr="00FF7160">
              <w:t>35.8% (34.4%-41.3%)</w:t>
            </w:r>
          </w:p>
        </w:tc>
        <w:tc>
          <w:tcPr>
            <w:tcW w:w="2155" w:type="dxa"/>
            <w:vAlign w:val="center"/>
          </w:tcPr>
          <w:p w14:paraId="3556C165" w14:textId="25D8864E" w:rsidR="00F2406E" w:rsidRDefault="006F63DB" w:rsidP="00F2406E">
            <w:pPr>
              <w:jc w:val="center"/>
            </w:pPr>
            <w:r w:rsidRPr="006F63DB">
              <w:t>48.4% (38.8%-66.4%)</w:t>
            </w:r>
          </w:p>
        </w:tc>
      </w:tr>
      <w:tr w:rsidR="00F2406E" w14:paraId="77BF1169" w14:textId="77777777" w:rsidTr="00AB5852">
        <w:tc>
          <w:tcPr>
            <w:tcW w:w="1101" w:type="dxa"/>
            <w:shd w:val="clear" w:color="auto" w:fill="BFBFBF" w:themeFill="background1" w:themeFillShade="BF"/>
            <w:vAlign w:val="center"/>
          </w:tcPr>
          <w:p w14:paraId="05F2A33E" w14:textId="77777777" w:rsidR="00F2406E" w:rsidRPr="009C75F3" w:rsidRDefault="00F2406E" w:rsidP="00F2406E">
            <w:pPr>
              <w:jc w:val="center"/>
              <w:rPr>
                <w:b/>
              </w:rPr>
            </w:pPr>
            <w:r w:rsidRPr="009C75F3">
              <w:rPr>
                <w:rFonts w:ascii="Calibri" w:hAnsi="Calibri" w:cs="Calibri"/>
                <w:b/>
                <w:color w:val="000000"/>
              </w:rPr>
              <w:t>UMIC</w:t>
            </w:r>
          </w:p>
        </w:tc>
        <w:tc>
          <w:tcPr>
            <w:tcW w:w="2154" w:type="dxa"/>
            <w:vAlign w:val="center"/>
          </w:tcPr>
          <w:p w14:paraId="486D239E" w14:textId="0D968956" w:rsidR="00F2406E" w:rsidRDefault="006979DC" w:rsidP="00F2406E">
            <w:pPr>
              <w:jc w:val="center"/>
            </w:pPr>
            <w:r w:rsidRPr="006979DC">
              <w:t>34.5% (31.9%-35.7%)</w:t>
            </w:r>
          </w:p>
        </w:tc>
        <w:tc>
          <w:tcPr>
            <w:tcW w:w="2155" w:type="dxa"/>
            <w:vAlign w:val="center"/>
          </w:tcPr>
          <w:p w14:paraId="1DFC30AE" w14:textId="6543E6C5" w:rsidR="00F2406E" w:rsidRDefault="00F2406E" w:rsidP="00F2406E">
            <w:pPr>
              <w:jc w:val="center"/>
            </w:pPr>
            <w:r w:rsidRPr="00166E8D">
              <w:rPr>
                <w:rFonts w:ascii="Calibri" w:hAnsi="Calibri" w:cs="Calibri"/>
                <w:color w:val="000000"/>
              </w:rPr>
              <w:t>39.2% (35.7%-42.9%)</w:t>
            </w:r>
          </w:p>
        </w:tc>
        <w:tc>
          <w:tcPr>
            <w:tcW w:w="2155" w:type="dxa"/>
            <w:vAlign w:val="center"/>
          </w:tcPr>
          <w:p w14:paraId="6EE4333D" w14:textId="486EE365" w:rsidR="00F2406E" w:rsidRDefault="00F2406E" w:rsidP="00F2406E">
            <w:pPr>
              <w:jc w:val="center"/>
            </w:pPr>
            <w:r w:rsidRPr="00FD21E7">
              <w:t>48.6% (30</w:t>
            </w:r>
            <w:r>
              <w:t>.0</w:t>
            </w:r>
            <w:r w:rsidRPr="00FD21E7">
              <w:t>%-54.4%)</w:t>
            </w:r>
          </w:p>
        </w:tc>
        <w:tc>
          <w:tcPr>
            <w:tcW w:w="2154" w:type="dxa"/>
            <w:vAlign w:val="center"/>
          </w:tcPr>
          <w:p w14:paraId="438E958F" w14:textId="5450B723" w:rsidR="00F2406E" w:rsidRDefault="00F2406E" w:rsidP="00F2406E">
            <w:pPr>
              <w:jc w:val="center"/>
            </w:pPr>
            <w:r w:rsidRPr="00AB4462">
              <w:t>33.4% (30.7%-34.4%)</w:t>
            </w:r>
          </w:p>
        </w:tc>
        <w:tc>
          <w:tcPr>
            <w:tcW w:w="2155" w:type="dxa"/>
            <w:vAlign w:val="center"/>
          </w:tcPr>
          <w:p w14:paraId="500C6617" w14:textId="011A5319" w:rsidR="00F2406E" w:rsidRDefault="00046833" w:rsidP="00F2406E">
            <w:pPr>
              <w:jc w:val="center"/>
            </w:pPr>
            <w:r w:rsidRPr="00046833">
              <w:t>40.3% (35.4%-44.7%)</w:t>
            </w:r>
          </w:p>
        </w:tc>
        <w:tc>
          <w:tcPr>
            <w:tcW w:w="2155" w:type="dxa"/>
            <w:vAlign w:val="center"/>
          </w:tcPr>
          <w:p w14:paraId="06B563B7" w14:textId="6FA60229" w:rsidR="00F2406E" w:rsidRDefault="00305D9E" w:rsidP="00F2406E">
            <w:pPr>
              <w:jc w:val="center"/>
            </w:pPr>
            <w:r w:rsidRPr="00305D9E">
              <w:t>61.1% (40.4%-68.1%)</w:t>
            </w:r>
          </w:p>
        </w:tc>
      </w:tr>
      <w:tr w:rsidR="00F2406E" w14:paraId="62F099BE" w14:textId="77777777" w:rsidTr="00AB5852">
        <w:tc>
          <w:tcPr>
            <w:tcW w:w="1101" w:type="dxa"/>
            <w:shd w:val="clear" w:color="auto" w:fill="BFBFBF" w:themeFill="background1" w:themeFillShade="BF"/>
            <w:vAlign w:val="center"/>
          </w:tcPr>
          <w:p w14:paraId="780BD03E" w14:textId="77777777" w:rsidR="00F2406E" w:rsidRPr="009C75F3" w:rsidRDefault="00F2406E" w:rsidP="00F2406E">
            <w:pPr>
              <w:jc w:val="center"/>
              <w:rPr>
                <w:b/>
              </w:rPr>
            </w:pPr>
            <w:r w:rsidRPr="009C75F3">
              <w:rPr>
                <w:rFonts w:ascii="Calibri" w:hAnsi="Calibri" w:cs="Calibri"/>
                <w:b/>
                <w:color w:val="000000"/>
              </w:rPr>
              <w:t>HIC</w:t>
            </w:r>
          </w:p>
        </w:tc>
        <w:tc>
          <w:tcPr>
            <w:tcW w:w="2154" w:type="dxa"/>
            <w:vAlign w:val="center"/>
          </w:tcPr>
          <w:p w14:paraId="7840D853" w14:textId="2B28E6A2" w:rsidR="00F2406E" w:rsidRDefault="005146D3" w:rsidP="00F2406E">
            <w:pPr>
              <w:jc w:val="center"/>
            </w:pPr>
            <w:r w:rsidRPr="005146D3">
              <w:t>34.2% (31.4%-35.8%)</w:t>
            </w:r>
          </w:p>
        </w:tc>
        <w:tc>
          <w:tcPr>
            <w:tcW w:w="2155" w:type="dxa"/>
            <w:vAlign w:val="center"/>
          </w:tcPr>
          <w:p w14:paraId="6AB7E774" w14:textId="4ADE397A" w:rsidR="00F2406E" w:rsidRDefault="00F2406E" w:rsidP="00F2406E">
            <w:pPr>
              <w:jc w:val="center"/>
            </w:pPr>
            <w:r w:rsidRPr="003C577A">
              <w:rPr>
                <w:rFonts w:ascii="Calibri" w:hAnsi="Calibri" w:cs="Calibri"/>
                <w:color w:val="000000"/>
              </w:rPr>
              <w:t>39.8% (35</w:t>
            </w:r>
            <w:r>
              <w:rPr>
                <w:rFonts w:ascii="Calibri" w:hAnsi="Calibri" w:cs="Calibri"/>
                <w:color w:val="000000"/>
              </w:rPr>
              <w:t>.0</w:t>
            </w:r>
            <w:r w:rsidRPr="003C577A">
              <w:rPr>
                <w:rFonts w:ascii="Calibri" w:hAnsi="Calibri" w:cs="Calibri"/>
                <w:color w:val="000000"/>
              </w:rPr>
              <w:t>%-42.2%)</w:t>
            </w:r>
          </w:p>
        </w:tc>
        <w:tc>
          <w:tcPr>
            <w:tcW w:w="2155" w:type="dxa"/>
            <w:vAlign w:val="center"/>
          </w:tcPr>
          <w:p w14:paraId="2C373E5C" w14:textId="7E8DE0BB" w:rsidR="00F2406E" w:rsidRDefault="00F2406E" w:rsidP="00F2406E">
            <w:pPr>
              <w:jc w:val="center"/>
            </w:pPr>
            <w:r w:rsidRPr="0001673A">
              <w:t>51.6% (26.9%-55.6%)</w:t>
            </w:r>
          </w:p>
        </w:tc>
        <w:tc>
          <w:tcPr>
            <w:tcW w:w="2154" w:type="dxa"/>
            <w:vAlign w:val="center"/>
          </w:tcPr>
          <w:p w14:paraId="5E601481" w14:textId="378E9427" w:rsidR="00F2406E" w:rsidRDefault="00F2406E" w:rsidP="00F2406E">
            <w:pPr>
              <w:jc w:val="center"/>
            </w:pPr>
            <w:r w:rsidRPr="00483C6C">
              <w:t>33.2% (30</w:t>
            </w:r>
            <w:r>
              <w:t>.0</w:t>
            </w:r>
            <w:r w:rsidRPr="00483C6C">
              <w:t>%-34.4%)</w:t>
            </w:r>
          </w:p>
        </w:tc>
        <w:tc>
          <w:tcPr>
            <w:tcW w:w="2155" w:type="dxa"/>
            <w:vAlign w:val="center"/>
          </w:tcPr>
          <w:p w14:paraId="26FF84D6" w14:textId="63F89B9D" w:rsidR="00F2406E" w:rsidRDefault="0091427E" w:rsidP="00F2406E">
            <w:pPr>
              <w:jc w:val="center"/>
            </w:pPr>
            <w:r w:rsidRPr="0091427E">
              <w:t>41.5% (34.6%-44.5%)</w:t>
            </w:r>
          </w:p>
        </w:tc>
        <w:tc>
          <w:tcPr>
            <w:tcW w:w="2155" w:type="dxa"/>
            <w:vAlign w:val="center"/>
          </w:tcPr>
          <w:p w14:paraId="3397D5C4" w14:textId="57D6B695" w:rsidR="00F2406E" w:rsidRDefault="00DC1BBF" w:rsidP="00F2406E">
            <w:pPr>
              <w:jc w:val="center"/>
            </w:pPr>
            <w:r w:rsidRPr="00DC1BBF">
              <w:t>65.5% (30.9%-70.3%)</w:t>
            </w:r>
          </w:p>
        </w:tc>
      </w:tr>
      <w:tr w:rsidR="00F2406E" w14:paraId="1292F6F3" w14:textId="77777777" w:rsidTr="00AB5852">
        <w:tc>
          <w:tcPr>
            <w:tcW w:w="14029" w:type="dxa"/>
            <w:gridSpan w:val="7"/>
            <w:shd w:val="clear" w:color="auto" w:fill="BFBFBF" w:themeFill="background1" w:themeFillShade="BF"/>
            <w:vAlign w:val="center"/>
          </w:tcPr>
          <w:p w14:paraId="4346EA2F" w14:textId="77777777" w:rsidR="00F2406E" w:rsidRPr="009C75F3" w:rsidRDefault="00F2406E" w:rsidP="00F2406E">
            <w:pPr>
              <w:jc w:val="center"/>
              <w:rPr>
                <w:rFonts w:ascii="Calibri" w:hAnsi="Calibri" w:cs="Calibri"/>
                <w:b/>
                <w:bCs/>
                <w:color w:val="000000"/>
              </w:rPr>
            </w:pPr>
            <w:r w:rsidRPr="009C75F3">
              <w:rPr>
                <w:b/>
                <w:bCs/>
              </w:rPr>
              <w:t>R</w:t>
            </w:r>
            <w:r w:rsidRPr="009C75F3">
              <w:rPr>
                <w:b/>
                <w:bCs/>
                <w:vertAlign w:val="subscript"/>
              </w:rPr>
              <w:t>0</w:t>
            </w:r>
            <w:r w:rsidRPr="009C75F3">
              <w:rPr>
                <w:b/>
                <w:bCs/>
              </w:rPr>
              <w:t>=3 (doubling time of 3.5 days)</w:t>
            </w:r>
          </w:p>
        </w:tc>
      </w:tr>
      <w:tr w:rsidR="00F2406E" w14:paraId="0A458654" w14:textId="77777777" w:rsidTr="00AB5852">
        <w:tc>
          <w:tcPr>
            <w:tcW w:w="1101" w:type="dxa"/>
            <w:shd w:val="clear" w:color="auto" w:fill="BFBFBF" w:themeFill="background1" w:themeFillShade="BF"/>
            <w:vAlign w:val="center"/>
          </w:tcPr>
          <w:p w14:paraId="2B189501" w14:textId="77777777" w:rsidR="00F2406E" w:rsidRPr="009C75F3" w:rsidRDefault="00F2406E" w:rsidP="00F2406E">
            <w:pPr>
              <w:jc w:val="center"/>
              <w:rPr>
                <w:b/>
              </w:rPr>
            </w:pPr>
            <w:r w:rsidRPr="009C75F3">
              <w:rPr>
                <w:rFonts w:ascii="Calibri" w:hAnsi="Calibri" w:cs="Calibri"/>
                <w:b/>
                <w:color w:val="000000"/>
              </w:rPr>
              <w:t>LIC</w:t>
            </w:r>
          </w:p>
        </w:tc>
        <w:tc>
          <w:tcPr>
            <w:tcW w:w="2154" w:type="dxa"/>
            <w:vAlign w:val="center"/>
          </w:tcPr>
          <w:p w14:paraId="69192133" w14:textId="77777777" w:rsidR="00F2406E" w:rsidRDefault="00F2406E" w:rsidP="00F2406E">
            <w:pPr>
              <w:jc w:val="center"/>
            </w:pPr>
            <w:r>
              <w:rPr>
                <w:rFonts w:ascii="Calibri" w:hAnsi="Calibri" w:cs="Calibri"/>
                <w:color w:val="000000"/>
              </w:rPr>
              <w:t>44.8% (43.3%-44.9%)</w:t>
            </w:r>
          </w:p>
        </w:tc>
        <w:tc>
          <w:tcPr>
            <w:tcW w:w="2155" w:type="dxa"/>
            <w:vAlign w:val="center"/>
          </w:tcPr>
          <w:p w14:paraId="041B9991" w14:textId="71FC986D" w:rsidR="00F2406E" w:rsidRDefault="00F2406E" w:rsidP="00F2406E">
            <w:pPr>
              <w:jc w:val="center"/>
            </w:pPr>
            <w:r>
              <w:rPr>
                <w:rFonts w:ascii="Calibri" w:hAnsi="Calibri" w:cs="Calibri"/>
                <w:color w:val="000000"/>
              </w:rPr>
              <w:t>31</w:t>
            </w:r>
            <w:r w:rsidR="00DC1BBF">
              <w:rPr>
                <w:rFonts w:ascii="Calibri" w:hAnsi="Calibri" w:cs="Calibri"/>
                <w:color w:val="000000"/>
              </w:rPr>
              <w:t>.0</w:t>
            </w:r>
            <w:r>
              <w:rPr>
                <w:rFonts w:ascii="Calibri" w:hAnsi="Calibri" w:cs="Calibri"/>
                <w:color w:val="000000"/>
              </w:rPr>
              <w:t>% (30</w:t>
            </w:r>
            <w:r w:rsidR="00DC1BBF">
              <w:rPr>
                <w:rFonts w:ascii="Calibri" w:hAnsi="Calibri" w:cs="Calibri"/>
                <w:color w:val="000000"/>
              </w:rPr>
              <w:t>.0</w:t>
            </w:r>
            <w:r>
              <w:rPr>
                <w:rFonts w:ascii="Calibri" w:hAnsi="Calibri" w:cs="Calibri"/>
                <w:color w:val="000000"/>
              </w:rPr>
              <w:t>%-34.2%)</w:t>
            </w:r>
          </w:p>
        </w:tc>
        <w:tc>
          <w:tcPr>
            <w:tcW w:w="2155" w:type="dxa"/>
            <w:vAlign w:val="center"/>
          </w:tcPr>
          <w:p w14:paraId="31DF02B4" w14:textId="77777777" w:rsidR="00F2406E" w:rsidRDefault="00F2406E" w:rsidP="00F2406E">
            <w:pPr>
              <w:jc w:val="center"/>
            </w:pPr>
            <w:r>
              <w:rPr>
                <w:rFonts w:ascii="Calibri" w:hAnsi="Calibri" w:cs="Calibri"/>
                <w:color w:val="000000"/>
              </w:rPr>
              <w:t>25.3% (19.5%-41.6%)</w:t>
            </w:r>
          </w:p>
        </w:tc>
        <w:tc>
          <w:tcPr>
            <w:tcW w:w="2154" w:type="dxa"/>
            <w:vAlign w:val="center"/>
          </w:tcPr>
          <w:p w14:paraId="5377819D" w14:textId="5B91E7DC" w:rsidR="00F2406E" w:rsidRDefault="00F2406E" w:rsidP="00F2406E">
            <w:pPr>
              <w:jc w:val="center"/>
            </w:pPr>
            <w:r>
              <w:rPr>
                <w:rFonts w:ascii="Calibri" w:hAnsi="Calibri" w:cs="Calibri"/>
                <w:color w:val="000000"/>
              </w:rPr>
              <w:t>43.9% (42.6%-44</w:t>
            </w:r>
            <w:r w:rsidR="00DC1BBF">
              <w:rPr>
                <w:rFonts w:ascii="Calibri" w:hAnsi="Calibri" w:cs="Calibri"/>
                <w:color w:val="000000"/>
              </w:rPr>
              <w:t>.0</w:t>
            </w:r>
            <w:r>
              <w:rPr>
                <w:rFonts w:ascii="Calibri" w:hAnsi="Calibri" w:cs="Calibri"/>
                <w:color w:val="000000"/>
              </w:rPr>
              <w:t>%)</w:t>
            </w:r>
          </w:p>
        </w:tc>
        <w:tc>
          <w:tcPr>
            <w:tcW w:w="2155" w:type="dxa"/>
            <w:vAlign w:val="center"/>
          </w:tcPr>
          <w:p w14:paraId="2AB45627" w14:textId="64A055FB" w:rsidR="00F2406E" w:rsidRDefault="00F2406E" w:rsidP="00F2406E">
            <w:pPr>
              <w:jc w:val="center"/>
            </w:pPr>
            <w:r>
              <w:rPr>
                <w:rFonts w:ascii="Calibri" w:hAnsi="Calibri" w:cs="Calibri"/>
                <w:color w:val="000000"/>
              </w:rPr>
              <w:t>30.7% (29.9%-34.2%)</w:t>
            </w:r>
          </w:p>
        </w:tc>
        <w:tc>
          <w:tcPr>
            <w:tcW w:w="2155" w:type="dxa"/>
            <w:vAlign w:val="center"/>
          </w:tcPr>
          <w:p w14:paraId="6359E225" w14:textId="760F76E4" w:rsidR="00F2406E" w:rsidRDefault="00F2406E" w:rsidP="00F2406E">
            <w:pPr>
              <w:jc w:val="center"/>
            </w:pPr>
            <w:r>
              <w:rPr>
                <w:rFonts w:ascii="Calibri" w:hAnsi="Calibri" w:cs="Calibri"/>
                <w:color w:val="000000"/>
              </w:rPr>
              <w:t>32.6% (25.4%-50.9%)</w:t>
            </w:r>
          </w:p>
        </w:tc>
      </w:tr>
      <w:tr w:rsidR="00F2406E" w14:paraId="7148F1B3" w14:textId="77777777" w:rsidTr="00AB5852">
        <w:tc>
          <w:tcPr>
            <w:tcW w:w="1101" w:type="dxa"/>
            <w:shd w:val="clear" w:color="auto" w:fill="BFBFBF" w:themeFill="background1" w:themeFillShade="BF"/>
            <w:vAlign w:val="center"/>
          </w:tcPr>
          <w:p w14:paraId="283EF2AC" w14:textId="77777777" w:rsidR="00F2406E" w:rsidRPr="009C75F3" w:rsidRDefault="00F2406E" w:rsidP="00F2406E">
            <w:pPr>
              <w:jc w:val="center"/>
              <w:rPr>
                <w:b/>
              </w:rPr>
            </w:pPr>
            <w:r w:rsidRPr="009C75F3">
              <w:rPr>
                <w:rFonts w:ascii="Calibri" w:hAnsi="Calibri" w:cs="Calibri"/>
                <w:b/>
                <w:color w:val="000000"/>
              </w:rPr>
              <w:t>LMIC</w:t>
            </w:r>
          </w:p>
        </w:tc>
        <w:tc>
          <w:tcPr>
            <w:tcW w:w="2154" w:type="dxa"/>
            <w:vAlign w:val="center"/>
          </w:tcPr>
          <w:p w14:paraId="11F08621" w14:textId="77777777" w:rsidR="00F2406E" w:rsidRDefault="00F2406E" w:rsidP="00F2406E">
            <w:pPr>
              <w:jc w:val="center"/>
            </w:pPr>
            <w:r>
              <w:rPr>
                <w:rFonts w:ascii="Calibri" w:hAnsi="Calibri" w:cs="Calibri"/>
                <w:color w:val="000000"/>
              </w:rPr>
              <w:t>44.6% (42.8%-44.9%)</w:t>
            </w:r>
          </w:p>
        </w:tc>
        <w:tc>
          <w:tcPr>
            <w:tcW w:w="2155" w:type="dxa"/>
            <w:vAlign w:val="center"/>
          </w:tcPr>
          <w:p w14:paraId="53566B11" w14:textId="2F900ABD" w:rsidR="00F2406E" w:rsidRDefault="00F2406E" w:rsidP="00F2406E">
            <w:pPr>
              <w:jc w:val="center"/>
            </w:pPr>
            <w:r>
              <w:rPr>
                <w:rFonts w:ascii="Calibri" w:hAnsi="Calibri" w:cs="Calibri"/>
                <w:color w:val="000000"/>
              </w:rPr>
              <w:t>31.4% (30</w:t>
            </w:r>
            <w:r w:rsidR="00DC1BBF">
              <w:rPr>
                <w:rFonts w:ascii="Calibri" w:hAnsi="Calibri" w:cs="Calibri"/>
                <w:color w:val="000000"/>
              </w:rPr>
              <w:t>.0</w:t>
            </w:r>
            <w:r>
              <w:rPr>
                <w:rFonts w:ascii="Calibri" w:hAnsi="Calibri" w:cs="Calibri"/>
                <w:color w:val="000000"/>
              </w:rPr>
              <w:t>%-35.4%)</w:t>
            </w:r>
          </w:p>
        </w:tc>
        <w:tc>
          <w:tcPr>
            <w:tcW w:w="2155" w:type="dxa"/>
            <w:vAlign w:val="center"/>
          </w:tcPr>
          <w:p w14:paraId="3556452A" w14:textId="3BC0858C" w:rsidR="00F2406E" w:rsidRDefault="00F2406E" w:rsidP="00F2406E">
            <w:pPr>
              <w:jc w:val="center"/>
            </w:pPr>
            <w:r>
              <w:rPr>
                <w:rFonts w:ascii="Calibri" w:hAnsi="Calibri" w:cs="Calibri"/>
                <w:color w:val="000000"/>
              </w:rPr>
              <w:t>30</w:t>
            </w:r>
            <w:r w:rsidR="00DC1BBF">
              <w:rPr>
                <w:rFonts w:ascii="Calibri" w:hAnsi="Calibri" w:cs="Calibri"/>
                <w:color w:val="000000"/>
              </w:rPr>
              <w:t>.0</w:t>
            </w:r>
            <w:r>
              <w:rPr>
                <w:rFonts w:ascii="Calibri" w:hAnsi="Calibri" w:cs="Calibri"/>
                <w:color w:val="000000"/>
              </w:rPr>
              <w:t>% (22.2%-51.9%)</w:t>
            </w:r>
          </w:p>
        </w:tc>
        <w:tc>
          <w:tcPr>
            <w:tcW w:w="2154" w:type="dxa"/>
            <w:vAlign w:val="center"/>
          </w:tcPr>
          <w:p w14:paraId="49A83BDE" w14:textId="7FCCD343" w:rsidR="00F2406E" w:rsidRDefault="00F2406E" w:rsidP="00F2406E">
            <w:pPr>
              <w:jc w:val="center"/>
            </w:pPr>
            <w:r>
              <w:rPr>
                <w:rFonts w:ascii="Calibri" w:hAnsi="Calibri" w:cs="Calibri"/>
                <w:color w:val="000000"/>
              </w:rPr>
              <w:t>43.6% (41.8%-44</w:t>
            </w:r>
            <w:r w:rsidR="00DC1BBF">
              <w:rPr>
                <w:rFonts w:ascii="Calibri" w:hAnsi="Calibri" w:cs="Calibri"/>
                <w:color w:val="000000"/>
              </w:rPr>
              <w:t>.0</w:t>
            </w:r>
            <w:r>
              <w:rPr>
                <w:rFonts w:ascii="Calibri" w:hAnsi="Calibri" w:cs="Calibri"/>
                <w:color w:val="000000"/>
              </w:rPr>
              <w:t>%)</w:t>
            </w:r>
          </w:p>
        </w:tc>
        <w:tc>
          <w:tcPr>
            <w:tcW w:w="2155" w:type="dxa"/>
            <w:vAlign w:val="center"/>
          </w:tcPr>
          <w:p w14:paraId="560D84CB" w14:textId="1FA982B1" w:rsidR="00F2406E" w:rsidRDefault="00F2406E" w:rsidP="00F2406E">
            <w:pPr>
              <w:jc w:val="center"/>
            </w:pPr>
            <w:r>
              <w:rPr>
                <w:rFonts w:ascii="Calibri" w:hAnsi="Calibri" w:cs="Calibri"/>
                <w:color w:val="000000"/>
              </w:rPr>
              <w:t>31.3% (29.7%-35.4%)</w:t>
            </w:r>
          </w:p>
        </w:tc>
        <w:tc>
          <w:tcPr>
            <w:tcW w:w="2155" w:type="dxa"/>
            <w:vAlign w:val="center"/>
          </w:tcPr>
          <w:p w14:paraId="5FAC5515" w14:textId="421026EC" w:rsidR="00F2406E" w:rsidRDefault="00F2406E" w:rsidP="00F2406E">
            <w:pPr>
              <w:jc w:val="center"/>
            </w:pPr>
            <w:r>
              <w:rPr>
                <w:rFonts w:ascii="Calibri" w:hAnsi="Calibri" w:cs="Calibri"/>
                <w:color w:val="000000"/>
              </w:rPr>
              <w:t>39</w:t>
            </w:r>
            <w:r w:rsidR="00DC1BBF">
              <w:rPr>
                <w:rFonts w:ascii="Calibri" w:hAnsi="Calibri" w:cs="Calibri"/>
                <w:color w:val="000000"/>
              </w:rPr>
              <w:t>.0</w:t>
            </w:r>
            <w:r>
              <w:rPr>
                <w:rFonts w:ascii="Calibri" w:hAnsi="Calibri" w:cs="Calibri"/>
                <w:color w:val="000000"/>
              </w:rPr>
              <w:t>% (28.6%-62.1%)</w:t>
            </w:r>
          </w:p>
        </w:tc>
      </w:tr>
      <w:tr w:rsidR="00F2406E" w14:paraId="094227EB" w14:textId="77777777" w:rsidTr="00AB5852">
        <w:tc>
          <w:tcPr>
            <w:tcW w:w="1101" w:type="dxa"/>
            <w:shd w:val="clear" w:color="auto" w:fill="BFBFBF" w:themeFill="background1" w:themeFillShade="BF"/>
            <w:vAlign w:val="center"/>
          </w:tcPr>
          <w:p w14:paraId="166D4F86" w14:textId="77777777" w:rsidR="00F2406E" w:rsidRPr="009C75F3" w:rsidRDefault="00F2406E" w:rsidP="00F2406E">
            <w:pPr>
              <w:jc w:val="center"/>
              <w:rPr>
                <w:b/>
              </w:rPr>
            </w:pPr>
            <w:r w:rsidRPr="009C75F3">
              <w:rPr>
                <w:rFonts w:ascii="Calibri" w:hAnsi="Calibri" w:cs="Calibri"/>
                <w:b/>
                <w:color w:val="000000"/>
              </w:rPr>
              <w:t>UMIC</w:t>
            </w:r>
          </w:p>
        </w:tc>
        <w:tc>
          <w:tcPr>
            <w:tcW w:w="2154" w:type="dxa"/>
            <w:vAlign w:val="center"/>
          </w:tcPr>
          <w:p w14:paraId="7A9085F1" w14:textId="77777777" w:rsidR="00F2406E" w:rsidRDefault="00F2406E" w:rsidP="00F2406E">
            <w:pPr>
              <w:jc w:val="center"/>
            </w:pPr>
            <w:r>
              <w:rPr>
                <w:rFonts w:ascii="Calibri" w:hAnsi="Calibri" w:cs="Calibri"/>
                <w:color w:val="000000"/>
              </w:rPr>
              <w:t>43.1% (40.5%-44.7%)</w:t>
            </w:r>
          </w:p>
        </w:tc>
        <w:tc>
          <w:tcPr>
            <w:tcW w:w="2155" w:type="dxa"/>
            <w:vAlign w:val="center"/>
          </w:tcPr>
          <w:p w14:paraId="156F6C95" w14:textId="77777777" w:rsidR="00F2406E" w:rsidRDefault="00F2406E" w:rsidP="00F2406E">
            <w:pPr>
              <w:jc w:val="center"/>
            </w:pPr>
            <w:r>
              <w:rPr>
                <w:rFonts w:ascii="Calibri" w:hAnsi="Calibri" w:cs="Calibri"/>
                <w:color w:val="000000"/>
              </w:rPr>
              <w:t>34.6% (30.6%-38.5%)</w:t>
            </w:r>
          </w:p>
        </w:tc>
        <w:tc>
          <w:tcPr>
            <w:tcW w:w="2155" w:type="dxa"/>
            <w:vAlign w:val="center"/>
          </w:tcPr>
          <w:p w14:paraId="6EA557AF" w14:textId="77777777" w:rsidR="00F2406E" w:rsidRDefault="00F2406E" w:rsidP="00F2406E">
            <w:pPr>
              <w:jc w:val="center"/>
            </w:pPr>
            <w:r>
              <w:rPr>
                <w:rFonts w:ascii="Calibri" w:hAnsi="Calibri" w:cs="Calibri"/>
                <w:color w:val="000000"/>
              </w:rPr>
              <w:t>45.1% (23.8%-53.5%)</w:t>
            </w:r>
          </w:p>
        </w:tc>
        <w:tc>
          <w:tcPr>
            <w:tcW w:w="2154" w:type="dxa"/>
            <w:vAlign w:val="center"/>
          </w:tcPr>
          <w:p w14:paraId="5821C052" w14:textId="4A6D0567" w:rsidR="00F2406E" w:rsidRDefault="00F2406E" w:rsidP="00F2406E">
            <w:pPr>
              <w:jc w:val="center"/>
            </w:pPr>
            <w:r>
              <w:rPr>
                <w:rFonts w:ascii="Calibri" w:hAnsi="Calibri" w:cs="Calibri"/>
                <w:color w:val="000000"/>
              </w:rPr>
              <w:t>42.3% (39.4%-43.8%)</w:t>
            </w:r>
          </w:p>
        </w:tc>
        <w:tc>
          <w:tcPr>
            <w:tcW w:w="2155" w:type="dxa"/>
            <w:vAlign w:val="center"/>
          </w:tcPr>
          <w:p w14:paraId="21DBEB6C" w14:textId="5375286B" w:rsidR="00F2406E" w:rsidRDefault="00F2406E" w:rsidP="00F2406E">
            <w:pPr>
              <w:jc w:val="center"/>
            </w:pPr>
            <w:r>
              <w:rPr>
                <w:rFonts w:ascii="Calibri" w:hAnsi="Calibri" w:cs="Calibri"/>
                <w:color w:val="000000"/>
              </w:rPr>
              <w:t>35.3% (30.5%-38.5%)</w:t>
            </w:r>
          </w:p>
        </w:tc>
        <w:tc>
          <w:tcPr>
            <w:tcW w:w="2155" w:type="dxa"/>
            <w:vAlign w:val="center"/>
          </w:tcPr>
          <w:p w14:paraId="0CE35BB7" w14:textId="509C6F35" w:rsidR="00F2406E" w:rsidRDefault="00F2406E" w:rsidP="00F2406E">
            <w:pPr>
              <w:jc w:val="center"/>
            </w:pPr>
            <w:r>
              <w:rPr>
                <w:rFonts w:ascii="Calibri" w:hAnsi="Calibri" w:cs="Calibri"/>
                <w:color w:val="000000"/>
              </w:rPr>
              <w:t>54.5% (30.3%-64.1%)</w:t>
            </w:r>
          </w:p>
        </w:tc>
      </w:tr>
      <w:tr w:rsidR="00F2406E" w14:paraId="2459A383" w14:textId="77777777" w:rsidTr="00AB5852">
        <w:tc>
          <w:tcPr>
            <w:tcW w:w="1101" w:type="dxa"/>
            <w:shd w:val="clear" w:color="auto" w:fill="BFBFBF" w:themeFill="background1" w:themeFillShade="BF"/>
            <w:vAlign w:val="center"/>
          </w:tcPr>
          <w:p w14:paraId="4A020AD5" w14:textId="77777777" w:rsidR="00F2406E" w:rsidRPr="009C75F3" w:rsidRDefault="00F2406E" w:rsidP="00F2406E">
            <w:pPr>
              <w:jc w:val="center"/>
              <w:rPr>
                <w:b/>
              </w:rPr>
            </w:pPr>
            <w:r w:rsidRPr="009C75F3">
              <w:rPr>
                <w:rFonts w:ascii="Calibri" w:hAnsi="Calibri" w:cs="Calibri"/>
                <w:b/>
                <w:color w:val="000000"/>
              </w:rPr>
              <w:t>HIC</w:t>
            </w:r>
          </w:p>
        </w:tc>
        <w:tc>
          <w:tcPr>
            <w:tcW w:w="2154" w:type="dxa"/>
            <w:vAlign w:val="center"/>
          </w:tcPr>
          <w:p w14:paraId="4B666A84" w14:textId="77777777" w:rsidR="00F2406E" w:rsidRDefault="00F2406E" w:rsidP="00F2406E">
            <w:pPr>
              <w:jc w:val="center"/>
            </w:pPr>
            <w:r>
              <w:rPr>
                <w:rFonts w:ascii="Calibri" w:hAnsi="Calibri" w:cs="Calibri"/>
                <w:color w:val="000000"/>
              </w:rPr>
              <w:t>42.8% (40.1%-44.9%)</w:t>
            </w:r>
          </w:p>
        </w:tc>
        <w:tc>
          <w:tcPr>
            <w:tcW w:w="2155" w:type="dxa"/>
            <w:vAlign w:val="center"/>
          </w:tcPr>
          <w:p w14:paraId="33111B54" w14:textId="77777777" w:rsidR="00F2406E" w:rsidRDefault="00F2406E" w:rsidP="00F2406E">
            <w:pPr>
              <w:jc w:val="center"/>
            </w:pPr>
            <w:r>
              <w:rPr>
                <w:rFonts w:ascii="Calibri" w:hAnsi="Calibri" w:cs="Calibri"/>
                <w:color w:val="000000"/>
              </w:rPr>
              <w:t>35.3% (29.8%-38.5%)</w:t>
            </w:r>
          </w:p>
        </w:tc>
        <w:tc>
          <w:tcPr>
            <w:tcW w:w="2155" w:type="dxa"/>
            <w:vAlign w:val="center"/>
          </w:tcPr>
          <w:p w14:paraId="32522308" w14:textId="77777777" w:rsidR="00F2406E" w:rsidRDefault="00F2406E" w:rsidP="00F2406E">
            <w:pPr>
              <w:jc w:val="center"/>
            </w:pPr>
            <w:r>
              <w:rPr>
                <w:rFonts w:ascii="Calibri" w:hAnsi="Calibri" w:cs="Calibri"/>
                <w:color w:val="000000"/>
              </w:rPr>
              <w:t>49.9% (21.5%-55.1%)</w:t>
            </w:r>
          </w:p>
        </w:tc>
        <w:tc>
          <w:tcPr>
            <w:tcW w:w="2154" w:type="dxa"/>
            <w:vAlign w:val="center"/>
          </w:tcPr>
          <w:p w14:paraId="1416C89E" w14:textId="3FE4BC7F" w:rsidR="00F2406E" w:rsidRDefault="00F2406E" w:rsidP="00F2406E">
            <w:pPr>
              <w:jc w:val="center"/>
            </w:pPr>
            <w:r>
              <w:rPr>
                <w:rFonts w:ascii="Calibri" w:hAnsi="Calibri" w:cs="Calibri"/>
                <w:color w:val="000000"/>
              </w:rPr>
              <w:t>42</w:t>
            </w:r>
            <w:r w:rsidR="00DC1BBF">
              <w:rPr>
                <w:rFonts w:ascii="Calibri" w:hAnsi="Calibri" w:cs="Calibri"/>
                <w:color w:val="000000"/>
              </w:rPr>
              <w:t>.0</w:t>
            </w:r>
            <w:r>
              <w:rPr>
                <w:rFonts w:ascii="Calibri" w:hAnsi="Calibri" w:cs="Calibri"/>
                <w:color w:val="000000"/>
              </w:rPr>
              <w:t>% (38.8%-43.7%)</w:t>
            </w:r>
          </w:p>
        </w:tc>
        <w:tc>
          <w:tcPr>
            <w:tcW w:w="2155" w:type="dxa"/>
            <w:vAlign w:val="center"/>
          </w:tcPr>
          <w:p w14:paraId="491B1FA7" w14:textId="1FB78537" w:rsidR="00F2406E" w:rsidRDefault="00F2406E" w:rsidP="00F2406E">
            <w:pPr>
              <w:jc w:val="center"/>
            </w:pPr>
            <w:r>
              <w:rPr>
                <w:rFonts w:ascii="Calibri" w:hAnsi="Calibri" w:cs="Calibri"/>
                <w:color w:val="000000"/>
              </w:rPr>
              <w:t>36.6% (29.7%-38.5%)</w:t>
            </w:r>
          </w:p>
        </w:tc>
        <w:tc>
          <w:tcPr>
            <w:tcW w:w="2155" w:type="dxa"/>
            <w:vAlign w:val="center"/>
          </w:tcPr>
          <w:p w14:paraId="309A23BC" w14:textId="5E7E4D52" w:rsidR="00F2406E" w:rsidRDefault="00F2406E" w:rsidP="00F2406E">
            <w:pPr>
              <w:jc w:val="center"/>
            </w:pPr>
            <w:r>
              <w:rPr>
                <w:rFonts w:ascii="Calibri" w:hAnsi="Calibri" w:cs="Calibri"/>
                <w:color w:val="000000"/>
              </w:rPr>
              <w:t>60.1% (23.4%-66.6%)</w:t>
            </w:r>
          </w:p>
        </w:tc>
      </w:tr>
      <w:tr w:rsidR="00F2406E" w14:paraId="1AF86DC0" w14:textId="77777777" w:rsidTr="00AB5852">
        <w:tc>
          <w:tcPr>
            <w:tcW w:w="14029" w:type="dxa"/>
            <w:gridSpan w:val="7"/>
            <w:shd w:val="clear" w:color="auto" w:fill="BFBFBF" w:themeFill="background1" w:themeFillShade="BF"/>
            <w:vAlign w:val="center"/>
          </w:tcPr>
          <w:p w14:paraId="1DE2A59E" w14:textId="77777777" w:rsidR="00F2406E" w:rsidRPr="009C75F3" w:rsidRDefault="00F2406E" w:rsidP="00F2406E">
            <w:pPr>
              <w:jc w:val="center"/>
              <w:rPr>
                <w:rFonts w:ascii="Calibri" w:hAnsi="Calibri" w:cs="Calibri"/>
                <w:b/>
                <w:bCs/>
                <w:color w:val="000000"/>
              </w:rPr>
            </w:pPr>
            <w:r w:rsidRPr="009C75F3">
              <w:rPr>
                <w:b/>
                <w:bCs/>
              </w:rPr>
              <w:t>R</w:t>
            </w:r>
            <w:r w:rsidRPr="009C75F3">
              <w:rPr>
                <w:b/>
                <w:bCs/>
                <w:vertAlign w:val="subscript"/>
              </w:rPr>
              <w:t>0</w:t>
            </w:r>
            <w:r w:rsidRPr="009C75F3">
              <w:rPr>
                <w:b/>
                <w:bCs/>
              </w:rPr>
              <w:t>=3.5 (doubling time of 3 days)</w:t>
            </w:r>
          </w:p>
        </w:tc>
      </w:tr>
      <w:tr w:rsidR="00F2406E" w14:paraId="672C0F09" w14:textId="77777777" w:rsidTr="00AB5852">
        <w:tc>
          <w:tcPr>
            <w:tcW w:w="1101" w:type="dxa"/>
            <w:shd w:val="clear" w:color="auto" w:fill="BFBFBF" w:themeFill="background1" w:themeFillShade="BF"/>
            <w:vAlign w:val="center"/>
          </w:tcPr>
          <w:p w14:paraId="47971FF0" w14:textId="77777777" w:rsidR="00F2406E" w:rsidRPr="009C75F3" w:rsidRDefault="00F2406E" w:rsidP="00F2406E">
            <w:pPr>
              <w:jc w:val="center"/>
              <w:rPr>
                <w:b/>
              </w:rPr>
            </w:pPr>
            <w:r w:rsidRPr="009C75F3">
              <w:rPr>
                <w:rFonts w:ascii="Calibri" w:hAnsi="Calibri" w:cs="Calibri"/>
                <w:b/>
                <w:color w:val="000000"/>
              </w:rPr>
              <w:t>LIC</w:t>
            </w:r>
          </w:p>
        </w:tc>
        <w:tc>
          <w:tcPr>
            <w:tcW w:w="2154" w:type="dxa"/>
            <w:vAlign w:val="center"/>
          </w:tcPr>
          <w:p w14:paraId="0BB11514" w14:textId="77777777" w:rsidR="00F2406E" w:rsidRDefault="00F2406E" w:rsidP="00F2406E">
            <w:pPr>
              <w:jc w:val="center"/>
            </w:pPr>
            <w:r>
              <w:rPr>
                <w:rFonts w:ascii="Calibri" w:hAnsi="Calibri" w:cs="Calibri"/>
                <w:color w:val="000000"/>
              </w:rPr>
              <w:t>49.6% (47.9%-49.7%)</w:t>
            </w:r>
          </w:p>
        </w:tc>
        <w:tc>
          <w:tcPr>
            <w:tcW w:w="2155" w:type="dxa"/>
            <w:vAlign w:val="center"/>
          </w:tcPr>
          <w:p w14:paraId="23826068" w14:textId="09557FC1" w:rsidR="00F2406E" w:rsidRDefault="00F2406E" w:rsidP="00F2406E">
            <w:pPr>
              <w:jc w:val="center"/>
            </w:pPr>
            <w:r>
              <w:rPr>
                <w:rFonts w:ascii="Calibri" w:hAnsi="Calibri" w:cs="Calibri"/>
                <w:color w:val="000000"/>
              </w:rPr>
              <w:t>28.1% (27.0%-31.2%)</w:t>
            </w:r>
          </w:p>
        </w:tc>
        <w:tc>
          <w:tcPr>
            <w:tcW w:w="2155" w:type="dxa"/>
            <w:vAlign w:val="center"/>
          </w:tcPr>
          <w:p w14:paraId="5BB93BD6" w14:textId="648222BC" w:rsidR="00F2406E" w:rsidRDefault="00F2406E" w:rsidP="00F2406E">
            <w:pPr>
              <w:jc w:val="center"/>
            </w:pPr>
            <w:r>
              <w:rPr>
                <w:rFonts w:ascii="Calibri" w:hAnsi="Calibri" w:cs="Calibri"/>
                <w:color w:val="000000"/>
              </w:rPr>
              <w:t>22.0% (16.3%-38.7%)</w:t>
            </w:r>
          </w:p>
        </w:tc>
        <w:tc>
          <w:tcPr>
            <w:tcW w:w="2154" w:type="dxa"/>
            <w:vAlign w:val="center"/>
          </w:tcPr>
          <w:p w14:paraId="6C397A93" w14:textId="2E69216D" w:rsidR="00F2406E" w:rsidRDefault="00F2406E" w:rsidP="00F2406E">
            <w:pPr>
              <w:jc w:val="center"/>
            </w:pPr>
            <w:r>
              <w:rPr>
                <w:rFonts w:ascii="Calibri" w:hAnsi="Calibri" w:cs="Calibri"/>
                <w:color w:val="000000"/>
              </w:rPr>
              <w:t>47.8% (44.6%-47.9%)</w:t>
            </w:r>
          </w:p>
        </w:tc>
        <w:tc>
          <w:tcPr>
            <w:tcW w:w="2155" w:type="dxa"/>
            <w:vAlign w:val="center"/>
          </w:tcPr>
          <w:p w14:paraId="74204093" w14:textId="123415E3" w:rsidR="00F2406E" w:rsidRDefault="00F2406E" w:rsidP="00F2406E">
            <w:pPr>
              <w:jc w:val="center"/>
            </w:pPr>
            <w:r>
              <w:rPr>
                <w:rFonts w:ascii="Calibri" w:hAnsi="Calibri" w:cs="Calibri"/>
                <w:color w:val="000000"/>
              </w:rPr>
              <w:t>27.5% (26.6%-31.2%)</w:t>
            </w:r>
          </w:p>
        </w:tc>
        <w:tc>
          <w:tcPr>
            <w:tcW w:w="2155" w:type="dxa"/>
            <w:vAlign w:val="center"/>
          </w:tcPr>
          <w:p w14:paraId="145A4C41" w14:textId="73385D49" w:rsidR="00F2406E" w:rsidRDefault="00F2406E" w:rsidP="00F2406E">
            <w:pPr>
              <w:jc w:val="center"/>
            </w:pPr>
            <w:r>
              <w:rPr>
                <w:rFonts w:ascii="Calibri" w:hAnsi="Calibri" w:cs="Calibri"/>
                <w:color w:val="000000"/>
              </w:rPr>
              <w:t>37.3% (29.1%-56.5%)</w:t>
            </w:r>
          </w:p>
        </w:tc>
      </w:tr>
      <w:tr w:rsidR="00F2406E" w14:paraId="4E850ED6" w14:textId="77777777" w:rsidTr="00AB5852">
        <w:tc>
          <w:tcPr>
            <w:tcW w:w="1101" w:type="dxa"/>
            <w:shd w:val="clear" w:color="auto" w:fill="BFBFBF" w:themeFill="background1" w:themeFillShade="BF"/>
            <w:vAlign w:val="center"/>
          </w:tcPr>
          <w:p w14:paraId="2049B9AB" w14:textId="77777777" w:rsidR="00F2406E" w:rsidRPr="009C75F3" w:rsidRDefault="00F2406E" w:rsidP="00F2406E">
            <w:pPr>
              <w:jc w:val="center"/>
              <w:rPr>
                <w:b/>
              </w:rPr>
            </w:pPr>
            <w:r w:rsidRPr="009C75F3">
              <w:rPr>
                <w:rFonts w:ascii="Calibri" w:hAnsi="Calibri" w:cs="Calibri"/>
                <w:b/>
                <w:color w:val="000000"/>
              </w:rPr>
              <w:t>LMIC</w:t>
            </w:r>
          </w:p>
        </w:tc>
        <w:tc>
          <w:tcPr>
            <w:tcW w:w="2154" w:type="dxa"/>
            <w:vAlign w:val="center"/>
          </w:tcPr>
          <w:p w14:paraId="47649017" w14:textId="77777777" w:rsidR="00F2406E" w:rsidRDefault="00F2406E" w:rsidP="00F2406E">
            <w:pPr>
              <w:jc w:val="center"/>
            </w:pPr>
            <w:r>
              <w:rPr>
                <w:rFonts w:ascii="Calibri" w:hAnsi="Calibri" w:cs="Calibri"/>
                <w:color w:val="000000"/>
              </w:rPr>
              <w:t>49.3% (47.3%-49.7%)</w:t>
            </w:r>
          </w:p>
        </w:tc>
        <w:tc>
          <w:tcPr>
            <w:tcW w:w="2155" w:type="dxa"/>
            <w:vAlign w:val="center"/>
          </w:tcPr>
          <w:p w14:paraId="77F89A51" w14:textId="6D8B14B5" w:rsidR="00F2406E" w:rsidRDefault="00F2406E" w:rsidP="00F2406E">
            <w:pPr>
              <w:jc w:val="center"/>
            </w:pPr>
            <w:r>
              <w:rPr>
                <w:rFonts w:ascii="Calibri" w:hAnsi="Calibri" w:cs="Calibri"/>
                <w:color w:val="000000"/>
              </w:rPr>
              <w:t>28.7% (27.0%-32.5%)</w:t>
            </w:r>
          </w:p>
        </w:tc>
        <w:tc>
          <w:tcPr>
            <w:tcW w:w="2155" w:type="dxa"/>
            <w:vAlign w:val="center"/>
          </w:tcPr>
          <w:p w14:paraId="17451F12" w14:textId="5A098C69" w:rsidR="00F2406E" w:rsidRDefault="00F2406E" w:rsidP="00F2406E">
            <w:pPr>
              <w:jc w:val="center"/>
            </w:pPr>
            <w:r>
              <w:rPr>
                <w:rFonts w:ascii="Calibri" w:hAnsi="Calibri" w:cs="Calibri"/>
                <w:color w:val="000000"/>
              </w:rPr>
              <w:t>27.0% (19.0%-50.8%)</w:t>
            </w:r>
          </w:p>
        </w:tc>
        <w:tc>
          <w:tcPr>
            <w:tcW w:w="2154" w:type="dxa"/>
            <w:vAlign w:val="center"/>
          </w:tcPr>
          <w:p w14:paraId="51C5C2F0" w14:textId="7A8A9F71" w:rsidR="00F2406E" w:rsidRDefault="00F2406E" w:rsidP="00F2406E">
            <w:pPr>
              <w:jc w:val="center"/>
            </w:pPr>
            <w:r>
              <w:rPr>
                <w:rFonts w:ascii="Calibri" w:hAnsi="Calibri" w:cs="Calibri"/>
                <w:color w:val="000000"/>
              </w:rPr>
              <w:t>47.0% (45.0%-47.9%)</w:t>
            </w:r>
          </w:p>
        </w:tc>
        <w:tc>
          <w:tcPr>
            <w:tcW w:w="2155" w:type="dxa"/>
            <w:vAlign w:val="center"/>
          </w:tcPr>
          <w:p w14:paraId="2AD46361" w14:textId="737F4CC1" w:rsidR="00F2406E" w:rsidRDefault="00F2406E" w:rsidP="00F2406E">
            <w:pPr>
              <w:jc w:val="center"/>
            </w:pPr>
            <w:r>
              <w:rPr>
                <w:rFonts w:ascii="Calibri" w:hAnsi="Calibri" w:cs="Calibri"/>
                <w:color w:val="000000"/>
              </w:rPr>
              <w:t>27.7% (26.4%-32.5%)</w:t>
            </w:r>
          </w:p>
        </w:tc>
        <w:tc>
          <w:tcPr>
            <w:tcW w:w="2155" w:type="dxa"/>
            <w:vAlign w:val="center"/>
          </w:tcPr>
          <w:p w14:paraId="30F5532F" w14:textId="75B06C11" w:rsidR="00F2406E" w:rsidRDefault="00F2406E" w:rsidP="00F2406E">
            <w:pPr>
              <w:jc w:val="center"/>
            </w:pPr>
            <w:r>
              <w:rPr>
                <w:rFonts w:ascii="Calibri" w:hAnsi="Calibri" w:cs="Calibri"/>
                <w:color w:val="000000"/>
              </w:rPr>
              <w:t>44.5% (32.5%-68.8%)</w:t>
            </w:r>
          </w:p>
        </w:tc>
      </w:tr>
      <w:tr w:rsidR="00F2406E" w14:paraId="48E68C13" w14:textId="77777777" w:rsidTr="00AB5852">
        <w:tc>
          <w:tcPr>
            <w:tcW w:w="1101" w:type="dxa"/>
            <w:shd w:val="clear" w:color="auto" w:fill="BFBFBF" w:themeFill="background1" w:themeFillShade="BF"/>
            <w:vAlign w:val="center"/>
          </w:tcPr>
          <w:p w14:paraId="6196FCA2" w14:textId="77777777" w:rsidR="00F2406E" w:rsidRPr="009C75F3" w:rsidRDefault="00F2406E" w:rsidP="00F2406E">
            <w:pPr>
              <w:jc w:val="center"/>
              <w:rPr>
                <w:b/>
              </w:rPr>
            </w:pPr>
            <w:r w:rsidRPr="009C75F3">
              <w:rPr>
                <w:rFonts w:ascii="Calibri" w:hAnsi="Calibri" w:cs="Calibri"/>
                <w:b/>
                <w:color w:val="000000"/>
              </w:rPr>
              <w:t>UMIC</w:t>
            </w:r>
          </w:p>
        </w:tc>
        <w:tc>
          <w:tcPr>
            <w:tcW w:w="2154" w:type="dxa"/>
            <w:vAlign w:val="center"/>
          </w:tcPr>
          <w:p w14:paraId="7866CB55" w14:textId="77777777" w:rsidR="00F2406E" w:rsidRDefault="00F2406E" w:rsidP="00F2406E">
            <w:pPr>
              <w:jc w:val="center"/>
            </w:pPr>
            <w:r>
              <w:rPr>
                <w:rFonts w:ascii="Calibri" w:hAnsi="Calibri" w:cs="Calibri"/>
                <w:color w:val="000000"/>
              </w:rPr>
              <w:t>47.7% (45.1%-49.5%)</w:t>
            </w:r>
          </w:p>
        </w:tc>
        <w:tc>
          <w:tcPr>
            <w:tcW w:w="2155" w:type="dxa"/>
            <w:vAlign w:val="center"/>
          </w:tcPr>
          <w:p w14:paraId="1A937F15" w14:textId="77777777" w:rsidR="00F2406E" w:rsidRDefault="00F2406E" w:rsidP="00F2406E">
            <w:pPr>
              <w:jc w:val="center"/>
            </w:pPr>
            <w:r>
              <w:rPr>
                <w:rFonts w:ascii="Calibri" w:hAnsi="Calibri" w:cs="Calibri"/>
                <w:color w:val="000000"/>
              </w:rPr>
              <w:t>31.7% (27.7%-35.8%)</w:t>
            </w:r>
          </w:p>
        </w:tc>
        <w:tc>
          <w:tcPr>
            <w:tcW w:w="2155" w:type="dxa"/>
            <w:vAlign w:val="center"/>
          </w:tcPr>
          <w:p w14:paraId="277EFE34" w14:textId="77777777" w:rsidR="00F2406E" w:rsidRDefault="00F2406E" w:rsidP="00F2406E">
            <w:pPr>
              <w:jc w:val="center"/>
            </w:pPr>
            <w:r>
              <w:rPr>
                <w:rFonts w:ascii="Calibri" w:hAnsi="Calibri" w:cs="Calibri"/>
                <w:color w:val="000000"/>
              </w:rPr>
              <w:t>42.5% (20.5%-52.6%)</w:t>
            </w:r>
          </w:p>
        </w:tc>
        <w:tc>
          <w:tcPr>
            <w:tcW w:w="2154" w:type="dxa"/>
            <w:vAlign w:val="center"/>
          </w:tcPr>
          <w:p w14:paraId="4DEAE5DC" w14:textId="0C2EAE02" w:rsidR="00F2406E" w:rsidRDefault="00F2406E" w:rsidP="00F2406E">
            <w:pPr>
              <w:jc w:val="center"/>
            </w:pPr>
            <w:r>
              <w:rPr>
                <w:rFonts w:ascii="Calibri" w:hAnsi="Calibri" w:cs="Calibri"/>
                <w:color w:val="000000"/>
              </w:rPr>
              <w:t>45.9% (42.7%-47.5%)</w:t>
            </w:r>
          </w:p>
        </w:tc>
        <w:tc>
          <w:tcPr>
            <w:tcW w:w="2155" w:type="dxa"/>
            <w:vAlign w:val="center"/>
          </w:tcPr>
          <w:p w14:paraId="47810203" w14:textId="75D63081" w:rsidR="00F2406E" w:rsidRDefault="00F2406E" w:rsidP="00F2406E">
            <w:pPr>
              <w:jc w:val="center"/>
            </w:pPr>
            <w:r>
              <w:rPr>
                <w:rFonts w:ascii="Calibri" w:hAnsi="Calibri" w:cs="Calibri"/>
                <w:color w:val="000000"/>
              </w:rPr>
              <w:t>32.8% (27.3%-35.8%)</w:t>
            </w:r>
          </w:p>
        </w:tc>
        <w:tc>
          <w:tcPr>
            <w:tcW w:w="2155" w:type="dxa"/>
            <w:vAlign w:val="center"/>
          </w:tcPr>
          <w:p w14:paraId="3B3705CE" w14:textId="350FC464" w:rsidR="00F2406E" w:rsidRDefault="00F2406E" w:rsidP="00F2406E">
            <w:pPr>
              <w:jc w:val="center"/>
            </w:pPr>
            <w:r>
              <w:rPr>
                <w:rFonts w:ascii="Calibri" w:hAnsi="Calibri" w:cs="Calibri"/>
                <w:color w:val="000000"/>
              </w:rPr>
              <w:t>60.1% (34.2%-71.1%)</w:t>
            </w:r>
          </w:p>
        </w:tc>
      </w:tr>
      <w:tr w:rsidR="00F2406E" w14:paraId="037FDF8A" w14:textId="77777777" w:rsidTr="00AB5852">
        <w:tc>
          <w:tcPr>
            <w:tcW w:w="1101" w:type="dxa"/>
            <w:shd w:val="clear" w:color="auto" w:fill="BFBFBF" w:themeFill="background1" w:themeFillShade="BF"/>
            <w:vAlign w:val="center"/>
          </w:tcPr>
          <w:p w14:paraId="4F987F61" w14:textId="77777777" w:rsidR="00F2406E" w:rsidRPr="009C75F3" w:rsidRDefault="00F2406E" w:rsidP="00F2406E">
            <w:pPr>
              <w:jc w:val="center"/>
              <w:rPr>
                <w:b/>
              </w:rPr>
            </w:pPr>
            <w:r w:rsidRPr="009C75F3">
              <w:rPr>
                <w:rFonts w:ascii="Calibri" w:hAnsi="Calibri" w:cs="Calibri"/>
                <w:b/>
                <w:color w:val="000000"/>
              </w:rPr>
              <w:t>HIC</w:t>
            </w:r>
          </w:p>
        </w:tc>
        <w:tc>
          <w:tcPr>
            <w:tcW w:w="2154" w:type="dxa"/>
            <w:vAlign w:val="center"/>
          </w:tcPr>
          <w:p w14:paraId="285B9B35" w14:textId="77777777" w:rsidR="00F2406E" w:rsidRDefault="00F2406E" w:rsidP="00F2406E">
            <w:pPr>
              <w:jc w:val="center"/>
            </w:pPr>
            <w:r>
              <w:rPr>
                <w:rFonts w:ascii="Calibri" w:hAnsi="Calibri" w:cs="Calibri"/>
                <w:color w:val="000000"/>
              </w:rPr>
              <w:t>47.4% (44.6%-49.7%)</w:t>
            </w:r>
          </w:p>
        </w:tc>
        <w:tc>
          <w:tcPr>
            <w:tcW w:w="2155" w:type="dxa"/>
            <w:vAlign w:val="center"/>
          </w:tcPr>
          <w:p w14:paraId="5D5E1A77" w14:textId="77777777" w:rsidR="00F2406E" w:rsidRDefault="00F2406E" w:rsidP="00F2406E">
            <w:pPr>
              <w:jc w:val="center"/>
            </w:pPr>
            <w:r>
              <w:rPr>
                <w:rFonts w:ascii="Calibri" w:hAnsi="Calibri" w:cs="Calibri"/>
                <w:color w:val="000000"/>
              </w:rPr>
              <w:t>32.7% (26.8%-36.2%)</w:t>
            </w:r>
          </w:p>
        </w:tc>
        <w:tc>
          <w:tcPr>
            <w:tcW w:w="2155" w:type="dxa"/>
            <w:vAlign w:val="center"/>
          </w:tcPr>
          <w:p w14:paraId="7E2A3BBE" w14:textId="77777777" w:rsidR="00F2406E" w:rsidRDefault="00F2406E" w:rsidP="00F2406E">
            <w:pPr>
              <w:jc w:val="center"/>
            </w:pPr>
            <w:r>
              <w:rPr>
                <w:rFonts w:ascii="Calibri" w:hAnsi="Calibri" w:cs="Calibri"/>
                <w:color w:val="000000"/>
              </w:rPr>
              <w:t>48.9% (18.7%-54.5%)</w:t>
            </w:r>
          </w:p>
        </w:tc>
        <w:tc>
          <w:tcPr>
            <w:tcW w:w="2154" w:type="dxa"/>
            <w:vAlign w:val="center"/>
          </w:tcPr>
          <w:p w14:paraId="3542D32C" w14:textId="38EE102A" w:rsidR="00F2406E" w:rsidRDefault="00F2406E" w:rsidP="00F2406E">
            <w:pPr>
              <w:jc w:val="center"/>
            </w:pPr>
            <w:r>
              <w:rPr>
                <w:rFonts w:ascii="Calibri" w:hAnsi="Calibri" w:cs="Calibri"/>
                <w:color w:val="000000"/>
              </w:rPr>
              <w:t>45.6% (38.9%-47.3%)</w:t>
            </w:r>
          </w:p>
        </w:tc>
        <w:tc>
          <w:tcPr>
            <w:tcW w:w="2155" w:type="dxa"/>
            <w:vAlign w:val="center"/>
          </w:tcPr>
          <w:p w14:paraId="5FAC0F3B" w14:textId="456D8E07" w:rsidR="00F2406E" w:rsidRDefault="00F2406E" w:rsidP="00F2406E">
            <w:pPr>
              <w:jc w:val="center"/>
            </w:pPr>
            <w:r>
              <w:rPr>
                <w:rFonts w:ascii="Calibri" w:hAnsi="Calibri" w:cs="Calibri"/>
                <w:color w:val="000000"/>
              </w:rPr>
              <w:t>35</w:t>
            </w:r>
            <w:r w:rsidR="00DC1BBF">
              <w:rPr>
                <w:rFonts w:ascii="Calibri" w:hAnsi="Calibri" w:cs="Calibri"/>
                <w:color w:val="000000"/>
              </w:rPr>
              <w:t>.0</w:t>
            </w:r>
            <w:r>
              <w:rPr>
                <w:rFonts w:ascii="Calibri" w:hAnsi="Calibri" w:cs="Calibri"/>
                <w:color w:val="000000"/>
              </w:rPr>
              <w:t>% (24.3%-36.2%)</w:t>
            </w:r>
          </w:p>
        </w:tc>
        <w:tc>
          <w:tcPr>
            <w:tcW w:w="2155" w:type="dxa"/>
            <w:vAlign w:val="center"/>
          </w:tcPr>
          <w:p w14:paraId="66D138E0" w14:textId="29525EE4" w:rsidR="00F2406E" w:rsidRDefault="00F2406E" w:rsidP="00F2406E">
            <w:pPr>
              <w:jc w:val="center"/>
            </w:pPr>
            <w:r>
              <w:rPr>
                <w:rFonts w:ascii="Calibri" w:hAnsi="Calibri" w:cs="Calibri"/>
                <w:color w:val="000000"/>
              </w:rPr>
              <w:t>67.3% (22.9%-74.2%)</w:t>
            </w:r>
          </w:p>
        </w:tc>
      </w:tr>
    </w:tbl>
    <w:p w14:paraId="5BAF75C4" w14:textId="77777777" w:rsidR="002D2830" w:rsidRPr="00771947" w:rsidRDefault="002D2830" w:rsidP="002D2830">
      <w:pPr>
        <w:spacing w:after="0"/>
        <w:rPr>
          <w:rFonts w:cstheme="minorHAnsi"/>
        </w:rPr>
      </w:pPr>
      <w:r w:rsidRPr="00771947">
        <w:rPr>
          <w:rFonts w:cstheme="minorHAnsi"/>
          <w:vertAlign w:val="superscript"/>
        </w:rPr>
        <w:t>¥</w:t>
      </w:r>
      <w:r w:rsidRPr="00771947">
        <w:rPr>
          <w:rFonts w:cstheme="minorHAnsi"/>
        </w:rPr>
        <w:t xml:space="preserve">Applied evenly to the entire population. </w:t>
      </w:r>
    </w:p>
    <w:p w14:paraId="7545C8BA" w14:textId="3325E8AA" w:rsidR="002D2830" w:rsidRPr="00771947" w:rsidRDefault="002D2830" w:rsidP="002D2830">
      <w:pPr>
        <w:spacing w:after="0"/>
      </w:pPr>
      <w:r w:rsidRPr="00771947">
        <w:rPr>
          <w:rFonts w:cstheme="minorHAnsi"/>
          <w:vertAlign w:val="superscript"/>
        </w:rPr>
        <w:t>€</w:t>
      </w:r>
      <w:r w:rsidRPr="00771947">
        <w:rPr>
          <w:rFonts w:cstheme="minorHAnsi"/>
        </w:rPr>
        <w:t xml:space="preserve">Applied to under 65s, </w:t>
      </w:r>
      <w:r w:rsidR="004F3CA0" w:rsidRPr="00771947">
        <w:rPr>
          <w:rFonts w:cstheme="minorHAnsi"/>
        </w:rPr>
        <w:t>over</w:t>
      </w:r>
      <w:r w:rsidRPr="00771947">
        <w:rPr>
          <w:rFonts w:cstheme="minorHAnsi"/>
        </w:rPr>
        <w:t xml:space="preserve"> 65s reduce contacts by 60%. </w:t>
      </w:r>
    </w:p>
    <w:p w14:paraId="11327053" w14:textId="77777777" w:rsidR="002D2830" w:rsidRPr="00C3393C" w:rsidRDefault="002D2830" w:rsidP="002D2830"/>
    <w:p w14:paraId="570BD13B" w14:textId="77777777" w:rsidR="002D2830" w:rsidRDefault="002D2830" w:rsidP="002D2830"/>
    <w:p w14:paraId="7B669D4C" w14:textId="77777777" w:rsidR="002D2830" w:rsidRDefault="002D2830" w:rsidP="002D2830">
      <w:pPr>
        <w:sectPr w:rsidR="002D2830" w:rsidSect="00AB5852">
          <w:pgSz w:w="16838" w:h="11906" w:orient="landscape"/>
          <w:pgMar w:top="1440" w:right="1440" w:bottom="1440" w:left="1440" w:header="708" w:footer="708" w:gutter="0"/>
          <w:cols w:space="708"/>
          <w:docGrid w:linePitch="360"/>
        </w:sectPr>
      </w:pPr>
    </w:p>
    <w:p w14:paraId="2AAD56C9" w14:textId="77777777" w:rsidR="002D2830" w:rsidRDefault="002D2830" w:rsidP="002D2830">
      <w:pPr>
        <w:pStyle w:val="Heading2"/>
      </w:pPr>
      <w:r>
        <w:lastRenderedPageBreak/>
        <w:t>Model Code</w:t>
      </w:r>
    </w:p>
    <w:p w14:paraId="009252C6" w14:textId="087E206B" w:rsidR="00AF63FD" w:rsidRDefault="00AF63FD" w:rsidP="00AF63FD">
      <w:r>
        <w:t xml:space="preserve">All data used in this study can be freely downloaded from the cited sources. The model underlying the analyses is available in the form of an R package, available at </w:t>
      </w:r>
      <w:hyperlink r:id="rId100" w:history="1">
        <w:r>
          <w:rPr>
            <w:rStyle w:val="Hyperlink"/>
          </w:rPr>
          <w:t>https://github.com/mrc-ide/squire</w:t>
        </w:r>
      </w:hyperlink>
      <w:r w:rsidRPr="00E074AE">
        <w:t xml:space="preserve"> </w:t>
      </w:r>
      <w:r>
        <w:t xml:space="preserve">(version 0.4.14 used for the analyses presented here). The code used to generate these analyses is available at </w:t>
      </w:r>
      <w:hyperlink r:id="rId101" w:history="1">
        <w:r>
          <w:rPr>
            <w:rStyle w:val="Hyperlink"/>
          </w:rPr>
          <w:t>https://github.com/mrc-ide/covid_global_impact</w:t>
        </w:r>
      </w:hyperlink>
      <w:r>
        <w:t xml:space="preserve">. </w:t>
      </w:r>
    </w:p>
    <w:p w14:paraId="7BA9D033" w14:textId="77777777" w:rsidR="002D2830" w:rsidRDefault="002D2830" w:rsidP="002D2830">
      <w:pPr>
        <w:rPr>
          <w:b/>
          <w:bCs/>
          <w:sz w:val="28"/>
          <w:szCs w:val="28"/>
        </w:rPr>
      </w:pPr>
      <w:r>
        <w:rPr>
          <w:b/>
          <w:bCs/>
          <w:sz w:val="28"/>
          <w:szCs w:val="28"/>
        </w:rPr>
        <w:t>Data</w:t>
      </w:r>
    </w:p>
    <w:p w14:paraId="3CA529F1" w14:textId="77777777" w:rsidR="002D2830" w:rsidRDefault="002D2830" w:rsidP="002D2830">
      <w:r>
        <w:t xml:space="preserve">The accompanying Excel spreadsheet summarises our country-level analysis of the ACAP Government Response database compared to the stage of the epidemic at which lockdowns were initiated. </w:t>
      </w:r>
    </w:p>
    <w:p w14:paraId="2746CE4E" w14:textId="77777777" w:rsidR="002D2830" w:rsidRPr="00AF0CBB" w:rsidRDefault="002D2830" w:rsidP="002D2830">
      <w:pPr>
        <w:rPr>
          <w:b/>
          <w:bCs/>
          <w:sz w:val="28"/>
          <w:szCs w:val="28"/>
        </w:rPr>
      </w:pPr>
      <w:r w:rsidRPr="00AF0CBB">
        <w:rPr>
          <w:b/>
          <w:bCs/>
          <w:sz w:val="28"/>
          <w:szCs w:val="28"/>
        </w:rPr>
        <w:t>References</w:t>
      </w:r>
    </w:p>
    <w:p w14:paraId="3DC2A307" w14:textId="68054477" w:rsidR="007537FA" w:rsidRPr="007537FA" w:rsidRDefault="002D2830" w:rsidP="007537FA">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7537FA" w:rsidRPr="007537FA">
        <w:rPr>
          <w:rFonts w:ascii="Calibri" w:hAnsi="Calibri" w:cs="Calibri"/>
          <w:noProof/>
          <w:szCs w:val="24"/>
        </w:rPr>
        <w:t xml:space="preserve">1. </w:t>
      </w:r>
      <w:r w:rsidR="007537FA" w:rsidRPr="007537FA">
        <w:rPr>
          <w:rFonts w:ascii="Calibri" w:hAnsi="Calibri" w:cs="Calibri"/>
          <w:noProof/>
          <w:szCs w:val="24"/>
        </w:rPr>
        <w:tab/>
        <w:t>WHO, “Coronavirus disease (COVID-19) Situation Report-127” (2020), (available at https://www.who.int/docs/default-source/coronaviruse/situation-reports/20200526-covid-19-sitrep-127.pdf?sfvrsn=7b6655ab_8).</w:t>
      </w:r>
    </w:p>
    <w:p w14:paraId="6EF51DF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 </w:t>
      </w:r>
      <w:r w:rsidRPr="007537FA">
        <w:rPr>
          <w:rFonts w:ascii="Calibri" w:hAnsi="Calibri" w:cs="Calibri"/>
          <w:noProof/>
          <w:szCs w:val="24"/>
        </w:rPr>
        <w:tab/>
        <w:t xml:space="preserve">A. Remuzzi, G. Remuzzi, COVID-19 and Italy: what next?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doi:10.1016/S0140-6736(20)30627-9.</w:t>
      </w:r>
    </w:p>
    <w:p w14:paraId="4C8C093D"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 </w:t>
      </w:r>
      <w:r w:rsidRPr="007537FA">
        <w:rPr>
          <w:rFonts w:ascii="Calibri" w:hAnsi="Calibri" w:cs="Calibri"/>
          <w:noProof/>
          <w:szCs w:val="24"/>
        </w:rPr>
        <w:tab/>
        <w:t xml:space="preserve">A. S. Ginsburg, W. C. Van Cleve, M. I. W. Thompson, M. English, Oxygen and pulse oximetry in childhood pneumonia: a survey of healthcare providers in resource-limited settings. </w:t>
      </w:r>
      <w:r w:rsidRPr="007537FA">
        <w:rPr>
          <w:rFonts w:ascii="Calibri" w:hAnsi="Calibri" w:cs="Calibri"/>
          <w:i/>
          <w:iCs/>
          <w:noProof/>
          <w:szCs w:val="24"/>
        </w:rPr>
        <w:t>J. Trop. Pediatr.</w:t>
      </w:r>
      <w:r w:rsidRPr="007537FA">
        <w:rPr>
          <w:rFonts w:ascii="Calibri" w:hAnsi="Calibri" w:cs="Calibri"/>
          <w:noProof/>
          <w:szCs w:val="24"/>
        </w:rPr>
        <w:t xml:space="preserve"> </w:t>
      </w:r>
      <w:r w:rsidRPr="007537FA">
        <w:rPr>
          <w:rFonts w:ascii="Calibri" w:hAnsi="Calibri" w:cs="Calibri"/>
          <w:b/>
          <w:bCs/>
          <w:noProof/>
          <w:szCs w:val="24"/>
        </w:rPr>
        <w:t>58</w:t>
      </w:r>
      <w:r w:rsidRPr="007537FA">
        <w:rPr>
          <w:rFonts w:ascii="Calibri" w:hAnsi="Calibri" w:cs="Calibri"/>
          <w:noProof/>
          <w:szCs w:val="24"/>
        </w:rPr>
        <w:t>, 389–93 (2012).</w:t>
      </w:r>
    </w:p>
    <w:p w14:paraId="334B4818"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 </w:t>
      </w:r>
      <w:r w:rsidRPr="007537FA">
        <w:rPr>
          <w:rFonts w:ascii="Calibri" w:hAnsi="Calibri" w:cs="Calibri"/>
          <w:noProof/>
          <w:szCs w:val="24"/>
        </w:rPr>
        <w:tab/>
        <w:t xml:space="preserve">J. Cui, Y. Zhang, Z. Feng, Influence of non-homogeneous mixing on final epidemic size in a meta-population model. </w:t>
      </w:r>
      <w:r w:rsidRPr="007537FA">
        <w:rPr>
          <w:rFonts w:ascii="Calibri" w:hAnsi="Calibri" w:cs="Calibri"/>
          <w:i/>
          <w:iCs/>
          <w:noProof/>
          <w:szCs w:val="24"/>
        </w:rPr>
        <w:t>J. Biol. Dyn.</w:t>
      </w:r>
      <w:r w:rsidRPr="007537FA">
        <w:rPr>
          <w:rFonts w:ascii="Calibri" w:hAnsi="Calibri" w:cs="Calibri"/>
          <w:noProof/>
          <w:szCs w:val="24"/>
        </w:rPr>
        <w:t xml:space="preserve"> </w:t>
      </w:r>
      <w:r w:rsidRPr="007537FA">
        <w:rPr>
          <w:rFonts w:ascii="Calibri" w:hAnsi="Calibri" w:cs="Calibri"/>
          <w:b/>
          <w:bCs/>
          <w:noProof/>
          <w:szCs w:val="24"/>
        </w:rPr>
        <w:t>13</w:t>
      </w:r>
      <w:r w:rsidRPr="007537FA">
        <w:rPr>
          <w:rFonts w:ascii="Calibri" w:hAnsi="Calibri" w:cs="Calibri"/>
          <w:noProof/>
          <w:szCs w:val="24"/>
        </w:rPr>
        <w:t>, 31–46 (2019).</w:t>
      </w:r>
    </w:p>
    <w:p w14:paraId="6A199FE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 </w:t>
      </w:r>
      <w:r w:rsidRPr="007537FA">
        <w:rPr>
          <w:rFonts w:ascii="Calibri" w:hAnsi="Calibri" w:cs="Calibri"/>
          <w:noProof/>
          <w:szCs w:val="24"/>
        </w:rPr>
        <w:tab/>
        <w:t xml:space="preserve">R. Verity, L. C. Okell, I. Dorigatti, P. Winskill, C. Whittaker, N. Imai, </w:t>
      </w:r>
      <w:r w:rsidRPr="007537FA">
        <w:rPr>
          <w:rFonts w:ascii="Calibri" w:hAnsi="Calibri" w:cs="Calibri"/>
          <w:i/>
          <w:iCs/>
          <w:noProof/>
          <w:szCs w:val="24"/>
        </w:rPr>
        <w:t>et al.</w:t>
      </w:r>
      <w:r w:rsidRPr="007537FA">
        <w:rPr>
          <w:rFonts w:ascii="Calibri" w:hAnsi="Calibri" w:cs="Calibri"/>
          <w:noProof/>
          <w:szCs w:val="24"/>
        </w:rPr>
        <w:t xml:space="preserve">, Estimates of the severity of coronavirus disease 2019 : a model-based analysis. </w:t>
      </w:r>
      <w:r w:rsidRPr="007537FA">
        <w:rPr>
          <w:rFonts w:ascii="Calibri" w:hAnsi="Calibri" w:cs="Calibri"/>
          <w:i/>
          <w:iCs/>
          <w:noProof/>
          <w:szCs w:val="24"/>
        </w:rPr>
        <w:t>Lancet Infect. Dis.</w:t>
      </w:r>
      <w:r w:rsidRPr="007537FA">
        <w:rPr>
          <w:rFonts w:ascii="Calibri" w:hAnsi="Calibri" w:cs="Calibri"/>
          <w:noProof/>
          <w:szCs w:val="24"/>
        </w:rPr>
        <w:t xml:space="preserve"> </w:t>
      </w:r>
      <w:r w:rsidRPr="007537FA">
        <w:rPr>
          <w:rFonts w:ascii="Calibri" w:hAnsi="Calibri" w:cs="Calibri"/>
          <w:b/>
          <w:bCs/>
          <w:noProof/>
          <w:szCs w:val="24"/>
        </w:rPr>
        <w:t>3099</w:t>
      </w:r>
      <w:r w:rsidRPr="007537FA">
        <w:rPr>
          <w:rFonts w:ascii="Calibri" w:hAnsi="Calibri" w:cs="Calibri"/>
          <w:noProof/>
          <w:szCs w:val="24"/>
        </w:rPr>
        <w:t>, 1–9 (2020).</w:t>
      </w:r>
    </w:p>
    <w:p w14:paraId="7417487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6. </w:t>
      </w:r>
      <w:r w:rsidRPr="007537FA">
        <w:rPr>
          <w:rFonts w:ascii="Calibri" w:hAnsi="Calibri" w:cs="Calibri"/>
          <w:noProof/>
          <w:szCs w:val="24"/>
        </w:rPr>
        <w:tab/>
        <w:t xml:space="preserve">S. Flaxman, S. Mishra, A. Gandy, J. T. Unwin, H. Coupland, T. A. Mellan, </w:t>
      </w:r>
      <w:r w:rsidRPr="007537FA">
        <w:rPr>
          <w:rFonts w:ascii="Calibri" w:hAnsi="Calibri" w:cs="Calibri"/>
          <w:i/>
          <w:iCs/>
          <w:noProof/>
          <w:szCs w:val="24"/>
        </w:rPr>
        <w:t>et al.</w:t>
      </w:r>
      <w:r w:rsidRPr="007537FA">
        <w:rPr>
          <w:rFonts w:ascii="Calibri" w:hAnsi="Calibri" w:cs="Calibri"/>
          <w:noProof/>
          <w:szCs w:val="24"/>
        </w:rPr>
        <w:t>, Estimating the number of infections and the impact of non-pharmaceutical interventions on COVID-19 in 11 European countries. (Imperial College COVID-19 Response Team) (2020), doi:https://doi.org/10.25561/77731.</w:t>
      </w:r>
    </w:p>
    <w:p w14:paraId="3C42D86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7. </w:t>
      </w:r>
      <w:r w:rsidRPr="007537FA">
        <w:rPr>
          <w:rFonts w:ascii="Calibri" w:hAnsi="Calibri" w:cs="Calibri"/>
          <w:noProof/>
          <w:szCs w:val="24"/>
        </w:rPr>
        <w:tab/>
        <w:t>WHO, Report of the WHO-China Joint Mission on Coronavirus Disease 2019 (COVID-19) (2020), (available at https://www.who.int/publications-detail/report-of-the-who-china-joint-mission-on-coronavirus-disease-2019-(covid-19)).</w:t>
      </w:r>
    </w:p>
    <w:p w14:paraId="6B7436C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8. </w:t>
      </w:r>
      <w:r w:rsidRPr="007537FA">
        <w:rPr>
          <w:rFonts w:ascii="Calibri" w:hAnsi="Calibri" w:cs="Calibri"/>
          <w:noProof/>
          <w:szCs w:val="24"/>
        </w:rPr>
        <w:tab/>
        <w:t xml:space="preserve">J. Phua, M. O. Faruq, A. P. Kulkarni, I. S. Redjeki, K. Detleuxay, N. Mendsaikhan, </w:t>
      </w:r>
      <w:r w:rsidRPr="007537FA">
        <w:rPr>
          <w:rFonts w:ascii="Calibri" w:hAnsi="Calibri" w:cs="Calibri"/>
          <w:i/>
          <w:iCs/>
          <w:noProof/>
          <w:szCs w:val="24"/>
        </w:rPr>
        <w:t>et al.</w:t>
      </w:r>
      <w:r w:rsidRPr="007537FA">
        <w:rPr>
          <w:rFonts w:ascii="Calibri" w:hAnsi="Calibri" w:cs="Calibri"/>
          <w:noProof/>
          <w:szCs w:val="24"/>
        </w:rPr>
        <w:t xml:space="preserve">, Critical Care Bed Capacity in Asian Countries and Regions. </w:t>
      </w:r>
      <w:r w:rsidRPr="007537FA">
        <w:rPr>
          <w:rFonts w:ascii="Calibri" w:hAnsi="Calibri" w:cs="Calibri"/>
          <w:i/>
          <w:iCs/>
          <w:noProof/>
          <w:szCs w:val="24"/>
        </w:rPr>
        <w:t>Crit. Care Med.</w:t>
      </w:r>
      <w:r w:rsidRPr="007537FA">
        <w:rPr>
          <w:rFonts w:ascii="Calibri" w:hAnsi="Calibri" w:cs="Calibri"/>
          <w:noProof/>
          <w:szCs w:val="24"/>
        </w:rPr>
        <w:t xml:space="preserve"> </w:t>
      </w:r>
      <w:r w:rsidRPr="007537FA">
        <w:rPr>
          <w:rFonts w:ascii="Calibri" w:hAnsi="Calibri" w:cs="Calibri"/>
          <w:b/>
          <w:bCs/>
          <w:noProof/>
          <w:szCs w:val="24"/>
        </w:rPr>
        <w:t>48</w:t>
      </w:r>
      <w:r w:rsidRPr="007537FA">
        <w:rPr>
          <w:rFonts w:ascii="Calibri" w:hAnsi="Calibri" w:cs="Calibri"/>
          <w:noProof/>
          <w:szCs w:val="24"/>
        </w:rPr>
        <w:t>, 654–662 (2020).</w:t>
      </w:r>
    </w:p>
    <w:p w14:paraId="6466C1A4" w14:textId="6DDA0512"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9. </w:t>
      </w:r>
      <w:r w:rsidRPr="007537FA">
        <w:rPr>
          <w:rFonts w:ascii="Calibri" w:hAnsi="Calibri" w:cs="Calibri"/>
          <w:noProof/>
          <w:szCs w:val="24"/>
        </w:rPr>
        <w:tab/>
        <w:t>Intensive Care National Audit &amp; Research Centre (ICNARC), ICNARC report on COVID-19 in critical care 10 April 2020 (2020)</w:t>
      </w:r>
      <w:r w:rsidR="00F570AD">
        <w:rPr>
          <w:rFonts w:ascii="Calibri" w:hAnsi="Calibri" w:cs="Calibri"/>
          <w:noProof/>
          <w:szCs w:val="24"/>
        </w:rPr>
        <w:t>,</w:t>
      </w:r>
      <w:r w:rsidRPr="007537FA">
        <w:rPr>
          <w:rFonts w:ascii="Calibri" w:hAnsi="Calibri" w:cs="Calibri"/>
          <w:noProof/>
          <w:szCs w:val="24"/>
        </w:rPr>
        <w:t xml:space="preserve"> (available at https://www.icnarc.org/About/Latest-News/2020/04/04/Report-On-2249-Patients-Critically-Ill-With-Covid-19).</w:t>
      </w:r>
    </w:p>
    <w:p w14:paraId="551F9DE6"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10. </w:t>
      </w:r>
      <w:r w:rsidRPr="007537FA">
        <w:rPr>
          <w:rFonts w:ascii="Calibri" w:hAnsi="Calibri" w:cs="Calibri"/>
          <w:noProof/>
          <w:szCs w:val="24"/>
        </w:rPr>
        <w:tab/>
        <w:t xml:space="preserve">K. Houreld, D. Lewis, R. McNeill, S. Granados, Virus exposes gaping holes in Africa’s health systems. </w:t>
      </w:r>
      <w:r w:rsidRPr="007537FA">
        <w:rPr>
          <w:rFonts w:ascii="Calibri" w:hAnsi="Calibri" w:cs="Calibri"/>
          <w:i/>
          <w:iCs/>
          <w:noProof/>
          <w:szCs w:val="24"/>
        </w:rPr>
        <w:t>Reuters</w:t>
      </w:r>
      <w:r w:rsidRPr="007537FA">
        <w:rPr>
          <w:rFonts w:ascii="Calibri" w:hAnsi="Calibri" w:cs="Calibri"/>
          <w:noProof/>
          <w:szCs w:val="24"/>
        </w:rPr>
        <w:t xml:space="preserve"> (2020), (available at https://graphics.reuters.com/HEALTH-CORONAVIRUS/AFRICA/yzdpxoqbdvx/).</w:t>
      </w:r>
    </w:p>
    <w:p w14:paraId="38F95AE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11. </w:t>
      </w:r>
      <w:r w:rsidRPr="007537FA">
        <w:rPr>
          <w:rFonts w:ascii="Calibri" w:hAnsi="Calibri" w:cs="Calibri"/>
          <w:noProof/>
          <w:szCs w:val="24"/>
        </w:rPr>
        <w:tab/>
        <w:t xml:space="preserve">F. Zhou, T. Yu, R. Du, G. Fan, Y. Liu, Z. Liu, </w:t>
      </w:r>
      <w:r w:rsidRPr="007537FA">
        <w:rPr>
          <w:rFonts w:ascii="Calibri" w:hAnsi="Calibri" w:cs="Calibri"/>
          <w:i/>
          <w:iCs/>
          <w:noProof/>
          <w:szCs w:val="24"/>
        </w:rPr>
        <w:t>et al.</w:t>
      </w:r>
      <w:r w:rsidRPr="007537FA">
        <w:rPr>
          <w:rFonts w:ascii="Calibri" w:hAnsi="Calibri" w:cs="Calibri"/>
          <w:noProof/>
          <w:szCs w:val="24"/>
        </w:rPr>
        <w:t xml:space="preserve">, Articles Clinical course and risk factors for mortality of adult inpatients with COVID-19 in Wuhan , China : a retrospective cohort study.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6736</w:t>
      </w:r>
      <w:r w:rsidRPr="007537FA">
        <w:rPr>
          <w:rFonts w:ascii="Calibri" w:hAnsi="Calibri" w:cs="Calibri"/>
          <w:noProof/>
          <w:szCs w:val="24"/>
        </w:rPr>
        <w:t>, 1–9 (2020).</w:t>
      </w:r>
    </w:p>
    <w:p w14:paraId="5121C57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lastRenderedPageBreak/>
        <w:t xml:space="preserve">12. </w:t>
      </w:r>
      <w:r w:rsidRPr="007537FA">
        <w:rPr>
          <w:rFonts w:ascii="Calibri" w:hAnsi="Calibri" w:cs="Calibri"/>
          <w:noProof/>
          <w:szCs w:val="24"/>
        </w:rPr>
        <w:tab/>
        <w:t xml:space="preserve">S. L. James, D. Abate, K. H. Abate, S. M. Abay, C. Abbafati, N. Abbasi, </w:t>
      </w:r>
      <w:r w:rsidRPr="007537FA">
        <w:rPr>
          <w:rFonts w:ascii="Calibri" w:hAnsi="Calibri" w:cs="Calibri"/>
          <w:i/>
          <w:iCs/>
          <w:noProof/>
          <w:szCs w:val="24"/>
        </w:rPr>
        <w:t>et al.</w:t>
      </w:r>
      <w:r w:rsidRPr="007537FA">
        <w:rPr>
          <w:rFonts w:ascii="Calibri" w:hAnsi="Calibri" w:cs="Calibri"/>
          <w:noProof/>
          <w:szCs w:val="24"/>
        </w:rPr>
        <w:t xml:space="preserve">, Global, regional, and national incidence, prevalence, and years lived with disability for 354 Diseases and Injuries for 195 countries and territories, 1990-2017: A systematic analysis for the Global Burden of Disease Study 2017.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392</w:t>
      </w:r>
      <w:r w:rsidRPr="007537FA">
        <w:rPr>
          <w:rFonts w:ascii="Calibri" w:hAnsi="Calibri" w:cs="Calibri"/>
          <w:noProof/>
          <w:szCs w:val="24"/>
        </w:rPr>
        <w:t>, 1789–1858 (2018).</w:t>
      </w:r>
    </w:p>
    <w:p w14:paraId="17A0FC6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13. </w:t>
      </w:r>
      <w:r w:rsidRPr="007537FA">
        <w:rPr>
          <w:rFonts w:ascii="Calibri" w:hAnsi="Calibri" w:cs="Calibri"/>
          <w:noProof/>
          <w:szCs w:val="24"/>
        </w:rPr>
        <w:tab/>
        <w:t xml:space="preserve">A. B. Docherty, E. M. Harrison, C. A. Green, H. E. Hardwick, R. Pius, L. Norman, </w:t>
      </w:r>
      <w:r w:rsidRPr="007537FA">
        <w:rPr>
          <w:rFonts w:ascii="Calibri" w:hAnsi="Calibri" w:cs="Calibri"/>
          <w:i/>
          <w:iCs/>
          <w:noProof/>
          <w:szCs w:val="24"/>
        </w:rPr>
        <w:t>et al.</w:t>
      </w:r>
      <w:r w:rsidRPr="007537FA">
        <w:rPr>
          <w:rFonts w:ascii="Calibri" w:hAnsi="Calibri" w:cs="Calibri"/>
          <w:noProof/>
          <w:szCs w:val="24"/>
        </w:rPr>
        <w:t xml:space="preserve">, Features of 16,749 hospitalised UK patients with COVID-19 using the ISARIC WHO Clinical Characterisation Protocol. </w:t>
      </w:r>
      <w:r w:rsidRPr="007537FA">
        <w:rPr>
          <w:rFonts w:ascii="Calibri" w:hAnsi="Calibri" w:cs="Calibri"/>
          <w:i/>
          <w:iCs/>
          <w:noProof/>
          <w:szCs w:val="24"/>
        </w:rPr>
        <w:t>medRxiv</w:t>
      </w:r>
      <w:r w:rsidRPr="007537FA">
        <w:rPr>
          <w:rFonts w:ascii="Calibri" w:hAnsi="Calibri" w:cs="Calibri"/>
          <w:noProof/>
          <w:szCs w:val="24"/>
        </w:rPr>
        <w:t xml:space="preserve"> (2020), doi:10.1101/2020.04.23.20076042.</w:t>
      </w:r>
    </w:p>
    <w:p w14:paraId="160018F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14. </w:t>
      </w:r>
      <w:r w:rsidRPr="007537FA">
        <w:rPr>
          <w:rFonts w:ascii="Calibri" w:hAnsi="Calibri" w:cs="Calibri"/>
          <w:noProof/>
          <w:szCs w:val="24"/>
        </w:rPr>
        <w:tab/>
        <w:t xml:space="preserve">T. D. Hollingsworth, D. Klinkenberg, H. Heesterbeek, R. M. Anderson, Mitigation strategies for pandemic influenza a: Balancing conflicting policy objectives. </w:t>
      </w:r>
      <w:r w:rsidRPr="007537FA">
        <w:rPr>
          <w:rFonts w:ascii="Calibri" w:hAnsi="Calibri" w:cs="Calibri"/>
          <w:i/>
          <w:iCs/>
          <w:noProof/>
          <w:szCs w:val="24"/>
        </w:rPr>
        <w:t>PLoS Comput. Biol.</w:t>
      </w:r>
      <w:r w:rsidRPr="007537FA">
        <w:rPr>
          <w:rFonts w:ascii="Calibri" w:hAnsi="Calibri" w:cs="Calibri"/>
          <w:noProof/>
          <w:szCs w:val="24"/>
        </w:rPr>
        <w:t xml:space="preserve"> </w:t>
      </w:r>
      <w:r w:rsidRPr="007537FA">
        <w:rPr>
          <w:rFonts w:ascii="Calibri" w:hAnsi="Calibri" w:cs="Calibri"/>
          <w:b/>
          <w:bCs/>
          <w:noProof/>
          <w:szCs w:val="24"/>
        </w:rPr>
        <w:t>7</w:t>
      </w:r>
      <w:r w:rsidRPr="007537FA">
        <w:rPr>
          <w:rFonts w:ascii="Calibri" w:hAnsi="Calibri" w:cs="Calibri"/>
          <w:noProof/>
          <w:szCs w:val="24"/>
        </w:rPr>
        <w:t xml:space="preserve"> (2011), doi:10.1371/journal.pcbi.1001076.</w:t>
      </w:r>
    </w:p>
    <w:p w14:paraId="1CCBA1BE"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15. </w:t>
      </w:r>
      <w:r w:rsidRPr="007537FA">
        <w:rPr>
          <w:rFonts w:ascii="Calibri" w:hAnsi="Calibri" w:cs="Calibri"/>
          <w:noProof/>
          <w:szCs w:val="24"/>
        </w:rPr>
        <w:tab/>
        <w:t xml:space="preserve">R. M. Anderson, H. Heesterbeek, D. Klinkenberg, T. D. Hollingsworth, How will country-based mitigation measures influence the course of the COVID-19 epidemic?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pp. 931–934.</w:t>
      </w:r>
    </w:p>
    <w:p w14:paraId="4B08A4D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16. </w:t>
      </w:r>
      <w:r w:rsidRPr="007537FA">
        <w:rPr>
          <w:rFonts w:ascii="Calibri" w:hAnsi="Calibri" w:cs="Calibri"/>
          <w:noProof/>
          <w:szCs w:val="24"/>
        </w:rPr>
        <w:tab/>
        <w:t xml:space="preserve">D. M. Altmann, D. C. Douek, R. J. Boyton, What policy makers need to know about COVID-19 protective immunity. </w:t>
      </w:r>
      <w:r w:rsidRPr="007537FA">
        <w:rPr>
          <w:rFonts w:ascii="Calibri" w:hAnsi="Calibri" w:cs="Calibri"/>
          <w:i/>
          <w:iCs/>
          <w:noProof/>
          <w:szCs w:val="24"/>
        </w:rPr>
        <w:t>Lancet</w:t>
      </w:r>
      <w:r w:rsidRPr="007537FA">
        <w:rPr>
          <w:rFonts w:ascii="Calibri" w:hAnsi="Calibri" w:cs="Calibri"/>
          <w:noProof/>
          <w:szCs w:val="24"/>
        </w:rPr>
        <w:t xml:space="preserve">. </w:t>
      </w:r>
      <w:r w:rsidRPr="007537FA">
        <w:rPr>
          <w:rFonts w:ascii="Calibri" w:hAnsi="Calibri" w:cs="Calibri"/>
          <w:b/>
          <w:bCs/>
          <w:noProof/>
          <w:szCs w:val="24"/>
        </w:rPr>
        <w:t>395</w:t>
      </w:r>
      <w:r w:rsidRPr="007537FA">
        <w:rPr>
          <w:rFonts w:ascii="Calibri" w:hAnsi="Calibri" w:cs="Calibri"/>
          <w:noProof/>
          <w:szCs w:val="24"/>
        </w:rPr>
        <w:t xml:space="preserve"> (2020), doi:10.1016/S0140-6736(20)30985-5.</w:t>
      </w:r>
    </w:p>
    <w:p w14:paraId="25A92D3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17. </w:t>
      </w:r>
      <w:r w:rsidRPr="007537FA">
        <w:rPr>
          <w:rFonts w:ascii="Calibri" w:hAnsi="Calibri" w:cs="Calibri"/>
          <w:noProof/>
          <w:szCs w:val="24"/>
        </w:rPr>
        <w:tab/>
        <w:t>D. H. Morris, F. W. Rossine, J. B. Plotkin, S. A. Levin, Optimal, near-optimal, and robust epidemic control (2020) (available at http://arxiv.org/abs/2004.02209).</w:t>
      </w:r>
    </w:p>
    <w:p w14:paraId="66377D2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18. </w:t>
      </w:r>
      <w:r w:rsidRPr="007537FA">
        <w:rPr>
          <w:rFonts w:ascii="Calibri" w:hAnsi="Calibri" w:cs="Calibri"/>
          <w:noProof/>
          <w:szCs w:val="24"/>
        </w:rPr>
        <w:tab/>
        <w:t xml:space="preserve">F. Di Lauro, I. Z. Kiss, J. Miller, The timing of one-shot interventions for epidemic control. </w:t>
      </w:r>
      <w:r w:rsidRPr="007537FA">
        <w:rPr>
          <w:rFonts w:ascii="Calibri" w:hAnsi="Calibri" w:cs="Calibri"/>
          <w:i/>
          <w:iCs/>
          <w:noProof/>
          <w:szCs w:val="24"/>
        </w:rPr>
        <w:t>medRxiv</w:t>
      </w:r>
      <w:r w:rsidRPr="007537FA">
        <w:rPr>
          <w:rFonts w:ascii="Calibri" w:hAnsi="Calibri" w:cs="Calibri"/>
          <w:noProof/>
          <w:szCs w:val="24"/>
        </w:rPr>
        <w:t xml:space="preserve"> (2020), doi:10.1101/2020.03.02.20030007.</w:t>
      </w:r>
    </w:p>
    <w:p w14:paraId="79C91E8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19. </w:t>
      </w:r>
      <w:r w:rsidRPr="007537FA">
        <w:rPr>
          <w:rFonts w:ascii="Calibri" w:hAnsi="Calibri" w:cs="Calibri"/>
          <w:noProof/>
          <w:szCs w:val="24"/>
        </w:rPr>
        <w:tab/>
        <w:t xml:space="preserve">L. Carenzo, E. Costantini, M. Greco, F. L. Barra, V. Rendiniello, M. Mainetti, </w:t>
      </w:r>
      <w:r w:rsidRPr="007537FA">
        <w:rPr>
          <w:rFonts w:ascii="Calibri" w:hAnsi="Calibri" w:cs="Calibri"/>
          <w:i/>
          <w:iCs/>
          <w:noProof/>
          <w:szCs w:val="24"/>
        </w:rPr>
        <w:t>et al.</w:t>
      </w:r>
      <w:r w:rsidRPr="007537FA">
        <w:rPr>
          <w:rFonts w:ascii="Calibri" w:hAnsi="Calibri" w:cs="Calibri"/>
          <w:noProof/>
          <w:szCs w:val="24"/>
        </w:rPr>
        <w:t xml:space="preserve">, Hospital surge capacity in a tertiary emergency referral centre during the COVID-19 outbreak in Italy. </w:t>
      </w:r>
      <w:r w:rsidRPr="007537FA">
        <w:rPr>
          <w:rFonts w:ascii="Calibri" w:hAnsi="Calibri" w:cs="Calibri"/>
          <w:i/>
          <w:iCs/>
          <w:noProof/>
          <w:szCs w:val="24"/>
        </w:rPr>
        <w:t>Anaesthesia</w:t>
      </w:r>
      <w:r w:rsidRPr="007537FA">
        <w:rPr>
          <w:rFonts w:ascii="Calibri" w:hAnsi="Calibri" w:cs="Calibri"/>
          <w:noProof/>
          <w:szCs w:val="24"/>
        </w:rPr>
        <w:t xml:space="preserve"> (2020), doi:10.1111/anae.15072.</w:t>
      </w:r>
    </w:p>
    <w:p w14:paraId="33A5075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20. </w:t>
      </w:r>
      <w:r w:rsidRPr="007537FA">
        <w:rPr>
          <w:rFonts w:ascii="Calibri" w:hAnsi="Calibri" w:cs="Calibri"/>
          <w:noProof/>
          <w:szCs w:val="24"/>
        </w:rPr>
        <w:tab/>
        <w:t xml:space="preserve">A. Zangrillo, L. Beretta, P. Silvani, S. Colombo, A. M. Scandroglio, A. Dell’Acqua, </w:t>
      </w:r>
      <w:r w:rsidRPr="007537FA">
        <w:rPr>
          <w:rFonts w:ascii="Calibri" w:hAnsi="Calibri" w:cs="Calibri"/>
          <w:i/>
          <w:iCs/>
          <w:noProof/>
          <w:szCs w:val="24"/>
        </w:rPr>
        <w:t>et al.</w:t>
      </w:r>
      <w:r w:rsidRPr="007537FA">
        <w:rPr>
          <w:rFonts w:ascii="Calibri" w:hAnsi="Calibri" w:cs="Calibri"/>
          <w:noProof/>
          <w:szCs w:val="24"/>
        </w:rPr>
        <w:t xml:space="preserve">, Fast reshaping of intensive care unit facilities in a large metropolitan hospital in Milan, Italy: facing the COVID-19 pandemic emergency. </w:t>
      </w:r>
      <w:r w:rsidRPr="007537FA">
        <w:rPr>
          <w:rFonts w:ascii="Calibri" w:hAnsi="Calibri" w:cs="Calibri"/>
          <w:i/>
          <w:iCs/>
          <w:noProof/>
          <w:szCs w:val="24"/>
        </w:rPr>
        <w:t>Crit. Care Resusc.</w:t>
      </w:r>
      <w:r w:rsidRPr="007537FA">
        <w:rPr>
          <w:rFonts w:ascii="Calibri" w:hAnsi="Calibri" w:cs="Calibri"/>
          <w:noProof/>
          <w:szCs w:val="24"/>
        </w:rPr>
        <w:t xml:space="preserve"> (2020) (available at http://www.ncbi.nlm.nih.gov/pubmed/32227819).</w:t>
      </w:r>
    </w:p>
    <w:p w14:paraId="5D16AC6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21. </w:t>
      </w:r>
      <w:r w:rsidRPr="007537FA">
        <w:rPr>
          <w:rFonts w:ascii="Calibri" w:hAnsi="Calibri" w:cs="Calibri"/>
          <w:noProof/>
          <w:szCs w:val="24"/>
        </w:rPr>
        <w:tab/>
        <w:t xml:space="preserve">E. Litton, T. Bucci, S. Chavan, Y. Y. Ho, A. Holley, G. Howard, </w:t>
      </w:r>
      <w:r w:rsidRPr="007537FA">
        <w:rPr>
          <w:rFonts w:ascii="Calibri" w:hAnsi="Calibri" w:cs="Calibri"/>
          <w:i/>
          <w:iCs/>
          <w:noProof/>
          <w:szCs w:val="24"/>
        </w:rPr>
        <w:t>et al.</w:t>
      </w:r>
      <w:r w:rsidRPr="007537FA">
        <w:rPr>
          <w:rFonts w:ascii="Calibri" w:hAnsi="Calibri" w:cs="Calibri"/>
          <w:noProof/>
          <w:szCs w:val="24"/>
        </w:rPr>
        <w:t xml:space="preserve">,  Surge capacity of intensive care units in case of acute increase in demand caused by COVID ‐19 in Australia . </w:t>
      </w:r>
      <w:r w:rsidRPr="007537FA">
        <w:rPr>
          <w:rFonts w:ascii="Calibri" w:hAnsi="Calibri" w:cs="Calibri"/>
          <w:i/>
          <w:iCs/>
          <w:noProof/>
          <w:szCs w:val="24"/>
        </w:rPr>
        <w:t>Med. J. Aust.</w:t>
      </w:r>
      <w:r w:rsidRPr="007537FA">
        <w:rPr>
          <w:rFonts w:ascii="Calibri" w:hAnsi="Calibri" w:cs="Calibri"/>
          <w:noProof/>
          <w:szCs w:val="24"/>
        </w:rPr>
        <w:t xml:space="preserve"> (2020), doi:10.5694/mja2.50596.</w:t>
      </w:r>
    </w:p>
    <w:p w14:paraId="49DFEC0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22. </w:t>
      </w:r>
      <w:r w:rsidRPr="007537FA">
        <w:rPr>
          <w:rFonts w:ascii="Calibri" w:hAnsi="Calibri" w:cs="Calibri"/>
          <w:noProof/>
          <w:szCs w:val="24"/>
        </w:rPr>
        <w:tab/>
        <w:t>T. Hale, S. Webster, A. Petherick, T. Phillips, B. Kira, “Oxford COVID-19 Government Response Tracker” (2020), (available at https://www.bsg.ox.ac.uk/research/research-projects/coronavirus-government-response-tracker).</w:t>
      </w:r>
    </w:p>
    <w:p w14:paraId="2E6F1D9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23. </w:t>
      </w:r>
      <w:r w:rsidRPr="007537FA">
        <w:rPr>
          <w:rFonts w:ascii="Calibri" w:hAnsi="Calibri" w:cs="Calibri"/>
          <w:noProof/>
          <w:szCs w:val="24"/>
        </w:rPr>
        <w:tab/>
        <w:t>ACAPS, #COVID19 Government Measures Dataset | ACAPS (2020), (available at https://www.acaps.org/covid19-government-measures-dataset).</w:t>
      </w:r>
    </w:p>
    <w:p w14:paraId="77CE06A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24. </w:t>
      </w:r>
      <w:r w:rsidRPr="007537FA">
        <w:rPr>
          <w:rFonts w:ascii="Calibri" w:hAnsi="Calibri" w:cs="Calibri"/>
          <w:noProof/>
          <w:szCs w:val="24"/>
        </w:rPr>
        <w:tab/>
        <w:t xml:space="preserve">N. M. Ferguson, D. Laydon, G. Nedjati-Gilani, N. Imai, K. Ainslie, M. Baguelin, </w:t>
      </w:r>
      <w:r w:rsidRPr="007537FA">
        <w:rPr>
          <w:rFonts w:ascii="Calibri" w:hAnsi="Calibri" w:cs="Calibri"/>
          <w:i/>
          <w:iCs/>
          <w:noProof/>
          <w:szCs w:val="24"/>
        </w:rPr>
        <w:t>et al.</w:t>
      </w:r>
      <w:r w:rsidRPr="007537FA">
        <w:rPr>
          <w:rFonts w:ascii="Calibri" w:hAnsi="Calibri" w:cs="Calibri"/>
          <w:noProof/>
          <w:szCs w:val="24"/>
        </w:rPr>
        <w:t>, Impact of non-pharmaceutical interventions (NPIs) to reduce COVID-19 mortality and healthcare demand (Imperial College COVID-19 Response Team) (2020), doi:10.25561/77482.</w:t>
      </w:r>
    </w:p>
    <w:p w14:paraId="35E26A1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25. </w:t>
      </w:r>
      <w:r w:rsidRPr="007537FA">
        <w:rPr>
          <w:rFonts w:ascii="Calibri" w:hAnsi="Calibri" w:cs="Calibri"/>
          <w:noProof/>
          <w:szCs w:val="24"/>
        </w:rPr>
        <w:tab/>
        <w:t xml:space="preserve">N. Lurie, M. Saville, R. Hatchett, J. Halton, Developing Covid-19 Vaccines at Pandemic Speed. </w:t>
      </w:r>
      <w:r w:rsidRPr="007537FA">
        <w:rPr>
          <w:rFonts w:ascii="Calibri" w:hAnsi="Calibri" w:cs="Calibri"/>
          <w:i/>
          <w:iCs/>
          <w:noProof/>
          <w:szCs w:val="24"/>
        </w:rPr>
        <w:t>N. Engl. J. Med.</w:t>
      </w:r>
      <w:r w:rsidRPr="007537FA">
        <w:rPr>
          <w:rFonts w:ascii="Calibri" w:hAnsi="Calibri" w:cs="Calibri"/>
          <w:noProof/>
          <w:szCs w:val="24"/>
        </w:rPr>
        <w:t xml:space="preserve"> (2020), doi:10.1056/nejmp2005630.</w:t>
      </w:r>
    </w:p>
    <w:p w14:paraId="4A0C04F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26. </w:t>
      </w:r>
      <w:r w:rsidRPr="007537FA">
        <w:rPr>
          <w:rFonts w:ascii="Calibri" w:hAnsi="Calibri" w:cs="Calibri"/>
          <w:noProof/>
          <w:szCs w:val="24"/>
        </w:rPr>
        <w:tab/>
        <w:t>Consulate General of the Republic of Korea, “Flattening the curve on COVID-19 - How Korea responded to a pandemic using ICT” (2020), (available at http://overseas.mofa.go.kr/us-houston-en/brd/m_5573/view.do?seq=759765).</w:t>
      </w:r>
    </w:p>
    <w:p w14:paraId="4A26413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27. </w:t>
      </w:r>
      <w:r w:rsidRPr="007537FA">
        <w:rPr>
          <w:rFonts w:ascii="Calibri" w:hAnsi="Calibri" w:cs="Calibri"/>
          <w:noProof/>
          <w:szCs w:val="24"/>
        </w:rPr>
        <w:tab/>
        <w:t xml:space="preserve">Korea Centers for Disease Control &amp; Prevention, Contact Transmission of COVID-19 in South </w:t>
      </w:r>
      <w:r w:rsidRPr="007537FA">
        <w:rPr>
          <w:rFonts w:ascii="Calibri" w:hAnsi="Calibri" w:cs="Calibri"/>
          <w:noProof/>
          <w:szCs w:val="24"/>
        </w:rPr>
        <w:lastRenderedPageBreak/>
        <w:t xml:space="preserve">Korea: Novel Investigation Techniques for Tracing Contacts. </w:t>
      </w:r>
      <w:r w:rsidRPr="007537FA">
        <w:rPr>
          <w:rFonts w:ascii="Calibri" w:hAnsi="Calibri" w:cs="Calibri"/>
          <w:i/>
          <w:iCs/>
          <w:noProof/>
          <w:szCs w:val="24"/>
        </w:rPr>
        <w:t>Osong Public Heal. Res. Perspect.</w:t>
      </w:r>
      <w:r w:rsidRPr="007537FA">
        <w:rPr>
          <w:rFonts w:ascii="Calibri" w:hAnsi="Calibri" w:cs="Calibri"/>
          <w:noProof/>
          <w:szCs w:val="24"/>
        </w:rPr>
        <w:t xml:space="preserve"> </w:t>
      </w:r>
      <w:r w:rsidRPr="007537FA">
        <w:rPr>
          <w:rFonts w:ascii="Calibri" w:hAnsi="Calibri" w:cs="Calibri"/>
          <w:b/>
          <w:bCs/>
          <w:noProof/>
          <w:szCs w:val="24"/>
        </w:rPr>
        <w:t>11</w:t>
      </w:r>
      <w:r w:rsidRPr="007537FA">
        <w:rPr>
          <w:rFonts w:ascii="Calibri" w:hAnsi="Calibri" w:cs="Calibri"/>
          <w:noProof/>
          <w:szCs w:val="24"/>
        </w:rPr>
        <w:t>, 60–63 (2020).</w:t>
      </w:r>
    </w:p>
    <w:p w14:paraId="38A055D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28. </w:t>
      </w:r>
      <w:r w:rsidRPr="007537FA">
        <w:rPr>
          <w:rFonts w:ascii="Calibri" w:hAnsi="Calibri" w:cs="Calibri"/>
          <w:noProof/>
          <w:szCs w:val="24"/>
        </w:rPr>
        <w:tab/>
        <w:t xml:space="preserve">K. E. C. Ainslie, C. E. Walters, H. Fu, S. Bhatia, H. Wang, X. Xi, </w:t>
      </w:r>
      <w:r w:rsidRPr="007537FA">
        <w:rPr>
          <w:rFonts w:ascii="Calibri" w:hAnsi="Calibri" w:cs="Calibri"/>
          <w:i/>
          <w:iCs/>
          <w:noProof/>
          <w:szCs w:val="24"/>
        </w:rPr>
        <w:t>et al.</w:t>
      </w:r>
      <w:r w:rsidRPr="007537FA">
        <w:rPr>
          <w:rFonts w:ascii="Calibri" w:hAnsi="Calibri" w:cs="Calibri"/>
          <w:noProof/>
          <w:szCs w:val="24"/>
        </w:rPr>
        <w:t xml:space="preserve">, Evidence of initial success for China exiting COVID-19 social distancing policy after achieving containment. </w:t>
      </w:r>
      <w:r w:rsidRPr="007537FA">
        <w:rPr>
          <w:rFonts w:ascii="Calibri" w:hAnsi="Calibri" w:cs="Calibri"/>
          <w:i/>
          <w:iCs/>
          <w:noProof/>
          <w:szCs w:val="24"/>
        </w:rPr>
        <w:t>Wellcome Open Res.</w:t>
      </w:r>
      <w:r w:rsidRPr="007537FA">
        <w:rPr>
          <w:rFonts w:ascii="Calibri" w:hAnsi="Calibri" w:cs="Calibri"/>
          <w:noProof/>
          <w:szCs w:val="24"/>
        </w:rPr>
        <w:t xml:space="preserve"> </w:t>
      </w:r>
      <w:r w:rsidRPr="007537FA">
        <w:rPr>
          <w:rFonts w:ascii="Calibri" w:hAnsi="Calibri" w:cs="Calibri"/>
          <w:b/>
          <w:bCs/>
          <w:noProof/>
          <w:szCs w:val="24"/>
        </w:rPr>
        <w:t>5</w:t>
      </w:r>
      <w:r w:rsidRPr="007537FA">
        <w:rPr>
          <w:rFonts w:ascii="Calibri" w:hAnsi="Calibri" w:cs="Calibri"/>
          <w:noProof/>
          <w:szCs w:val="24"/>
        </w:rPr>
        <w:t>, 81 (2020).</w:t>
      </w:r>
    </w:p>
    <w:p w14:paraId="7A08D1F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29. </w:t>
      </w:r>
      <w:r w:rsidRPr="007537FA">
        <w:rPr>
          <w:rFonts w:ascii="Calibri" w:hAnsi="Calibri" w:cs="Calibri"/>
          <w:noProof/>
          <w:szCs w:val="24"/>
        </w:rPr>
        <w:tab/>
        <w:t xml:space="preserve">L. Ferretti, C. Wymant, M. Kendall, L. Zhao, A. Nurtay, L. Abeler-Dörner, </w:t>
      </w:r>
      <w:r w:rsidRPr="007537FA">
        <w:rPr>
          <w:rFonts w:ascii="Calibri" w:hAnsi="Calibri" w:cs="Calibri"/>
          <w:i/>
          <w:iCs/>
          <w:noProof/>
          <w:szCs w:val="24"/>
        </w:rPr>
        <w:t>et al.</w:t>
      </w:r>
      <w:r w:rsidRPr="007537FA">
        <w:rPr>
          <w:rFonts w:ascii="Calibri" w:hAnsi="Calibri" w:cs="Calibri"/>
          <w:noProof/>
          <w:szCs w:val="24"/>
        </w:rPr>
        <w:t xml:space="preserve">, Quantifying SARS-CoV-2 transmission suggests epidemic control with digital contact tracing. </w:t>
      </w:r>
      <w:r w:rsidRPr="007537FA">
        <w:rPr>
          <w:rFonts w:ascii="Calibri" w:hAnsi="Calibri" w:cs="Calibri"/>
          <w:i/>
          <w:iCs/>
          <w:noProof/>
          <w:szCs w:val="24"/>
        </w:rPr>
        <w:t>Science.</w:t>
      </w:r>
      <w:r w:rsidRPr="007537FA">
        <w:rPr>
          <w:rFonts w:ascii="Calibri" w:hAnsi="Calibri" w:cs="Calibri"/>
          <w:noProof/>
          <w:szCs w:val="24"/>
        </w:rPr>
        <w:t xml:space="preserve"> </w:t>
      </w:r>
      <w:r w:rsidRPr="007537FA">
        <w:rPr>
          <w:rFonts w:ascii="Calibri" w:hAnsi="Calibri" w:cs="Calibri"/>
          <w:b/>
          <w:bCs/>
          <w:noProof/>
          <w:szCs w:val="24"/>
        </w:rPr>
        <w:t>368</w:t>
      </w:r>
      <w:r w:rsidRPr="007537FA">
        <w:rPr>
          <w:rFonts w:ascii="Calibri" w:hAnsi="Calibri" w:cs="Calibri"/>
          <w:noProof/>
          <w:szCs w:val="24"/>
        </w:rPr>
        <w:t>, eabb6936 (2020).</w:t>
      </w:r>
    </w:p>
    <w:p w14:paraId="3F6B126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30. </w:t>
      </w:r>
      <w:r w:rsidRPr="007537FA">
        <w:rPr>
          <w:rFonts w:ascii="Calibri" w:hAnsi="Calibri" w:cs="Calibri"/>
          <w:noProof/>
          <w:szCs w:val="24"/>
        </w:rPr>
        <w:tab/>
        <w:t xml:space="preserve">P. G. Walker, C. Whittaker, O. Watson, M. Baguelin, K. E. C. Ainslie, S. Bhatia, </w:t>
      </w:r>
      <w:r w:rsidRPr="007537FA">
        <w:rPr>
          <w:rFonts w:ascii="Calibri" w:hAnsi="Calibri" w:cs="Calibri"/>
          <w:i/>
          <w:iCs/>
          <w:noProof/>
          <w:szCs w:val="24"/>
        </w:rPr>
        <w:t>et al.</w:t>
      </w:r>
      <w:r w:rsidRPr="007537FA">
        <w:rPr>
          <w:rFonts w:ascii="Calibri" w:hAnsi="Calibri" w:cs="Calibri"/>
          <w:noProof/>
          <w:szCs w:val="24"/>
        </w:rPr>
        <w:t>, The Global Impact of COVID-19 and Strategies for Mitigation and Suppression (Imperial College COVID-19 Response Team) (2020), doi:10.25561/77735.</w:t>
      </w:r>
    </w:p>
    <w:p w14:paraId="09AD92A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31. </w:t>
      </w:r>
      <w:r w:rsidRPr="007537FA">
        <w:rPr>
          <w:rFonts w:ascii="Calibri" w:hAnsi="Calibri" w:cs="Calibri"/>
          <w:noProof/>
          <w:szCs w:val="24"/>
        </w:rPr>
        <w:tab/>
        <w:t xml:space="preserve">A. B. Hogan, B. Jewell, E. Sherrard-Smith, J. Vesga, O. J. Watson, C. Whittaker, </w:t>
      </w:r>
      <w:r w:rsidRPr="007537FA">
        <w:rPr>
          <w:rFonts w:ascii="Calibri" w:hAnsi="Calibri" w:cs="Calibri"/>
          <w:i/>
          <w:iCs/>
          <w:noProof/>
          <w:szCs w:val="24"/>
        </w:rPr>
        <w:t>et al.</w:t>
      </w:r>
      <w:r w:rsidRPr="007537FA">
        <w:rPr>
          <w:rFonts w:ascii="Calibri" w:hAnsi="Calibri" w:cs="Calibri"/>
          <w:noProof/>
          <w:szCs w:val="24"/>
        </w:rPr>
        <w:t>, The Potential Impact of the COVID-19 Epidemic on HIV, TB and Malaria in Low-and Middle-Income Countries (Imperial College COVID-19 Response Team) (2020), doi:10.25561/78670.</w:t>
      </w:r>
    </w:p>
    <w:p w14:paraId="62E08C2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32. </w:t>
      </w:r>
      <w:r w:rsidRPr="007537FA">
        <w:rPr>
          <w:rFonts w:ascii="Calibri" w:hAnsi="Calibri" w:cs="Calibri"/>
          <w:noProof/>
          <w:szCs w:val="24"/>
        </w:rPr>
        <w:tab/>
        <w:t xml:space="preserve">E. L. Korenromp, Lives saved from malaria prevention in Africa--evidence to sustain cost-effective gains. </w:t>
      </w:r>
      <w:r w:rsidRPr="007537FA">
        <w:rPr>
          <w:rFonts w:ascii="Calibri" w:hAnsi="Calibri" w:cs="Calibri"/>
          <w:i/>
          <w:iCs/>
          <w:noProof/>
          <w:szCs w:val="24"/>
        </w:rPr>
        <w:t>Malar. J.</w:t>
      </w:r>
      <w:r w:rsidRPr="007537FA">
        <w:rPr>
          <w:rFonts w:ascii="Calibri" w:hAnsi="Calibri" w:cs="Calibri"/>
          <w:noProof/>
          <w:szCs w:val="24"/>
        </w:rPr>
        <w:t xml:space="preserve"> </w:t>
      </w:r>
      <w:r w:rsidRPr="007537FA">
        <w:rPr>
          <w:rFonts w:ascii="Calibri" w:hAnsi="Calibri" w:cs="Calibri"/>
          <w:b/>
          <w:bCs/>
          <w:noProof/>
          <w:szCs w:val="24"/>
        </w:rPr>
        <w:t>11</w:t>
      </w:r>
      <w:r w:rsidRPr="007537FA">
        <w:rPr>
          <w:rFonts w:ascii="Calibri" w:hAnsi="Calibri" w:cs="Calibri"/>
          <w:noProof/>
          <w:szCs w:val="24"/>
        </w:rPr>
        <w:t>, 94 (2012).</w:t>
      </w:r>
    </w:p>
    <w:p w14:paraId="5B6C97F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33. </w:t>
      </w:r>
      <w:r w:rsidRPr="007537FA">
        <w:rPr>
          <w:rFonts w:ascii="Calibri" w:hAnsi="Calibri" w:cs="Calibri"/>
          <w:noProof/>
          <w:szCs w:val="24"/>
        </w:rPr>
        <w:tab/>
        <w:t>N. V. Loayza, “Costs and Trade-Offs in the Fight Against the COVID-19 Pandemic : A Developing Country Perspective” (Washington, D.C, 2020), (available at http://documents.worldbank.org/curated/en/799701589552654684/Costs-and-Trade-Offs-in-the-Fight-Against-the-COVID-19-Pandemic-A-Developing-Country-Perspective).</w:t>
      </w:r>
    </w:p>
    <w:p w14:paraId="700DDD1A" w14:textId="0895E0AE"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34. </w:t>
      </w:r>
      <w:r w:rsidRPr="007537FA">
        <w:rPr>
          <w:rFonts w:ascii="Calibri" w:hAnsi="Calibri" w:cs="Calibri"/>
          <w:noProof/>
          <w:szCs w:val="24"/>
        </w:rPr>
        <w:tab/>
        <w:t xml:space="preserve">O. J. Watson, P. G. Walker, P. Winskill, M. Baguelin, E. Knock, J. Lees, </w:t>
      </w:r>
      <w:r w:rsidRPr="007537FA">
        <w:rPr>
          <w:rFonts w:ascii="Calibri" w:hAnsi="Calibri" w:cs="Calibri"/>
          <w:i/>
          <w:iCs/>
          <w:noProof/>
          <w:szCs w:val="24"/>
        </w:rPr>
        <w:t>et al.</w:t>
      </w:r>
      <w:r w:rsidRPr="007537FA">
        <w:rPr>
          <w:rFonts w:ascii="Calibri" w:hAnsi="Calibri" w:cs="Calibri"/>
          <w:noProof/>
          <w:szCs w:val="24"/>
        </w:rPr>
        <w:t>, Squire (2020),  doi:10.5281/zenodo.3872340.</w:t>
      </w:r>
    </w:p>
    <w:p w14:paraId="5EE82581" w14:textId="78D9360B"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35. </w:t>
      </w:r>
      <w:r w:rsidRPr="007537FA">
        <w:rPr>
          <w:rFonts w:ascii="Calibri" w:hAnsi="Calibri" w:cs="Calibri"/>
          <w:noProof/>
          <w:szCs w:val="24"/>
        </w:rPr>
        <w:tab/>
        <w:t>covid_global_impact (2020),  doi:10.5281/zenodo.3872387.</w:t>
      </w:r>
    </w:p>
    <w:p w14:paraId="0AF3B7D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36. </w:t>
      </w:r>
      <w:r w:rsidRPr="007537FA">
        <w:rPr>
          <w:rFonts w:ascii="Calibri" w:hAnsi="Calibri" w:cs="Calibri"/>
          <w:noProof/>
          <w:szCs w:val="24"/>
        </w:rPr>
        <w:tab/>
        <w:t xml:space="preserve">O. J. Watson, R. FitzJohn, J. W. Eaton, rdhs: an R package to interact with The Demographic and Health Surveys (DHS) Program datasets. </w:t>
      </w:r>
      <w:r w:rsidRPr="007537FA">
        <w:rPr>
          <w:rFonts w:ascii="Calibri" w:hAnsi="Calibri" w:cs="Calibri"/>
          <w:i/>
          <w:iCs/>
          <w:noProof/>
          <w:szCs w:val="24"/>
        </w:rPr>
        <w:t>Wellcome Open Res.</w:t>
      </w:r>
      <w:r w:rsidRPr="007537FA">
        <w:rPr>
          <w:rFonts w:ascii="Calibri" w:hAnsi="Calibri" w:cs="Calibri"/>
          <w:noProof/>
          <w:szCs w:val="24"/>
        </w:rPr>
        <w:t xml:space="preserve"> </w:t>
      </w:r>
      <w:r w:rsidRPr="007537FA">
        <w:rPr>
          <w:rFonts w:ascii="Calibri" w:hAnsi="Calibri" w:cs="Calibri"/>
          <w:b/>
          <w:bCs/>
          <w:noProof/>
          <w:szCs w:val="24"/>
        </w:rPr>
        <w:t>4</w:t>
      </w:r>
      <w:r w:rsidRPr="007537FA">
        <w:rPr>
          <w:rFonts w:ascii="Calibri" w:hAnsi="Calibri" w:cs="Calibri"/>
          <w:noProof/>
          <w:szCs w:val="24"/>
        </w:rPr>
        <w:t>, 103 (2019).</w:t>
      </w:r>
    </w:p>
    <w:p w14:paraId="42E0246B"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37. </w:t>
      </w:r>
      <w:r w:rsidRPr="007537FA">
        <w:rPr>
          <w:rFonts w:ascii="Calibri" w:hAnsi="Calibri" w:cs="Calibri"/>
          <w:noProof/>
          <w:szCs w:val="24"/>
        </w:rPr>
        <w:tab/>
        <w:t>Office for National Statistics, 2011 Census - household type, household size and age of usual residents (people) - England and Wales - (2018), (available at https://www.ons.gov.uk/peoplepopulationandcommunity/housing/adhocs/008635ct08202011censushouseholdtypehouseholdsizeandageofusualresidentspeopleenglandandwales?:uri=peoplepopulationandcommunity/housing/adhocs/008635ct08202011censushouseholdtypehouseholdsiz).</w:t>
      </w:r>
    </w:p>
    <w:p w14:paraId="2BE205F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38. </w:t>
      </w:r>
      <w:r w:rsidRPr="007537FA">
        <w:rPr>
          <w:rFonts w:ascii="Calibri" w:hAnsi="Calibri" w:cs="Calibri"/>
          <w:noProof/>
          <w:szCs w:val="24"/>
        </w:rPr>
        <w:tab/>
        <w:t xml:space="preserve">T. Hoang, P. Coletti, A. Melegaro, J. Wallinga, C. G. Grijalva, J. W. Edmunds, </w:t>
      </w:r>
      <w:r w:rsidRPr="007537FA">
        <w:rPr>
          <w:rFonts w:ascii="Calibri" w:hAnsi="Calibri" w:cs="Calibri"/>
          <w:i/>
          <w:iCs/>
          <w:noProof/>
          <w:szCs w:val="24"/>
        </w:rPr>
        <w:t>et al.</w:t>
      </w:r>
      <w:r w:rsidRPr="007537FA">
        <w:rPr>
          <w:rFonts w:ascii="Calibri" w:hAnsi="Calibri" w:cs="Calibri"/>
          <w:noProof/>
          <w:szCs w:val="24"/>
        </w:rPr>
        <w:t xml:space="preserve">, A Systematic Review of Social Contact Surveys to Inform Transmission Models of Close-contact Infections. </w:t>
      </w:r>
      <w:r w:rsidRPr="007537FA">
        <w:rPr>
          <w:rFonts w:ascii="Calibri" w:hAnsi="Calibri" w:cs="Calibri"/>
          <w:i/>
          <w:iCs/>
          <w:noProof/>
          <w:szCs w:val="24"/>
        </w:rPr>
        <w:t>Epidemiology</w:t>
      </w:r>
      <w:r w:rsidRPr="007537FA">
        <w:rPr>
          <w:rFonts w:ascii="Calibri" w:hAnsi="Calibri" w:cs="Calibri"/>
          <w:noProof/>
          <w:szCs w:val="24"/>
        </w:rPr>
        <w:t xml:space="preserve">. </w:t>
      </w:r>
      <w:r w:rsidRPr="007537FA">
        <w:rPr>
          <w:rFonts w:ascii="Calibri" w:hAnsi="Calibri" w:cs="Calibri"/>
          <w:b/>
          <w:bCs/>
          <w:noProof/>
          <w:szCs w:val="24"/>
        </w:rPr>
        <w:t>30</w:t>
      </w:r>
      <w:r w:rsidRPr="007537FA">
        <w:rPr>
          <w:rFonts w:ascii="Calibri" w:hAnsi="Calibri" w:cs="Calibri"/>
          <w:noProof/>
          <w:szCs w:val="24"/>
        </w:rPr>
        <w:t>, 723–736 (2019).</w:t>
      </w:r>
    </w:p>
    <w:p w14:paraId="190CDB69"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39. </w:t>
      </w:r>
      <w:r w:rsidRPr="007537FA">
        <w:rPr>
          <w:rFonts w:ascii="Calibri" w:hAnsi="Calibri" w:cs="Calibri"/>
          <w:noProof/>
          <w:szCs w:val="24"/>
        </w:rPr>
        <w:tab/>
        <w:t xml:space="preserve">D. Moher, L. Shamseer, M. Clarke, D. Ghersi, A. Liberatî, M. Petticrew, </w:t>
      </w:r>
      <w:r w:rsidRPr="007537FA">
        <w:rPr>
          <w:rFonts w:ascii="Calibri" w:hAnsi="Calibri" w:cs="Calibri"/>
          <w:i/>
          <w:iCs/>
          <w:noProof/>
          <w:szCs w:val="24"/>
        </w:rPr>
        <w:t>et al.</w:t>
      </w:r>
      <w:r w:rsidRPr="007537FA">
        <w:rPr>
          <w:rFonts w:ascii="Calibri" w:hAnsi="Calibri" w:cs="Calibri"/>
          <w:noProof/>
          <w:szCs w:val="24"/>
        </w:rPr>
        <w:t xml:space="preserve">, Preferred reporting items for systematic review and meta-analysis protocols (PRISMA-P) 2015 statement. </w:t>
      </w:r>
      <w:r w:rsidRPr="007537FA">
        <w:rPr>
          <w:rFonts w:ascii="Calibri" w:hAnsi="Calibri" w:cs="Calibri"/>
          <w:i/>
          <w:iCs/>
          <w:noProof/>
          <w:szCs w:val="24"/>
        </w:rPr>
        <w:t>Syst. Rev.</w:t>
      </w:r>
      <w:r w:rsidRPr="007537FA">
        <w:rPr>
          <w:rFonts w:ascii="Calibri" w:hAnsi="Calibri" w:cs="Calibri"/>
          <w:noProof/>
          <w:szCs w:val="24"/>
        </w:rPr>
        <w:t xml:space="preserve"> </w:t>
      </w:r>
      <w:r w:rsidRPr="007537FA">
        <w:rPr>
          <w:rFonts w:ascii="Calibri" w:hAnsi="Calibri" w:cs="Calibri"/>
          <w:b/>
          <w:bCs/>
          <w:noProof/>
          <w:szCs w:val="24"/>
        </w:rPr>
        <w:t>4</w:t>
      </w:r>
      <w:r w:rsidRPr="007537FA">
        <w:rPr>
          <w:rFonts w:ascii="Calibri" w:hAnsi="Calibri" w:cs="Calibri"/>
          <w:noProof/>
          <w:szCs w:val="24"/>
        </w:rPr>
        <w:t>, 1–9 (2015).</w:t>
      </w:r>
    </w:p>
    <w:p w14:paraId="1D4A0178"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40. </w:t>
      </w:r>
      <w:r w:rsidRPr="007537FA">
        <w:rPr>
          <w:rFonts w:ascii="Calibri" w:hAnsi="Calibri" w:cs="Calibri"/>
          <w:noProof/>
          <w:szCs w:val="24"/>
        </w:rPr>
        <w:tab/>
        <w:t xml:space="preserve">S. Kumarid, M. Gosain, H. Sharma, E. Swetts, R. Amarchand, R. Kumar, </w:t>
      </w:r>
      <w:r w:rsidRPr="007537FA">
        <w:rPr>
          <w:rFonts w:ascii="Calibri" w:hAnsi="Calibri" w:cs="Calibri"/>
          <w:i/>
          <w:iCs/>
          <w:noProof/>
          <w:szCs w:val="24"/>
        </w:rPr>
        <w:t>et al.</w:t>
      </w:r>
      <w:r w:rsidRPr="007537FA">
        <w:rPr>
          <w:rFonts w:ascii="Calibri" w:hAnsi="Calibri" w:cs="Calibri"/>
          <w:noProof/>
          <w:szCs w:val="24"/>
        </w:rPr>
        <w:t xml:space="preserve">, Who interacts with whom? Social mixing insights from a rural population in India.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13</w:t>
      </w:r>
      <w:r w:rsidRPr="007537FA">
        <w:rPr>
          <w:rFonts w:ascii="Calibri" w:hAnsi="Calibri" w:cs="Calibri"/>
          <w:noProof/>
          <w:szCs w:val="24"/>
        </w:rPr>
        <w:t xml:space="preserve"> (2018), doi:10.1371/journal.pone.0209039.</w:t>
      </w:r>
    </w:p>
    <w:p w14:paraId="3B272685"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41. </w:t>
      </w:r>
      <w:r w:rsidRPr="007537FA">
        <w:rPr>
          <w:rFonts w:ascii="Calibri" w:hAnsi="Calibri" w:cs="Calibri"/>
          <w:noProof/>
          <w:szCs w:val="24"/>
        </w:rPr>
        <w:tab/>
        <w:t xml:space="preserve">O. le Polain de Waroux, S. Cohuet, D. Ndazima, A. J. Kucharski, A. Juan-Giner, S. Flasche, </w:t>
      </w:r>
      <w:r w:rsidRPr="007537FA">
        <w:rPr>
          <w:rFonts w:ascii="Calibri" w:hAnsi="Calibri" w:cs="Calibri"/>
          <w:i/>
          <w:iCs/>
          <w:noProof/>
          <w:szCs w:val="24"/>
        </w:rPr>
        <w:t>et al.</w:t>
      </w:r>
      <w:r w:rsidRPr="007537FA">
        <w:rPr>
          <w:rFonts w:ascii="Calibri" w:hAnsi="Calibri" w:cs="Calibri"/>
          <w:noProof/>
          <w:szCs w:val="24"/>
        </w:rPr>
        <w:t xml:space="preserve">, Characteristics of human encounters and social mixing patterns relevant to infectious diseases spread by close contact: A survey in Southwest Uganda. </w:t>
      </w:r>
      <w:r w:rsidRPr="007537FA">
        <w:rPr>
          <w:rFonts w:ascii="Calibri" w:hAnsi="Calibri" w:cs="Calibri"/>
          <w:i/>
          <w:iCs/>
          <w:noProof/>
          <w:szCs w:val="24"/>
        </w:rPr>
        <w:t>BMC Infect. Dis.</w:t>
      </w:r>
      <w:r w:rsidRPr="007537FA">
        <w:rPr>
          <w:rFonts w:ascii="Calibri" w:hAnsi="Calibri" w:cs="Calibri"/>
          <w:noProof/>
          <w:szCs w:val="24"/>
        </w:rPr>
        <w:t xml:space="preserve"> </w:t>
      </w:r>
      <w:r w:rsidRPr="007537FA">
        <w:rPr>
          <w:rFonts w:ascii="Calibri" w:hAnsi="Calibri" w:cs="Calibri"/>
          <w:b/>
          <w:bCs/>
          <w:noProof/>
          <w:szCs w:val="24"/>
        </w:rPr>
        <w:t>18</w:t>
      </w:r>
      <w:r w:rsidRPr="007537FA">
        <w:rPr>
          <w:rFonts w:ascii="Calibri" w:hAnsi="Calibri" w:cs="Calibri"/>
          <w:noProof/>
          <w:szCs w:val="24"/>
        </w:rPr>
        <w:t>, 172 (2018).</w:t>
      </w:r>
    </w:p>
    <w:p w14:paraId="67FD928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lastRenderedPageBreak/>
        <w:t xml:space="preserve">42. </w:t>
      </w:r>
      <w:r w:rsidRPr="007537FA">
        <w:rPr>
          <w:rFonts w:ascii="Calibri" w:hAnsi="Calibri" w:cs="Calibri"/>
          <w:noProof/>
          <w:szCs w:val="24"/>
        </w:rPr>
        <w:tab/>
        <w:t xml:space="preserve">J. Mossong, N. Hens, M. Jit, P. Beutels, K. Auranen, R. Mikolajczyk, </w:t>
      </w:r>
      <w:r w:rsidRPr="007537FA">
        <w:rPr>
          <w:rFonts w:ascii="Calibri" w:hAnsi="Calibri" w:cs="Calibri"/>
          <w:i/>
          <w:iCs/>
          <w:noProof/>
          <w:szCs w:val="24"/>
        </w:rPr>
        <w:t>et al.</w:t>
      </w:r>
      <w:r w:rsidRPr="007537FA">
        <w:rPr>
          <w:rFonts w:ascii="Calibri" w:hAnsi="Calibri" w:cs="Calibri"/>
          <w:noProof/>
          <w:szCs w:val="24"/>
        </w:rPr>
        <w:t xml:space="preserve">, Social Contacts and Mixing Patterns Relevant to the Spread of Infectious Diseases. </w:t>
      </w:r>
      <w:r w:rsidRPr="007537FA">
        <w:rPr>
          <w:rFonts w:ascii="Calibri" w:hAnsi="Calibri" w:cs="Calibri"/>
          <w:i/>
          <w:iCs/>
          <w:noProof/>
          <w:szCs w:val="24"/>
        </w:rPr>
        <w:t>PLoS Med.</w:t>
      </w:r>
      <w:r w:rsidRPr="007537FA">
        <w:rPr>
          <w:rFonts w:ascii="Calibri" w:hAnsi="Calibri" w:cs="Calibri"/>
          <w:noProof/>
          <w:szCs w:val="24"/>
        </w:rPr>
        <w:t xml:space="preserve"> </w:t>
      </w:r>
      <w:r w:rsidRPr="007537FA">
        <w:rPr>
          <w:rFonts w:ascii="Calibri" w:hAnsi="Calibri" w:cs="Calibri"/>
          <w:b/>
          <w:bCs/>
          <w:noProof/>
          <w:szCs w:val="24"/>
        </w:rPr>
        <w:t>5</w:t>
      </w:r>
      <w:r w:rsidRPr="007537FA">
        <w:rPr>
          <w:rFonts w:ascii="Calibri" w:hAnsi="Calibri" w:cs="Calibri"/>
          <w:noProof/>
          <w:szCs w:val="24"/>
        </w:rPr>
        <w:t>, e74 (2008).</w:t>
      </w:r>
    </w:p>
    <w:p w14:paraId="05EC546A"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43. </w:t>
      </w:r>
      <w:r w:rsidRPr="007537FA">
        <w:rPr>
          <w:rFonts w:ascii="Calibri" w:hAnsi="Calibri" w:cs="Calibri"/>
          <w:noProof/>
          <w:szCs w:val="24"/>
        </w:rPr>
        <w:tab/>
        <w:t xml:space="preserve">G. Béraud, S. Kazmercziak, P. Beutels, D. Levy-Bruhl, X. Lenne, N. Mielcarek, </w:t>
      </w:r>
      <w:r w:rsidRPr="007537FA">
        <w:rPr>
          <w:rFonts w:ascii="Calibri" w:hAnsi="Calibri" w:cs="Calibri"/>
          <w:i/>
          <w:iCs/>
          <w:noProof/>
          <w:szCs w:val="24"/>
        </w:rPr>
        <w:t>et al.</w:t>
      </w:r>
      <w:r w:rsidRPr="007537FA">
        <w:rPr>
          <w:rFonts w:ascii="Calibri" w:hAnsi="Calibri" w:cs="Calibri"/>
          <w:noProof/>
          <w:szCs w:val="24"/>
        </w:rPr>
        <w:t xml:space="preserve">, The French Connection: The First Large Population-Based Contact Survey in France Relevant for the Spread of Infectious Diseases.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e0133203 (2015).</w:t>
      </w:r>
    </w:p>
    <w:p w14:paraId="566F1F8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44. </w:t>
      </w:r>
      <w:r w:rsidRPr="007537FA">
        <w:rPr>
          <w:rFonts w:ascii="Calibri" w:hAnsi="Calibri" w:cs="Calibri"/>
          <w:noProof/>
          <w:szCs w:val="24"/>
        </w:rPr>
        <w:tab/>
        <w:t xml:space="preserve">K. Leung, M. Jit, E. H. Y. Lau, J. T. Wu, Social contact patterns relevant to the spread of respiratory infectious diseases in Hong Kong. </w:t>
      </w:r>
      <w:r w:rsidRPr="007537FA">
        <w:rPr>
          <w:rFonts w:ascii="Calibri" w:hAnsi="Calibri" w:cs="Calibri"/>
          <w:i/>
          <w:iCs/>
          <w:noProof/>
          <w:szCs w:val="24"/>
        </w:rPr>
        <w:t>Sci. Rep.</w:t>
      </w:r>
      <w:r w:rsidRPr="007537FA">
        <w:rPr>
          <w:rFonts w:ascii="Calibri" w:hAnsi="Calibri" w:cs="Calibri"/>
          <w:noProof/>
          <w:szCs w:val="24"/>
        </w:rPr>
        <w:t xml:space="preserve"> </w:t>
      </w:r>
      <w:r w:rsidRPr="007537FA">
        <w:rPr>
          <w:rFonts w:ascii="Calibri" w:hAnsi="Calibri" w:cs="Calibri"/>
          <w:b/>
          <w:bCs/>
          <w:noProof/>
          <w:szCs w:val="24"/>
        </w:rPr>
        <w:t>7</w:t>
      </w:r>
      <w:r w:rsidRPr="007537FA">
        <w:rPr>
          <w:rFonts w:ascii="Calibri" w:hAnsi="Calibri" w:cs="Calibri"/>
          <w:noProof/>
          <w:szCs w:val="24"/>
        </w:rPr>
        <w:t>, 1–12 (2017).</w:t>
      </w:r>
    </w:p>
    <w:p w14:paraId="001960A7"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45. </w:t>
      </w:r>
      <w:r w:rsidRPr="007537FA">
        <w:rPr>
          <w:rFonts w:ascii="Calibri" w:hAnsi="Calibri" w:cs="Calibri"/>
          <w:noProof/>
          <w:szCs w:val="24"/>
        </w:rPr>
        <w:tab/>
        <w:t xml:space="preserve">J. Zhang, P. Klepac, J. M. Read, A. Rosello, X. Wang, S. Lai, </w:t>
      </w:r>
      <w:r w:rsidRPr="007537FA">
        <w:rPr>
          <w:rFonts w:ascii="Calibri" w:hAnsi="Calibri" w:cs="Calibri"/>
          <w:i/>
          <w:iCs/>
          <w:noProof/>
          <w:szCs w:val="24"/>
        </w:rPr>
        <w:t>et al.</w:t>
      </w:r>
      <w:r w:rsidRPr="007537FA">
        <w:rPr>
          <w:rFonts w:ascii="Calibri" w:hAnsi="Calibri" w:cs="Calibri"/>
          <w:noProof/>
          <w:szCs w:val="24"/>
        </w:rPr>
        <w:t xml:space="preserve">, Patterns of human social contact and contact with animals in Shanghai, China. </w:t>
      </w:r>
      <w:r w:rsidRPr="007537FA">
        <w:rPr>
          <w:rFonts w:ascii="Calibri" w:hAnsi="Calibri" w:cs="Calibri"/>
          <w:i/>
          <w:iCs/>
          <w:noProof/>
          <w:szCs w:val="24"/>
        </w:rPr>
        <w:t>Sci. Rep.</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1–11 (2019).</w:t>
      </w:r>
    </w:p>
    <w:p w14:paraId="689D9BA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46. </w:t>
      </w:r>
      <w:r w:rsidRPr="007537FA">
        <w:rPr>
          <w:rFonts w:ascii="Calibri" w:hAnsi="Calibri" w:cs="Calibri"/>
          <w:noProof/>
          <w:szCs w:val="24"/>
        </w:rPr>
        <w:tab/>
        <w:t xml:space="preserve">C. G. Grijalva, N. Goeyvaerts, H. Verastegui, K. M. Edwards, A. I. Gil, C. F. Lanata, </w:t>
      </w:r>
      <w:r w:rsidRPr="007537FA">
        <w:rPr>
          <w:rFonts w:ascii="Calibri" w:hAnsi="Calibri" w:cs="Calibri"/>
          <w:i/>
          <w:iCs/>
          <w:noProof/>
          <w:szCs w:val="24"/>
        </w:rPr>
        <w:t>et al.</w:t>
      </w:r>
      <w:r w:rsidRPr="007537FA">
        <w:rPr>
          <w:rFonts w:ascii="Calibri" w:hAnsi="Calibri" w:cs="Calibri"/>
          <w:noProof/>
          <w:szCs w:val="24"/>
        </w:rPr>
        <w:t xml:space="preserve">, A household-based study of contact networks relevant for the spread of infectious diseases in the highlands of peru.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xml:space="preserve"> (2015), doi:10.1371/journal.pone.0118457.</w:t>
      </w:r>
    </w:p>
    <w:p w14:paraId="0168CC88"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47. </w:t>
      </w:r>
      <w:r w:rsidRPr="007537FA">
        <w:rPr>
          <w:rFonts w:ascii="Calibri" w:hAnsi="Calibri" w:cs="Calibri"/>
          <w:noProof/>
          <w:szCs w:val="24"/>
        </w:rPr>
        <w:tab/>
        <w:t xml:space="preserve">M. Ajelli, M. Litvinova, Estimating contact patterns relevant to the spread of infectious diseases in Russia. </w:t>
      </w:r>
      <w:r w:rsidRPr="007537FA">
        <w:rPr>
          <w:rFonts w:ascii="Calibri" w:hAnsi="Calibri" w:cs="Calibri"/>
          <w:i/>
          <w:iCs/>
          <w:noProof/>
          <w:szCs w:val="24"/>
        </w:rPr>
        <w:t>J. Theor. Biol.</w:t>
      </w:r>
      <w:r w:rsidRPr="007537FA">
        <w:rPr>
          <w:rFonts w:ascii="Calibri" w:hAnsi="Calibri" w:cs="Calibri"/>
          <w:noProof/>
          <w:szCs w:val="24"/>
        </w:rPr>
        <w:t xml:space="preserve"> </w:t>
      </w:r>
      <w:r w:rsidRPr="007537FA">
        <w:rPr>
          <w:rFonts w:ascii="Calibri" w:hAnsi="Calibri" w:cs="Calibri"/>
          <w:b/>
          <w:bCs/>
          <w:noProof/>
          <w:szCs w:val="24"/>
        </w:rPr>
        <w:t>419</w:t>
      </w:r>
      <w:r w:rsidRPr="007537FA">
        <w:rPr>
          <w:rFonts w:ascii="Calibri" w:hAnsi="Calibri" w:cs="Calibri"/>
          <w:noProof/>
          <w:szCs w:val="24"/>
        </w:rPr>
        <w:t>, 1–7 (2017).</w:t>
      </w:r>
    </w:p>
    <w:p w14:paraId="2C7B3860"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48. </w:t>
      </w:r>
      <w:r w:rsidRPr="007537FA">
        <w:rPr>
          <w:rFonts w:ascii="Calibri" w:hAnsi="Calibri" w:cs="Calibri"/>
          <w:noProof/>
          <w:szCs w:val="24"/>
        </w:rPr>
        <w:tab/>
        <w:t xml:space="preserve">S. P. Johnstone-Robertson, D. Mark, C. Morrow, K. Middelkoop, M. Chiswell, L. D. H. Aquino, </w:t>
      </w:r>
      <w:r w:rsidRPr="007537FA">
        <w:rPr>
          <w:rFonts w:ascii="Calibri" w:hAnsi="Calibri" w:cs="Calibri"/>
          <w:i/>
          <w:iCs/>
          <w:noProof/>
          <w:szCs w:val="24"/>
        </w:rPr>
        <w:t>et al.</w:t>
      </w:r>
      <w:r w:rsidRPr="007537FA">
        <w:rPr>
          <w:rFonts w:ascii="Calibri" w:hAnsi="Calibri" w:cs="Calibri"/>
          <w:noProof/>
          <w:szCs w:val="24"/>
        </w:rPr>
        <w:t xml:space="preserve">, Social mixing patterns within a South African township community: implications for respiratory disease transmission and control. </w:t>
      </w:r>
      <w:r w:rsidRPr="007537FA">
        <w:rPr>
          <w:rFonts w:ascii="Calibri" w:hAnsi="Calibri" w:cs="Calibri"/>
          <w:i/>
          <w:iCs/>
          <w:noProof/>
          <w:szCs w:val="24"/>
        </w:rPr>
        <w:t>Am. J. Epidemiol.</w:t>
      </w:r>
      <w:r w:rsidRPr="007537FA">
        <w:rPr>
          <w:rFonts w:ascii="Calibri" w:hAnsi="Calibri" w:cs="Calibri"/>
          <w:noProof/>
          <w:szCs w:val="24"/>
        </w:rPr>
        <w:t xml:space="preserve"> </w:t>
      </w:r>
      <w:r w:rsidRPr="007537FA">
        <w:rPr>
          <w:rFonts w:ascii="Calibri" w:hAnsi="Calibri" w:cs="Calibri"/>
          <w:b/>
          <w:bCs/>
          <w:noProof/>
          <w:szCs w:val="24"/>
        </w:rPr>
        <w:t>174</w:t>
      </w:r>
      <w:r w:rsidRPr="007537FA">
        <w:rPr>
          <w:rFonts w:ascii="Calibri" w:hAnsi="Calibri" w:cs="Calibri"/>
          <w:noProof/>
          <w:szCs w:val="24"/>
        </w:rPr>
        <w:t>, 1246–55 (2011).</w:t>
      </w:r>
    </w:p>
    <w:p w14:paraId="0E2E92D8"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49. </w:t>
      </w:r>
      <w:r w:rsidRPr="007537FA">
        <w:rPr>
          <w:rFonts w:ascii="Calibri" w:hAnsi="Calibri" w:cs="Calibri"/>
          <w:noProof/>
          <w:szCs w:val="24"/>
        </w:rPr>
        <w:tab/>
        <w:t xml:space="preserve">M. C. Kiti, T. M. Kinyanjui, D. C. Koech, P. K. Munywoki, G. F. Medley, D. J. Nokes, Quantifying Age-Related Rates of Social Contact Using Diaries in a Rural Coastal Population of Kenya.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e104786 (2014).</w:t>
      </w:r>
    </w:p>
    <w:p w14:paraId="2BC430E3"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50. </w:t>
      </w:r>
      <w:r w:rsidRPr="007537FA">
        <w:rPr>
          <w:rFonts w:ascii="Calibri" w:hAnsi="Calibri" w:cs="Calibri"/>
          <w:noProof/>
          <w:szCs w:val="24"/>
        </w:rPr>
        <w:tab/>
        <w:t xml:space="preserve">A. Melegaro, E. Del Fava, P. Poletti, S. Merler, C. Nyamukapa, J. Williams, </w:t>
      </w:r>
      <w:r w:rsidRPr="007537FA">
        <w:rPr>
          <w:rFonts w:ascii="Calibri" w:hAnsi="Calibri" w:cs="Calibri"/>
          <w:i/>
          <w:iCs/>
          <w:noProof/>
          <w:szCs w:val="24"/>
        </w:rPr>
        <w:t>et al.</w:t>
      </w:r>
      <w:r w:rsidRPr="007537FA">
        <w:rPr>
          <w:rFonts w:ascii="Calibri" w:hAnsi="Calibri" w:cs="Calibri"/>
          <w:noProof/>
          <w:szCs w:val="24"/>
        </w:rPr>
        <w:t xml:space="preserve">, Social Contact Structures and Time Use Patterns in the Manicaland Province of Zimbabwe.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12</w:t>
      </w:r>
      <w:r w:rsidRPr="007537FA">
        <w:rPr>
          <w:rFonts w:ascii="Calibri" w:hAnsi="Calibri" w:cs="Calibri"/>
          <w:noProof/>
          <w:szCs w:val="24"/>
        </w:rPr>
        <w:t>, e0170459 (2017).</w:t>
      </w:r>
    </w:p>
    <w:p w14:paraId="2094507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51. </w:t>
      </w:r>
      <w:r w:rsidRPr="007537FA">
        <w:rPr>
          <w:rFonts w:ascii="Calibri" w:hAnsi="Calibri" w:cs="Calibri"/>
          <w:noProof/>
          <w:szCs w:val="24"/>
        </w:rPr>
        <w:tab/>
        <w:t xml:space="preserve">K. O. Kwok, B. Cowling, V. Wei, S. Riley, J. M. Read, Temporal variation of human encounters and the number of locations in which they occur: A longitudinal study of Hong Kong residents. </w:t>
      </w:r>
      <w:r w:rsidRPr="007537FA">
        <w:rPr>
          <w:rFonts w:ascii="Calibri" w:hAnsi="Calibri" w:cs="Calibri"/>
          <w:i/>
          <w:iCs/>
          <w:noProof/>
          <w:szCs w:val="24"/>
        </w:rPr>
        <w:t>J. R. Soc. Interface</w:t>
      </w:r>
      <w:r w:rsidRPr="007537FA">
        <w:rPr>
          <w:rFonts w:ascii="Calibri" w:hAnsi="Calibri" w:cs="Calibri"/>
          <w:noProof/>
          <w:szCs w:val="24"/>
        </w:rPr>
        <w:t xml:space="preserve">. </w:t>
      </w:r>
      <w:r w:rsidRPr="007537FA">
        <w:rPr>
          <w:rFonts w:ascii="Calibri" w:hAnsi="Calibri" w:cs="Calibri"/>
          <w:b/>
          <w:bCs/>
          <w:noProof/>
          <w:szCs w:val="24"/>
        </w:rPr>
        <w:t>15</w:t>
      </w:r>
      <w:r w:rsidRPr="007537FA">
        <w:rPr>
          <w:rFonts w:ascii="Calibri" w:hAnsi="Calibri" w:cs="Calibri"/>
          <w:noProof/>
          <w:szCs w:val="24"/>
        </w:rPr>
        <w:t xml:space="preserve"> (2018), doi:10.1098/rsif.2017.0838.</w:t>
      </w:r>
    </w:p>
    <w:p w14:paraId="74DEC452"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52. </w:t>
      </w:r>
      <w:r w:rsidRPr="007537FA">
        <w:rPr>
          <w:rFonts w:ascii="Calibri" w:hAnsi="Calibri" w:cs="Calibri"/>
          <w:noProof/>
          <w:szCs w:val="24"/>
        </w:rPr>
        <w:tab/>
        <w:t xml:space="preserve">Y. Ibuka, Y. Ohkusa, T. Sugawara, G. B. Chapman, D. Yamin, K. E. Atkins, </w:t>
      </w:r>
      <w:r w:rsidRPr="007537FA">
        <w:rPr>
          <w:rFonts w:ascii="Calibri" w:hAnsi="Calibri" w:cs="Calibri"/>
          <w:i/>
          <w:iCs/>
          <w:noProof/>
          <w:szCs w:val="24"/>
        </w:rPr>
        <w:t>et al.</w:t>
      </w:r>
      <w:r w:rsidRPr="007537FA">
        <w:rPr>
          <w:rFonts w:ascii="Calibri" w:hAnsi="Calibri" w:cs="Calibri"/>
          <w:noProof/>
          <w:szCs w:val="24"/>
        </w:rPr>
        <w:t xml:space="preserve">, Social contacts, vaccination decisions and influenza in Japan. </w:t>
      </w:r>
      <w:r w:rsidRPr="007537FA">
        <w:rPr>
          <w:rFonts w:ascii="Calibri" w:hAnsi="Calibri" w:cs="Calibri"/>
          <w:i/>
          <w:iCs/>
          <w:noProof/>
          <w:szCs w:val="24"/>
        </w:rPr>
        <w:t>J. Epidemiol. Community Health</w:t>
      </w:r>
      <w:r w:rsidRPr="007537FA">
        <w:rPr>
          <w:rFonts w:ascii="Calibri" w:hAnsi="Calibri" w:cs="Calibri"/>
          <w:noProof/>
          <w:szCs w:val="24"/>
        </w:rPr>
        <w:t xml:space="preserve">. </w:t>
      </w:r>
      <w:r w:rsidRPr="007537FA">
        <w:rPr>
          <w:rFonts w:ascii="Calibri" w:hAnsi="Calibri" w:cs="Calibri"/>
          <w:b/>
          <w:bCs/>
          <w:noProof/>
          <w:szCs w:val="24"/>
        </w:rPr>
        <w:t>70</w:t>
      </w:r>
      <w:r w:rsidRPr="007537FA">
        <w:rPr>
          <w:rFonts w:ascii="Calibri" w:hAnsi="Calibri" w:cs="Calibri"/>
          <w:noProof/>
          <w:szCs w:val="24"/>
        </w:rPr>
        <w:t>, 162–167 (2016).</w:t>
      </w:r>
    </w:p>
    <w:p w14:paraId="211E680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53. </w:t>
      </w:r>
      <w:r w:rsidRPr="007537FA">
        <w:rPr>
          <w:rFonts w:ascii="Calibri" w:hAnsi="Calibri" w:cs="Calibri"/>
          <w:noProof/>
          <w:szCs w:val="24"/>
        </w:rPr>
        <w:tab/>
        <w:t>International Monetary Fund, World Economic Outlook (2016) (available at https://web.archive.org/web/20160421023851/http://www.imf.org/external/pubs/ft/weo/2016/01/pdf/text.pdf).</w:t>
      </w:r>
    </w:p>
    <w:p w14:paraId="2688A0F1"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54. </w:t>
      </w:r>
      <w:r w:rsidRPr="007537FA">
        <w:rPr>
          <w:rFonts w:ascii="Calibri" w:hAnsi="Calibri" w:cs="Calibri"/>
          <w:noProof/>
          <w:szCs w:val="24"/>
        </w:rPr>
        <w:tab/>
        <w:t>Database of Global Administrative Areas, (available at https://gadm.org/).</w:t>
      </w:r>
    </w:p>
    <w:p w14:paraId="6293085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55. </w:t>
      </w:r>
      <w:r w:rsidRPr="007537FA">
        <w:rPr>
          <w:rFonts w:ascii="Calibri" w:hAnsi="Calibri" w:cs="Calibri"/>
          <w:noProof/>
          <w:szCs w:val="24"/>
        </w:rPr>
        <w:tab/>
        <w:t>R. Hijmans, S. Phillips, J. Leathwick, J. Elith, dismo:Species Distribution Modeling. R package (2017), (available at https://rspatial.org/raster/sdm/index.html).</w:t>
      </w:r>
    </w:p>
    <w:p w14:paraId="3DB362FF"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56. </w:t>
      </w:r>
      <w:r w:rsidRPr="007537FA">
        <w:rPr>
          <w:rFonts w:ascii="Calibri" w:hAnsi="Calibri" w:cs="Calibri"/>
          <w:noProof/>
          <w:szCs w:val="24"/>
        </w:rPr>
        <w:tab/>
        <w:t xml:space="preserve">S. Murthy, A. Leligdowicz, N. K. J. Adhikari, Intensive Care Unit Capacity in Low-Income Countries: A Systematic Review. </w:t>
      </w:r>
      <w:r w:rsidRPr="007537FA">
        <w:rPr>
          <w:rFonts w:ascii="Calibri" w:hAnsi="Calibri" w:cs="Calibri"/>
          <w:i/>
          <w:iCs/>
          <w:noProof/>
          <w:szCs w:val="24"/>
        </w:rPr>
        <w:t>PLoS One</w:t>
      </w:r>
      <w:r w:rsidRPr="007537FA">
        <w:rPr>
          <w:rFonts w:ascii="Calibri" w:hAnsi="Calibri" w:cs="Calibri"/>
          <w:noProof/>
          <w:szCs w:val="24"/>
        </w:rPr>
        <w:t xml:space="preserve">. </w:t>
      </w:r>
      <w:r w:rsidRPr="007537FA">
        <w:rPr>
          <w:rFonts w:ascii="Calibri" w:hAnsi="Calibri" w:cs="Calibri"/>
          <w:b/>
          <w:bCs/>
          <w:noProof/>
          <w:szCs w:val="24"/>
        </w:rPr>
        <w:t>10</w:t>
      </w:r>
      <w:r w:rsidRPr="007537FA">
        <w:rPr>
          <w:rFonts w:ascii="Calibri" w:hAnsi="Calibri" w:cs="Calibri"/>
          <w:noProof/>
          <w:szCs w:val="24"/>
        </w:rPr>
        <w:t>, e0116949 (2015).</w:t>
      </w:r>
    </w:p>
    <w:p w14:paraId="25E99A5E"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57. </w:t>
      </w:r>
      <w:r w:rsidRPr="007537FA">
        <w:rPr>
          <w:rFonts w:ascii="Calibri" w:hAnsi="Calibri" w:cs="Calibri"/>
          <w:noProof/>
          <w:szCs w:val="24"/>
        </w:rPr>
        <w:tab/>
        <w:t>European Centre for Disease Control, Situation update worldwide, as of 27 April 2020 (2020), (available at https://www.ecdc.europa.eu/en/geographical-distribution-2019-ncov-cases).</w:t>
      </w:r>
    </w:p>
    <w:p w14:paraId="0DD3D7CD"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58. </w:t>
      </w:r>
      <w:r w:rsidRPr="007537FA">
        <w:rPr>
          <w:rFonts w:ascii="Calibri" w:hAnsi="Calibri" w:cs="Calibri"/>
          <w:noProof/>
          <w:szCs w:val="24"/>
        </w:rPr>
        <w:tab/>
        <w:t xml:space="preserve">N. M. Linton, T. Kobayashi, Y. Yang, K. Hayashi, A. R. Akhmetzhanov, S. Jung, </w:t>
      </w:r>
      <w:r w:rsidRPr="007537FA">
        <w:rPr>
          <w:rFonts w:ascii="Calibri" w:hAnsi="Calibri" w:cs="Calibri"/>
          <w:i/>
          <w:iCs/>
          <w:noProof/>
          <w:szCs w:val="24"/>
        </w:rPr>
        <w:t>et al.</w:t>
      </w:r>
      <w:r w:rsidRPr="007537FA">
        <w:rPr>
          <w:rFonts w:ascii="Calibri" w:hAnsi="Calibri" w:cs="Calibri"/>
          <w:noProof/>
          <w:szCs w:val="24"/>
        </w:rPr>
        <w:t xml:space="preserve">, Incubation Period and Other Epidemiological Characteristics of 2019 Novel Coronavirus Infections with Right Truncation: A Statistical Analysis of Publicly Available Case Data. </w:t>
      </w:r>
      <w:r w:rsidRPr="007537FA">
        <w:rPr>
          <w:rFonts w:ascii="Calibri" w:hAnsi="Calibri" w:cs="Calibri"/>
          <w:i/>
          <w:iCs/>
          <w:noProof/>
          <w:szCs w:val="24"/>
        </w:rPr>
        <w:t>J. Clin. Med.</w:t>
      </w:r>
      <w:r w:rsidRPr="007537FA">
        <w:rPr>
          <w:rFonts w:ascii="Calibri" w:hAnsi="Calibri" w:cs="Calibri"/>
          <w:noProof/>
          <w:szCs w:val="24"/>
        </w:rPr>
        <w:t xml:space="preserve"> </w:t>
      </w:r>
      <w:r w:rsidRPr="007537FA">
        <w:rPr>
          <w:rFonts w:ascii="Calibri" w:hAnsi="Calibri" w:cs="Calibri"/>
          <w:b/>
          <w:bCs/>
          <w:noProof/>
          <w:szCs w:val="24"/>
        </w:rPr>
        <w:t>9</w:t>
      </w:r>
      <w:r w:rsidRPr="007537FA">
        <w:rPr>
          <w:rFonts w:ascii="Calibri" w:hAnsi="Calibri" w:cs="Calibri"/>
          <w:noProof/>
          <w:szCs w:val="24"/>
        </w:rPr>
        <w:t xml:space="preserve">, 538 </w:t>
      </w:r>
      <w:r w:rsidRPr="007537FA">
        <w:rPr>
          <w:rFonts w:ascii="Calibri" w:hAnsi="Calibri" w:cs="Calibri"/>
          <w:noProof/>
          <w:szCs w:val="24"/>
        </w:rPr>
        <w:lastRenderedPageBreak/>
        <w:t>(2020).</w:t>
      </w:r>
    </w:p>
    <w:p w14:paraId="130A8A2C"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59. </w:t>
      </w:r>
      <w:r w:rsidRPr="007537FA">
        <w:rPr>
          <w:rFonts w:ascii="Calibri" w:hAnsi="Calibri" w:cs="Calibri"/>
          <w:noProof/>
          <w:szCs w:val="24"/>
        </w:rPr>
        <w:tab/>
        <w:t xml:space="preserve">S. A. Lauer, K. H. Grantz, Q. Bi, F. K. Jones, Q. Zheng, H. R. Meredith, </w:t>
      </w:r>
      <w:r w:rsidRPr="007537FA">
        <w:rPr>
          <w:rFonts w:ascii="Calibri" w:hAnsi="Calibri" w:cs="Calibri"/>
          <w:i/>
          <w:iCs/>
          <w:noProof/>
          <w:szCs w:val="24"/>
        </w:rPr>
        <w:t>et al.</w:t>
      </w:r>
      <w:r w:rsidRPr="007537FA">
        <w:rPr>
          <w:rFonts w:ascii="Calibri" w:hAnsi="Calibri" w:cs="Calibri"/>
          <w:noProof/>
          <w:szCs w:val="24"/>
        </w:rPr>
        <w:t xml:space="preserve">, The Incubation Period of Coronavirus Disease 2019 (COVID-19) From Publicly Reported Confirmed Cases: Estimation and Application. </w:t>
      </w:r>
      <w:r w:rsidRPr="007537FA">
        <w:rPr>
          <w:rFonts w:ascii="Calibri" w:hAnsi="Calibri" w:cs="Calibri"/>
          <w:i/>
          <w:iCs/>
          <w:noProof/>
          <w:szCs w:val="24"/>
        </w:rPr>
        <w:t>Ann. Intern. Med.</w:t>
      </w:r>
      <w:r w:rsidRPr="007537FA">
        <w:rPr>
          <w:rFonts w:ascii="Calibri" w:hAnsi="Calibri" w:cs="Calibri"/>
          <w:noProof/>
          <w:szCs w:val="24"/>
        </w:rPr>
        <w:t xml:space="preserve"> (2020), doi:10.7326/M20-0504.</w:t>
      </w:r>
    </w:p>
    <w:p w14:paraId="16638464" w14:textId="77777777" w:rsidR="007537FA" w:rsidRPr="007537FA" w:rsidRDefault="007537FA" w:rsidP="007537FA">
      <w:pPr>
        <w:widowControl w:val="0"/>
        <w:autoSpaceDE w:val="0"/>
        <w:autoSpaceDN w:val="0"/>
        <w:adjustRightInd w:val="0"/>
        <w:spacing w:line="240" w:lineRule="auto"/>
        <w:ind w:left="640" w:hanging="640"/>
        <w:rPr>
          <w:rFonts w:ascii="Calibri" w:hAnsi="Calibri" w:cs="Calibri"/>
          <w:noProof/>
          <w:szCs w:val="24"/>
        </w:rPr>
      </w:pPr>
      <w:r w:rsidRPr="007537FA">
        <w:rPr>
          <w:rFonts w:ascii="Calibri" w:hAnsi="Calibri" w:cs="Calibri"/>
          <w:noProof/>
          <w:szCs w:val="24"/>
        </w:rPr>
        <w:t xml:space="preserve">60. </w:t>
      </w:r>
      <w:r w:rsidRPr="007537FA">
        <w:rPr>
          <w:rFonts w:ascii="Calibri" w:hAnsi="Calibri" w:cs="Calibri"/>
          <w:noProof/>
          <w:szCs w:val="24"/>
        </w:rPr>
        <w:tab/>
        <w:t xml:space="preserve">Q. Bi, Y. Wu, S. Mei, C. Ye, X. Zou, Z. Zhang, </w:t>
      </w:r>
      <w:r w:rsidRPr="007537FA">
        <w:rPr>
          <w:rFonts w:ascii="Calibri" w:hAnsi="Calibri" w:cs="Calibri"/>
          <w:i/>
          <w:iCs/>
          <w:noProof/>
          <w:szCs w:val="24"/>
        </w:rPr>
        <w:t>et al.</w:t>
      </w:r>
      <w:r w:rsidRPr="007537FA">
        <w:rPr>
          <w:rFonts w:ascii="Calibri" w:hAnsi="Calibri" w:cs="Calibri"/>
          <w:noProof/>
          <w:szCs w:val="24"/>
        </w:rPr>
        <w:t xml:space="preserve">, Epidemiology and transmission of COVID-19 in 391 cases and 1286 of their close contacts in Shenzhen, China: a retrospective cohort study. </w:t>
      </w:r>
      <w:r w:rsidRPr="007537FA">
        <w:rPr>
          <w:rFonts w:ascii="Calibri" w:hAnsi="Calibri" w:cs="Calibri"/>
          <w:i/>
          <w:iCs/>
          <w:noProof/>
          <w:szCs w:val="24"/>
        </w:rPr>
        <w:t>Lancet Infect. Dis.</w:t>
      </w:r>
      <w:r w:rsidRPr="007537FA">
        <w:rPr>
          <w:rFonts w:ascii="Calibri" w:hAnsi="Calibri" w:cs="Calibri"/>
          <w:noProof/>
          <w:szCs w:val="24"/>
        </w:rPr>
        <w:t xml:space="preserve"> </w:t>
      </w:r>
      <w:r w:rsidRPr="007537FA">
        <w:rPr>
          <w:rFonts w:ascii="Calibri" w:hAnsi="Calibri" w:cs="Calibri"/>
          <w:b/>
          <w:bCs/>
          <w:noProof/>
          <w:szCs w:val="24"/>
        </w:rPr>
        <w:t>0</w:t>
      </w:r>
      <w:r w:rsidRPr="007537FA">
        <w:rPr>
          <w:rFonts w:ascii="Calibri" w:hAnsi="Calibri" w:cs="Calibri"/>
          <w:noProof/>
          <w:szCs w:val="24"/>
        </w:rPr>
        <w:t xml:space="preserve"> (2020), doi:10.1016/S1473-3099(20)30287-5.</w:t>
      </w:r>
    </w:p>
    <w:p w14:paraId="02DAB1F8" w14:textId="670F8422" w:rsidR="007537FA" w:rsidRPr="007537FA" w:rsidRDefault="007537FA" w:rsidP="007537FA">
      <w:pPr>
        <w:widowControl w:val="0"/>
        <w:autoSpaceDE w:val="0"/>
        <w:autoSpaceDN w:val="0"/>
        <w:adjustRightInd w:val="0"/>
        <w:spacing w:line="240" w:lineRule="auto"/>
        <w:ind w:left="640" w:hanging="640"/>
        <w:rPr>
          <w:rFonts w:ascii="Calibri" w:hAnsi="Calibri" w:cs="Calibri"/>
          <w:noProof/>
        </w:rPr>
      </w:pPr>
      <w:r w:rsidRPr="007537FA">
        <w:rPr>
          <w:rFonts w:ascii="Calibri" w:hAnsi="Calibri" w:cs="Calibri"/>
          <w:noProof/>
          <w:szCs w:val="24"/>
        </w:rPr>
        <w:t xml:space="preserve">61. </w:t>
      </w:r>
      <w:r w:rsidRPr="007537FA">
        <w:rPr>
          <w:rFonts w:ascii="Calibri" w:hAnsi="Calibri" w:cs="Calibri"/>
          <w:noProof/>
          <w:szCs w:val="24"/>
        </w:rPr>
        <w:tab/>
        <w:t xml:space="preserve">H. Salje, C. Tran Kiem, N. Lefrancq, N. Courtejoie, P. Bosetti, J. Paireau, </w:t>
      </w:r>
      <w:r w:rsidRPr="007537FA">
        <w:rPr>
          <w:rFonts w:ascii="Calibri" w:hAnsi="Calibri" w:cs="Calibri"/>
          <w:i/>
          <w:iCs/>
          <w:noProof/>
          <w:szCs w:val="24"/>
        </w:rPr>
        <w:t>et al.</w:t>
      </w:r>
      <w:r w:rsidRPr="007537FA">
        <w:rPr>
          <w:rFonts w:ascii="Calibri" w:hAnsi="Calibri" w:cs="Calibri"/>
          <w:noProof/>
          <w:szCs w:val="24"/>
        </w:rPr>
        <w:t xml:space="preserve">, Estimating the burden of SARS-CoV-2 in France. </w:t>
      </w:r>
      <w:r w:rsidRPr="007537FA">
        <w:rPr>
          <w:rFonts w:ascii="Calibri" w:hAnsi="Calibri" w:cs="Calibri"/>
          <w:i/>
          <w:iCs/>
          <w:noProof/>
          <w:szCs w:val="24"/>
        </w:rPr>
        <w:t>Science.</w:t>
      </w:r>
      <w:r w:rsidRPr="007537FA">
        <w:rPr>
          <w:rFonts w:ascii="Calibri" w:hAnsi="Calibri" w:cs="Calibri"/>
          <w:noProof/>
          <w:szCs w:val="24"/>
        </w:rPr>
        <w:t xml:space="preserve"> (2020), </w:t>
      </w:r>
      <w:r w:rsidR="00511298">
        <w:t xml:space="preserve">13 May 2020: eabc3517; </w:t>
      </w:r>
      <w:r w:rsidRPr="007537FA">
        <w:rPr>
          <w:rFonts w:ascii="Calibri" w:hAnsi="Calibri" w:cs="Calibri"/>
          <w:noProof/>
          <w:szCs w:val="24"/>
        </w:rPr>
        <w:t>doi:10.1126/science.abc3517.</w:t>
      </w:r>
    </w:p>
    <w:p w14:paraId="03317CFE" w14:textId="77777777" w:rsidR="002D2830" w:rsidRDefault="002D2830" w:rsidP="002D2830">
      <w:r>
        <w:fldChar w:fldCharType="end"/>
      </w:r>
    </w:p>
    <w:p w14:paraId="6AFFD732" w14:textId="77777777" w:rsidR="009820F9" w:rsidRDefault="009820F9" w:rsidP="008D5571"/>
    <w:sectPr w:rsidR="009820F9" w:rsidSect="00B34D5A">
      <w:footerReference w:type="default" r:id="rId1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60325" w14:textId="77777777" w:rsidR="003624D6" w:rsidRDefault="003624D6" w:rsidP="008D5571">
      <w:r>
        <w:separator/>
      </w:r>
    </w:p>
  </w:endnote>
  <w:endnote w:type="continuationSeparator" w:id="0">
    <w:p w14:paraId="345E34B5" w14:textId="77777777" w:rsidR="003624D6" w:rsidRDefault="003624D6" w:rsidP="008D5571">
      <w:r>
        <w:continuationSeparator/>
      </w:r>
    </w:p>
  </w:endnote>
  <w:endnote w:type="continuationNotice" w:id="1">
    <w:p w14:paraId="59C11284" w14:textId="77777777" w:rsidR="003624D6" w:rsidRDefault="003624D6" w:rsidP="008D5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17380"/>
      <w:docPartObj>
        <w:docPartGallery w:val="Page Numbers (Bottom of Page)"/>
        <w:docPartUnique/>
      </w:docPartObj>
    </w:sdtPr>
    <w:sdtEndPr>
      <w:rPr>
        <w:noProof/>
      </w:rPr>
    </w:sdtEndPr>
    <w:sdtContent>
      <w:p w14:paraId="46A26909" w14:textId="32FAA29F" w:rsidR="00AE11F4" w:rsidRDefault="00AE11F4">
        <w:pPr>
          <w:pStyle w:val="Footer"/>
          <w:jc w:val="center"/>
        </w:pPr>
        <w:r>
          <w:fldChar w:fldCharType="begin"/>
        </w:r>
        <w:r>
          <w:instrText xml:space="preserve"> PAGE   \* MERGEFORMAT </w:instrText>
        </w:r>
        <w:r>
          <w:fldChar w:fldCharType="separate"/>
        </w:r>
        <w:r w:rsidR="009302A9">
          <w:rPr>
            <w:noProof/>
          </w:rPr>
          <w:t>1</w:t>
        </w:r>
        <w:r>
          <w:rPr>
            <w:noProof/>
          </w:rPr>
          <w:fldChar w:fldCharType="end"/>
        </w:r>
      </w:p>
    </w:sdtContent>
  </w:sdt>
  <w:p w14:paraId="5FA46B70" w14:textId="77777777" w:rsidR="00AE11F4" w:rsidRDefault="00AE11F4" w:rsidP="008D55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650859"/>
      <w:docPartObj>
        <w:docPartGallery w:val="Page Numbers (Bottom of Page)"/>
        <w:docPartUnique/>
      </w:docPartObj>
    </w:sdtPr>
    <w:sdtEndPr>
      <w:rPr>
        <w:noProof/>
      </w:rPr>
    </w:sdtEndPr>
    <w:sdtContent>
      <w:p w14:paraId="2E13F5AC" w14:textId="68567872" w:rsidR="002D2830" w:rsidRDefault="002D2830">
        <w:pPr>
          <w:pStyle w:val="Footer"/>
          <w:jc w:val="center"/>
        </w:pPr>
        <w:r>
          <w:fldChar w:fldCharType="begin"/>
        </w:r>
        <w:r>
          <w:instrText xml:space="preserve"> PAGE   \* MERGEFORMAT </w:instrText>
        </w:r>
        <w:r>
          <w:fldChar w:fldCharType="separate"/>
        </w:r>
        <w:r w:rsidR="009302A9">
          <w:rPr>
            <w:noProof/>
          </w:rPr>
          <w:t>20</w:t>
        </w:r>
        <w:r>
          <w:rPr>
            <w:noProof/>
          </w:rPr>
          <w:fldChar w:fldCharType="end"/>
        </w:r>
      </w:p>
    </w:sdtContent>
  </w:sdt>
  <w:p w14:paraId="4EC49316" w14:textId="77777777" w:rsidR="002D2830" w:rsidRDefault="002D2830" w:rsidP="008D55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139561"/>
      <w:docPartObj>
        <w:docPartGallery w:val="Page Numbers (Bottom of Page)"/>
        <w:docPartUnique/>
      </w:docPartObj>
    </w:sdtPr>
    <w:sdtEndPr>
      <w:rPr>
        <w:noProof/>
      </w:rPr>
    </w:sdtEndPr>
    <w:sdtContent>
      <w:p w14:paraId="2A4E6BFD" w14:textId="05A6C7D4" w:rsidR="00D51FDE" w:rsidRDefault="00D51FDE">
        <w:pPr>
          <w:pStyle w:val="Footer"/>
          <w:jc w:val="center"/>
        </w:pPr>
        <w:r>
          <w:fldChar w:fldCharType="begin"/>
        </w:r>
        <w:r>
          <w:instrText xml:space="preserve"> PAGE   \* MERGEFORMAT </w:instrText>
        </w:r>
        <w:r>
          <w:fldChar w:fldCharType="separate"/>
        </w:r>
        <w:r w:rsidR="009302A9">
          <w:rPr>
            <w:noProof/>
          </w:rPr>
          <w:t>47</w:t>
        </w:r>
        <w:r>
          <w:rPr>
            <w:noProof/>
          </w:rPr>
          <w:fldChar w:fldCharType="end"/>
        </w:r>
      </w:p>
    </w:sdtContent>
  </w:sdt>
  <w:p w14:paraId="1D918215" w14:textId="77777777" w:rsidR="00D51FDE" w:rsidRDefault="00D51FDE" w:rsidP="008D5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F8182" w14:textId="77777777" w:rsidR="003624D6" w:rsidRDefault="003624D6" w:rsidP="008D5571">
      <w:r>
        <w:separator/>
      </w:r>
    </w:p>
  </w:footnote>
  <w:footnote w:type="continuationSeparator" w:id="0">
    <w:p w14:paraId="6BDBAD43" w14:textId="77777777" w:rsidR="003624D6" w:rsidRDefault="003624D6" w:rsidP="008D5571">
      <w:r>
        <w:continuationSeparator/>
      </w:r>
    </w:p>
  </w:footnote>
  <w:footnote w:type="continuationNotice" w:id="1">
    <w:p w14:paraId="4B5069EF" w14:textId="77777777" w:rsidR="003624D6" w:rsidRDefault="003624D6" w:rsidP="008D557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5F2D"/>
    <w:multiLevelType w:val="hybridMultilevel"/>
    <w:tmpl w:val="36FE3C46"/>
    <w:lvl w:ilvl="0" w:tplc="9468FFCE">
      <w:start w:val="1"/>
      <w:numFmt w:val="upp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761BC"/>
    <w:multiLevelType w:val="hybridMultilevel"/>
    <w:tmpl w:val="8C7E340E"/>
    <w:lvl w:ilvl="0" w:tplc="765C16F2">
      <w:numFmt w:val="decimal"/>
      <w:lvlText w:val="%1."/>
      <w:lvlJc w:val="left"/>
      <w:pPr>
        <w:ind w:left="975" w:hanging="615"/>
      </w:pPr>
      <w:rPr>
        <w:rFonts w:ascii="Times New Roman" w:eastAsia="Times New Roman" w:hAnsi="Times New Roman" w:cs="Times New Roman" w:hint="default"/>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E652B"/>
    <w:multiLevelType w:val="hybridMultilevel"/>
    <w:tmpl w:val="8DFEF2F2"/>
    <w:lvl w:ilvl="0" w:tplc="F436451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8F3E5F"/>
    <w:multiLevelType w:val="hybridMultilevel"/>
    <w:tmpl w:val="13588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F2A0A"/>
    <w:multiLevelType w:val="hybridMultilevel"/>
    <w:tmpl w:val="97F65F18"/>
    <w:lvl w:ilvl="0" w:tplc="5F34B72C">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6B789C"/>
    <w:multiLevelType w:val="hybridMultilevel"/>
    <w:tmpl w:val="CEBA5DC6"/>
    <w:lvl w:ilvl="0" w:tplc="81DA18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3E5319"/>
    <w:multiLevelType w:val="hybridMultilevel"/>
    <w:tmpl w:val="5728060C"/>
    <w:lvl w:ilvl="0" w:tplc="A1941B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75BED"/>
    <w:multiLevelType w:val="hybridMultilevel"/>
    <w:tmpl w:val="EF2AE8C2"/>
    <w:lvl w:ilvl="0" w:tplc="8E4C7474">
      <w:start w:val="1"/>
      <w:numFmt w:val="upperLetter"/>
      <w:lvlText w:val="(%1)"/>
      <w:lvlJc w:val="left"/>
      <w:pPr>
        <w:ind w:left="408" w:hanging="360"/>
      </w:pPr>
      <w:rPr>
        <w:rFonts w:hint="default"/>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8" w15:restartNumberingAfterBreak="0">
    <w:nsid w:val="39A94F15"/>
    <w:multiLevelType w:val="hybridMultilevel"/>
    <w:tmpl w:val="42DEC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B1090D"/>
    <w:multiLevelType w:val="hybridMultilevel"/>
    <w:tmpl w:val="E1C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B30A6A"/>
    <w:multiLevelType w:val="hybridMultilevel"/>
    <w:tmpl w:val="6B7CEC1C"/>
    <w:lvl w:ilvl="0" w:tplc="BC50D720">
      <w:start w:val="1"/>
      <w:numFmt w:val="upperLetter"/>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F4BE6"/>
    <w:multiLevelType w:val="hybridMultilevel"/>
    <w:tmpl w:val="46D6DB02"/>
    <w:lvl w:ilvl="0" w:tplc="C54C9596">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EDD4360"/>
    <w:multiLevelType w:val="hybridMultilevel"/>
    <w:tmpl w:val="8FB810E0"/>
    <w:lvl w:ilvl="0" w:tplc="78C800B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6A4BFD"/>
    <w:multiLevelType w:val="hybridMultilevel"/>
    <w:tmpl w:val="53960D40"/>
    <w:lvl w:ilvl="0" w:tplc="35068CB4">
      <w:numFmt w:val="decimal"/>
      <w:lvlText w:val="%1."/>
      <w:lvlJc w:val="left"/>
      <w:pPr>
        <w:ind w:left="975" w:hanging="615"/>
      </w:pPr>
      <w:rPr>
        <w:rFonts w:ascii="Times New Roman" w:eastAsia="Times New Roman" w:hAnsi="Times New Roman" w:cs="Times New Roman" w:hint="default"/>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CD05B61"/>
    <w:multiLevelType w:val="hybridMultilevel"/>
    <w:tmpl w:val="DEDC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032315"/>
    <w:multiLevelType w:val="hybridMultilevel"/>
    <w:tmpl w:val="27AC3E5C"/>
    <w:lvl w:ilvl="0" w:tplc="99969D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34697E"/>
    <w:multiLevelType w:val="hybridMultilevel"/>
    <w:tmpl w:val="87D0A3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9"/>
  </w:num>
  <w:num w:numId="3">
    <w:abstractNumId w:val="3"/>
  </w:num>
  <w:num w:numId="4">
    <w:abstractNumId w:val="6"/>
  </w:num>
  <w:num w:numId="5">
    <w:abstractNumId w:val="5"/>
  </w:num>
  <w:num w:numId="6">
    <w:abstractNumId w:val="4"/>
  </w:num>
  <w:num w:numId="7">
    <w:abstractNumId w:val="7"/>
  </w:num>
  <w:num w:numId="8">
    <w:abstractNumId w:val="11"/>
  </w:num>
  <w:num w:numId="9">
    <w:abstractNumId w:val="12"/>
  </w:num>
  <w:num w:numId="10">
    <w:abstractNumId w:val="16"/>
  </w:num>
  <w:num w:numId="11">
    <w:abstractNumId w:val="15"/>
  </w:num>
  <w:num w:numId="12">
    <w:abstractNumId w:val="0"/>
  </w:num>
  <w:num w:numId="13">
    <w:abstractNumId w:val="10"/>
  </w:num>
  <w:num w:numId="14">
    <w:abstractNumId w:val="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2B"/>
    <w:rsid w:val="000005D3"/>
    <w:rsid w:val="0000086C"/>
    <w:rsid w:val="00000C4B"/>
    <w:rsid w:val="00000E89"/>
    <w:rsid w:val="00001D42"/>
    <w:rsid w:val="00001E9B"/>
    <w:rsid w:val="00002F0B"/>
    <w:rsid w:val="00003201"/>
    <w:rsid w:val="000038EA"/>
    <w:rsid w:val="000039C5"/>
    <w:rsid w:val="00004567"/>
    <w:rsid w:val="00005097"/>
    <w:rsid w:val="00005599"/>
    <w:rsid w:val="00005A11"/>
    <w:rsid w:val="00005A21"/>
    <w:rsid w:val="00006DE0"/>
    <w:rsid w:val="000073BB"/>
    <w:rsid w:val="00007A4A"/>
    <w:rsid w:val="00007EF2"/>
    <w:rsid w:val="00010686"/>
    <w:rsid w:val="00010781"/>
    <w:rsid w:val="00011493"/>
    <w:rsid w:val="00011962"/>
    <w:rsid w:val="00011A81"/>
    <w:rsid w:val="00011EC4"/>
    <w:rsid w:val="0001214C"/>
    <w:rsid w:val="00012758"/>
    <w:rsid w:val="000127EC"/>
    <w:rsid w:val="0001284A"/>
    <w:rsid w:val="00012B1A"/>
    <w:rsid w:val="00012BE0"/>
    <w:rsid w:val="00012CB7"/>
    <w:rsid w:val="000130BE"/>
    <w:rsid w:val="0001388C"/>
    <w:rsid w:val="00014163"/>
    <w:rsid w:val="000142B0"/>
    <w:rsid w:val="0001443A"/>
    <w:rsid w:val="0001445E"/>
    <w:rsid w:val="000148CD"/>
    <w:rsid w:val="00014F16"/>
    <w:rsid w:val="0001574A"/>
    <w:rsid w:val="000157A2"/>
    <w:rsid w:val="0001588E"/>
    <w:rsid w:val="00015F0B"/>
    <w:rsid w:val="0001654D"/>
    <w:rsid w:val="0001673A"/>
    <w:rsid w:val="00016F63"/>
    <w:rsid w:val="00017ED1"/>
    <w:rsid w:val="000201F7"/>
    <w:rsid w:val="000202FD"/>
    <w:rsid w:val="000206C3"/>
    <w:rsid w:val="00020E37"/>
    <w:rsid w:val="000211D5"/>
    <w:rsid w:val="00021416"/>
    <w:rsid w:val="00022B28"/>
    <w:rsid w:val="000235F7"/>
    <w:rsid w:val="0002396A"/>
    <w:rsid w:val="000240C4"/>
    <w:rsid w:val="000244F2"/>
    <w:rsid w:val="00024B90"/>
    <w:rsid w:val="000255DD"/>
    <w:rsid w:val="0002582A"/>
    <w:rsid w:val="00025CE2"/>
    <w:rsid w:val="00026616"/>
    <w:rsid w:val="00026DAA"/>
    <w:rsid w:val="00027180"/>
    <w:rsid w:val="00027756"/>
    <w:rsid w:val="000277FB"/>
    <w:rsid w:val="00027D8A"/>
    <w:rsid w:val="00030D63"/>
    <w:rsid w:val="00031248"/>
    <w:rsid w:val="00031AA8"/>
    <w:rsid w:val="00031AD8"/>
    <w:rsid w:val="00032206"/>
    <w:rsid w:val="00033689"/>
    <w:rsid w:val="00033816"/>
    <w:rsid w:val="00033A7A"/>
    <w:rsid w:val="00033F4A"/>
    <w:rsid w:val="00034198"/>
    <w:rsid w:val="0003420C"/>
    <w:rsid w:val="00034B26"/>
    <w:rsid w:val="000357C2"/>
    <w:rsid w:val="00035CCA"/>
    <w:rsid w:val="00035F38"/>
    <w:rsid w:val="000360A1"/>
    <w:rsid w:val="000363B7"/>
    <w:rsid w:val="000368D9"/>
    <w:rsid w:val="0003720B"/>
    <w:rsid w:val="00037E3F"/>
    <w:rsid w:val="00037F07"/>
    <w:rsid w:val="00040732"/>
    <w:rsid w:val="000408E3"/>
    <w:rsid w:val="00040923"/>
    <w:rsid w:val="00040C1B"/>
    <w:rsid w:val="00040C7D"/>
    <w:rsid w:val="00040EA2"/>
    <w:rsid w:val="0004180C"/>
    <w:rsid w:val="00041A99"/>
    <w:rsid w:val="000427B0"/>
    <w:rsid w:val="00042852"/>
    <w:rsid w:val="00044547"/>
    <w:rsid w:val="00044EEF"/>
    <w:rsid w:val="00044F0A"/>
    <w:rsid w:val="00045058"/>
    <w:rsid w:val="000452CC"/>
    <w:rsid w:val="000467FA"/>
    <w:rsid w:val="00046833"/>
    <w:rsid w:val="0005008D"/>
    <w:rsid w:val="00050874"/>
    <w:rsid w:val="00050E6D"/>
    <w:rsid w:val="00051567"/>
    <w:rsid w:val="00051A7A"/>
    <w:rsid w:val="0005205A"/>
    <w:rsid w:val="000522B2"/>
    <w:rsid w:val="000524F1"/>
    <w:rsid w:val="0005278F"/>
    <w:rsid w:val="00053946"/>
    <w:rsid w:val="00054E86"/>
    <w:rsid w:val="00054EFB"/>
    <w:rsid w:val="00055D06"/>
    <w:rsid w:val="00056B4B"/>
    <w:rsid w:val="00056C11"/>
    <w:rsid w:val="00056D00"/>
    <w:rsid w:val="00056E24"/>
    <w:rsid w:val="00056E9F"/>
    <w:rsid w:val="000572B3"/>
    <w:rsid w:val="00057455"/>
    <w:rsid w:val="00057D25"/>
    <w:rsid w:val="00057F7C"/>
    <w:rsid w:val="000607B4"/>
    <w:rsid w:val="000608B4"/>
    <w:rsid w:val="00061460"/>
    <w:rsid w:val="000617F8"/>
    <w:rsid w:val="00061B27"/>
    <w:rsid w:val="000620B3"/>
    <w:rsid w:val="00062B36"/>
    <w:rsid w:val="00063601"/>
    <w:rsid w:val="000636BA"/>
    <w:rsid w:val="00063CE4"/>
    <w:rsid w:val="00064529"/>
    <w:rsid w:val="0006458D"/>
    <w:rsid w:val="00064FF9"/>
    <w:rsid w:val="0006500B"/>
    <w:rsid w:val="0006555A"/>
    <w:rsid w:val="00065753"/>
    <w:rsid w:val="00065D78"/>
    <w:rsid w:val="00066CD1"/>
    <w:rsid w:val="00067660"/>
    <w:rsid w:val="0006789F"/>
    <w:rsid w:val="00070351"/>
    <w:rsid w:val="00070723"/>
    <w:rsid w:val="00070A57"/>
    <w:rsid w:val="00070D97"/>
    <w:rsid w:val="00071A3F"/>
    <w:rsid w:val="00071B14"/>
    <w:rsid w:val="00071D3D"/>
    <w:rsid w:val="0007309D"/>
    <w:rsid w:val="000735C4"/>
    <w:rsid w:val="00073943"/>
    <w:rsid w:val="00073A15"/>
    <w:rsid w:val="00073CEA"/>
    <w:rsid w:val="00073D51"/>
    <w:rsid w:val="00073E39"/>
    <w:rsid w:val="00074037"/>
    <w:rsid w:val="000740B7"/>
    <w:rsid w:val="000741F3"/>
    <w:rsid w:val="00074B6E"/>
    <w:rsid w:val="00074DE7"/>
    <w:rsid w:val="0007505A"/>
    <w:rsid w:val="000757C6"/>
    <w:rsid w:val="00075D40"/>
    <w:rsid w:val="0008056C"/>
    <w:rsid w:val="0008081C"/>
    <w:rsid w:val="00081499"/>
    <w:rsid w:val="000814DC"/>
    <w:rsid w:val="0008167F"/>
    <w:rsid w:val="00081ABD"/>
    <w:rsid w:val="00081D15"/>
    <w:rsid w:val="00081E69"/>
    <w:rsid w:val="00082081"/>
    <w:rsid w:val="00082D6D"/>
    <w:rsid w:val="00083989"/>
    <w:rsid w:val="000841DC"/>
    <w:rsid w:val="000845CE"/>
    <w:rsid w:val="00084711"/>
    <w:rsid w:val="00084802"/>
    <w:rsid w:val="00084968"/>
    <w:rsid w:val="00084A7F"/>
    <w:rsid w:val="0008512B"/>
    <w:rsid w:val="000852DF"/>
    <w:rsid w:val="00085632"/>
    <w:rsid w:val="00085A80"/>
    <w:rsid w:val="00086129"/>
    <w:rsid w:val="0008645B"/>
    <w:rsid w:val="000864DB"/>
    <w:rsid w:val="00087539"/>
    <w:rsid w:val="000876DD"/>
    <w:rsid w:val="00087B89"/>
    <w:rsid w:val="000900FF"/>
    <w:rsid w:val="00090135"/>
    <w:rsid w:val="000903B5"/>
    <w:rsid w:val="0009121F"/>
    <w:rsid w:val="00091703"/>
    <w:rsid w:val="00091A67"/>
    <w:rsid w:val="00091A73"/>
    <w:rsid w:val="00091A75"/>
    <w:rsid w:val="00092619"/>
    <w:rsid w:val="000927C4"/>
    <w:rsid w:val="00092809"/>
    <w:rsid w:val="00093147"/>
    <w:rsid w:val="00093331"/>
    <w:rsid w:val="00093706"/>
    <w:rsid w:val="000937A9"/>
    <w:rsid w:val="00093CA5"/>
    <w:rsid w:val="00093F48"/>
    <w:rsid w:val="0009416E"/>
    <w:rsid w:val="0009420C"/>
    <w:rsid w:val="00094CBC"/>
    <w:rsid w:val="0009569E"/>
    <w:rsid w:val="0009586E"/>
    <w:rsid w:val="00095DFA"/>
    <w:rsid w:val="0009600C"/>
    <w:rsid w:val="00096458"/>
    <w:rsid w:val="00096B41"/>
    <w:rsid w:val="00097BC3"/>
    <w:rsid w:val="00097E3A"/>
    <w:rsid w:val="000A0032"/>
    <w:rsid w:val="000A026D"/>
    <w:rsid w:val="000A0354"/>
    <w:rsid w:val="000A0C01"/>
    <w:rsid w:val="000A12A0"/>
    <w:rsid w:val="000A14E8"/>
    <w:rsid w:val="000A188F"/>
    <w:rsid w:val="000A1B11"/>
    <w:rsid w:val="000A2022"/>
    <w:rsid w:val="000A2495"/>
    <w:rsid w:val="000A30F7"/>
    <w:rsid w:val="000A31D5"/>
    <w:rsid w:val="000A391C"/>
    <w:rsid w:val="000A392F"/>
    <w:rsid w:val="000A3A56"/>
    <w:rsid w:val="000A3E0B"/>
    <w:rsid w:val="000A3F63"/>
    <w:rsid w:val="000A40E6"/>
    <w:rsid w:val="000A4271"/>
    <w:rsid w:val="000A444E"/>
    <w:rsid w:val="000A44BD"/>
    <w:rsid w:val="000A51B4"/>
    <w:rsid w:val="000A5755"/>
    <w:rsid w:val="000A57D4"/>
    <w:rsid w:val="000A5994"/>
    <w:rsid w:val="000A5A05"/>
    <w:rsid w:val="000A6643"/>
    <w:rsid w:val="000A6A54"/>
    <w:rsid w:val="000A7511"/>
    <w:rsid w:val="000A7A47"/>
    <w:rsid w:val="000B0757"/>
    <w:rsid w:val="000B0F23"/>
    <w:rsid w:val="000B0FA3"/>
    <w:rsid w:val="000B10E0"/>
    <w:rsid w:val="000B19A5"/>
    <w:rsid w:val="000B2D8E"/>
    <w:rsid w:val="000B2FE6"/>
    <w:rsid w:val="000B32B0"/>
    <w:rsid w:val="000B32E1"/>
    <w:rsid w:val="000B3CA6"/>
    <w:rsid w:val="000B3F6C"/>
    <w:rsid w:val="000B59AF"/>
    <w:rsid w:val="000B68E4"/>
    <w:rsid w:val="000B6FB3"/>
    <w:rsid w:val="000C06B3"/>
    <w:rsid w:val="000C07AC"/>
    <w:rsid w:val="000C0B57"/>
    <w:rsid w:val="000C11B4"/>
    <w:rsid w:val="000C18AE"/>
    <w:rsid w:val="000C19C1"/>
    <w:rsid w:val="000C1A9F"/>
    <w:rsid w:val="000C22EE"/>
    <w:rsid w:val="000C26B0"/>
    <w:rsid w:val="000C27FB"/>
    <w:rsid w:val="000C2968"/>
    <w:rsid w:val="000C34FF"/>
    <w:rsid w:val="000C45DB"/>
    <w:rsid w:val="000C4AE5"/>
    <w:rsid w:val="000C4C02"/>
    <w:rsid w:val="000C5535"/>
    <w:rsid w:val="000C56E1"/>
    <w:rsid w:val="000C6972"/>
    <w:rsid w:val="000C6A40"/>
    <w:rsid w:val="000C6D9F"/>
    <w:rsid w:val="000C7787"/>
    <w:rsid w:val="000D080F"/>
    <w:rsid w:val="000D1127"/>
    <w:rsid w:val="000D1259"/>
    <w:rsid w:val="000D2059"/>
    <w:rsid w:val="000D2268"/>
    <w:rsid w:val="000D22BB"/>
    <w:rsid w:val="000D2FB7"/>
    <w:rsid w:val="000D3CC4"/>
    <w:rsid w:val="000D4A82"/>
    <w:rsid w:val="000D4BEB"/>
    <w:rsid w:val="000D4F42"/>
    <w:rsid w:val="000D67A8"/>
    <w:rsid w:val="000D687A"/>
    <w:rsid w:val="000D75D4"/>
    <w:rsid w:val="000D7CCA"/>
    <w:rsid w:val="000D7DA2"/>
    <w:rsid w:val="000E0768"/>
    <w:rsid w:val="000E0FD2"/>
    <w:rsid w:val="000E1F78"/>
    <w:rsid w:val="000E20C6"/>
    <w:rsid w:val="000E2317"/>
    <w:rsid w:val="000E25A5"/>
    <w:rsid w:val="000E3198"/>
    <w:rsid w:val="000E48D4"/>
    <w:rsid w:val="000E4E60"/>
    <w:rsid w:val="000E526A"/>
    <w:rsid w:val="000E5B4C"/>
    <w:rsid w:val="000E5D3D"/>
    <w:rsid w:val="000E64B5"/>
    <w:rsid w:val="000E68D1"/>
    <w:rsid w:val="000E7346"/>
    <w:rsid w:val="000E7639"/>
    <w:rsid w:val="000F01FB"/>
    <w:rsid w:val="000F0401"/>
    <w:rsid w:val="000F0B54"/>
    <w:rsid w:val="000F0BAC"/>
    <w:rsid w:val="000F0FC7"/>
    <w:rsid w:val="000F10FE"/>
    <w:rsid w:val="000F1AAF"/>
    <w:rsid w:val="000F2469"/>
    <w:rsid w:val="000F2793"/>
    <w:rsid w:val="000F2898"/>
    <w:rsid w:val="000F2B18"/>
    <w:rsid w:val="000F3094"/>
    <w:rsid w:val="000F3E9B"/>
    <w:rsid w:val="000F4B6D"/>
    <w:rsid w:val="000F4DAF"/>
    <w:rsid w:val="000F52A0"/>
    <w:rsid w:val="000F694A"/>
    <w:rsid w:val="000F7979"/>
    <w:rsid w:val="000F7C14"/>
    <w:rsid w:val="00100E96"/>
    <w:rsid w:val="00101911"/>
    <w:rsid w:val="00101BF5"/>
    <w:rsid w:val="00102322"/>
    <w:rsid w:val="001027D3"/>
    <w:rsid w:val="001028D2"/>
    <w:rsid w:val="00102BEF"/>
    <w:rsid w:val="00103359"/>
    <w:rsid w:val="0010374A"/>
    <w:rsid w:val="00104058"/>
    <w:rsid w:val="00104381"/>
    <w:rsid w:val="00104393"/>
    <w:rsid w:val="00105404"/>
    <w:rsid w:val="00105558"/>
    <w:rsid w:val="00105B1A"/>
    <w:rsid w:val="00105C0C"/>
    <w:rsid w:val="00106126"/>
    <w:rsid w:val="00107194"/>
    <w:rsid w:val="0010797E"/>
    <w:rsid w:val="001079F4"/>
    <w:rsid w:val="00107D5D"/>
    <w:rsid w:val="00107E7F"/>
    <w:rsid w:val="00110764"/>
    <w:rsid w:val="00111814"/>
    <w:rsid w:val="001118D5"/>
    <w:rsid w:val="001122A9"/>
    <w:rsid w:val="001122C8"/>
    <w:rsid w:val="001126C2"/>
    <w:rsid w:val="00112E9A"/>
    <w:rsid w:val="0011422D"/>
    <w:rsid w:val="00114341"/>
    <w:rsid w:val="00114D4F"/>
    <w:rsid w:val="00115096"/>
    <w:rsid w:val="00115345"/>
    <w:rsid w:val="001159EC"/>
    <w:rsid w:val="00116584"/>
    <w:rsid w:val="001165B6"/>
    <w:rsid w:val="0011774A"/>
    <w:rsid w:val="00117778"/>
    <w:rsid w:val="00117CCF"/>
    <w:rsid w:val="00120315"/>
    <w:rsid w:val="001208FA"/>
    <w:rsid w:val="00120977"/>
    <w:rsid w:val="00120C87"/>
    <w:rsid w:val="00120E4D"/>
    <w:rsid w:val="001212A7"/>
    <w:rsid w:val="00121393"/>
    <w:rsid w:val="00121719"/>
    <w:rsid w:val="001222E7"/>
    <w:rsid w:val="001223EE"/>
    <w:rsid w:val="00122706"/>
    <w:rsid w:val="001231A5"/>
    <w:rsid w:val="00123381"/>
    <w:rsid w:val="001234FE"/>
    <w:rsid w:val="00123573"/>
    <w:rsid w:val="001243EF"/>
    <w:rsid w:val="00124605"/>
    <w:rsid w:val="00124639"/>
    <w:rsid w:val="00124C21"/>
    <w:rsid w:val="001258EC"/>
    <w:rsid w:val="001263EB"/>
    <w:rsid w:val="00126A4B"/>
    <w:rsid w:val="001274AC"/>
    <w:rsid w:val="00127664"/>
    <w:rsid w:val="0012796C"/>
    <w:rsid w:val="00127A30"/>
    <w:rsid w:val="001306E2"/>
    <w:rsid w:val="001307CC"/>
    <w:rsid w:val="00131125"/>
    <w:rsid w:val="001319C5"/>
    <w:rsid w:val="00132E33"/>
    <w:rsid w:val="00133399"/>
    <w:rsid w:val="00133645"/>
    <w:rsid w:val="001336B6"/>
    <w:rsid w:val="00133CE6"/>
    <w:rsid w:val="00134001"/>
    <w:rsid w:val="00134620"/>
    <w:rsid w:val="0013471F"/>
    <w:rsid w:val="00134879"/>
    <w:rsid w:val="00135276"/>
    <w:rsid w:val="00135BEA"/>
    <w:rsid w:val="001361A6"/>
    <w:rsid w:val="00136305"/>
    <w:rsid w:val="00136580"/>
    <w:rsid w:val="0013674D"/>
    <w:rsid w:val="0013680D"/>
    <w:rsid w:val="00136926"/>
    <w:rsid w:val="00137DE3"/>
    <w:rsid w:val="00137E38"/>
    <w:rsid w:val="00137FEA"/>
    <w:rsid w:val="00140487"/>
    <w:rsid w:val="00141A2F"/>
    <w:rsid w:val="00141FB0"/>
    <w:rsid w:val="00141FE7"/>
    <w:rsid w:val="001420EC"/>
    <w:rsid w:val="00142386"/>
    <w:rsid w:val="00142A51"/>
    <w:rsid w:val="001430CA"/>
    <w:rsid w:val="001430EC"/>
    <w:rsid w:val="00143203"/>
    <w:rsid w:val="00143277"/>
    <w:rsid w:val="00143B6F"/>
    <w:rsid w:val="0014445C"/>
    <w:rsid w:val="00144529"/>
    <w:rsid w:val="0014475F"/>
    <w:rsid w:val="00146045"/>
    <w:rsid w:val="00146390"/>
    <w:rsid w:val="00146445"/>
    <w:rsid w:val="00146FA4"/>
    <w:rsid w:val="0014717E"/>
    <w:rsid w:val="0014767B"/>
    <w:rsid w:val="0015063E"/>
    <w:rsid w:val="00150701"/>
    <w:rsid w:val="00150CD9"/>
    <w:rsid w:val="00150EF1"/>
    <w:rsid w:val="001517A0"/>
    <w:rsid w:val="001522B7"/>
    <w:rsid w:val="0015306C"/>
    <w:rsid w:val="001535D0"/>
    <w:rsid w:val="001539FB"/>
    <w:rsid w:val="00153D5C"/>
    <w:rsid w:val="0015411F"/>
    <w:rsid w:val="0015435D"/>
    <w:rsid w:val="001545E9"/>
    <w:rsid w:val="00154F05"/>
    <w:rsid w:val="00155068"/>
    <w:rsid w:val="001551CC"/>
    <w:rsid w:val="001558D8"/>
    <w:rsid w:val="00155A18"/>
    <w:rsid w:val="001560AE"/>
    <w:rsid w:val="001560E6"/>
    <w:rsid w:val="00156192"/>
    <w:rsid w:val="00156F33"/>
    <w:rsid w:val="001571A0"/>
    <w:rsid w:val="00157351"/>
    <w:rsid w:val="00157471"/>
    <w:rsid w:val="0016095F"/>
    <w:rsid w:val="001609B4"/>
    <w:rsid w:val="00160F01"/>
    <w:rsid w:val="001619F8"/>
    <w:rsid w:val="00161E36"/>
    <w:rsid w:val="00162E03"/>
    <w:rsid w:val="00162F69"/>
    <w:rsid w:val="001631B8"/>
    <w:rsid w:val="0016378E"/>
    <w:rsid w:val="00164552"/>
    <w:rsid w:val="0016492A"/>
    <w:rsid w:val="001659E6"/>
    <w:rsid w:val="00166644"/>
    <w:rsid w:val="00166E8D"/>
    <w:rsid w:val="00167ED3"/>
    <w:rsid w:val="00170441"/>
    <w:rsid w:val="00170B4C"/>
    <w:rsid w:val="001715ED"/>
    <w:rsid w:val="00171DD0"/>
    <w:rsid w:val="001727F0"/>
    <w:rsid w:val="00172CB0"/>
    <w:rsid w:val="00173399"/>
    <w:rsid w:val="0017352B"/>
    <w:rsid w:val="001736AB"/>
    <w:rsid w:val="001737F3"/>
    <w:rsid w:val="00173AB5"/>
    <w:rsid w:val="00173C74"/>
    <w:rsid w:val="00173DA2"/>
    <w:rsid w:val="00174AD9"/>
    <w:rsid w:val="00174D45"/>
    <w:rsid w:val="0017556D"/>
    <w:rsid w:val="001755BF"/>
    <w:rsid w:val="00175862"/>
    <w:rsid w:val="00175BA9"/>
    <w:rsid w:val="001778E4"/>
    <w:rsid w:val="00180070"/>
    <w:rsid w:val="001802B0"/>
    <w:rsid w:val="00180370"/>
    <w:rsid w:val="00180562"/>
    <w:rsid w:val="001806FE"/>
    <w:rsid w:val="00180C16"/>
    <w:rsid w:val="00181243"/>
    <w:rsid w:val="0018190B"/>
    <w:rsid w:val="00181F71"/>
    <w:rsid w:val="0018342A"/>
    <w:rsid w:val="001838BC"/>
    <w:rsid w:val="00183E51"/>
    <w:rsid w:val="001841D8"/>
    <w:rsid w:val="0018426C"/>
    <w:rsid w:val="00184358"/>
    <w:rsid w:val="001851F6"/>
    <w:rsid w:val="00186291"/>
    <w:rsid w:val="00186A47"/>
    <w:rsid w:val="0018701F"/>
    <w:rsid w:val="00187F84"/>
    <w:rsid w:val="0019039E"/>
    <w:rsid w:val="0019040B"/>
    <w:rsid w:val="001909F5"/>
    <w:rsid w:val="00190A43"/>
    <w:rsid w:val="00190C03"/>
    <w:rsid w:val="00190D1C"/>
    <w:rsid w:val="00191167"/>
    <w:rsid w:val="0019148B"/>
    <w:rsid w:val="00191714"/>
    <w:rsid w:val="001919DD"/>
    <w:rsid w:val="00191C46"/>
    <w:rsid w:val="00192600"/>
    <w:rsid w:val="0019277F"/>
    <w:rsid w:val="001931F9"/>
    <w:rsid w:val="001932A6"/>
    <w:rsid w:val="00193BE9"/>
    <w:rsid w:val="00194180"/>
    <w:rsid w:val="00194612"/>
    <w:rsid w:val="001947E6"/>
    <w:rsid w:val="0019488C"/>
    <w:rsid w:val="00194BB4"/>
    <w:rsid w:val="00194DEE"/>
    <w:rsid w:val="00194E0B"/>
    <w:rsid w:val="00194EB1"/>
    <w:rsid w:val="001956C1"/>
    <w:rsid w:val="00195775"/>
    <w:rsid w:val="001961E6"/>
    <w:rsid w:val="001963B9"/>
    <w:rsid w:val="00196BEC"/>
    <w:rsid w:val="00196FAE"/>
    <w:rsid w:val="001973A0"/>
    <w:rsid w:val="0019779A"/>
    <w:rsid w:val="00197815"/>
    <w:rsid w:val="0019796A"/>
    <w:rsid w:val="00197CF4"/>
    <w:rsid w:val="00197D5A"/>
    <w:rsid w:val="00197DA8"/>
    <w:rsid w:val="001A003D"/>
    <w:rsid w:val="001A1191"/>
    <w:rsid w:val="001A134B"/>
    <w:rsid w:val="001A13B2"/>
    <w:rsid w:val="001A20A3"/>
    <w:rsid w:val="001A26EB"/>
    <w:rsid w:val="001A2E11"/>
    <w:rsid w:val="001A2F82"/>
    <w:rsid w:val="001A33E7"/>
    <w:rsid w:val="001A3D93"/>
    <w:rsid w:val="001A4113"/>
    <w:rsid w:val="001A425B"/>
    <w:rsid w:val="001A43A1"/>
    <w:rsid w:val="001A48CA"/>
    <w:rsid w:val="001A4AC3"/>
    <w:rsid w:val="001A4BD7"/>
    <w:rsid w:val="001A4F1D"/>
    <w:rsid w:val="001A51FE"/>
    <w:rsid w:val="001A522A"/>
    <w:rsid w:val="001A5A49"/>
    <w:rsid w:val="001A5B36"/>
    <w:rsid w:val="001A694C"/>
    <w:rsid w:val="001A74C5"/>
    <w:rsid w:val="001A7515"/>
    <w:rsid w:val="001A753F"/>
    <w:rsid w:val="001A7CDA"/>
    <w:rsid w:val="001B0246"/>
    <w:rsid w:val="001B053D"/>
    <w:rsid w:val="001B0658"/>
    <w:rsid w:val="001B0BDB"/>
    <w:rsid w:val="001B0C0E"/>
    <w:rsid w:val="001B1093"/>
    <w:rsid w:val="001B195B"/>
    <w:rsid w:val="001B1C99"/>
    <w:rsid w:val="001B22AA"/>
    <w:rsid w:val="001B3B7B"/>
    <w:rsid w:val="001B4123"/>
    <w:rsid w:val="001B45C4"/>
    <w:rsid w:val="001B55C4"/>
    <w:rsid w:val="001B5656"/>
    <w:rsid w:val="001B57AE"/>
    <w:rsid w:val="001B5E63"/>
    <w:rsid w:val="001B5F0C"/>
    <w:rsid w:val="001B76B9"/>
    <w:rsid w:val="001B7FC1"/>
    <w:rsid w:val="001C0AA3"/>
    <w:rsid w:val="001C1D41"/>
    <w:rsid w:val="001C21BA"/>
    <w:rsid w:val="001C252C"/>
    <w:rsid w:val="001C25A8"/>
    <w:rsid w:val="001C2628"/>
    <w:rsid w:val="001C2669"/>
    <w:rsid w:val="001C30AF"/>
    <w:rsid w:val="001C3128"/>
    <w:rsid w:val="001C3132"/>
    <w:rsid w:val="001C3A09"/>
    <w:rsid w:val="001C3C50"/>
    <w:rsid w:val="001C3FE9"/>
    <w:rsid w:val="001C432B"/>
    <w:rsid w:val="001C4C60"/>
    <w:rsid w:val="001C4DEF"/>
    <w:rsid w:val="001C4F08"/>
    <w:rsid w:val="001C4F6F"/>
    <w:rsid w:val="001C4FB2"/>
    <w:rsid w:val="001C516F"/>
    <w:rsid w:val="001C5363"/>
    <w:rsid w:val="001C5535"/>
    <w:rsid w:val="001C5885"/>
    <w:rsid w:val="001C5A75"/>
    <w:rsid w:val="001C5ABE"/>
    <w:rsid w:val="001C6633"/>
    <w:rsid w:val="001C66CE"/>
    <w:rsid w:val="001C6761"/>
    <w:rsid w:val="001C68AC"/>
    <w:rsid w:val="001C6F1A"/>
    <w:rsid w:val="001C78BE"/>
    <w:rsid w:val="001C7A09"/>
    <w:rsid w:val="001C7B04"/>
    <w:rsid w:val="001D089A"/>
    <w:rsid w:val="001D1AB4"/>
    <w:rsid w:val="001D1DB7"/>
    <w:rsid w:val="001D2A4E"/>
    <w:rsid w:val="001D2ED7"/>
    <w:rsid w:val="001D2F50"/>
    <w:rsid w:val="001D3136"/>
    <w:rsid w:val="001D39E9"/>
    <w:rsid w:val="001D3EAA"/>
    <w:rsid w:val="001D4BF7"/>
    <w:rsid w:val="001D5420"/>
    <w:rsid w:val="001D680E"/>
    <w:rsid w:val="001D6BF6"/>
    <w:rsid w:val="001D6E6F"/>
    <w:rsid w:val="001D6FE0"/>
    <w:rsid w:val="001D75DA"/>
    <w:rsid w:val="001E0474"/>
    <w:rsid w:val="001E0B17"/>
    <w:rsid w:val="001E0D9D"/>
    <w:rsid w:val="001E147C"/>
    <w:rsid w:val="001E1FE8"/>
    <w:rsid w:val="001E23E3"/>
    <w:rsid w:val="001E28EC"/>
    <w:rsid w:val="001E2B01"/>
    <w:rsid w:val="001E2FF3"/>
    <w:rsid w:val="001E3869"/>
    <w:rsid w:val="001E387E"/>
    <w:rsid w:val="001E38A4"/>
    <w:rsid w:val="001E4777"/>
    <w:rsid w:val="001E48B1"/>
    <w:rsid w:val="001E5ED4"/>
    <w:rsid w:val="001E610E"/>
    <w:rsid w:val="001E63E9"/>
    <w:rsid w:val="001E6A4D"/>
    <w:rsid w:val="001E6AF1"/>
    <w:rsid w:val="001E7018"/>
    <w:rsid w:val="001E70FC"/>
    <w:rsid w:val="001E7DCB"/>
    <w:rsid w:val="001F0E25"/>
    <w:rsid w:val="001F1A7F"/>
    <w:rsid w:val="001F1D99"/>
    <w:rsid w:val="001F30ED"/>
    <w:rsid w:val="001F3101"/>
    <w:rsid w:val="001F3385"/>
    <w:rsid w:val="001F3F06"/>
    <w:rsid w:val="001F4877"/>
    <w:rsid w:val="001F4E4E"/>
    <w:rsid w:val="001F4ED0"/>
    <w:rsid w:val="001F53F5"/>
    <w:rsid w:val="001F59FB"/>
    <w:rsid w:val="001F6150"/>
    <w:rsid w:val="001F6B3A"/>
    <w:rsid w:val="001F759F"/>
    <w:rsid w:val="001F75BE"/>
    <w:rsid w:val="001F76AD"/>
    <w:rsid w:val="001F7CF4"/>
    <w:rsid w:val="00200030"/>
    <w:rsid w:val="002000AD"/>
    <w:rsid w:val="002000DA"/>
    <w:rsid w:val="0020033F"/>
    <w:rsid w:val="002006D2"/>
    <w:rsid w:val="00200D99"/>
    <w:rsid w:val="0020112E"/>
    <w:rsid w:val="002018AA"/>
    <w:rsid w:val="002021EC"/>
    <w:rsid w:val="00202467"/>
    <w:rsid w:val="00202A7B"/>
    <w:rsid w:val="00203B50"/>
    <w:rsid w:val="0020420E"/>
    <w:rsid w:val="00205CB7"/>
    <w:rsid w:val="00205CF3"/>
    <w:rsid w:val="00206B49"/>
    <w:rsid w:val="00207205"/>
    <w:rsid w:val="00207AFC"/>
    <w:rsid w:val="00207B37"/>
    <w:rsid w:val="00207BE9"/>
    <w:rsid w:val="002100BC"/>
    <w:rsid w:val="0021015B"/>
    <w:rsid w:val="0021068B"/>
    <w:rsid w:val="00210795"/>
    <w:rsid w:val="0021098C"/>
    <w:rsid w:val="00211776"/>
    <w:rsid w:val="0021197A"/>
    <w:rsid w:val="00212545"/>
    <w:rsid w:val="00212815"/>
    <w:rsid w:val="00212A40"/>
    <w:rsid w:val="0021329C"/>
    <w:rsid w:val="00213F97"/>
    <w:rsid w:val="002140C3"/>
    <w:rsid w:val="0021428B"/>
    <w:rsid w:val="0021435F"/>
    <w:rsid w:val="0021472C"/>
    <w:rsid w:val="00214B02"/>
    <w:rsid w:val="00214C29"/>
    <w:rsid w:val="00214F95"/>
    <w:rsid w:val="002153FC"/>
    <w:rsid w:val="0021555F"/>
    <w:rsid w:val="002161B3"/>
    <w:rsid w:val="00216717"/>
    <w:rsid w:val="00216859"/>
    <w:rsid w:val="002170DD"/>
    <w:rsid w:val="002174F2"/>
    <w:rsid w:val="00217815"/>
    <w:rsid w:val="00217C34"/>
    <w:rsid w:val="002204D2"/>
    <w:rsid w:val="00221039"/>
    <w:rsid w:val="0022143D"/>
    <w:rsid w:val="00221D91"/>
    <w:rsid w:val="0022222C"/>
    <w:rsid w:val="00222262"/>
    <w:rsid w:val="0022301A"/>
    <w:rsid w:val="00223F1B"/>
    <w:rsid w:val="00224782"/>
    <w:rsid w:val="00224C63"/>
    <w:rsid w:val="002252EA"/>
    <w:rsid w:val="002257C8"/>
    <w:rsid w:val="00225D37"/>
    <w:rsid w:val="002262BE"/>
    <w:rsid w:val="0022772B"/>
    <w:rsid w:val="002279E5"/>
    <w:rsid w:val="00227C79"/>
    <w:rsid w:val="00230C70"/>
    <w:rsid w:val="0023155C"/>
    <w:rsid w:val="0023180E"/>
    <w:rsid w:val="002319C0"/>
    <w:rsid w:val="00231AA7"/>
    <w:rsid w:val="00231F25"/>
    <w:rsid w:val="00232378"/>
    <w:rsid w:val="0023244D"/>
    <w:rsid w:val="0023267E"/>
    <w:rsid w:val="00232AF3"/>
    <w:rsid w:val="00232B42"/>
    <w:rsid w:val="00232C8C"/>
    <w:rsid w:val="00232D2D"/>
    <w:rsid w:val="00233B91"/>
    <w:rsid w:val="00233C7A"/>
    <w:rsid w:val="00234C43"/>
    <w:rsid w:val="002350EF"/>
    <w:rsid w:val="002352DE"/>
    <w:rsid w:val="00235440"/>
    <w:rsid w:val="00235CEF"/>
    <w:rsid w:val="002360EC"/>
    <w:rsid w:val="002364AA"/>
    <w:rsid w:val="00236F9F"/>
    <w:rsid w:val="00237A17"/>
    <w:rsid w:val="00237C7C"/>
    <w:rsid w:val="00237DA3"/>
    <w:rsid w:val="00240214"/>
    <w:rsid w:val="00240442"/>
    <w:rsid w:val="002409C2"/>
    <w:rsid w:val="00242343"/>
    <w:rsid w:val="0024258D"/>
    <w:rsid w:val="00243330"/>
    <w:rsid w:val="00243952"/>
    <w:rsid w:val="00244EAD"/>
    <w:rsid w:val="002464A5"/>
    <w:rsid w:val="002470C7"/>
    <w:rsid w:val="00247154"/>
    <w:rsid w:val="00247C03"/>
    <w:rsid w:val="00247D6A"/>
    <w:rsid w:val="00247E17"/>
    <w:rsid w:val="0025008E"/>
    <w:rsid w:val="002503FF"/>
    <w:rsid w:val="0025046F"/>
    <w:rsid w:val="00251017"/>
    <w:rsid w:val="002511BA"/>
    <w:rsid w:val="0025131B"/>
    <w:rsid w:val="002513B2"/>
    <w:rsid w:val="002514F0"/>
    <w:rsid w:val="002526F3"/>
    <w:rsid w:val="00252AFC"/>
    <w:rsid w:val="00252D52"/>
    <w:rsid w:val="00254070"/>
    <w:rsid w:val="00254940"/>
    <w:rsid w:val="00255004"/>
    <w:rsid w:val="00255122"/>
    <w:rsid w:val="0025514B"/>
    <w:rsid w:val="00256A05"/>
    <w:rsid w:val="00256FF6"/>
    <w:rsid w:val="00257356"/>
    <w:rsid w:val="002573D3"/>
    <w:rsid w:val="00260025"/>
    <w:rsid w:val="00260246"/>
    <w:rsid w:val="00260416"/>
    <w:rsid w:val="00260463"/>
    <w:rsid w:val="00260659"/>
    <w:rsid w:val="002607C5"/>
    <w:rsid w:val="00261D4A"/>
    <w:rsid w:val="00262A62"/>
    <w:rsid w:val="0026456B"/>
    <w:rsid w:val="00264C1B"/>
    <w:rsid w:val="00265633"/>
    <w:rsid w:val="00266282"/>
    <w:rsid w:val="0027041B"/>
    <w:rsid w:val="0027046F"/>
    <w:rsid w:val="00270692"/>
    <w:rsid w:val="0027077A"/>
    <w:rsid w:val="00270F97"/>
    <w:rsid w:val="002714B5"/>
    <w:rsid w:val="00272EFC"/>
    <w:rsid w:val="00272F20"/>
    <w:rsid w:val="002733BF"/>
    <w:rsid w:val="0027342B"/>
    <w:rsid w:val="0027376D"/>
    <w:rsid w:val="00273850"/>
    <w:rsid w:val="00274C04"/>
    <w:rsid w:val="00274E52"/>
    <w:rsid w:val="00274E93"/>
    <w:rsid w:val="00274F40"/>
    <w:rsid w:val="00275B87"/>
    <w:rsid w:val="00275F54"/>
    <w:rsid w:val="002760D1"/>
    <w:rsid w:val="002762FB"/>
    <w:rsid w:val="002763FC"/>
    <w:rsid w:val="00276950"/>
    <w:rsid w:val="002769F4"/>
    <w:rsid w:val="00276BFC"/>
    <w:rsid w:val="00276FDD"/>
    <w:rsid w:val="00277997"/>
    <w:rsid w:val="002779DA"/>
    <w:rsid w:val="002815C7"/>
    <w:rsid w:val="002816BD"/>
    <w:rsid w:val="00282071"/>
    <w:rsid w:val="002821C9"/>
    <w:rsid w:val="002822A2"/>
    <w:rsid w:val="002825E3"/>
    <w:rsid w:val="002828BD"/>
    <w:rsid w:val="002829E1"/>
    <w:rsid w:val="0028335B"/>
    <w:rsid w:val="002839CB"/>
    <w:rsid w:val="00283DE9"/>
    <w:rsid w:val="00283E3D"/>
    <w:rsid w:val="00285853"/>
    <w:rsid w:val="002863DF"/>
    <w:rsid w:val="002865CC"/>
    <w:rsid w:val="00286BD4"/>
    <w:rsid w:val="00286F95"/>
    <w:rsid w:val="00287409"/>
    <w:rsid w:val="00287E1F"/>
    <w:rsid w:val="00290147"/>
    <w:rsid w:val="00290220"/>
    <w:rsid w:val="00290393"/>
    <w:rsid w:val="00290876"/>
    <w:rsid w:val="002908C9"/>
    <w:rsid w:val="002910D4"/>
    <w:rsid w:val="00292B98"/>
    <w:rsid w:val="00292D81"/>
    <w:rsid w:val="002930A9"/>
    <w:rsid w:val="00293446"/>
    <w:rsid w:val="00293658"/>
    <w:rsid w:val="002936BF"/>
    <w:rsid w:val="00293BD8"/>
    <w:rsid w:val="002943F1"/>
    <w:rsid w:val="002945B0"/>
    <w:rsid w:val="0029543C"/>
    <w:rsid w:val="002954EB"/>
    <w:rsid w:val="00295A78"/>
    <w:rsid w:val="00296186"/>
    <w:rsid w:val="00297210"/>
    <w:rsid w:val="00297EFA"/>
    <w:rsid w:val="002A0078"/>
    <w:rsid w:val="002A0DCA"/>
    <w:rsid w:val="002A17EF"/>
    <w:rsid w:val="002A1A68"/>
    <w:rsid w:val="002A240E"/>
    <w:rsid w:val="002A28C3"/>
    <w:rsid w:val="002A29E4"/>
    <w:rsid w:val="002A2A50"/>
    <w:rsid w:val="002A3927"/>
    <w:rsid w:val="002A3CBC"/>
    <w:rsid w:val="002A40FD"/>
    <w:rsid w:val="002A41D5"/>
    <w:rsid w:val="002A4F81"/>
    <w:rsid w:val="002A5ADF"/>
    <w:rsid w:val="002A5D3B"/>
    <w:rsid w:val="002A5F9C"/>
    <w:rsid w:val="002A65DE"/>
    <w:rsid w:val="002A67D0"/>
    <w:rsid w:val="002A68ED"/>
    <w:rsid w:val="002A7278"/>
    <w:rsid w:val="002A74FC"/>
    <w:rsid w:val="002A76A9"/>
    <w:rsid w:val="002A7D5E"/>
    <w:rsid w:val="002B010F"/>
    <w:rsid w:val="002B0513"/>
    <w:rsid w:val="002B1294"/>
    <w:rsid w:val="002B1DC2"/>
    <w:rsid w:val="002B1DCE"/>
    <w:rsid w:val="002B1E26"/>
    <w:rsid w:val="002B1EB1"/>
    <w:rsid w:val="002B2035"/>
    <w:rsid w:val="002B29B7"/>
    <w:rsid w:val="002B2CD0"/>
    <w:rsid w:val="002B2D78"/>
    <w:rsid w:val="002B3764"/>
    <w:rsid w:val="002B3942"/>
    <w:rsid w:val="002B4026"/>
    <w:rsid w:val="002B4CCF"/>
    <w:rsid w:val="002B4E81"/>
    <w:rsid w:val="002B5C22"/>
    <w:rsid w:val="002B5DC1"/>
    <w:rsid w:val="002B621C"/>
    <w:rsid w:val="002B6310"/>
    <w:rsid w:val="002B6721"/>
    <w:rsid w:val="002B6D9A"/>
    <w:rsid w:val="002B6E87"/>
    <w:rsid w:val="002B7419"/>
    <w:rsid w:val="002B7DAC"/>
    <w:rsid w:val="002C0A1F"/>
    <w:rsid w:val="002C0C72"/>
    <w:rsid w:val="002C136D"/>
    <w:rsid w:val="002C269E"/>
    <w:rsid w:val="002C31FC"/>
    <w:rsid w:val="002C35AB"/>
    <w:rsid w:val="002C40A4"/>
    <w:rsid w:val="002C42E7"/>
    <w:rsid w:val="002C4400"/>
    <w:rsid w:val="002C481F"/>
    <w:rsid w:val="002C5349"/>
    <w:rsid w:val="002C58C8"/>
    <w:rsid w:val="002C5AAD"/>
    <w:rsid w:val="002C5D9B"/>
    <w:rsid w:val="002C750E"/>
    <w:rsid w:val="002D01C6"/>
    <w:rsid w:val="002D01CB"/>
    <w:rsid w:val="002D1093"/>
    <w:rsid w:val="002D1FBB"/>
    <w:rsid w:val="002D24CC"/>
    <w:rsid w:val="002D2830"/>
    <w:rsid w:val="002D2A3A"/>
    <w:rsid w:val="002D2BA7"/>
    <w:rsid w:val="002D2E00"/>
    <w:rsid w:val="002D33A0"/>
    <w:rsid w:val="002D4C05"/>
    <w:rsid w:val="002D4E40"/>
    <w:rsid w:val="002D4E70"/>
    <w:rsid w:val="002D4E87"/>
    <w:rsid w:val="002D5E80"/>
    <w:rsid w:val="002D626C"/>
    <w:rsid w:val="002D758A"/>
    <w:rsid w:val="002E086D"/>
    <w:rsid w:val="002E0BDA"/>
    <w:rsid w:val="002E0E2B"/>
    <w:rsid w:val="002E0E80"/>
    <w:rsid w:val="002E132A"/>
    <w:rsid w:val="002E18FC"/>
    <w:rsid w:val="002E1CA0"/>
    <w:rsid w:val="002E2477"/>
    <w:rsid w:val="002E24BE"/>
    <w:rsid w:val="002E35C6"/>
    <w:rsid w:val="002E379E"/>
    <w:rsid w:val="002E398C"/>
    <w:rsid w:val="002E3AFD"/>
    <w:rsid w:val="002E43B4"/>
    <w:rsid w:val="002E4408"/>
    <w:rsid w:val="002E4660"/>
    <w:rsid w:val="002E49A5"/>
    <w:rsid w:val="002E4CF0"/>
    <w:rsid w:val="002E4D4E"/>
    <w:rsid w:val="002E4FAD"/>
    <w:rsid w:val="002E5434"/>
    <w:rsid w:val="002E5C7E"/>
    <w:rsid w:val="002E5D78"/>
    <w:rsid w:val="002E6427"/>
    <w:rsid w:val="002E648B"/>
    <w:rsid w:val="002E6540"/>
    <w:rsid w:val="002E6599"/>
    <w:rsid w:val="002E6679"/>
    <w:rsid w:val="002E671F"/>
    <w:rsid w:val="002E680D"/>
    <w:rsid w:val="002E6DA8"/>
    <w:rsid w:val="002E6FE7"/>
    <w:rsid w:val="002E71F5"/>
    <w:rsid w:val="002E7875"/>
    <w:rsid w:val="002E7CC8"/>
    <w:rsid w:val="002F0760"/>
    <w:rsid w:val="002F08E0"/>
    <w:rsid w:val="002F0C87"/>
    <w:rsid w:val="002F1313"/>
    <w:rsid w:val="002F1709"/>
    <w:rsid w:val="002F226F"/>
    <w:rsid w:val="002F2CD5"/>
    <w:rsid w:val="002F3065"/>
    <w:rsid w:val="002F33F4"/>
    <w:rsid w:val="002F3429"/>
    <w:rsid w:val="002F36ED"/>
    <w:rsid w:val="002F3F6E"/>
    <w:rsid w:val="002F4379"/>
    <w:rsid w:val="002F4B5A"/>
    <w:rsid w:val="002F5FE7"/>
    <w:rsid w:val="002F63A1"/>
    <w:rsid w:val="002F6472"/>
    <w:rsid w:val="002F64A2"/>
    <w:rsid w:val="002F72C4"/>
    <w:rsid w:val="002F7334"/>
    <w:rsid w:val="002F7791"/>
    <w:rsid w:val="002F7E11"/>
    <w:rsid w:val="00300A36"/>
    <w:rsid w:val="00301039"/>
    <w:rsid w:val="00301254"/>
    <w:rsid w:val="00301587"/>
    <w:rsid w:val="00302025"/>
    <w:rsid w:val="00302956"/>
    <w:rsid w:val="00302A59"/>
    <w:rsid w:val="00302DF9"/>
    <w:rsid w:val="0030373E"/>
    <w:rsid w:val="00303842"/>
    <w:rsid w:val="0030394A"/>
    <w:rsid w:val="00304B16"/>
    <w:rsid w:val="00304C90"/>
    <w:rsid w:val="003052BC"/>
    <w:rsid w:val="00305D9E"/>
    <w:rsid w:val="0030645D"/>
    <w:rsid w:val="00306854"/>
    <w:rsid w:val="00306BFE"/>
    <w:rsid w:val="0030722E"/>
    <w:rsid w:val="003075B6"/>
    <w:rsid w:val="003075DF"/>
    <w:rsid w:val="00310121"/>
    <w:rsid w:val="00311316"/>
    <w:rsid w:val="003117C9"/>
    <w:rsid w:val="00311B93"/>
    <w:rsid w:val="003122A6"/>
    <w:rsid w:val="00312517"/>
    <w:rsid w:val="0031283C"/>
    <w:rsid w:val="0031426B"/>
    <w:rsid w:val="00314571"/>
    <w:rsid w:val="00314878"/>
    <w:rsid w:val="00315364"/>
    <w:rsid w:val="003159FA"/>
    <w:rsid w:val="00315D46"/>
    <w:rsid w:val="00315F2E"/>
    <w:rsid w:val="003161F8"/>
    <w:rsid w:val="003163F6"/>
    <w:rsid w:val="00316FC5"/>
    <w:rsid w:val="00317A73"/>
    <w:rsid w:val="00317DCA"/>
    <w:rsid w:val="00320066"/>
    <w:rsid w:val="00320155"/>
    <w:rsid w:val="0032102C"/>
    <w:rsid w:val="003215B8"/>
    <w:rsid w:val="00321628"/>
    <w:rsid w:val="00322550"/>
    <w:rsid w:val="003226A9"/>
    <w:rsid w:val="003229AE"/>
    <w:rsid w:val="00322B04"/>
    <w:rsid w:val="00322E71"/>
    <w:rsid w:val="003237D5"/>
    <w:rsid w:val="003239D3"/>
    <w:rsid w:val="00323D2B"/>
    <w:rsid w:val="003244E9"/>
    <w:rsid w:val="00324703"/>
    <w:rsid w:val="00324895"/>
    <w:rsid w:val="00324AE6"/>
    <w:rsid w:val="003262D8"/>
    <w:rsid w:val="003263E4"/>
    <w:rsid w:val="003264D4"/>
    <w:rsid w:val="00326D4E"/>
    <w:rsid w:val="00327816"/>
    <w:rsid w:val="00330024"/>
    <w:rsid w:val="003303E9"/>
    <w:rsid w:val="00330F3D"/>
    <w:rsid w:val="00331141"/>
    <w:rsid w:val="00332F0D"/>
    <w:rsid w:val="00333537"/>
    <w:rsid w:val="00334237"/>
    <w:rsid w:val="003359FA"/>
    <w:rsid w:val="00335A54"/>
    <w:rsid w:val="00335C81"/>
    <w:rsid w:val="00336C52"/>
    <w:rsid w:val="003406A9"/>
    <w:rsid w:val="00340B43"/>
    <w:rsid w:val="00340D88"/>
    <w:rsid w:val="003410B2"/>
    <w:rsid w:val="00343629"/>
    <w:rsid w:val="00343C69"/>
    <w:rsid w:val="0034425E"/>
    <w:rsid w:val="003446D7"/>
    <w:rsid w:val="00344CAA"/>
    <w:rsid w:val="0034525E"/>
    <w:rsid w:val="00345F2C"/>
    <w:rsid w:val="00345F47"/>
    <w:rsid w:val="00345F72"/>
    <w:rsid w:val="003465C9"/>
    <w:rsid w:val="003468EF"/>
    <w:rsid w:val="00346A52"/>
    <w:rsid w:val="00346AF9"/>
    <w:rsid w:val="00346B51"/>
    <w:rsid w:val="0034789E"/>
    <w:rsid w:val="00347B6B"/>
    <w:rsid w:val="003503B9"/>
    <w:rsid w:val="00350743"/>
    <w:rsid w:val="00350BEB"/>
    <w:rsid w:val="003519E3"/>
    <w:rsid w:val="00351C62"/>
    <w:rsid w:val="00352228"/>
    <w:rsid w:val="0035229E"/>
    <w:rsid w:val="003523B6"/>
    <w:rsid w:val="0035247B"/>
    <w:rsid w:val="00352DDB"/>
    <w:rsid w:val="00352E82"/>
    <w:rsid w:val="0035307D"/>
    <w:rsid w:val="00353295"/>
    <w:rsid w:val="00353C2E"/>
    <w:rsid w:val="00353EAA"/>
    <w:rsid w:val="0035402A"/>
    <w:rsid w:val="00354189"/>
    <w:rsid w:val="00354335"/>
    <w:rsid w:val="003545C1"/>
    <w:rsid w:val="00354948"/>
    <w:rsid w:val="0035498F"/>
    <w:rsid w:val="00355702"/>
    <w:rsid w:val="0035644F"/>
    <w:rsid w:val="003564FE"/>
    <w:rsid w:val="003568ED"/>
    <w:rsid w:val="00357627"/>
    <w:rsid w:val="0036007F"/>
    <w:rsid w:val="00360557"/>
    <w:rsid w:val="00361B13"/>
    <w:rsid w:val="003624D6"/>
    <w:rsid w:val="003626B1"/>
    <w:rsid w:val="003649B8"/>
    <w:rsid w:val="00364D18"/>
    <w:rsid w:val="003654F6"/>
    <w:rsid w:val="0036552D"/>
    <w:rsid w:val="00365A39"/>
    <w:rsid w:val="0036753D"/>
    <w:rsid w:val="003679B8"/>
    <w:rsid w:val="00367A94"/>
    <w:rsid w:val="003715DC"/>
    <w:rsid w:val="00371B5F"/>
    <w:rsid w:val="00371E0E"/>
    <w:rsid w:val="0037203C"/>
    <w:rsid w:val="0037211D"/>
    <w:rsid w:val="00372654"/>
    <w:rsid w:val="00372AB7"/>
    <w:rsid w:val="00372C08"/>
    <w:rsid w:val="00373E19"/>
    <w:rsid w:val="00373EBF"/>
    <w:rsid w:val="00374E28"/>
    <w:rsid w:val="0037504E"/>
    <w:rsid w:val="00375202"/>
    <w:rsid w:val="00375E07"/>
    <w:rsid w:val="00375E1A"/>
    <w:rsid w:val="00376498"/>
    <w:rsid w:val="00376526"/>
    <w:rsid w:val="00376588"/>
    <w:rsid w:val="003766C7"/>
    <w:rsid w:val="003770D5"/>
    <w:rsid w:val="003807F5"/>
    <w:rsid w:val="00381537"/>
    <w:rsid w:val="00381752"/>
    <w:rsid w:val="00381793"/>
    <w:rsid w:val="00381868"/>
    <w:rsid w:val="00381B4A"/>
    <w:rsid w:val="00382485"/>
    <w:rsid w:val="00382640"/>
    <w:rsid w:val="003831C4"/>
    <w:rsid w:val="003834A1"/>
    <w:rsid w:val="00383B3B"/>
    <w:rsid w:val="00383DEF"/>
    <w:rsid w:val="0038445D"/>
    <w:rsid w:val="003846CF"/>
    <w:rsid w:val="003848D9"/>
    <w:rsid w:val="00384BD4"/>
    <w:rsid w:val="00384F06"/>
    <w:rsid w:val="00385610"/>
    <w:rsid w:val="003864E7"/>
    <w:rsid w:val="00386CCE"/>
    <w:rsid w:val="003873B7"/>
    <w:rsid w:val="00387F46"/>
    <w:rsid w:val="00390B76"/>
    <w:rsid w:val="003923A7"/>
    <w:rsid w:val="003924B1"/>
    <w:rsid w:val="00392562"/>
    <w:rsid w:val="00392C41"/>
    <w:rsid w:val="00393416"/>
    <w:rsid w:val="00393FFF"/>
    <w:rsid w:val="00394C6C"/>
    <w:rsid w:val="00394E8A"/>
    <w:rsid w:val="003956AD"/>
    <w:rsid w:val="00395923"/>
    <w:rsid w:val="00395CCD"/>
    <w:rsid w:val="00395F2B"/>
    <w:rsid w:val="00395F57"/>
    <w:rsid w:val="003975E6"/>
    <w:rsid w:val="0039783B"/>
    <w:rsid w:val="00397A6F"/>
    <w:rsid w:val="003A0244"/>
    <w:rsid w:val="003A0654"/>
    <w:rsid w:val="003A070B"/>
    <w:rsid w:val="003A0C36"/>
    <w:rsid w:val="003A16A8"/>
    <w:rsid w:val="003A1BEA"/>
    <w:rsid w:val="003A1DF8"/>
    <w:rsid w:val="003A21DC"/>
    <w:rsid w:val="003A2F1E"/>
    <w:rsid w:val="003A332A"/>
    <w:rsid w:val="003A344B"/>
    <w:rsid w:val="003A3561"/>
    <w:rsid w:val="003A3814"/>
    <w:rsid w:val="003A3C8D"/>
    <w:rsid w:val="003A41B8"/>
    <w:rsid w:val="003A431F"/>
    <w:rsid w:val="003A4AA6"/>
    <w:rsid w:val="003A4D04"/>
    <w:rsid w:val="003A523C"/>
    <w:rsid w:val="003A57BA"/>
    <w:rsid w:val="003A5AD5"/>
    <w:rsid w:val="003A699F"/>
    <w:rsid w:val="003A7717"/>
    <w:rsid w:val="003A7832"/>
    <w:rsid w:val="003B0780"/>
    <w:rsid w:val="003B0ED3"/>
    <w:rsid w:val="003B104E"/>
    <w:rsid w:val="003B16BE"/>
    <w:rsid w:val="003B184F"/>
    <w:rsid w:val="003B2976"/>
    <w:rsid w:val="003B2BA8"/>
    <w:rsid w:val="003B372E"/>
    <w:rsid w:val="003B38D9"/>
    <w:rsid w:val="003B3972"/>
    <w:rsid w:val="003B3C87"/>
    <w:rsid w:val="003B3E82"/>
    <w:rsid w:val="003B3F15"/>
    <w:rsid w:val="003B4A59"/>
    <w:rsid w:val="003B4B78"/>
    <w:rsid w:val="003B4B94"/>
    <w:rsid w:val="003B4CDE"/>
    <w:rsid w:val="003B6296"/>
    <w:rsid w:val="003B6482"/>
    <w:rsid w:val="003B6A9F"/>
    <w:rsid w:val="003B6D91"/>
    <w:rsid w:val="003B7C08"/>
    <w:rsid w:val="003C039A"/>
    <w:rsid w:val="003C0E8A"/>
    <w:rsid w:val="003C129B"/>
    <w:rsid w:val="003C2505"/>
    <w:rsid w:val="003C285D"/>
    <w:rsid w:val="003C2FEF"/>
    <w:rsid w:val="003C3838"/>
    <w:rsid w:val="003C44D8"/>
    <w:rsid w:val="003C46F7"/>
    <w:rsid w:val="003C4749"/>
    <w:rsid w:val="003C4A5E"/>
    <w:rsid w:val="003C4AEF"/>
    <w:rsid w:val="003C5024"/>
    <w:rsid w:val="003C51BE"/>
    <w:rsid w:val="003C577A"/>
    <w:rsid w:val="003C5CDD"/>
    <w:rsid w:val="003C5E07"/>
    <w:rsid w:val="003C6465"/>
    <w:rsid w:val="003C6A7D"/>
    <w:rsid w:val="003C7209"/>
    <w:rsid w:val="003C72B2"/>
    <w:rsid w:val="003C7982"/>
    <w:rsid w:val="003D013D"/>
    <w:rsid w:val="003D1795"/>
    <w:rsid w:val="003D1B02"/>
    <w:rsid w:val="003D1DBD"/>
    <w:rsid w:val="003D2328"/>
    <w:rsid w:val="003D2D95"/>
    <w:rsid w:val="003D32AA"/>
    <w:rsid w:val="003D3732"/>
    <w:rsid w:val="003D395C"/>
    <w:rsid w:val="003D3B2B"/>
    <w:rsid w:val="003D3C66"/>
    <w:rsid w:val="003D42BE"/>
    <w:rsid w:val="003D447B"/>
    <w:rsid w:val="003D476D"/>
    <w:rsid w:val="003D47D9"/>
    <w:rsid w:val="003D4AF0"/>
    <w:rsid w:val="003D4B69"/>
    <w:rsid w:val="003D5089"/>
    <w:rsid w:val="003D531D"/>
    <w:rsid w:val="003D5566"/>
    <w:rsid w:val="003D5A1F"/>
    <w:rsid w:val="003D5BA4"/>
    <w:rsid w:val="003D65D2"/>
    <w:rsid w:val="003D6AD6"/>
    <w:rsid w:val="003D7236"/>
    <w:rsid w:val="003E02C0"/>
    <w:rsid w:val="003E07C9"/>
    <w:rsid w:val="003E0878"/>
    <w:rsid w:val="003E0A41"/>
    <w:rsid w:val="003E0B41"/>
    <w:rsid w:val="003E1A62"/>
    <w:rsid w:val="003E2526"/>
    <w:rsid w:val="003E2562"/>
    <w:rsid w:val="003E2FDA"/>
    <w:rsid w:val="003E3C21"/>
    <w:rsid w:val="003E41EE"/>
    <w:rsid w:val="003E4518"/>
    <w:rsid w:val="003E488B"/>
    <w:rsid w:val="003E4A3B"/>
    <w:rsid w:val="003E595C"/>
    <w:rsid w:val="003E596C"/>
    <w:rsid w:val="003E5A05"/>
    <w:rsid w:val="003E5DBD"/>
    <w:rsid w:val="003E6175"/>
    <w:rsid w:val="003E62A2"/>
    <w:rsid w:val="003E6B22"/>
    <w:rsid w:val="003E6DF3"/>
    <w:rsid w:val="003E6F32"/>
    <w:rsid w:val="003E70B4"/>
    <w:rsid w:val="003E7A19"/>
    <w:rsid w:val="003E7B27"/>
    <w:rsid w:val="003F0670"/>
    <w:rsid w:val="003F14EA"/>
    <w:rsid w:val="003F1618"/>
    <w:rsid w:val="003F1F00"/>
    <w:rsid w:val="003F2302"/>
    <w:rsid w:val="003F2B12"/>
    <w:rsid w:val="003F2BC7"/>
    <w:rsid w:val="003F356C"/>
    <w:rsid w:val="003F3DC2"/>
    <w:rsid w:val="003F4C12"/>
    <w:rsid w:val="003F4F43"/>
    <w:rsid w:val="003F6204"/>
    <w:rsid w:val="003F6288"/>
    <w:rsid w:val="003F66E8"/>
    <w:rsid w:val="003F6773"/>
    <w:rsid w:val="003F6863"/>
    <w:rsid w:val="003F69F2"/>
    <w:rsid w:val="003F7824"/>
    <w:rsid w:val="003F7E08"/>
    <w:rsid w:val="003F7E0E"/>
    <w:rsid w:val="00400028"/>
    <w:rsid w:val="004001C4"/>
    <w:rsid w:val="0040020E"/>
    <w:rsid w:val="0040034B"/>
    <w:rsid w:val="004015A0"/>
    <w:rsid w:val="00401A2B"/>
    <w:rsid w:val="00401CD2"/>
    <w:rsid w:val="00402CB8"/>
    <w:rsid w:val="00402DCC"/>
    <w:rsid w:val="00402FEE"/>
    <w:rsid w:val="00403D53"/>
    <w:rsid w:val="004045E0"/>
    <w:rsid w:val="00404660"/>
    <w:rsid w:val="004046C6"/>
    <w:rsid w:val="00405401"/>
    <w:rsid w:val="00405720"/>
    <w:rsid w:val="00406443"/>
    <w:rsid w:val="00406DE9"/>
    <w:rsid w:val="0040735C"/>
    <w:rsid w:val="00407445"/>
    <w:rsid w:val="00410581"/>
    <w:rsid w:val="00410852"/>
    <w:rsid w:val="00410994"/>
    <w:rsid w:val="004117DE"/>
    <w:rsid w:val="0041198A"/>
    <w:rsid w:val="00411B06"/>
    <w:rsid w:val="00411BBC"/>
    <w:rsid w:val="00411D0D"/>
    <w:rsid w:val="00412025"/>
    <w:rsid w:val="00412253"/>
    <w:rsid w:val="0041238E"/>
    <w:rsid w:val="004123B5"/>
    <w:rsid w:val="0041263F"/>
    <w:rsid w:val="004131E4"/>
    <w:rsid w:val="00414301"/>
    <w:rsid w:val="00414714"/>
    <w:rsid w:val="00415ACA"/>
    <w:rsid w:val="00415C21"/>
    <w:rsid w:val="00415DC4"/>
    <w:rsid w:val="00416A7A"/>
    <w:rsid w:val="00417668"/>
    <w:rsid w:val="00417722"/>
    <w:rsid w:val="004179C6"/>
    <w:rsid w:val="00417D88"/>
    <w:rsid w:val="00420F8F"/>
    <w:rsid w:val="00421020"/>
    <w:rsid w:val="00421054"/>
    <w:rsid w:val="004229B1"/>
    <w:rsid w:val="00422B36"/>
    <w:rsid w:val="00422BA6"/>
    <w:rsid w:val="004239A5"/>
    <w:rsid w:val="00423C31"/>
    <w:rsid w:val="004249CC"/>
    <w:rsid w:val="00426AA3"/>
    <w:rsid w:val="00427167"/>
    <w:rsid w:val="00427292"/>
    <w:rsid w:val="00430A0B"/>
    <w:rsid w:val="00430B50"/>
    <w:rsid w:val="00430DC9"/>
    <w:rsid w:val="0043172F"/>
    <w:rsid w:val="00431F3B"/>
    <w:rsid w:val="004327E0"/>
    <w:rsid w:val="00432885"/>
    <w:rsid w:val="00432E31"/>
    <w:rsid w:val="004333B7"/>
    <w:rsid w:val="00433949"/>
    <w:rsid w:val="004339C6"/>
    <w:rsid w:val="0043414C"/>
    <w:rsid w:val="00434392"/>
    <w:rsid w:val="00434819"/>
    <w:rsid w:val="00434B64"/>
    <w:rsid w:val="004362A6"/>
    <w:rsid w:val="004364DC"/>
    <w:rsid w:val="00436B40"/>
    <w:rsid w:val="004372B3"/>
    <w:rsid w:val="00437A17"/>
    <w:rsid w:val="00437D17"/>
    <w:rsid w:val="00437FA9"/>
    <w:rsid w:val="00440A75"/>
    <w:rsid w:val="00440B8B"/>
    <w:rsid w:val="00441336"/>
    <w:rsid w:val="00441824"/>
    <w:rsid w:val="004427E3"/>
    <w:rsid w:val="00443D0B"/>
    <w:rsid w:val="00444882"/>
    <w:rsid w:val="00444990"/>
    <w:rsid w:val="00444B59"/>
    <w:rsid w:val="00444D76"/>
    <w:rsid w:val="004452F1"/>
    <w:rsid w:val="0044534B"/>
    <w:rsid w:val="00445885"/>
    <w:rsid w:val="00446081"/>
    <w:rsid w:val="004464A4"/>
    <w:rsid w:val="0044657D"/>
    <w:rsid w:val="004473AB"/>
    <w:rsid w:val="00447D30"/>
    <w:rsid w:val="00450604"/>
    <w:rsid w:val="00450814"/>
    <w:rsid w:val="00451385"/>
    <w:rsid w:val="00451763"/>
    <w:rsid w:val="00451DE1"/>
    <w:rsid w:val="00451F50"/>
    <w:rsid w:val="00452B75"/>
    <w:rsid w:val="00452F15"/>
    <w:rsid w:val="00452F53"/>
    <w:rsid w:val="00453050"/>
    <w:rsid w:val="0045364A"/>
    <w:rsid w:val="00453CDB"/>
    <w:rsid w:val="00453DF5"/>
    <w:rsid w:val="004550BE"/>
    <w:rsid w:val="00456438"/>
    <w:rsid w:val="004565A5"/>
    <w:rsid w:val="004565F9"/>
    <w:rsid w:val="0045725F"/>
    <w:rsid w:val="004573F8"/>
    <w:rsid w:val="00457889"/>
    <w:rsid w:val="00457DD5"/>
    <w:rsid w:val="00460086"/>
    <w:rsid w:val="0046042B"/>
    <w:rsid w:val="004609CB"/>
    <w:rsid w:val="004613BE"/>
    <w:rsid w:val="004613C9"/>
    <w:rsid w:val="004617E6"/>
    <w:rsid w:val="00462E98"/>
    <w:rsid w:val="00462F90"/>
    <w:rsid w:val="0046354B"/>
    <w:rsid w:val="00463593"/>
    <w:rsid w:val="00464923"/>
    <w:rsid w:val="00465666"/>
    <w:rsid w:val="00465B7A"/>
    <w:rsid w:val="004664C5"/>
    <w:rsid w:val="00466786"/>
    <w:rsid w:val="00466B62"/>
    <w:rsid w:val="0046783A"/>
    <w:rsid w:val="00467CE2"/>
    <w:rsid w:val="00470A86"/>
    <w:rsid w:val="00470D4A"/>
    <w:rsid w:val="00470D8F"/>
    <w:rsid w:val="00470DE5"/>
    <w:rsid w:val="0047103C"/>
    <w:rsid w:val="00471FDF"/>
    <w:rsid w:val="00471FEF"/>
    <w:rsid w:val="0047247E"/>
    <w:rsid w:val="0047272E"/>
    <w:rsid w:val="004727FC"/>
    <w:rsid w:val="00472BBD"/>
    <w:rsid w:val="00473359"/>
    <w:rsid w:val="0047372A"/>
    <w:rsid w:val="0047404B"/>
    <w:rsid w:val="004745D3"/>
    <w:rsid w:val="00474737"/>
    <w:rsid w:val="0047485E"/>
    <w:rsid w:val="00474DAA"/>
    <w:rsid w:val="004756C9"/>
    <w:rsid w:val="00475A02"/>
    <w:rsid w:val="00476478"/>
    <w:rsid w:val="00476729"/>
    <w:rsid w:val="004801F1"/>
    <w:rsid w:val="00480668"/>
    <w:rsid w:val="00481167"/>
    <w:rsid w:val="004819A7"/>
    <w:rsid w:val="004821ED"/>
    <w:rsid w:val="00482277"/>
    <w:rsid w:val="004826BC"/>
    <w:rsid w:val="004833D5"/>
    <w:rsid w:val="0048347B"/>
    <w:rsid w:val="00483C6C"/>
    <w:rsid w:val="00483E11"/>
    <w:rsid w:val="00483F07"/>
    <w:rsid w:val="00483F4A"/>
    <w:rsid w:val="00484335"/>
    <w:rsid w:val="00485408"/>
    <w:rsid w:val="00485D35"/>
    <w:rsid w:val="00486118"/>
    <w:rsid w:val="004863C8"/>
    <w:rsid w:val="00486589"/>
    <w:rsid w:val="00486945"/>
    <w:rsid w:val="004869BF"/>
    <w:rsid w:val="004878E6"/>
    <w:rsid w:val="004879C6"/>
    <w:rsid w:val="00490242"/>
    <w:rsid w:val="0049025E"/>
    <w:rsid w:val="004902F3"/>
    <w:rsid w:val="00490355"/>
    <w:rsid w:val="00490FF4"/>
    <w:rsid w:val="00491357"/>
    <w:rsid w:val="0049166C"/>
    <w:rsid w:val="00491923"/>
    <w:rsid w:val="00491B6B"/>
    <w:rsid w:val="00491EBF"/>
    <w:rsid w:val="00492130"/>
    <w:rsid w:val="0049227A"/>
    <w:rsid w:val="00492988"/>
    <w:rsid w:val="00492CD3"/>
    <w:rsid w:val="00493072"/>
    <w:rsid w:val="00493487"/>
    <w:rsid w:val="00494084"/>
    <w:rsid w:val="0049462A"/>
    <w:rsid w:val="00494D6D"/>
    <w:rsid w:val="004951DD"/>
    <w:rsid w:val="00495944"/>
    <w:rsid w:val="00495C65"/>
    <w:rsid w:val="00495E75"/>
    <w:rsid w:val="0049670A"/>
    <w:rsid w:val="00496A7F"/>
    <w:rsid w:val="00496AB3"/>
    <w:rsid w:val="0049732F"/>
    <w:rsid w:val="004973C3"/>
    <w:rsid w:val="00497C22"/>
    <w:rsid w:val="00497C94"/>
    <w:rsid w:val="004A05AB"/>
    <w:rsid w:val="004A172E"/>
    <w:rsid w:val="004A1BC5"/>
    <w:rsid w:val="004A1D3C"/>
    <w:rsid w:val="004A27CC"/>
    <w:rsid w:val="004A28CC"/>
    <w:rsid w:val="004A30BB"/>
    <w:rsid w:val="004A4446"/>
    <w:rsid w:val="004A44D1"/>
    <w:rsid w:val="004A47C7"/>
    <w:rsid w:val="004A57CF"/>
    <w:rsid w:val="004A6420"/>
    <w:rsid w:val="004A667A"/>
    <w:rsid w:val="004A780F"/>
    <w:rsid w:val="004A7F03"/>
    <w:rsid w:val="004A7FCF"/>
    <w:rsid w:val="004B0603"/>
    <w:rsid w:val="004B15DB"/>
    <w:rsid w:val="004B1A9B"/>
    <w:rsid w:val="004B206A"/>
    <w:rsid w:val="004B2411"/>
    <w:rsid w:val="004B49DA"/>
    <w:rsid w:val="004B4CE0"/>
    <w:rsid w:val="004B519D"/>
    <w:rsid w:val="004B5579"/>
    <w:rsid w:val="004B55AD"/>
    <w:rsid w:val="004B5E23"/>
    <w:rsid w:val="004B62DE"/>
    <w:rsid w:val="004B76B3"/>
    <w:rsid w:val="004B7C1B"/>
    <w:rsid w:val="004B7EC2"/>
    <w:rsid w:val="004C05FA"/>
    <w:rsid w:val="004C083B"/>
    <w:rsid w:val="004C0A06"/>
    <w:rsid w:val="004C0C74"/>
    <w:rsid w:val="004C191B"/>
    <w:rsid w:val="004C241F"/>
    <w:rsid w:val="004C250D"/>
    <w:rsid w:val="004C288C"/>
    <w:rsid w:val="004C3341"/>
    <w:rsid w:val="004C3E99"/>
    <w:rsid w:val="004C4974"/>
    <w:rsid w:val="004C4B98"/>
    <w:rsid w:val="004C4D27"/>
    <w:rsid w:val="004C5222"/>
    <w:rsid w:val="004C6149"/>
    <w:rsid w:val="004C6789"/>
    <w:rsid w:val="004C6891"/>
    <w:rsid w:val="004C6BE6"/>
    <w:rsid w:val="004C6F63"/>
    <w:rsid w:val="004C7555"/>
    <w:rsid w:val="004C7B8E"/>
    <w:rsid w:val="004C7BC2"/>
    <w:rsid w:val="004D0167"/>
    <w:rsid w:val="004D0509"/>
    <w:rsid w:val="004D09A6"/>
    <w:rsid w:val="004D127A"/>
    <w:rsid w:val="004D1BA1"/>
    <w:rsid w:val="004D2756"/>
    <w:rsid w:val="004D2DB3"/>
    <w:rsid w:val="004D32F7"/>
    <w:rsid w:val="004D3B34"/>
    <w:rsid w:val="004D3C5B"/>
    <w:rsid w:val="004D3FD9"/>
    <w:rsid w:val="004D4B45"/>
    <w:rsid w:val="004D4F9A"/>
    <w:rsid w:val="004D6914"/>
    <w:rsid w:val="004D7428"/>
    <w:rsid w:val="004D76D0"/>
    <w:rsid w:val="004E0163"/>
    <w:rsid w:val="004E0926"/>
    <w:rsid w:val="004E1092"/>
    <w:rsid w:val="004E12A6"/>
    <w:rsid w:val="004E1769"/>
    <w:rsid w:val="004E2F5B"/>
    <w:rsid w:val="004E40E5"/>
    <w:rsid w:val="004E444D"/>
    <w:rsid w:val="004E48F5"/>
    <w:rsid w:val="004E4AF3"/>
    <w:rsid w:val="004E511F"/>
    <w:rsid w:val="004E57DE"/>
    <w:rsid w:val="004E6560"/>
    <w:rsid w:val="004E6DDE"/>
    <w:rsid w:val="004E6FF4"/>
    <w:rsid w:val="004E7999"/>
    <w:rsid w:val="004F0782"/>
    <w:rsid w:val="004F12EC"/>
    <w:rsid w:val="004F1B38"/>
    <w:rsid w:val="004F1EB8"/>
    <w:rsid w:val="004F2F2A"/>
    <w:rsid w:val="004F304F"/>
    <w:rsid w:val="004F3143"/>
    <w:rsid w:val="004F3812"/>
    <w:rsid w:val="004F3B27"/>
    <w:rsid w:val="004F3CA0"/>
    <w:rsid w:val="004F5523"/>
    <w:rsid w:val="004F5F5A"/>
    <w:rsid w:val="004F6B24"/>
    <w:rsid w:val="004F6C02"/>
    <w:rsid w:val="004F7272"/>
    <w:rsid w:val="004F73FB"/>
    <w:rsid w:val="004F7444"/>
    <w:rsid w:val="004F7611"/>
    <w:rsid w:val="004F7DF6"/>
    <w:rsid w:val="005008E7"/>
    <w:rsid w:val="00500BA6"/>
    <w:rsid w:val="00500D1F"/>
    <w:rsid w:val="005010CD"/>
    <w:rsid w:val="005012F3"/>
    <w:rsid w:val="0050152B"/>
    <w:rsid w:val="00504096"/>
    <w:rsid w:val="00504705"/>
    <w:rsid w:val="00504D8D"/>
    <w:rsid w:val="00504EE6"/>
    <w:rsid w:val="0050549B"/>
    <w:rsid w:val="00506122"/>
    <w:rsid w:val="00506189"/>
    <w:rsid w:val="005061E8"/>
    <w:rsid w:val="00506340"/>
    <w:rsid w:val="005065DC"/>
    <w:rsid w:val="005067BA"/>
    <w:rsid w:val="0050784E"/>
    <w:rsid w:val="00510CB9"/>
    <w:rsid w:val="00511298"/>
    <w:rsid w:val="00511D17"/>
    <w:rsid w:val="005120B4"/>
    <w:rsid w:val="005132E5"/>
    <w:rsid w:val="00514349"/>
    <w:rsid w:val="0051444F"/>
    <w:rsid w:val="0051451A"/>
    <w:rsid w:val="00514612"/>
    <w:rsid w:val="005146D3"/>
    <w:rsid w:val="00514A28"/>
    <w:rsid w:val="00514E32"/>
    <w:rsid w:val="00515678"/>
    <w:rsid w:val="00515BD3"/>
    <w:rsid w:val="00516254"/>
    <w:rsid w:val="0051783A"/>
    <w:rsid w:val="00517B10"/>
    <w:rsid w:val="00517C8C"/>
    <w:rsid w:val="00517CC0"/>
    <w:rsid w:val="00517E80"/>
    <w:rsid w:val="00520226"/>
    <w:rsid w:val="005205B4"/>
    <w:rsid w:val="00521027"/>
    <w:rsid w:val="00521CFA"/>
    <w:rsid w:val="005237C2"/>
    <w:rsid w:val="00524BD3"/>
    <w:rsid w:val="00524C65"/>
    <w:rsid w:val="00525A62"/>
    <w:rsid w:val="00525D3D"/>
    <w:rsid w:val="00525EAE"/>
    <w:rsid w:val="00526315"/>
    <w:rsid w:val="00526335"/>
    <w:rsid w:val="005274F1"/>
    <w:rsid w:val="005275CE"/>
    <w:rsid w:val="00527DFC"/>
    <w:rsid w:val="0053067C"/>
    <w:rsid w:val="005306ED"/>
    <w:rsid w:val="00530754"/>
    <w:rsid w:val="005309BB"/>
    <w:rsid w:val="0053181F"/>
    <w:rsid w:val="00531CC3"/>
    <w:rsid w:val="00532689"/>
    <w:rsid w:val="00532A0B"/>
    <w:rsid w:val="00532C3E"/>
    <w:rsid w:val="00533D32"/>
    <w:rsid w:val="00533DBA"/>
    <w:rsid w:val="0053453B"/>
    <w:rsid w:val="005355C5"/>
    <w:rsid w:val="00535E1D"/>
    <w:rsid w:val="005361D9"/>
    <w:rsid w:val="005379D0"/>
    <w:rsid w:val="00537B3E"/>
    <w:rsid w:val="00537D80"/>
    <w:rsid w:val="00537E85"/>
    <w:rsid w:val="0054063B"/>
    <w:rsid w:val="00540D3E"/>
    <w:rsid w:val="0054134C"/>
    <w:rsid w:val="005414C2"/>
    <w:rsid w:val="00543602"/>
    <w:rsid w:val="005439F3"/>
    <w:rsid w:val="00544673"/>
    <w:rsid w:val="00544E46"/>
    <w:rsid w:val="005456CF"/>
    <w:rsid w:val="00546240"/>
    <w:rsid w:val="00546BED"/>
    <w:rsid w:val="0054753B"/>
    <w:rsid w:val="00547CDC"/>
    <w:rsid w:val="00550581"/>
    <w:rsid w:val="0055072C"/>
    <w:rsid w:val="005512F1"/>
    <w:rsid w:val="0055141C"/>
    <w:rsid w:val="00551C23"/>
    <w:rsid w:val="00551C5A"/>
    <w:rsid w:val="00551D68"/>
    <w:rsid w:val="00551E81"/>
    <w:rsid w:val="005524AA"/>
    <w:rsid w:val="005524DF"/>
    <w:rsid w:val="00552965"/>
    <w:rsid w:val="00552A03"/>
    <w:rsid w:val="00552F1D"/>
    <w:rsid w:val="005535A1"/>
    <w:rsid w:val="00553A53"/>
    <w:rsid w:val="00554D9F"/>
    <w:rsid w:val="0055514C"/>
    <w:rsid w:val="00555F62"/>
    <w:rsid w:val="005566FC"/>
    <w:rsid w:val="0055673A"/>
    <w:rsid w:val="00556A15"/>
    <w:rsid w:val="00556BAD"/>
    <w:rsid w:val="00557440"/>
    <w:rsid w:val="00557EC8"/>
    <w:rsid w:val="005605D4"/>
    <w:rsid w:val="00560953"/>
    <w:rsid w:val="0056108B"/>
    <w:rsid w:val="005610B7"/>
    <w:rsid w:val="00561F96"/>
    <w:rsid w:val="00562EEA"/>
    <w:rsid w:val="005637E8"/>
    <w:rsid w:val="00563884"/>
    <w:rsid w:val="00563A42"/>
    <w:rsid w:val="00564272"/>
    <w:rsid w:val="0056461B"/>
    <w:rsid w:val="005646E3"/>
    <w:rsid w:val="00564A35"/>
    <w:rsid w:val="00564B2B"/>
    <w:rsid w:val="00565BA5"/>
    <w:rsid w:val="00565C95"/>
    <w:rsid w:val="00565EB6"/>
    <w:rsid w:val="005664F0"/>
    <w:rsid w:val="00567B66"/>
    <w:rsid w:val="0057077E"/>
    <w:rsid w:val="005718B7"/>
    <w:rsid w:val="00571E08"/>
    <w:rsid w:val="00572155"/>
    <w:rsid w:val="00572197"/>
    <w:rsid w:val="00572F23"/>
    <w:rsid w:val="00573D78"/>
    <w:rsid w:val="00573E3F"/>
    <w:rsid w:val="0057436A"/>
    <w:rsid w:val="00574670"/>
    <w:rsid w:val="00574EEC"/>
    <w:rsid w:val="00574F44"/>
    <w:rsid w:val="005755EC"/>
    <w:rsid w:val="005761D9"/>
    <w:rsid w:val="005763A2"/>
    <w:rsid w:val="0057677E"/>
    <w:rsid w:val="00576D79"/>
    <w:rsid w:val="00576D8B"/>
    <w:rsid w:val="00577011"/>
    <w:rsid w:val="00577040"/>
    <w:rsid w:val="0057704F"/>
    <w:rsid w:val="0057758A"/>
    <w:rsid w:val="00577DD4"/>
    <w:rsid w:val="00580891"/>
    <w:rsid w:val="00580CA1"/>
    <w:rsid w:val="00580F6F"/>
    <w:rsid w:val="00582A10"/>
    <w:rsid w:val="00582EDD"/>
    <w:rsid w:val="0058330B"/>
    <w:rsid w:val="0058363D"/>
    <w:rsid w:val="0058369E"/>
    <w:rsid w:val="00583A72"/>
    <w:rsid w:val="005849B6"/>
    <w:rsid w:val="00584EE2"/>
    <w:rsid w:val="005851BE"/>
    <w:rsid w:val="00585E13"/>
    <w:rsid w:val="00586313"/>
    <w:rsid w:val="00586684"/>
    <w:rsid w:val="00586944"/>
    <w:rsid w:val="00586B62"/>
    <w:rsid w:val="00587446"/>
    <w:rsid w:val="00590320"/>
    <w:rsid w:val="005907B3"/>
    <w:rsid w:val="0059132B"/>
    <w:rsid w:val="005917AA"/>
    <w:rsid w:val="005917EA"/>
    <w:rsid w:val="00591E64"/>
    <w:rsid w:val="005921A7"/>
    <w:rsid w:val="0059230F"/>
    <w:rsid w:val="00592809"/>
    <w:rsid w:val="00592839"/>
    <w:rsid w:val="00592D32"/>
    <w:rsid w:val="005939BD"/>
    <w:rsid w:val="005941B2"/>
    <w:rsid w:val="00594265"/>
    <w:rsid w:val="005943EA"/>
    <w:rsid w:val="00594924"/>
    <w:rsid w:val="0059512D"/>
    <w:rsid w:val="00595949"/>
    <w:rsid w:val="00595B6C"/>
    <w:rsid w:val="00595D93"/>
    <w:rsid w:val="0059606D"/>
    <w:rsid w:val="005960CA"/>
    <w:rsid w:val="00596107"/>
    <w:rsid w:val="00596346"/>
    <w:rsid w:val="00596449"/>
    <w:rsid w:val="00596CB9"/>
    <w:rsid w:val="00596CD8"/>
    <w:rsid w:val="00597416"/>
    <w:rsid w:val="00597911"/>
    <w:rsid w:val="00597EB8"/>
    <w:rsid w:val="00597F6F"/>
    <w:rsid w:val="005A05AF"/>
    <w:rsid w:val="005A09D0"/>
    <w:rsid w:val="005A14C4"/>
    <w:rsid w:val="005A1640"/>
    <w:rsid w:val="005A1699"/>
    <w:rsid w:val="005A2B17"/>
    <w:rsid w:val="005A2B8F"/>
    <w:rsid w:val="005A34F2"/>
    <w:rsid w:val="005A3C7F"/>
    <w:rsid w:val="005A3F87"/>
    <w:rsid w:val="005A4703"/>
    <w:rsid w:val="005A4C3A"/>
    <w:rsid w:val="005A4C84"/>
    <w:rsid w:val="005A51B0"/>
    <w:rsid w:val="005A55A5"/>
    <w:rsid w:val="005A5785"/>
    <w:rsid w:val="005A58EE"/>
    <w:rsid w:val="005A5C78"/>
    <w:rsid w:val="005A5DD1"/>
    <w:rsid w:val="005A5DEF"/>
    <w:rsid w:val="005A6154"/>
    <w:rsid w:val="005A6499"/>
    <w:rsid w:val="005A650E"/>
    <w:rsid w:val="005A70A5"/>
    <w:rsid w:val="005A72F8"/>
    <w:rsid w:val="005A7C96"/>
    <w:rsid w:val="005A7E03"/>
    <w:rsid w:val="005B0796"/>
    <w:rsid w:val="005B1C26"/>
    <w:rsid w:val="005B1CA2"/>
    <w:rsid w:val="005B1ECE"/>
    <w:rsid w:val="005B201D"/>
    <w:rsid w:val="005B203A"/>
    <w:rsid w:val="005B229E"/>
    <w:rsid w:val="005B2656"/>
    <w:rsid w:val="005B2889"/>
    <w:rsid w:val="005B2BD3"/>
    <w:rsid w:val="005B31B1"/>
    <w:rsid w:val="005B3463"/>
    <w:rsid w:val="005B3E45"/>
    <w:rsid w:val="005B40C9"/>
    <w:rsid w:val="005B4541"/>
    <w:rsid w:val="005B4868"/>
    <w:rsid w:val="005B54ED"/>
    <w:rsid w:val="005B5F5A"/>
    <w:rsid w:val="005B61AB"/>
    <w:rsid w:val="005B650E"/>
    <w:rsid w:val="005B7D0A"/>
    <w:rsid w:val="005B7FF6"/>
    <w:rsid w:val="005C1356"/>
    <w:rsid w:val="005C1B73"/>
    <w:rsid w:val="005C20A4"/>
    <w:rsid w:val="005C20C3"/>
    <w:rsid w:val="005C2442"/>
    <w:rsid w:val="005C2A81"/>
    <w:rsid w:val="005C2C30"/>
    <w:rsid w:val="005C34F9"/>
    <w:rsid w:val="005C4917"/>
    <w:rsid w:val="005C5347"/>
    <w:rsid w:val="005C6176"/>
    <w:rsid w:val="005C64CC"/>
    <w:rsid w:val="005C68EE"/>
    <w:rsid w:val="005C6CCB"/>
    <w:rsid w:val="005C6EA2"/>
    <w:rsid w:val="005C7007"/>
    <w:rsid w:val="005C7417"/>
    <w:rsid w:val="005C7EAB"/>
    <w:rsid w:val="005D0BFB"/>
    <w:rsid w:val="005D1523"/>
    <w:rsid w:val="005D244B"/>
    <w:rsid w:val="005D24AC"/>
    <w:rsid w:val="005D3086"/>
    <w:rsid w:val="005D3FD3"/>
    <w:rsid w:val="005D4B24"/>
    <w:rsid w:val="005D4CDE"/>
    <w:rsid w:val="005D5917"/>
    <w:rsid w:val="005D64B2"/>
    <w:rsid w:val="005D659B"/>
    <w:rsid w:val="005D739E"/>
    <w:rsid w:val="005E007E"/>
    <w:rsid w:val="005E0972"/>
    <w:rsid w:val="005E0C2C"/>
    <w:rsid w:val="005E0D14"/>
    <w:rsid w:val="005E0ECD"/>
    <w:rsid w:val="005E103E"/>
    <w:rsid w:val="005E146E"/>
    <w:rsid w:val="005E19BB"/>
    <w:rsid w:val="005E258B"/>
    <w:rsid w:val="005E2BD2"/>
    <w:rsid w:val="005E36FE"/>
    <w:rsid w:val="005E4B3E"/>
    <w:rsid w:val="005E53E3"/>
    <w:rsid w:val="005E545E"/>
    <w:rsid w:val="005E5E59"/>
    <w:rsid w:val="005E79A4"/>
    <w:rsid w:val="005F0428"/>
    <w:rsid w:val="005F0485"/>
    <w:rsid w:val="005F09D8"/>
    <w:rsid w:val="005F0C3E"/>
    <w:rsid w:val="005F1550"/>
    <w:rsid w:val="005F1B66"/>
    <w:rsid w:val="005F1CD0"/>
    <w:rsid w:val="005F1DD7"/>
    <w:rsid w:val="005F2688"/>
    <w:rsid w:val="005F2712"/>
    <w:rsid w:val="005F29C4"/>
    <w:rsid w:val="005F2BDB"/>
    <w:rsid w:val="005F2EEE"/>
    <w:rsid w:val="005F356C"/>
    <w:rsid w:val="005F3678"/>
    <w:rsid w:val="005F39B9"/>
    <w:rsid w:val="005F407B"/>
    <w:rsid w:val="005F4097"/>
    <w:rsid w:val="005F4289"/>
    <w:rsid w:val="005F4450"/>
    <w:rsid w:val="005F487A"/>
    <w:rsid w:val="005F4A8B"/>
    <w:rsid w:val="005F4DA3"/>
    <w:rsid w:val="005F5467"/>
    <w:rsid w:val="005F560C"/>
    <w:rsid w:val="005F58B0"/>
    <w:rsid w:val="005F605E"/>
    <w:rsid w:val="005F61E6"/>
    <w:rsid w:val="005F6448"/>
    <w:rsid w:val="005F6CA0"/>
    <w:rsid w:val="005F7097"/>
    <w:rsid w:val="006005D4"/>
    <w:rsid w:val="00600656"/>
    <w:rsid w:val="00600A34"/>
    <w:rsid w:val="00602CF5"/>
    <w:rsid w:val="0060365D"/>
    <w:rsid w:val="00603682"/>
    <w:rsid w:val="00603773"/>
    <w:rsid w:val="00603A1A"/>
    <w:rsid w:val="0060491F"/>
    <w:rsid w:val="00604A8C"/>
    <w:rsid w:val="00604C67"/>
    <w:rsid w:val="006050BD"/>
    <w:rsid w:val="00605101"/>
    <w:rsid w:val="00606473"/>
    <w:rsid w:val="006064AE"/>
    <w:rsid w:val="00607873"/>
    <w:rsid w:val="00607E78"/>
    <w:rsid w:val="00607F98"/>
    <w:rsid w:val="00610770"/>
    <w:rsid w:val="006108C1"/>
    <w:rsid w:val="0061098C"/>
    <w:rsid w:val="00610D33"/>
    <w:rsid w:val="00610F10"/>
    <w:rsid w:val="00610F7A"/>
    <w:rsid w:val="00611561"/>
    <w:rsid w:val="00611BD5"/>
    <w:rsid w:val="00612711"/>
    <w:rsid w:val="00613FC5"/>
    <w:rsid w:val="006145D5"/>
    <w:rsid w:val="0061509C"/>
    <w:rsid w:val="00615B55"/>
    <w:rsid w:val="00616199"/>
    <w:rsid w:val="00616284"/>
    <w:rsid w:val="0061703B"/>
    <w:rsid w:val="006176F0"/>
    <w:rsid w:val="006226C6"/>
    <w:rsid w:val="00623FBF"/>
    <w:rsid w:val="00624562"/>
    <w:rsid w:val="00624C1D"/>
    <w:rsid w:val="00625291"/>
    <w:rsid w:val="006258A8"/>
    <w:rsid w:val="00625DC2"/>
    <w:rsid w:val="0062602F"/>
    <w:rsid w:val="00626054"/>
    <w:rsid w:val="0062628D"/>
    <w:rsid w:val="00626517"/>
    <w:rsid w:val="006266D5"/>
    <w:rsid w:val="00626845"/>
    <w:rsid w:val="006269BB"/>
    <w:rsid w:val="00626C3D"/>
    <w:rsid w:val="00626EF5"/>
    <w:rsid w:val="00627241"/>
    <w:rsid w:val="006277E9"/>
    <w:rsid w:val="006278DC"/>
    <w:rsid w:val="00630FAB"/>
    <w:rsid w:val="006312AD"/>
    <w:rsid w:val="00631575"/>
    <w:rsid w:val="00631AE7"/>
    <w:rsid w:val="006327B7"/>
    <w:rsid w:val="00632999"/>
    <w:rsid w:val="006336DE"/>
    <w:rsid w:val="00634387"/>
    <w:rsid w:val="00634440"/>
    <w:rsid w:val="006353FA"/>
    <w:rsid w:val="00635625"/>
    <w:rsid w:val="00635764"/>
    <w:rsid w:val="0063584B"/>
    <w:rsid w:val="00636AC1"/>
    <w:rsid w:val="00637577"/>
    <w:rsid w:val="00640A82"/>
    <w:rsid w:val="00640EA8"/>
    <w:rsid w:val="006418D8"/>
    <w:rsid w:val="00641FB1"/>
    <w:rsid w:val="00642098"/>
    <w:rsid w:val="006426BD"/>
    <w:rsid w:val="006430B5"/>
    <w:rsid w:val="00643165"/>
    <w:rsid w:val="0064365B"/>
    <w:rsid w:val="006437B1"/>
    <w:rsid w:val="006439D1"/>
    <w:rsid w:val="00643F65"/>
    <w:rsid w:val="00645806"/>
    <w:rsid w:val="006458C7"/>
    <w:rsid w:val="00646015"/>
    <w:rsid w:val="00646104"/>
    <w:rsid w:val="006461D4"/>
    <w:rsid w:val="0064680F"/>
    <w:rsid w:val="00647E18"/>
    <w:rsid w:val="006507D9"/>
    <w:rsid w:val="006508B1"/>
    <w:rsid w:val="00650C96"/>
    <w:rsid w:val="00651631"/>
    <w:rsid w:val="00651708"/>
    <w:rsid w:val="00651C82"/>
    <w:rsid w:val="0065238A"/>
    <w:rsid w:val="0065434A"/>
    <w:rsid w:val="00654588"/>
    <w:rsid w:val="00654846"/>
    <w:rsid w:val="0065489B"/>
    <w:rsid w:val="0065543D"/>
    <w:rsid w:val="00656AAC"/>
    <w:rsid w:val="00656D8E"/>
    <w:rsid w:val="00657425"/>
    <w:rsid w:val="0065789D"/>
    <w:rsid w:val="006579B9"/>
    <w:rsid w:val="00657A23"/>
    <w:rsid w:val="00657E4D"/>
    <w:rsid w:val="00660A0F"/>
    <w:rsid w:val="00661111"/>
    <w:rsid w:val="00661AE5"/>
    <w:rsid w:val="00661E95"/>
    <w:rsid w:val="006629E5"/>
    <w:rsid w:val="00662B75"/>
    <w:rsid w:val="00662E3C"/>
    <w:rsid w:val="006631DD"/>
    <w:rsid w:val="00663236"/>
    <w:rsid w:val="006638FC"/>
    <w:rsid w:val="00663904"/>
    <w:rsid w:val="00663C18"/>
    <w:rsid w:val="006640B3"/>
    <w:rsid w:val="00664919"/>
    <w:rsid w:val="00664C4E"/>
    <w:rsid w:val="00664D1E"/>
    <w:rsid w:val="00665491"/>
    <w:rsid w:val="0066574E"/>
    <w:rsid w:val="00665B40"/>
    <w:rsid w:val="00666010"/>
    <w:rsid w:val="00666513"/>
    <w:rsid w:val="006672EB"/>
    <w:rsid w:val="006678FF"/>
    <w:rsid w:val="00667EFD"/>
    <w:rsid w:val="00667F27"/>
    <w:rsid w:val="00670862"/>
    <w:rsid w:val="0067096C"/>
    <w:rsid w:val="00670D6C"/>
    <w:rsid w:val="006710AB"/>
    <w:rsid w:val="00671275"/>
    <w:rsid w:val="0067162E"/>
    <w:rsid w:val="00671902"/>
    <w:rsid w:val="00671AA8"/>
    <w:rsid w:val="006723BE"/>
    <w:rsid w:val="00673636"/>
    <w:rsid w:val="006738D7"/>
    <w:rsid w:val="00673A1A"/>
    <w:rsid w:val="006740DA"/>
    <w:rsid w:val="006741A7"/>
    <w:rsid w:val="00674A8F"/>
    <w:rsid w:val="00674EBC"/>
    <w:rsid w:val="00674F5F"/>
    <w:rsid w:val="006757BD"/>
    <w:rsid w:val="006759F1"/>
    <w:rsid w:val="00675DE0"/>
    <w:rsid w:val="0067639C"/>
    <w:rsid w:val="0067686F"/>
    <w:rsid w:val="0067694B"/>
    <w:rsid w:val="00676990"/>
    <w:rsid w:val="0067749E"/>
    <w:rsid w:val="00677530"/>
    <w:rsid w:val="006813BA"/>
    <w:rsid w:val="00681B67"/>
    <w:rsid w:val="006824C4"/>
    <w:rsid w:val="0068353C"/>
    <w:rsid w:val="0068382B"/>
    <w:rsid w:val="006844E9"/>
    <w:rsid w:val="00684853"/>
    <w:rsid w:val="00685A1C"/>
    <w:rsid w:val="006869FE"/>
    <w:rsid w:val="00687917"/>
    <w:rsid w:val="0068791B"/>
    <w:rsid w:val="006879F9"/>
    <w:rsid w:val="00687B6A"/>
    <w:rsid w:val="006900B4"/>
    <w:rsid w:val="00690B71"/>
    <w:rsid w:val="006914D0"/>
    <w:rsid w:val="006921AE"/>
    <w:rsid w:val="00692584"/>
    <w:rsid w:val="006936F1"/>
    <w:rsid w:val="0069398B"/>
    <w:rsid w:val="00693DA5"/>
    <w:rsid w:val="00694C75"/>
    <w:rsid w:val="00694D22"/>
    <w:rsid w:val="00695876"/>
    <w:rsid w:val="00696008"/>
    <w:rsid w:val="00696795"/>
    <w:rsid w:val="00696B41"/>
    <w:rsid w:val="00696C47"/>
    <w:rsid w:val="0069752D"/>
    <w:rsid w:val="006979DC"/>
    <w:rsid w:val="006A0006"/>
    <w:rsid w:val="006A011A"/>
    <w:rsid w:val="006A0185"/>
    <w:rsid w:val="006A01C6"/>
    <w:rsid w:val="006A0964"/>
    <w:rsid w:val="006A153B"/>
    <w:rsid w:val="006A1A96"/>
    <w:rsid w:val="006A1BAF"/>
    <w:rsid w:val="006A32DE"/>
    <w:rsid w:val="006A3931"/>
    <w:rsid w:val="006A3CF5"/>
    <w:rsid w:val="006A4538"/>
    <w:rsid w:val="006A4E86"/>
    <w:rsid w:val="006A53F5"/>
    <w:rsid w:val="006A6B8B"/>
    <w:rsid w:val="006A6B94"/>
    <w:rsid w:val="006A720E"/>
    <w:rsid w:val="006A724C"/>
    <w:rsid w:val="006A73E3"/>
    <w:rsid w:val="006A7C67"/>
    <w:rsid w:val="006B0251"/>
    <w:rsid w:val="006B0F58"/>
    <w:rsid w:val="006B1709"/>
    <w:rsid w:val="006B1DD5"/>
    <w:rsid w:val="006B28DB"/>
    <w:rsid w:val="006B3024"/>
    <w:rsid w:val="006B3100"/>
    <w:rsid w:val="006B3139"/>
    <w:rsid w:val="006B3436"/>
    <w:rsid w:val="006B3B89"/>
    <w:rsid w:val="006B3E45"/>
    <w:rsid w:val="006B46FE"/>
    <w:rsid w:val="006B4A83"/>
    <w:rsid w:val="006B4C02"/>
    <w:rsid w:val="006B5102"/>
    <w:rsid w:val="006B64C4"/>
    <w:rsid w:val="006B64E2"/>
    <w:rsid w:val="006B74F9"/>
    <w:rsid w:val="006B7652"/>
    <w:rsid w:val="006B797E"/>
    <w:rsid w:val="006B7B46"/>
    <w:rsid w:val="006C038E"/>
    <w:rsid w:val="006C0760"/>
    <w:rsid w:val="006C0A2C"/>
    <w:rsid w:val="006C0E21"/>
    <w:rsid w:val="006C14DE"/>
    <w:rsid w:val="006C1CBF"/>
    <w:rsid w:val="006C1CE1"/>
    <w:rsid w:val="006C221A"/>
    <w:rsid w:val="006C2A60"/>
    <w:rsid w:val="006C2BEA"/>
    <w:rsid w:val="006C31D7"/>
    <w:rsid w:val="006C370D"/>
    <w:rsid w:val="006C3A29"/>
    <w:rsid w:val="006C3BDE"/>
    <w:rsid w:val="006C3FFF"/>
    <w:rsid w:val="006C45F4"/>
    <w:rsid w:val="006C4CBE"/>
    <w:rsid w:val="006C568F"/>
    <w:rsid w:val="006C595D"/>
    <w:rsid w:val="006C6018"/>
    <w:rsid w:val="006C72A0"/>
    <w:rsid w:val="006C7851"/>
    <w:rsid w:val="006C78AA"/>
    <w:rsid w:val="006C78F7"/>
    <w:rsid w:val="006D0C16"/>
    <w:rsid w:val="006D1452"/>
    <w:rsid w:val="006D2949"/>
    <w:rsid w:val="006D2B88"/>
    <w:rsid w:val="006D3629"/>
    <w:rsid w:val="006D3C9B"/>
    <w:rsid w:val="006D3E4D"/>
    <w:rsid w:val="006D41CE"/>
    <w:rsid w:val="006D4AA2"/>
    <w:rsid w:val="006D567A"/>
    <w:rsid w:val="006D68FE"/>
    <w:rsid w:val="006D7A24"/>
    <w:rsid w:val="006D7E71"/>
    <w:rsid w:val="006D7F06"/>
    <w:rsid w:val="006D7F58"/>
    <w:rsid w:val="006E0662"/>
    <w:rsid w:val="006E0FB7"/>
    <w:rsid w:val="006E14C8"/>
    <w:rsid w:val="006E17D6"/>
    <w:rsid w:val="006E1A51"/>
    <w:rsid w:val="006E1B5B"/>
    <w:rsid w:val="006E21A0"/>
    <w:rsid w:val="006E2ED2"/>
    <w:rsid w:val="006E3093"/>
    <w:rsid w:val="006E31D9"/>
    <w:rsid w:val="006E3DA6"/>
    <w:rsid w:val="006E3FFE"/>
    <w:rsid w:val="006E4ECE"/>
    <w:rsid w:val="006E5133"/>
    <w:rsid w:val="006E5382"/>
    <w:rsid w:val="006E56E8"/>
    <w:rsid w:val="006E590D"/>
    <w:rsid w:val="006E5D4B"/>
    <w:rsid w:val="006E6B94"/>
    <w:rsid w:val="006E7171"/>
    <w:rsid w:val="006E7853"/>
    <w:rsid w:val="006E78D8"/>
    <w:rsid w:val="006E7936"/>
    <w:rsid w:val="006F0C27"/>
    <w:rsid w:val="006F0D79"/>
    <w:rsid w:val="006F0F92"/>
    <w:rsid w:val="006F1DB9"/>
    <w:rsid w:val="006F220A"/>
    <w:rsid w:val="006F2218"/>
    <w:rsid w:val="006F2596"/>
    <w:rsid w:val="006F2B25"/>
    <w:rsid w:val="006F2EC5"/>
    <w:rsid w:val="006F33ED"/>
    <w:rsid w:val="006F3B7F"/>
    <w:rsid w:val="006F40FD"/>
    <w:rsid w:val="006F44C9"/>
    <w:rsid w:val="006F4757"/>
    <w:rsid w:val="006F583B"/>
    <w:rsid w:val="006F589B"/>
    <w:rsid w:val="006F597F"/>
    <w:rsid w:val="006F60B3"/>
    <w:rsid w:val="006F62B5"/>
    <w:rsid w:val="006F63DB"/>
    <w:rsid w:val="006F75A7"/>
    <w:rsid w:val="006F762C"/>
    <w:rsid w:val="006F7B4B"/>
    <w:rsid w:val="00700621"/>
    <w:rsid w:val="00700F3A"/>
    <w:rsid w:val="00702052"/>
    <w:rsid w:val="00702529"/>
    <w:rsid w:val="00702973"/>
    <w:rsid w:val="00702ADF"/>
    <w:rsid w:val="00703066"/>
    <w:rsid w:val="0070350E"/>
    <w:rsid w:val="00703C32"/>
    <w:rsid w:val="0070487D"/>
    <w:rsid w:val="007049EA"/>
    <w:rsid w:val="00704A9A"/>
    <w:rsid w:val="00704F73"/>
    <w:rsid w:val="007050FE"/>
    <w:rsid w:val="00705335"/>
    <w:rsid w:val="00705BB5"/>
    <w:rsid w:val="00705DF7"/>
    <w:rsid w:val="00705F0B"/>
    <w:rsid w:val="00705FF4"/>
    <w:rsid w:val="0070664B"/>
    <w:rsid w:val="00706A5A"/>
    <w:rsid w:val="00706ECD"/>
    <w:rsid w:val="00706F53"/>
    <w:rsid w:val="00707C1D"/>
    <w:rsid w:val="00710432"/>
    <w:rsid w:val="00710670"/>
    <w:rsid w:val="00710A39"/>
    <w:rsid w:val="00710B0C"/>
    <w:rsid w:val="00710D13"/>
    <w:rsid w:val="007111D5"/>
    <w:rsid w:val="00711515"/>
    <w:rsid w:val="0071183F"/>
    <w:rsid w:val="00711C5D"/>
    <w:rsid w:val="00711CEA"/>
    <w:rsid w:val="00711EA5"/>
    <w:rsid w:val="00712296"/>
    <w:rsid w:val="00712491"/>
    <w:rsid w:val="007125E0"/>
    <w:rsid w:val="00712801"/>
    <w:rsid w:val="00712968"/>
    <w:rsid w:val="007129D8"/>
    <w:rsid w:val="007132B7"/>
    <w:rsid w:val="0071380D"/>
    <w:rsid w:val="00714042"/>
    <w:rsid w:val="00714416"/>
    <w:rsid w:val="0071445B"/>
    <w:rsid w:val="0071466B"/>
    <w:rsid w:val="00714C14"/>
    <w:rsid w:val="00714D64"/>
    <w:rsid w:val="00714EA1"/>
    <w:rsid w:val="0071582C"/>
    <w:rsid w:val="007160BF"/>
    <w:rsid w:val="00716D51"/>
    <w:rsid w:val="0071727D"/>
    <w:rsid w:val="00717AD6"/>
    <w:rsid w:val="00717BAD"/>
    <w:rsid w:val="00717F1B"/>
    <w:rsid w:val="00720041"/>
    <w:rsid w:val="007201E5"/>
    <w:rsid w:val="00720EE5"/>
    <w:rsid w:val="0072120D"/>
    <w:rsid w:val="007216F7"/>
    <w:rsid w:val="00721FE0"/>
    <w:rsid w:val="0072236C"/>
    <w:rsid w:val="00722659"/>
    <w:rsid w:val="00722A8E"/>
    <w:rsid w:val="007233B4"/>
    <w:rsid w:val="0072380F"/>
    <w:rsid w:val="0072383A"/>
    <w:rsid w:val="007238A5"/>
    <w:rsid w:val="00723A98"/>
    <w:rsid w:val="007243DC"/>
    <w:rsid w:val="00724A4D"/>
    <w:rsid w:val="00724EDA"/>
    <w:rsid w:val="00724F13"/>
    <w:rsid w:val="00725068"/>
    <w:rsid w:val="007253CF"/>
    <w:rsid w:val="00725470"/>
    <w:rsid w:val="007254A5"/>
    <w:rsid w:val="00725744"/>
    <w:rsid w:val="007257B8"/>
    <w:rsid w:val="00725B26"/>
    <w:rsid w:val="00726198"/>
    <w:rsid w:val="00726BC1"/>
    <w:rsid w:val="00726D9D"/>
    <w:rsid w:val="00726EAB"/>
    <w:rsid w:val="007270D7"/>
    <w:rsid w:val="00730A87"/>
    <w:rsid w:val="00730BE4"/>
    <w:rsid w:val="00730FC3"/>
    <w:rsid w:val="00731C49"/>
    <w:rsid w:val="00732F3C"/>
    <w:rsid w:val="007330EA"/>
    <w:rsid w:val="0073324A"/>
    <w:rsid w:val="00733A99"/>
    <w:rsid w:val="00734381"/>
    <w:rsid w:val="007349BB"/>
    <w:rsid w:val="00734C7F"/>
    <w:rsid w:val="007350C8"/>
    <w:rsid w:val="007350D9"/>
    <w:rsid w:val="007358C2"/>
    <w:rsid w:val="00735BA3"/>
    <w:rsid w:val="00736429"/>
    <w:rsid w:val="007369FC"/>
    <w:rsid w:val="00736A5F"/>
    <w:rsid w:val="00737E5D"/>
    <w:rsid w:val="0074185B"/>
    <w:rsid w:val="0074195F"/>
    <w:rsid w:val="00742252"/>
    <w:rsid w:val="00742256"/>
    <w:rsid w:val="007422BD"/>
    <w:rsid w:val="00742ABD"/>
    <w:rsid w:val="00743135"/>
    <w:rsid w:val="007435F8"/>
    <w:rsid w:val="00743AB3"/>
    <w:rsid w:val="00743B32"/>
    <w:rsid w:val="00743CEA"/>
    <w:rsid w:val="0074493C"/>
    <w:rsid w:val="0074565A"/>
    <w:rsid w:val="00745E1D"/>
    <w:rsid w:val="007466C6"/>
    <w:rsid w:val="00746BA5"/>
    <w:rsid w:val="00746C0C"/>
    <w:rsid w:val="00747E44"/>
    <w:rsid w:val="00747FDA"/>
    <w:rsid w:val="00750590"/>
    <w:rsid w:val="00750675"/>
    <w:rsid w:val="007514CB"/>
    <w:rsid w:val="0075187A"/>
    <w:rsid w:val="007520AA"/>
    <w:rsid w:val="00752AB4"/>
    <w:rsid w:val="007534AC"/>
    <w:rsid w:val="007537FA"/>
    <w:rsid w:val="00753881"/>
    <w:rsid w:val="0075398D"/>
    <w:rsid w:val="007544BA"/>
    <w:rsid w:val="00754D0D"/>
    <w:rsid w:val="00756021"/>
    <w:rsid w:val="00756E78"/>
    <w:rsid w:val="00757461"/>
    <w:rsid w:val="00757AC4"/>
    <w:rsid w:val="00757EF7"/>
    <w:rsid w:val="0076013C"/>
    <w:rsid w:val="007603A9"/>
    <w:rsid w:val="00761092"/>
    <w:rsid w:val="007610C8"/>
    <w:rsid w:val="00761C28"/>
    <w:rsid w:val="00761E44"/>
    <w:rsid w:val="00761EDE"/>
    <w:rsid w:val="0076203C"/>
    <w:rsid w:val="00762580"/>
    <w:rsid w:val="00763865"/>
    <w:rsid w:val="0076489F"/>
    <w:rsid w:val="00765DE8"/>
    <w:rsid w:val="00766170"/>
    <w:rsid w:val="00766506"/>
    <w:rsid w:val="0076669F"/>
    <w:rsid w:val="00766C50"/>
    <w:rsid w:val="00766E15"/>
    <w:rsid w:val="00766F1C"/>
    <w:rsid w:val="00767CBE"/>
    <w:rsid w:val="0077013F"/>
    <w:rsid w:val="00770AF5"/>
    <w:rsid w:val="00771947"/>
    <w:rsid w:val="00771C15"/>
    <w:rsid w:val="0077231B"/>
    <w:rsid w:val="00772782"/>
    <w:rsid w:val="00773DDB"/>
    <w:rsid w:val="007751B7"/>
    <w:rsid w:val="00775333"/>
    <w:rsid w:val="00775655"/>
    <w:rsid w:val="00775839"/>
    <w:rsid w:val="00775971"/>
    <w:rsid w:val="00775CE0"/>
    <w:rsid w:val="00777019"/>
    <w:rsid w:val="00777285"/>
    <w:rsid w:val="00777384"/>
    <w:rsid w:val="007777DC"/>
    <w:rsid w:val="007800D9"/>
    <w:rsid w:val="00780104"/>
    <w:rsid w:val="00780477"/>
    <w:rsid w:val="007805B9"/>
    <w:rsid w:val="007806B0"/>
    <w:rsid w:val="00781068"/>
    <w:rsid w:val="007810FB"/>
    <w:rsid w:val="00781198"/>
    <w:rsid w:val="00781C06"/>
    <w:rsid w:val="00781CBC"/>
    <w:rsid w:val="00782323"/>
    <w:rsid w:val="00782734"/>
    <w:rsid w:val="00782F5D"/>
    <w:rsid w:val="007833DD"/>
    <w:rsid w:val="007835D3"/>
    <w:rsid w:val="007836EB"/>
    <w:rsid w:val="00783EEA"/>
    <w:rsid w:val="00784D3F"/>
    <w:rsid w:val="00784F59"/>
    <w:rsid w:val="007856C8"/>
    <w:rsid w:val="0078579C"/>
    <w:rsid w:val="00786A33"/>
    <w:rsid w:val="00786C87"/>
    <w:rsid w:val="00786ED0"/>
    <w:rsid w:val="00786FAA"/>
    <w:rsid w:val="007875CE"/>
    <w:rsid w:val="00787D3D"/>
    <w:rsid w:val="007906A2"/>
    <w:rsid w:val="0079085B"/>
    <w:rsid w:val="00790D50"/>
    <w:rsid w:val="00791798"/>
    <w:rsid w:val="00791C83"/>
    <w:rsid w:val="00791F8D"/>
    <w:rsid w:val="007920B2"/>
    <w:rsid w:val="0079253C"/>
    <w:rsid w:val="00792BCC"/>
    <w:rsid w:val="007931FE"/>
    <w:rsid w:val="00793637"/>
    <w:rsid w:val="00793747"/>
    <w:rsid w:val="0079398F"/>
    <w:rsid w:val="007939CE"/>
    <w:rsid w:val="00794492"/>
    <w:rsid w:val="00794C31"/>
    <w:rsid w:val="00794F5A"/>
    <w:rsid w:val="0079504B"/>
    <w:rsid w:val="0079524C"/>
    <w:rsid w:val="007953A9"/>
    <w:rsid w:val="007957D9"/>
    <w:rsid w:val="007959F1"/>
    <w:rsid w:val="00795AB6"/>
    <w:rsid w:val="00795E81"/>
    <w:rsid w:val="00796B81"/>
    <w:rsid w:val="00796F91"/>
    <w:rsid w:val="0079761E"/>
    <w:rsid w:val="00797663"/>
    <w:rsid w:val="00797AB2"/>
    <w:rsid w:val="00797F1D"/>
    <w:rsid w:val="007A0320"/>
    <w:rsid w:val="007A0581"/>
    <w:rsid w:val="007A0728"/>
    <w:rsid w:val="007A092A"/>
    <w:rsid w:val="007A1890"/>
    <w:rsid w:val="007A1C3C"/>
    <w:rsid w:val="007A20BE"/>
    <w:rsid w:val="007A2A7A"/>
    <w:rsid w:val="007A3BDC"/>
    <w:rsid w:val="007A3BE5"/>
    <w:rsid w:val="007A6E34"/>
    <w:rsid w:val="007A70B0"/>
    <w:rsid w:val="007A73B6"/>
    <w:rsid w:val="007A76AE"/>
    <w:rsid w:val="007B04A1"/>
    <w:rsid w:val="007B085E"/>
    <w:rsid w:val="007B0A7D"/>
    <w:rsid w:val="007B0A91"/>
    <w:rsid w:val="007B0DCC"/>
    <w:rsid w:val="007B0F28"/>
    <w:rsid w:val="007B1211"/>
    <w:rsid w:val="007B157C"/>
    <w:rsid w:val="007B1786"/>
    <w:rsid w:val="007B2069"/>
    <w:rsid w:val="007B2231"/>
    <w:rsid w:val="007B28B0"/>
    <w:rsid w:val="007B28FA"/>
    <w:rsid w:val="007B2CCB"/>
    <w:rsid w:val="007B2FD2"/>
    <w:rsid w:val="007B3373"/>
    <w:rsid w:val="007B3935"/>
    <w:rsid w:val="007B3AE1"/>
    <w:rsid w:val="007B42B9"/>
    <w:rsid w:val="007B46B9"/>
    <w:rsid w:val="007B4CF3"/>
    <w:rsid w:val="007B509F"/>
    <w:rsid w:val="007B5296"/>
    <w:rsid w:val="007B5768"/>
    <w:rsid w:val="007B6C40"/>
    <w:rsid w:val="007B6E10"/>
    <w:rsid w:val="007B749B"/>
    <w:rsid w:val="007B7800"/>
    <w:rsid w:val="007C08A5"/>
    <w:rsid w:val="007C0F8A"/>
    <w:rsid w:val="007C1215"/>
    <w:rsid w:val="007C1561"/>
    <w:rsid w:val="007C1647"/>
    <w:rsid w:val="007C25F6"/>
    <w:rsid w:val="007C2690"/>
    <w:rsid w:val="007C29AF"/>
    <w:rsid w:val="007C36A9"/>
    <w:rsid w:val="007C412E"/>
    <w:rsid w:val="007C4501"/>
    <w:rsid w:val="007C5A14"/>
    <w:rsid w:val="007D0845"/>
    <w:rsid w:val="007D2677"/>
    <w:rsid w:val="007D2C33"/>
    <w:rsid w:val="007D30A3"/>
    <w:rsid w:val="007D31E7"/>
    <w:rsid w:val="007D33AC"/>
    <w:rsid w:val="007D3EA0"/>
    <w:rsid w:val="007D59ED"/>
    <w:rsid w:val="007D6177"/>
    <w:rsid w:val="007D6298"/>
    <w:rsid w:val="007D6743"/>
    <w:rsid w:val="007D67EA"/>
    <w:rsid w:val="007D6B2C"/>
    <w:rsid w:val="007D6EAD"/>
    <w:rsid w:val="007D76FE"/>
    <w:rsid w:val="007D7EDF"/>
    <w:rsid w:val="007D7F34"/>
    <w:rsid w:val="007E0628"/>
    <w:rsid w:val="007E1081"/>
    <w:rsid w:val="007E15B6"/>
    <w:rsid w:val="007E1799"/>
    <w:rsid w:val="007E1E66"/>
    <w:rsid w:val="007E21FF"/>
    <w:rsid w:val="007E2A32"/>
    <w:rsid w:val="007E3082"/>
    <w:rsid w:val="007E3A05"/>
    <w:rsid w:val="007E3C68"/>
    <w:rsid w:val="007E41AC"/>
    <w:rsid w:val="007E4754"/>
    <w:rsid w:val="007E4A3C"/>
    <w:rsid w:val="007E4BB1"/>
    <w:rsid w:val="007E4C27"/>
    <w:rsid w:val="007E5490"/>
    <w:rsid w:val="007E5D39"/>
    <w:rsid w:val="007E6261"/>
    <w:rsid w:val="007E6AF4"/>
    <w:rsid w:val="007E6ECD"/>
    <w:rsid w:val="007E713B"/>
    <w:rsid w:val="007F0504"/>
    <w:rsid w:val="007F0A73"/>
    <w:rsid w:val="007F0AF2"/>
    <w:rsid w:val="007F0BB3"/>
    <w:rsid w:val="007F0EEA"/>
    <w:rsid w:val="007F178F"/>
    <w:rsid w:val="007F17C0"/>
    <w:rsid w:val="007F238D"/>
    <w:rsid w:val="007F2E76"/>
    <w:rsid w:val="007F326B"/>
    <w:rsid w:val="007F32DA"/>
    <w:rsid w:val="007F32E5"/>
    <w:rsid w:val="007F3590"/>
    <w:rsid w:val="007F3711"/>
    <w:rsid w:val="007F3EF7"/>
    <w:rsid w:val="007F477E"/>
    <w:rsid w:val="007F51CF"/>
    <w:rsid w:val="007F5275"/>
    <w:rsid w:val="007F52C6"/>
    <w:rsid w:val="007F54D8"/>
    <w:rsid w:val="007F579D"/>
    <w:rsid w:val="007F6051"/>
    <w:rsid w:val="007F6F88"/>
    <w:rsid w:val="007F7665"/>
    <w:rsid w:val="00800260"/>
    <w:rsid w:val="008006E4"/>
    <w:rsid w:val="00800A4B"/>
    <w:rsid w:val="00800E41"/>
    <w:rsid w:val="00801063"/>
    <w:rsid w:val="008011AF"/>
    <w:rsid w:val="00801512"/>
    <w:rsid w:val="00802098"/>
    <w:rsid w:val="008021E9"/>
    <w:rsid w:val="00802B46"/>
    <w:rsid w:val="00802BB9"/>
    <w:rsid w:val="00802C45"/>
    <w:rsid w:val="008031F7"/>
    <w:rsid w:val="00803CED"/>
    <w:rsid w:val="00804282"/>
    <w:rsid w:val="0080455E"/>
    <w:rsid w:val="00804BD8"/>
    <w:rsid w:val="00804EAF"/>
    <w:rsid w:val="00805857"/>
    <w:rsid w:val="008076AF"/>
    <w:rsid w:val="00807E2C"/>
    <w:rsid w:val="00810411"/>
    <w:rsid w:val="00811C60"/>
    <w:rsid w:val="008123A1"/>
    <w:rsid w:val="008123B5"/>
    <w:rsid w:val="008123D4"/>
    <w:rsid w:val="00813869"/>
    <w:rsid w:val="00814555"/>
    <w:rsid w:val="00814A36"/>
    <w:rsid w:val="00815143"/>
    <w:rsid w:val="00815BCC"/>
    <w:rsid w:val="00815C62"/>
    <w:rsid w:val="008162CE"/>
    <w:rsid w:val="008165AD"/>
    <w:rsid w:val="00816A70"/>
    <w:rsid w:val="00817023"/>
    <w:rsid w:val="008175D8"/>
    <w:rsid w:val="0081785F"/>
    <w:rsid w:val="00817A08"/>
    <w:rsid w:val="00817EC9"/>
    <w:rsid w:val="008201CE"/>
    <w:rsid w:val="00820F9D"/>
    <w:rsid w:val="008215AB"/>
    <w:rsid w:val="00822E8C"/>
    <w:rsid w:val="008233D9"/>
    <w:rsid w:val="008250B3"/>
    <w:rsid w:val="008252A0"/>
    <w:rsid w:val="00826BCE"/>
    <w:rsid w:val="00826C69"/>
    <w:rsid w:val="00826FE9"/>
    <w:rsid w:val="00827360"/>
    <w:rsid w:val="0083027C"/>
    <w:rsid w:val="00830442"/>
    <w:rsid w:val="00831097"/>
    <w:rsid w:val="008316DE"/>
    <w:rsid w:val="00831CEC"/>
    <w:rsid w:val="00832BE0"/>
    <w:rsid w:val="0083370A"/>
    <w:rsid w:val="00833B56"/>
    <w:rsid w:val="00833FFF"/>
    <w:rsid w:val="00834ECB"/>
    <w:rsid w:val="0083586F"/>
    <w:rsid w:val="00836097"/>
    <w:rsid w:val="00836584"/>
    <w:rsid w:val="00837749"/>
    <w:rsid w:val="00837A65"/>
    <w:rsid w:val="00837EAB"/>
    <w:rsid w:val="00840382"/>
    <w:rsid w:val="00840448"/>
    <w:rsid w:val="008408EA"/>
    <w:rsid w:val="0084129C"/>
    <w:rsid w:val="008412AA"/>
    <w:rsid w:val="00841B40"/>
    <w:rsid w:val="00841D9E"/>
    <w:rsid w:val="00842048"/>
    <w:rsid w:val="00842CE3"/>
    <w:rsid w:val="008436B1"/>
    <w:rsid w:val="00843AF5"/>
    <w:rsid w:val="00843D99"/>
    <w:rsid w:val="00843EA6"/>
    <w:rsid w:val="008449D5"/>
    <w:rsid w:val="00844F93"/>
    <w:rsid w:val="0084509D"/>
    <w:rsid w:val="008468B3"/>
    <w:rsid w:val="00846E2F"/>
    <w:rsid w:val="008471BE"/>
    <w:rsid w:val="008472B6"/>
    <w:rsid w:val="00847540"/>
    <w:rsid w:val="00847CFB"/>
    <w:rsid w:val="00847FB9"/>
    <w:rsid w:val="00850123"/>
    <w:rsid w:val="00850A75"/>
    <w:rsid w:val="00850D3E"/>
    <w:rsid w:val="008512A1"/>
    <w:rsid w:val="008518AC"/>
    <w:rsid w:val="00851930"/>
    <w:rsid w:val="00853273"/>
    <w:rsid w:val="00855205"/>
    <w:rsid w:val="00855A30"/>
    <w:rsid w:val="008562EC"/>
    <w:rsid w:val="008572E2"/>
    <w:rsid w:val="0085731E"/>
    <w:rsid w:val="00857629"/>
    <w:rsid w:val="00857804"/>
    <w:rsid w:val="00857936"/>
    <w:rsid w:val="00857C9B"/>
    <w:rsid w:val="00857D30"/>
    <w:rsid w:val="00857E9F"/>
    <w:rsid w:val="008604DA"/>
    <w:rsid w:val="00860C76"/>
    <w:rsid w:val="00861359"/>
    <w:rsid w:val="0086203B"/>
    <w:rsid w:val="00862CCB"/>
    <w:rsid w:val="00862DD4"/>
    <w:rsid w:val="008630AE"/>
    <w:rsid w:val="008635AE"/>
    <w:rsid w:val="00863AB1"/>
    <w:rsid w:val="00863C3D"/>
    <w:rsid w:val="008641CD"/>
    <w:rsid w:val="008647BF"/>
    <w:rsid w:val="00864D9C"/>
    <w:rsid w:val="00865571"/>
    <w:rsid w:val="00865A2E"/>
    <w:rsid w:val="00865A3D"/>
    <w:rsid w:val="00865F23"/>
    <w:rsid w:val="00866485"/>
    <w:rsid w:val="00867070"/>
    <w:rsid w:val="0086716B"/>
    <w:rsid w:val="0086729E"/>
    <w:rsid w:val="008709AB"/>
    <w:rsid w:val="00871B1B"/>
    <w:rsid w:val="00872A9C"/>
    <w:rsid w:val="008733B6"/>
    <w:rsid w:val="008738C4"/>
    <w:rsid w:val="0087399C"/>
    <w:rsid w:val="00873A96"/>
    <w:rsid w:val="00873E20"/>
    <w:rsid w:val="00873E81"/>
    <w:rsid w:val="008743CB"/>
    <w:rsid w:val="0087458F"/>
    <w:rsid w:val="00874E3A"/>
    <w:rsid w:val="00875CB6"/>
    <w:rsid w:val="00875EAC"/>
    <w:rsid w:val="00876073"/>
    <w:rsid w:val="00876083"/>
    <w:rsid w:val="008764A7"/>
    <w:rsid w:val="008767C3"/>
    <w:rsid w:val="008767DB"/>
    <w:rsid w:val="00877DFB"/>
    <w:rsid w:val="00877FEC"/>
    <w:rsid w:val="008803E9"/>
    <w:rsid w:val="00880877"/>
    <w:rsid w:val="0088185E"/>
    <w:rsid w:val="00881AF4"/>
    <w:rsid w:val="00882A2A"/>
    <w:rsid w:val="00882FBB"/>
    <w:rsid w:val="00883B35"/>
    <w:rsid w:val="00883D4B"/>
    <w:rsid w:val="00883E86"/>
    <w:rsid w:val="008840A0"/>
    <w:rsid w:val="0088440D"/>
    <w:rsid w:val="00884DC1"/>
    <w:rsid w:val="00884DFD"/>
    <w:rsid w:val="008851DB"/>
    <w:rsid w:val="008851E5"/>
    <w:rsid w:val="008853B3"/>
    <w:rsid w:val="00885A0F"/>
    <w:rsid w:val="00885AE8"/>
    <w:rsid w:val="00885B8F"/>
    <w:rsid w:val="00885C89"/>
    <w:rsid w:val="00886401"/>
    <w:rsid w:val="00886C20"/>
    <w:rsid w:val="00887747"/>
    <w:rsid w:val="00891639"/>
    <w:rsid w:val="0089296E"/>
    <w:rsid w:val="00892A0D"/>
    <w:rsid w:val="00892F83"/>
    <w:rsid w:val="00893582"/>
    <w:rsid w:val="00893874"/>
    <w:rsid w:val="00893B34"/>
    <w:rsid w:val="00893D13"/>
    <w:rsid w:val="00893F9D"/>
    <w:rsid w:val="008943EF"/>
    <w:rsid w:val="00894810"/>
    <w:rsid w:val="00894A84"/>
    <w:rsid w:val="00894E0E"/>
    <w:rsid w:val="00895279"/>
    <w:rsid w:val="008960A2"/>
    <w:rsid w:val="008961BC"/>
    <w:rsid w:val="00897183"/>
    <w:rsid w:val="00897779"/>
    <w:rsid w:val="00897FC8"/>
    <w:rsid w:val="008A06A2"/>
    <w:rsid w:val="008A081B"/>
    <w:rsid w:val="008A0AC2"/>
    <w:rsid w:val="008A0BB3"/>
    <w:rsid w:val="008A0F20"/>
    <w:rsid w:val="008A14D1"/>
    <w:rsid w:val="008A177A"/>
    <w:rsid w:val="008A1BEC"/>
    <w:rsid w:val="008A233C"/>
    <w:rsid w:val="008A2B44"/>
    <w:rsid w:val="008A2C98"/>
    <w:rsid w:val="008A2D5C"/>
    <w:rsid w:val="008A30A9"/>
    <w:rsid w:val="008A31DD"/>
    <w:rsid w:val="008A320A"/>
    <w:rsid w:val="008A3805"/>
    <w:rsid w:val="008A4092"/>
    <w:rsid w:val="008A5244"/>
    <w:rsid w:val="008A53A6"/>
    <w:rsid w:val="008A545C"/>
    <w:rsid w:val="008A5657"/>
    <w:rsid w:val="008A59A1"/>
    <w:rsid w:val="008A605E"/>
    <w:rsid w:val="008A6343"/>
    <w:rsid w:val="008A6372"/>
    <w:rsid w:val="008A64CB"/>
    <w:rsid w:val="008A6953"/>
    <w:rsid w:val="008A6A8A"/>
    <w:rsid w:val="008A70C8"/>
    <w:rsid w:val="008A7455"/>
    <w:rsid w:val="008A748B"/>
    <w:rsid w:val="008B057A"/>
    <w:rsid w:val="008B0A5D"/>
    <w:rsid w:val="008B0BE9"/>
    <w:rsid w:val="008B16A6"/>
    <w:rsid w:val="008B1871"/>
    <w:rsid w:val="008B19C4"/>
    <w:rsid w:val="008B1FB4"/>
    <w:rsid w:val="008B2B51"/>
    <w:rsid w:val="008B52CB"/>
    <w:rsid w:val="008B60BA"/>
    <w:rsid w:val="008B66E2"/>
    <w:rsid w:val="008B6804"/>
    <w:rsid w:val="008B71D8"/>
    <w:rsid w:val="008B7429"/>
    <w:rsid w:val="008B7651"/>
    <w:rsid w:val="008B7D54"/>
    <w:rsid w:val="008C0059"/>
    <w:rsid w:val="008C02E7"/>
    <w:rsid w:val="008C0724"/>
    <w:rsid w:val="008C0CAE"/>
    <w:rsid w:val="008C0F6F"/>
    <w:rsid w:val="008C1834"/>
    <w:rsid w:val="008C1B72"/>
    <w:rsid w:val="008C1EAF"/>
    <w:rsid w:val="008C2476"/>
    <w:rsid w:val="008C39E9"/>
    <w:rsid w:val="008C52BF"/>
    <w:rsid w:val="008C55A3"/>
    <w:rsid w:val="008C5C2D"/>
    <w:rsid w:val="008C60EE"/>
    <w:rsid w:val="008C67BE"/>
    <w:rsid w:val="008C67BF"/>
    <w:rsid w:val="008C6C62"/>
    <w:rsid w:val="008C6DC9"/>
    <w:rsid w:val="008C6E8F"/>
    <w:rsid w:val="008C7113"/>
    <w:rsid w:val="008C7A6F"/>
    <w:rsid w:val="008D059C"/>
    <w:rsid w:val="008D0AA1"/>
    <w:rsid w:val="008D1B68"/>
    <w:rsid w:val="008D2945"/>
    <w:rsid w:val="008D2975"/>
    <w:rsid w:val="008D29A5"/>
    <w:rsid w:val="008D2A3B"/>
    <w:rsid w:val="008D2B85"/>
    <w:rsid w:val="008D3577"/>
    <w:rsid w:val="008D38DE"/>
    <w:rsid w:val="008D3BA5"/>
    <w:rsid w:val="008D45A8"/>
    <w:rsid w:val="008D47B3"/>
    <w:rsid w:val="008D48BF"/>
    <w:rsid w:val="008D48D4"/>
    <w:rsid w:val="008D5504"/>
    <w:rsid w:val="008D5571"/>
    <w:rsid w:val="008D55B4"/>
    <w:rsid w:val="008D56AB"/>
    <w:rsid w:val="008D5912"/>
    <w:rsid w:val="008D5AB9"/>
    <w:rsid w:val="008D6584"/>
    <w:rsid w:val="008D6FE2"/>
    <w:rsid w:val="008D70E9"/>
    <w:rsid w:val="008D77CA"/>
    <w:rsid w:val="008D78F7"/>
    <w:rsid w:val="008D7C40"/>
    <w:rsid w:val="008E06ED"/>
    <w:rsid w:val="008E0784"/>
    <w:rsid w:val="008E1C74"/>
    <w:rsid w:val="008E28E9"/>
    <w:rsid w:val="008E29EA"/>
    <w:rsid w:val="008E378D"/>
    <w:rsid w:val="008E42E1"/>
    <w:rsid w:val="008E4B6C"/>
    <w:rsid w:val="008E5154"/>
    <w:rsid w:val="008E5901"/>
    <w:rsid w:val="008E5916"/>
    <w:rsid w:val="008E5ADA"/>
    <w:rsid w:val="008E62F2"/>
    <w:rsid w:val="008E63C9"/>
    <w:rsid w:val="008E6739"/>
    <w:rsid w:val="008E6BC0"/>
    <w:rsid w:val="008E741A"/>
    <w:rsid w:val="008E7BBA"/>
    <w:rsid w:val="008F0147"/>
    <w:rsid w:val="008F0737"/>
    <w:rsid w:val="008F0FAA"/>
    <w:rsid w:val="008F1330"/>
    <w:rsid w:val="008F2010"/>
    <w:rsid w:val="008F3068"/>
    <w:rsid w:val="008F3225"/>
    <w:rsid w:val="008F38EE"/>
    <w:rsid w:val="008F3A37"/>
    <w:rsid w:val="008F3E14"/>
    <w:rsid w:val="008F3FBC"/>
    <w:rsid w:val="008F43C4"/>
    <w:rsid w:val="008F6220"/>
    <w:rsid w:val="008F62CF"/>
    <w:rsid w:val="008F6382"/>
    <w:rsid w:val="008F65F8"/>
    <w:rsid w:val="008F68EF"/>
    <w:rsid w:val="008F7C99"/>
    <w:rsid w:val="00900A66"/>
    <w:rsid w:val="00901571"/>
    <w:rsid w:val="009015EC"/>
    <w:rsid w:val="009018C6"/>
    <w:rsid w:val="0090206E"/>
    <w:rsid w:val="00902560"/>
    <w:rsid w:val="00903292"/>
    <w:rsid w:val="00903587"/>
    <w:rsid w:val="00903911"/>
    <w:rsid w:val="00903B2B"/>
    <w:rsid w:val="00905C75"/>
    <w:rsid w:val="00905CEA"/>
    <w:rsid w:val="00906BB7"/>
    <w:rsid w:val="00906EB5"/>
    <w:rsid w:val="00907A1D"/>
    <w:rsid w:val="00910091"/>
    <w:rsid w:val="00910166"/>
    <w:rsid w:val="009108A2"/>
    <w:rsid w:val="00910A9D"/>
    <w:rsid w:val="00911222"/>
    <w:rsid w:val="00911619"/>
    <w:rsid w:val="009122D6"/>
    <w:rsid w:val="00912873"/>
    <w:rsid w:val="00912A2E"/>
    <w:rsid w:val="009131AA"/>
    <w:rsid w:val="009135C4"/>
    <w:rsid w:val="00914096"/>
    <w:rsid w:val="0091427E"/>
    <w:rsid w:val="00915F07"/>
    <w:rsid w:val="00917E50"/>
    <w:rsid w:val="0092023B"/>
    <w:rsid w:val="009207B9"/>
    <w:rsid w:val="009207CB"/>
    <w:rsid w:val="009213C4"/>
    <w:rsid w:val="00921651"/>
    <w:rsid w:val="00921ED6"/>
    <w:rsid w:val="00923553"/>
    <w:rsid w:val="00923893"/>
    <w:rsid w:val="00923B84"/>
    <w:rsid w:val="00923D9E"/>
    <w:rsid w:val="0092535D"/>
    <w:rsid w:val="00925508"/>
    <w:rsid w:val="00925741"/>
    <w:rsid w:val="009258AC"/>
    <w:rsid w:val="00926341"/>
    <w:rsid w:val="009263D8"/>
    <w:rsid w:val="0092669D"/>
    <w:rsid w:val="00927215"/>
    <w:rsid w:val="00927B21"/>
    <w:rsid w:val="00927DD8"/>
    <w:rsid w:val="009300E1"/>
    <w:rsid w:val="009302A9"/>
    <w:rsid w:val="00930CBA"/>
    <w:rsid w:val="00930CE8"/>
    <w:rsid w:val="009310DA"/>
    <w:rsid w:val="00931300"/>
    <w:rsid w:val="0093147D"/>
    <w:rsid w:val="00931697"/>
    <w:rsid w:val="00931F28"/>
    <w:rsid w:val="00932877"/>
    <w:rsid w:val="00932F68"/>
    <w:rsid w:val="00933E6B"/>
    <w:rsid w:val="00934205"/>
    <w:rsid w:val="00934899"/>
    <w:rsid w:val="00934A31"/>
    <w:rsid w:val="00934A8E"/>
    <w:rsid w:val="00934BB7"/>
    <w:rsid w:val="00934C38"/>
    <w:rsid w:val="009362DE"/>
    <w:rsid w:val="009363FD"/>
    <w:rsid w:val="009365C7"/>
    <w:rsid w:val="00936850"/>
    <w:rsid w:val="009375F9"/>
    <w:rsid w:val="00937972"/>
    <w:rsid w:val="00937B19"/>
    <w:rsid w:val="00937CCC"/>
    <w:rsid w:val="009401A3"/>
    <w:rsid w:val="009402C9"/>
    <w:rsid w:val="00940457"/>
    <w:rsid w:val="0094055A"/>
    <w:rsid w:val="00940F5C"/>
    <w:rsid w:val="00941BB3"/>
    <w:rsid w:val="00942083"/>
    <w:rsid w:val="009423D8"/>
    <w:rsid w:val="0094277E"/>
    <w:rsid w:val="009430A2"/>
    <w:rsid w:val="00943140"/>
    <w:rsid w:val="00943183"/>
    <w:rsid w:val="00943EB5"/>
    <w:rsid w:val="00944536"/>
    <w:rsid w:val="00944965"/>
    <w:rsid w:val="009454F3"/>
    <w:rsid w:val="00945FD4"/>
    <w:rsid w:val="0094612F"/>
    <w:rsid w:val="00946223"/>
    <w:rsid w:val="0094645C"/>
    <w:rsid w:val="00946608"/>
    <w:rsid w:val="0094661E"/>
    <w:rsid w:val="00946BFA"/>
    <w:rsid w:val="009472D4"/>
    <w:rsid w:val="009478D0"/>
    <w:rsid w:val="00947E43"/>
    <w:rsid w:val="00950304"/>
    <w:rsid w:val="009503A5"/>
    <w:rsid w:val="009505C8"/>
    <w:rsid w:val="00950FB6"/>
    <w:rsid w:val="00951149"/>
    <w:rsid w:val="00951438"/>
    <w:rsid w:val="00951AAB"/>
    <w:rsid w:val="00951F8B"/>
    <w:rsid w:val="0095297A"/>
    <w:rsid w:val="00952D30"/>
    <w:rsid w:val="00953910"/>
    <w:rsid w:val="00953EE8"/>
    <w:rsid w:val="00955348"/>
    <w:rsid w:val="00955D3D"/>
    <w:rsid w:val="00956849"/>
    <w:rsid w:val="009568E1"/>
    <w:rsid w:val="00956DF3"/>
    <w:rsid w:val="00957548"/>
    <w:rsid w:val="009577B0"/>
    <w:rsid w:val="0096027C"/>
    <w:rsid w:val="00960583"/>
    <w:rsid w:val="00960B2E"/>
    <w:rsid w:val="00961269"/>
    <w:rsid w:val="00961F07"/>
    <w:rsid w:val="0096275E"/>
    <w:rsid w:val="009628B8"/>
    <w:rsid w:val="00962DEB"/>
    <w:rsid w:val="0096320D"/>
    <w:rsid w:val="0096322F"/>
    <w:rsid w:val="00965476"/>
    <w:rsid w:val="00966563"/>
    <w:rsid w:val="009667A5"/>
    <w:rsid w:val="009669E7"/>
    <w:rsid w:val="0096704C"/>
    <w:rsid w:val="00967AAC"/>
    <w:rsid w:val="00971FE2"/>
    <w:rsid w:val="009723DC"/>
    <w:rsid w:val="009724A7"/>
    <w:rsid w:val="00972AAF"/>
    <w:rsid w:val="00972E05"/>
    <w:rsid w:val="00973378"/>
    <w:rsid w:val="0097359D"/>
    <w:rsid w:val="009742B2"/>
    <w:rsid w:val="009742CC"/>
    <w:rsid w:val="009751C9"/>
    <w:rsid w:val="00975616"/>
    <w:rsid w:val="00975D34"/>
    <w:rsid w:val="00976519"/>
    <w:rsid w:val="00976D27"/>
    <w:rsid w:val="0098051E"/>
    <w:rsid w:val="009814A1"/>
    <w:rsid w:val="00981ECF"/>
    <w:rsid w:val="009820F9"/>
    <w:rsid w:val="0098247D"/>
    <w:rsid w:val="00982EAD"/>
    <w:rsid w:val="0098397F"/>
    <w:rsid w:val="00983DB9"/>
    <w:rsid w:val="00984374"/>
    <w:rsid w:val="0098573D"/>
    <w:rsid w:val="009858AF"/>
    <w:rsid w:val="00986294"/>
    <w:rsid w:val="0098652D"/>
    <w:rsid w:val="009874D3"/>
    <w:rsid w:val="00987E60"/>
    <w:rsid w:val="00987F2E"/>
    <w:rsid w:val="009904BF"/>
    <w:rsid w:val="009907FA"/>
    <w:rsid w:val="00990C11"/>
    <w:rsid w:val="00990C7C"/>
    <w:rsid w:val="009910F2"/>
    <w:rsid w:val="00991294"/>
    <w:rsid w:val="00992033"/>
    <w:rsid w:val="009920FC"/>
    <w:rsid w:val="00992C63"/>
    <w:rsid w:val="009938AE"/>
    <w:rsid w:val="00993B9A"/>
    <w:rsid w:val="00993E17"/>
    <w:rsid w:val="00994530"/>
    <w:rsid w:val="009945E2"/>
    <w:rsid w:val="009947E5"/>
    <w:rsid w:val="00995317"/>
    <w:rsid w:val="009961CA"/>
    <w:rsid w:val="009967CE"/>
    <w:rsid w:val="00996A86"/>
    <w:rsid w:val="00996EB1"/>
    <w:rsid w:val="009975B6"/>
    <w:rsid w:val="00997CEA"/>
    <w:rsid w:val="009A0C9A"/>
    <w:rsid w:val="009A0F36"/>
    <w:rsid w:val="009A1362"/>
    <w:rsid w:val="009A142E"/>
    <w:rsid w:val="009A1537"/>
    <w:rsid w:val="009A2228"/>
    <w:rsid w:val="009A2428"/>
    <w:rsid w:val="009A2433"/>
    <w:rsid w:val="009A27EF"/>
    <w:rsid w:val="009A2EC1"/>
    <w:rsid w:val="009A318F"/>
    <w:rsid w:val="009A41E1"/>
    <w:rsid w:val="009A4645"/>
    <w:rsid w:val="009A4DAF"/>
    <w:rsid w:val="009A537B"/>
    <w:rsid w:val="009A566E"/>
    <w:rsid w:val="009A56DC"/>
    <w:rsid w:val="009A57B2"/>
    <w:rsid w:val="009A5B51"/>
    <w:rsid w:val="009A5C64"/>
    <w:rsid w:val="009A6CD4"/>
    <w:rsid w:val="009A6DC0"/>
    <w:rsid w:val="009A79C3"/>
    <w:rsid w:val="009A7DD8"/>
    <w:rsid w:val="009A7F71"/>
    <w:rsid w:val="009B07EB"/>
    <w:rsid w:val="009B0D0F"/>
    <w:rsid w:val="009B1A2B"/>
    <w:rsid w:val="009B1DB8"/>
    <w:rsid w:val="009B1E10"/>
    <w:rsid w:val="009B20EE"/>
    <w:rsid w:val="009B29B4"/>
    <w:rsid w:val="009B2A73"/>
    <w:rsid w:val="009B30C5"/>
    <w:rsid w:val="009B3723"/>
    <w:rsid w:val="009B4ABA"/>
    <w:rsid w:val="009B4CF1"/>
    <w:rsid w:val="009B4CF2"/>
    <w:rsid w:val="009B4F6A"/>
    <w:rsid w:val="009B59D0"/>
    <w:rsid w:val="009B5B38"/>
    <w:rsid w:val="009B5FB0"/>
    <w:rsid w:val="009B64BB"/>
    <w:rsid w:val="009B705F"/>
    <w:rsid w:val="009B76A3"/>
    <w:rsid w:val="009B773C"/>
    <w:rsid w:val="009C00B6"/>
    <w:rsid w:val="009C04B2"/>
    <w:rsid w:val="009C06E9"/>
    <w:rsid w:val="009C122A"/>
    <w:rsid w:val="009C122E"/>
    <w:rsid w:val="009C1E96"/>
    <w:rsid w:val="009C1EEA"/>
    <w:rsid w:val="009C202A"/>
    <w:rsid w:val="009C2506"/>
    <w:rsid w:val="009C2529"/>
    <w:rsid w:val="009C2F6C"/>
    <w:rsid w:val="009C32A3"/>
    <w:rsid w:val="009C44D3"/>
    <w:rsid w:val="009C4C5B"/>
    <w:rsid w:val="009C4F08"/>
    <w:rsid w:val="009C4FFF"/>
    <w:rsid w:val="009C5417"/>
    <w:rsid w:val="009C58CA"/>
    <w:rsid w:val="009C5DF4"/>
    <w:rsid w:val="009C5F08"/>
    <w:rsid w:val="009C6047"/>
    <w:rsid w:val="009C6EC9"/>
    <w:rsid w:val="009C7848"/>
    <w:rsid w:val="009C78C8"/>
    <w:rsid w:val="009C7C73"/>
    <w:rsid w:val="009D0ED1"/>
    <w:rsid w:val="009D1058"/>
    <w:rsid w:val="009D1451"/>
    <w:rsid w:val="009D1C35"/>
    <w:rsid w:val="009D1D12"/>
    <w:rsid w:val="009D1E08"/>
    <w:rsid w:val="009D275D"/>
    <w:rsid w:val="009D2C02"/>
    <w:rsid w:val="009D305A"/>
    <w:rsid w:val="009D30E8"/>
    <w:rsid w:val="009D3A35"/>
    <w:rsid w:val="009D3BA5"/>
    <w:rsid w:val="009D3CF7"/>
    <w:rsid w:val="009D4AAD"/>
    <w:rsid w:val="009D56A9"/>
    <w:rsid w:val="009D5ECC"/>
    <w:rsid w:val="009D7428"/>
    <w:rsid w:val="009D7D33"/>
    <w:rsid w:val="009E00DC"/>
    <w:rsid w:val="009E0147"/>
    <w:rsid w:val="009E07B5"/>
    <w:rsid w:val="009E105E"/>
    <w:rsid w:val="009E184E"/>
    <w:rsid w:val="009E1EB2"/>
    <w:rsid w:val="009E1F01"/>
    <w:rsid w:val="009E4239"/>
    <w:rsid w:val="009E4A08"/>
    <w:rsid w:val="009E5073"/>
    <w:rsid w:val="009E52AE"/>
    <w:rsid w:val="009E6639"/>
    <w:rsid w:val="009F0257"/>
    <w:rsid w:val="009F02D9"/>
    <w:rsid w:val="009F03FB"/>
    <w:rsid w:val="009F1008"/>
    <w:rsid w:val="009F16D0"/>
    <w:rsid w:val="009F177A"/>
    <w:rsid w:val="009F1C41"/>
    <w:rsid w:val="009F1CA0"/>
    <w:rsid w:val="009F271A"/>
    <w:rsid w:val="009F54E4"/>
    <w:rsid w:val="009F65A5"/>
    <w:rsid w:val="009F6A24"/>
    <w:rsid w:val="00A00BBA"/>
    <w:rsid w:val="00A00BD9"/>
    <w:rsid w:val="00A00D73"/>
    <w:rsid w:val="00A00E7E"/>
    <w:rsid w:val="00A00ED6"/>
    <w:rsid w:val="00A01921"/>
    <w:rsid w:val="00A01A44"/>
    <w:rsid w:val="00A02AA9"/>
    <w:rsid w:val="00A02B26"/>
    <w:rsid w:val="00A0352A"/>
    <w:rsid w:val="00A03FC9"/>
    <w:rsid w:val="00A0424F"/>
    <w:rsid w:val="00A04254"/>
    <w:rsid w:val="00A043D2"/>
    <w:rsid w:val="00A0534C"/>
    <w:rsid w:val="00A058D6"/>
    <w:rsid w:val="00A059B4"/>
    <w:rsid w:val="00A05DDF"/>
    <w:rsid w:val="00A05F28"/>
    <w:rsid w:val="00A06E17"/>
    <w:rsid w:val="00A07112"/>
    <w:rsid w:val="00A07C0C"/>
    <w:rsid w:val="00A07E5B"/>
    <w:rsid w:val="00A10607"/>
    <w:rsid w:val="00A10923"/>
    <w:rsid w:val="00A10D2E"/>
    <w:rsid w:val="00A110C4"/>
    <w:rsid w:val="00A11519"/>
    <w:rsid w:val="00A11C5B"/>
    <w:rsid w:val="00A11CB0"/>
    <w:rsid w:val="00A1297E"/>
    <w:rsid w:val="00A13834"/>
    <w:rsid w:val="00A13A3B"/>
    <w:rsid w:val="00A13CBB"/>
    <w:rsid w:val="00A14A72"/>
    <w:rsid w:val="00A14D20"/>
    <w:rsid w:val="00A151E7"/>
    <w:rsid w:val="00A15554"/>
    <w:rsid w:val="00A156F8"/>
    <w:rsid w:val="00A15771"/>
    <w:rsid w:val="00A16382"/>
    <w:rsid w:val="00A16E5B"/>
    <w:rsid w:val="00A1788D"/>
    <w:rsid w:val="00A17AE2"/>
    <w:rsid w:val="00A17C80"/>
    <w:rsid w:val="00A20102"/>
    <w:rsid w:val="00A2023B"/>
    <w:rsid w:val="00A2069C"/>
    <w:rsid w:val="00A20B13"/>
    <w:rsid w:val="00A21A2D"/>
    <w:rsid w:val="00A21B8D"/>
    <w:rsid w:val="00A220A0"/>
    <w:rsid w:val="00A22515"/>
    <w:rsid w:val="00A2342F"/>
    <w:rsid w:val="00A2356D"/>
    <w:rsid w:val="00A23617"/>
    <w:rsid w:val="00A246B2"/>
    <w:rsid w:val="00A25343"/>
    <w:rsid w:val="00A25C6B"/>
    <w:rsid w:val="00A25F7A"/>
    <w:rsid w:val="00A267B7"/>
    <w:rsid w:val="00A26C21"/>
    <w:rsid w:val="00A26C53"/>
    <w:rsid w:val="00A276B9"/>
    <w:rsid w:val="00A277CC"/>
    <w:rsid w:val="00A30BF5"/>
    <w:rsid w:val="00A31415"/>
    <w:rsid w:val="00A320CA"/>
    <w:rsid w:val="00A32183"/>
    <w:rsid w:val="00A32AF7"/>
    <w:rsid w:val="00A331B8"/>
    <w:rsid w:val="00A333B6"/>
    <w:rsid w:val="00A33C1D"/>
    <w:rsid w:val="00A3537B"/>
    <w:rsid w:val="00A35F78"/>
    <w:rsid w:val="00A36264"/>
    <w:rsid w:val="00A3635B"/>
    <w:rsid w:val="00A364EB"/>
    <w:rsid w:val="00A36C8A"/>
    <w:rsid w:val="00A409F0"/>
    <w:rsid w:val="00A412DC"/>
    <w:rsid w:val="00A41573"/>
    <w:rsid w:val="00A419D5"/>
    <w:rsid w:val="00A41AA3"/>
    <w:rsid w:val="00A41BEF"/>
    <w:rsid w:val="00A41D69"/>
    <w:rsid w:val="00A42B49"/>
    <w:rsid w:val="00A42EC2"/>
    <w:rsid w:val="00A43741"/>
    <w:rsid w:val="00A441B9"/>
    <w:rsid w:val="00A449A8"/>
    <w:rsid w:val="00A44B64"/>
    <w:rsid w:val="00A44F47"/>
    <w:rsid w:val="00A4641A"/>
    <w:rsid w:val="00A46D45"/>
    <w:rsid w:val="00A47090"/>
    <w:rsid w:val="00A47879"/>
    <w:rsid w:val="00A47A11"/>
    <w:rsid w:val="00A50249"/>
    <w:rsid w:val="00A528A6"/>
    <w:rsid w:val="00A52E64"/>
    <w:rsid w:val="00A52F97"/>
    <w:rsid w:val="00A5344D"/>
    <w:rsid w:val="00A536F0"/>
    <w:rsid w:val="00A53E6C"/>
    <w:rsid w:val="00A54BA5"/>
    <w:rsid w:val="00A54CC8"/>
    <w:rsid w:val="00A55018"/>
    <w:rsid w:val="00A55122"/>
    <w:rsid w:val="00A552CB"/>
    <w:rsid w:val="00A5582D"/>
    <w:rsid w:val="00A56593"/>
    <w:rsid w:val="00A56F40"/>
    <w:rsid w:val="00A578C8"/>
    <w:rsid w:val="00A57A52"/>
    <w:rsid w:val="00A60191"/>
    <w:rsid w:val="00A60762"/>
    <w:rsid w:val="00A60BE6"/>
    <w:rsid w:val="00A61DED"/>
    <w:rsid w:val="00A62401"/>
    <w:rsid w:val="00A62833"/>
    <w:rsid w:val="00A62FCD"/>
    <w:rsid w:val="00A63F21"/>
    <w:rsid w:val="00A646D8"/>
    <w:rsid w:val="00A647A9"/>
    <w:rsid w:val="00A64A20"/>
    <w:rsid w:val="00A65651"/>
    <w:rsid w:val="00A65C8B"/>
    <w:rsid w:val="00A65E43"/>
    <w:rsid w:val="00A66609"/>
    <w:rsid w:val="00A66708"/>
    <w:rsid w:val="00A66A5C"/>
    <w:rsid w:val="00A67454"/>
    <w:rsid w:val="00A67967"/>
    <w:rsid w:val="00A7021F"/>
    <w:rsid w:val="00A7054A"/>
    <w:rsid w:val="00A70FAA"/>
    <w:rsid w:val="00A70FAE"/>
    <w:rsid w:val="00A7107F"/>
    <w:rsid w:val="00A7114D"/>
    <w:rsid w:val="00A7170D"/>
    <w:rsid w:val="00A71B67"/>
    <w:rsid w:val="00A71D77"/>
    <w:rsid w:val="00A72C25"/>
    <w:rsid w:val="00A72E80"/>
    <w:rsid w:val="00A732B8"/>
    <w:rsid w:val="00A73C24"/>
    <w:rsid w:val="00A73EB6"/>
    <w:rsid w:val="00A7430F"/>
    <w:rsid w:val="00A745C2"/>
    <w:rsid w:val="00A74D25"/>
    <w:rsid w:val="00A753A4"/>
    <w:rsid w:val="00A75766"/>
    <w:rsid w:val="00A75D8F"/>
    <w:rsid w:val="00A75FFB"/>
    <w:rsid w:val="00A765E7"/>
    <w:rsid w:val="00A76871"/>
    <w:rsid w:val="00A76A8F"/>
    <w:rsid w:val="00A76C4D"/>
    <w:rsid w:val="00A77493"/>
    <w:rsid w:val="00A7793C"/>
    <w:rsid w:val="00A8052E"/>
    <w:rsid w:val="00A80F99"/>
    <w:rsid w:val="00A817B4"/>
    <w:rsid w:val="00A81868"/>
    <w:rsid w:val="00A82033"/>
    <w:rsid w:val="00A8205F"/>
    <w:rsid w:val="00A82633"/>
    <w:rsid w:val="00A82E05"/>
    <w:rsid w:val="00A8338F"/>
    <w:rsid w:val="00A8439A"/>
    <w:rsid w:val="00A845EF"/>
    <w:rsid w:val="00A85603"/>
    <w:rsid w:val="00A8588D"/>
    <w:rsid w:val="00A87069"/>
    <w:rsid w:val="00A8735B"/>
    <w:rsid w:val="00A876D1"/>
    <w:rsid w:val="00A87818"/>
    <w:rsid w:val="00A90356"/>
    <w:rsid w:val="00A9057B"/>
    <w:rsid w:val="00A9094C"/>
    <w:rsid w:val="00A90DDD"/>
    <w:rsid w:val="00A91CEC"/>
    <w:rsid w:val="00A928D5"/>
    <w:rsid w:val="00A92F59"/>
    <w:rsid w:val="00A933EA"/>
    <w:rsid w:val="00A93591"/>
    <w:rsid w:val="00A93D70"/>
    <w:rsid w:val="00A94383"/>
    <w:rsid w:val="00A969F2"/>
    <w:rsid w:val="00A97256"/>
    <w:rsid w:val="00A97325"/>
    <w:rsid w:val="00A978C1"/>
    <w:rsid w:val="00AA016A"/>
    <w:rsid w:val="00AA02D2"/>
    <w:rsid w:val="00AA0703"/>
    <w:rsid w:val="00AA093F"/>
    <w:rsid w:val="00AA0AA5"/>
    <w:rsid w:val="00AA0CC0"/>
    <w:rsid w:val="00AA164E"/>
    <w:rsid w:val="00AA1AFA"/>
    <w:rsid w:val="00AA1F12"/>
    <w:rsid w:val="00AA26B4"/>
    <w:rsid w:val="00AA2785"/>
    <w:rsid w:val="00AA35C2"/>
    <w:rsid w:val="00AA43A8"/>
    <w:rsid w:val="00AA4BB9"/>
    <w:rsid w:val="00AA4C58"/>
    <w:rsid w:val="00AA5BBA"/>
    <w:rsid w:val="00AA6981"/>
    <w:rsid w:val="00AA69D5"/>
    <w:rsid w:val="00AA6BA7"/>
    <w:rsid w:val="00AA7827"/>
    <w:rsid w:val="00AA79D4"/>
    <w:rsid w:val="00AB02AF"/>
    <w:rsid w:val="00AB0D30"/>
    <w:rsid w:val="00AB1E16"/>
    <w:rsid w:val="00AB1F58"/>
    <w:rsid w:val="00AB2123"/>
    <w:rsid w:val="00AB24F4"/>
    <w:rsid w:val="00AB25F7"/>
    <w:rsid w:val="00AB30F4"/>
    <w:rsid w:val="00AB336A"/>
    <w:rsid w:val="00AB39FC"/>
    <w:rsid w:val="00AB40AE"/>
    <w:rsid w:val="00AB4462"/>
    <w:rsid w:val="00AB4575"/>
    <w:rsid w:val="00AB5852"/>
    <w:rsid w:val="00AB65BE"/>
    <w:rsid w:val="00AB6B53"/>
    <w:rsid w:val="00AB786D"/>
    <w:rsid w:val="00AB7C47"/>
    <w:rsid w:val="00AB7C58"/>
    <w:rsid w:val="00AC060A"/>
    <w:rsid w:val="00AC0636"/>
    <w:rsid w:val="00AC0A99"/>
    <w:rsid w:val="00AC1A83"/>
    <w:rsid w:val="00AC1BD7"/>
    <w:rsid w:val="00AC1F8E"/>
    <w:rsid w:val="00AC2D45"/>
    <w:rsid w:val="00AC35CD"/>
    <w:rsid w:val="00AC3B87"/>
    <w:rsid w:val="00AC3CBA"/>
    <w:rsid w:val="00AC427D"/>
    <w:rsid w:val="00AC51AE"/>
    <w:rsid w:val="00AC51F6"/>
    <w:rsid w:val="00AC5A44"/>
    <w:rsid w:val="00AC6317"/>
    <w:rsid w:val="00AC6A07"/>
    <w:rsid w:val="00AC6B86"/>
    <w:rsid w:val="00AD08DB"/>
    <w:rsid w:val="00AD0912"/>
    <w:rsid w:val="00AD0D5D"/>
    <w:rsid w:val="00AD1991"/>
    <w:rsid w:val="00AD1B1D"/>
    <w:rsid w:val="00AD2B03"/>
    <w:rsid w:val="00AD2F5A"/>
    <w:rsid w:val="00AD3077"/>
    <w:rsid w:val="00AD3A6D"/>
    <w:rsid w:val="00AD48A0"/>
    <w:rsid w:val="00AD55A3"/>
    <w:rsid w:val="00AD58AA"/>
    <w:rsid w:val="00AD5A04"/>
    <w:rsid w:val="00AD5CAD"/>
    <w:rsid w:val="00AD6653"/>
    <w:rsid w:val="00AD68C5"/>
    <w:rsid w:val="00AD690B"/>
    <w:rsid w:val="00AD7647"/>
    <w:rsid w:val="00AD7899"/>
    <w:rsid w:val="00AD799F"/>
    <w:rsid w:val="00AD79D7"/>
    <w:rsid w:val="00AD7DF6"/>
    <w:rsid w:val="00AE0BDC"/>
    <w:rsid w:val="00AE0CEA"/>
    <w:rsid w:val="00AE0F1E"/>
    <w:rsid w:val="00AE11F4"/>
    <w:rsid w:val="00AE1D9B"/>
    <w:rsid w:val="00AE31DC"/>
    <w:rsid w:val="00AE34F5"/>
    <w:rsid w:val="00AE35FF"/>
    <w:rsid w:val="00AE4D7A"/>
    <w:rsid w:val="00AE53A6"/>
    <w:rsid w:val="00AE65A2"/>
    <w:rsid w:val="00AE751F"/>
    <w:rsid w:val="00AE76E8"/>
    <w:rsid w:val="00AF00D8"/>
    <w:rsid w:val="00AF1179"/>
    <w:rsid w:val="00AF1658"/>
    <w:rsid w:val="00AF30B6"/>
    <w:rsid w:val="00AF3294"/>
    <w:rsid w:val="00AF3781"/>
    <w:rsid w:val="00AF3D9A"/>
    <w:rsid w:val="00AF45A1"/>
    <w:rsid w:val="00AF4798"/>
    <w:rsid w:val="00AF5397"/>
    <w:rsid w:val="00AF63FD"/>
    <w:rsid w:val="00AF66B6"/>
    <w:rsid w:val="00AF72DB"/>
    <w:rsid w:val="00AF77D3"/>
    <w:rsid w:val="00AF7BB4"/>
    <w:rsid w:val="00B0019A"/>
    <w:rsid w:val="00B007F6"/>
    <w:rsid w:val="00B00EA1"/>
    <w:rsid w:val="00B00F95"/>
    <w:rsid w:val="00B0117D"/>
    <w:rsid w:val="00B0134D"/>
    <w:rsid w:val="00B016DA"/>
    <w:rsid w:val="00B028B8"/>
    <w:rsid w:val="00B02A80"/>
    <w:rsid w:val="00B02C26"/>
    <w:rsid w:val="00B02EB7"/>
    <w:rsid w:val="00B02FA0"/>
    <w:rsid w:val="00B030E5"/>
    <w:rsid w:val="00B03847"/>
    <w:rsid w:val="00B041D0"/>
    <w:rsid w:val="00B04BD7"/>
    <w:rsid w:val="00B056A5"/>
    <w:rsid w:val="00B05D75"/>
    <w:rsid w:val="00B05D8E"/>
    <w:rsid w:val="00B075F4"/>
    <w:rsid w:val="00B07D62"/>
    <w:rsid w:val="00B1042D"/>
    <w:rsid w:val="00B113C4"/>
    <w:rsid w:val="00B118E8"/>
    <w:rsid w:val="00B1225E"/>
    <w:rsid w:val="00B1249B"/>
    <w:rsid w:val="00B124E9"/>
    <w:rsid w:val="00B12937"/>
    <w:rsid w:val="00B14226"/>
    <w:rsid w:val="00B144E8"/>
    <w:rsid w:val="00B14658"/>
    <w:rsid w:val="00B146E9"/>
    <w:rsid w:val="00B1511C"/>
    <w:rsid w:val="00B153B7"/>
    <w:rsid w:val="00B155F1"/>
    <w:rsid w:val="00B1587D"/>
    <w:rsid w:val="00B16482"/>
    <w:rsid w:val="00B16A6A"/>
    <w:rsid w:val="00B173D7"/>
    <w:rsid w:val="00B2010C"/>
    <w:rsid w:val="00B205C9"/>
    <w:rsid w:val="00B211A3"/>
    <w:rsid w:val="00B218F4"/>
    <w:rsid w:val="00B22184"/>
    <w:rsid w:val="00B22C5E"/>
    <w:rsid w:val="00B231DB"/>
    <w:rsid w:val="00B23B89"/>
    <w:rsid w:val="00B240B9"/>
    <w:rsid w:val="00B24658"/>
    <w:rsid w:val="00B24753"/>
    <w:rsid w:val="00B247C7"/>
    <w:rsid w:val="00B24DC1"/>
    <w:rsid w:val="00B25397"/>
    <w:rsid w:val="00B2589D"/>
    <w:rsid w:val="00B25A52"/>
    <w:rsid w:val="00B264AB"/>
    <w:rsid w:val="00B264C2"/>
    <w:rsid w:val="00B26529"/>
    <w:rsid w:val="00B26AD9"/>
    <w:rsid w:val="00B27C34"/>
    <w:rsid w:val="00B30228"/>
    <w:rsid w:val="00B302D0"/>
    <w:rsid w:val="00B308F4"/>
    <w:rsid w:val="00B30971"/>
    <w:rsid w:val="00B30B06"/>
    <w:rsid w:val="00B311A6"/>
    <w:rsid w:val="00B31554"/>
    <w:rsid w:val="00B31704"/>
    <w:rsid w:val="00B31D6E"/>
    <w:rsid w:val="00B31EE7"/>
    <w:rsid w:val="00B31FC5"/>
    <w:rsid w:val="00B3267E"/>
    <w:rsid w:val="00B32D29"/>
    <w:rsid w:val="00B3320D"/>
    <w:rsid w:val="00B337F4"/>
    <w:rsid w:val="00B33CE3"/>
    <w:rsid w:val="00B344A3"/>
    <w:rsid w:val="00B34655"/>
    <w:rsid w:val="00B34B58"/>
    <w:rsid w:val="00B34D21"/>
    <w:rsid w:val="00B34D5A"/>
    <w:rsid w:val="00B34F42"/>
    <w:rsid w:val="00B350A7"/>
    <w:rsid w:val="00B3517E"/>
    <w:rsid w:val="00B366BD"/>
    <w:rsid w:val="00B378A7"/>
    <w:rsid w:val="00B4018A"/>
    <w:rsid w:val="00B402C3"/>
    <w:rsid w:val="00B40392"/>
    <w:rsid w:val="00B40446"/>
    <w:rsid w:val="00B4091D"/>
    <w:rsid w:val="00B40ECF"/>
    <w:rsid w:val="00B40FEF"/>
    <w:rsid w:val="00B41BA0"/>
    <w:rsid w:val="00B41C47"/>
    <w:rsid w:val="00B41C5F"/>
    <w:rsid w:val="00B424CE"/>
    <w:rsid w:val="00B426A8"/>
    <w:rsid w:val="00B42851"/>
    <w:rsid w:val="00B42C0B"/>
    <w:rsid w:val="00B43CFB"/>
    <w:rsid w:val="00B44011"/>
    <w:rsid w:val="00B44BD9"/>
    <w:rsid w:val="00B45059"/>
    <w:rsid w:val="00B45069"/>
    <w:rsid w:val="00B460A8"/>
    <w:rsid w:val="00B461BF"/>
    <w:rsid w:val="00B46514"/>
    <w:rsid w:val="00B46832"/>
    <w:rsid w:val="00B46901"/>
    <w:rsid w:val="00B4735C"/>
    <w:rsid w:val="00B473FC"/>
    <w:rsid w:val="00B475E0"/>
    <w:rsid w:val="00B500AC"/>
    <w:rsid w:val="00B5020B"/>
    <w:rsid w:val="00B50F5C"/>
    <w:rsid w:val="00B5192B"/>
    <w:rsid w:val="00B52186"/>
    <w:rsid w:val="00B5273C"/>
    <w:rsid w:val="00B52945"/>
    <w:rsid w:val="00B5340C"/>
    <w:rsid w:val="00B537F4"/>
    <w:rsid w:val="00B53D20"/>
    <w:rsid w:val="00B53E2F"/>
    <w:rsid w:val="00B54343"/>
    <w:rsid w:val="00B54722"/>
    <w:rsid w:val="00B555A1"/>
    <w:rsid w:val="00B55FD9"/>
    <w:rsid w:val="00B561B7"/>
    <w:rsid w:val="00B5652E"/>
    <w:rsid w:val="00B57C82"/>
    <w:rsid w:val="00B600C2"/>
    <w:rsid w:val="00B60790"/>
    <w:rsid w:val="00B608AF"/>
    <w:rsid w:val="00B611A3"/>
    <w:rsid w:val="00B615BC"/>
    <w:rsid w:val="00B617B1"/>
    <w:rsid w:val="00B61C08"/>
    <w:rsid w:val="00B634C9"/>
    <w:rsid w:val="00B63868"/>
    <w:rsid w:val="00B639A1"/>
    <w:rsid w:val="00B63FD7"/>
    <w:rsid w:val="00B64B3F"/>
    <w:rsid w:val="00B658A4"/>
    <w:rsid w:val="00B6590E"/>
    <w:rsid w:val="00B66424"/>
    <w:rsid w:val="00B67027"/>
    <w:rsid w:val="00B67760"/>
    <w:rsid w:val="00B67EF0"/>
    <w:rsid w:val="00B702F2"/>
    <w:rsid w:val="00B719E9"/>
    <w:rsid w:val="00B71CEE"/>
    <w:rsid w:val="00B727FE"/>
    <w:rsid w:val="00B73000"/>
    <w:rsid w:val="00B73BF4"/>
    <w:rsid w:val="00B73C37"/>
    <w:rsid w:val="00B73D9B"/>
    <w:rsid w:val="00B74E50"/>
    <w:rsid w:val="00B75293"/>
    <w:rsid w:val="00B759BD"/>
    <w:rsid w:val="00B75DC2"/>
    <w:rsid w:val="00B75DE8"/>
    <w:rsid w:val="00B763E3"/>
    <w:rsid w:val="00B800CF"/>
    <w:rsid w:val="00B80427"/>
    <w:rsid w:val="00B80567"/>
    <w:rsid w:val="00B8061E"/>
    <w:rsid w:val="00B80FE7"/>
    <w:rsid w:val="00B815D8"/>
    <w:rsid w:val="00B81C0E"/>
    <w:rsid w:val="00B81D39"/>
    <w:rsid w:val="00B820AD"/>
    <w:rsid w:val="00B8295F"/>
    <w:rsid w:val="00B82F68"/>
    <w:rsid w:val="00B83192"/>
    <w:rsid w:val="00B8332F"/>
    <w:rsid w:val="00B83854"/>
    <w:rsid w:val="00B83DEC"/>
    <w:rsid w:val="00B84C55"/>
    <w:rsid w:val="00B853B2"/>
    <w:rsid w:val="00B8543B"/>
    <w:rsid w:val="00B858B3"/>
    <w:rsid w:val="00B85962"/>
    <w:rsid w:val="00B86111"/>
    <w:rsid w:val="00B872CD"/>
    <w:rsid w:val="00B87626"/>
    <w:rsid w:val="00B87995"/>
    <w:rsid w:val="00B87C3F"/>
    <w:rsid w:val="00B87FA0"/>
    <w:rsid w:val="00B902F3"/>
    <w:rsid w:val="00B90498"/>
    <w:rsid w:val="00B909E8"/>
    <w:rsid w:val="00B90BC4"/>
    <w:rsid w:val="00B90E22"/>
    <w:rsid w:val="00B91182"/>
    <w:rsid w:val="00B916E9"/>
    <w:rsid w:val="00B91A3E"/>
    <w:rsid w:val="00B91F01"/>
    <w:rsid w:val="00B9222D"/>
    <w:rsid w:val="00B92B4E"/>
    <w:rsid w:val="00B92DA3"/>
    <w:rsid w:val="00B92FED"/>
    <w:rsid w:val="00B93A1F"/>
    <w:rsid w:val="00B93A4B"/>
    <w:rsid w:val="00B941F3"/>
    <w:rsid w:val="00B944AE"/>
    <w:rsid w:val="00B94A95"/>
    <w:rsid w:val="00B94DD9"/>
    <w:rsid w:val="00B953DB"/>
    <w:rsid w:val="00B96241"/>
    <w:rsid w:val="00B965EC"/>
    <w:rsid w:val="00B969A6"/>
    <w:rsid w:val="00B969FA"/>
    <w:rsid w:val="00B96C19"/>
    <w:rsid w:val="00B96E7D"/>
    <w:rsid w:val="00B97774"/>
    <w:rsid w:val="00B97921"/>
    <w:rsid w:val="00BA0131"/>
    <w:rsid w:val="00BA09FF"/>
    <w:rsid w:val="00BA0AB7"/>
    <w:rsid w:val="00BA0FDD"/>
    <w:rsid w:val="00BA1624"/>
    <w:rsid w:val="00BA2A3D"/>
    <w:rsid w:val="00BA2D2A"/>
    <w:rsid w:val="00BA366C"/>
    <w:rsid w:val="00BA38A1"/>
    <w:rsid w:val="00BA4F20"/>
    <w:rsid w:val="00BA501C"/>
    <w:rsid w:val="00BA5603"/>
    <w:rsid w:val="00BA5D93"/>
    <w:rsid w:val="00BA5EFD"/>
    <w:rsid w:val="00BA6508"/>
    <w:rsid w:val="00BA6DF1"/>
    <w:rsid w:val="00BA75CC"/>
    <w:rsid w:val="00BB010B"/>
    <w:rsid w:val="00BB017C"/>
    <w:rsid w:val="00BB01CC"/>
    <w:rsid w:val="00BB0B9D"/>
    <w:rsid w:val="00BB13C3"/>
    <w:rsid w:val="00BB1707"/>
    <w:rsid w:val="00BB2269"/>
    <w:rsid w:val="00BB22F0"/>
    <w:rsid w:val="00BB25AC"/>
    <w:rsid w:val="00BB261C"/>
    <w:rsid w:val="00BB2C8E"/>
    <w:rsid w:val="00BB2DBD"/>
    <w:rsid w:val="00BB2E76"/>
    <w:rsid w:val="00BB426D"/>
    <w:rsid w:val="00BB4B1A"/>
    <w:rsid w:val="00BB4BA1"/>
    <w:rsid w:val="00BB4DFB"/>
    <w:rsid w:val="00BB4E5E"/>
    <w:rsid w:val="00BB57EF"/>
    <w:rsid w:val="00BB5BD6"/>
    <w:rsid w:val="00BB5EA0"/>
    <w:rsid w:val="00BB6008"/>
    <w:rsid w:val="00BB608B"/>
    <w:rsid w:val="00BB67ED"/>
    <w:rsid w:val="00BB6A7E"/>
    <w:rsid w:val="00BB6AE7"/>
    <w:rsid w:val="00BB724C"/>
    <w:rsid w:val="00BB7B10"/>
    <w:rsid w:val="00BC0401"/>
    <w:rsid w:val="00BC047B"/>
    <w:rsid w:val="00BC0826"/>
    <w:rsid w:val="00BC12CA"/>
    <w:rsid w:val="00BC2008"/>
    <w:rsid w:val="00BC3072"/>
    <w:rsid w:val="00BC33AB"/>
    <w:rsid w:val="00BC3B80"/>
    <w:rsid w:val="00BC473A"/>
    <w:rsid w:val="00BC47CB"/>
    <w:rsid w:val="00BC4EDB"/>
    <w:rsid w:val="00BC545A"/>
    <w:rsid w:val="00BC5701"/>
    <w:rsid w:val="00BC5AAC"/>
    <w:rsid w:val="00BC5CD4"/>
    <w:rsid w:val="00BC618A"/>
    <w:rsid w:val="00BC6969"/>
    <w:rsid w:val="00BC6A27"/>
    <w:rsid w:val="00BC717F"/>
    <w:rsid w:val="00BC72CC"/>
    <w:rsid w:val="00BD01EA"/>
    <w:rsid w:val="00BD0676"/>
    <w:rsid w:val="00BD09AD"/>
    <w:rsid w:val="00BD0B6A"/>
    <w:rsid w:val="00BD136A"/>
    <w:rsid w:val="00BD1A27"/>
    <w:rsid w:val="00BD209B"/>
    <w:rsid w:val="00BD31F3"/>
    <w:rsid w:val="00BD3212"/>
    <w:rsid w:val="00BD3E07"/>
    <w:rsid w:val="00BD448F"/>
    <w:rsid w:val="00BD45A8"/>
    <w:rsid w:val="00BD478B"/>
    <w:rsid w:val="00BD4A6A"/>
    <w:rsid w:val="00BD5002"/>
    <w:rsid w:val="00BD568C"/>
    <w:rsid w:val="00BD663E"/>
    <w:rsid w:val="00BD6BC7"/>
    <w:rsid w:val="00BD7512"/>
    <w:rsid w:val="00BD770E"/>
    <w:rsid w:val="00BD77A7"/>
    <w:rsid w:val="00BD7D2A"/>
    <w:rsid w:val="00BD7DCB"/>
    <w:rsid w:val="00BE0321"/>
    <w:rsid w:val="00BE0804"/>
    <w:rsid w:val="00BE0C3D"/>
    <w:rsid w:val="00BE13B6"/>
    <w:rsid w:val="00BE168D"/>
    <w:rsid w:val="00BE18AC"/>
    <w:rsid w:val="00BE1CEC"/>
    <w:rsid w:val="00BE200F"/>
    <w:rsid w:val="00BE21B4"/>
    <w:rsid w:val="00BE23F2"/>
    <w:rsid w:val="00BE2793"/>
    <w:rsid w:val="00BE27DB"/>
    <w:rsid w:val="00BE29F0"/>
    <w:rsid w:val="00BE2AA4"/>
    <w:rsid w:val="00BE2E13"/>
    <w:rsid w:val="00BE2E77"/>
    <w:rsid w:val="00BE33C3"/>
    <w:rsid w:val="00BE3760"/>
    <w:rsid w:val="00BE454E"/>
    <w:rsid w:val="00BE4844"/>
    <w:rsid w:val="00BE4A34"/>
    <w:rsid w:val="00BE4DB8"/>
    <w:rsid w:val="00BE4DFD"/>
    <w:rsid w:val="00BE5402"/>
    <w:rsid w:val="00BF0096"/>
    <w:rsid w:val="00BF0628"/>
    <w:rsid w:val="00BF06F2"/>
    <w:rsid w:val="00BF1AAB"/>
    <w:rsid w:val="00BF1C40"/>
    <w:rsid w:val="00BF2729"/>
    <w:rsid w:val="00BF295C"/>
    <w:rsid w:val="00BF3025"/>
    <w:rsid w:val="00BF33CA"/>
    <w:rsid w:val="00BF3634"/>
    <w:rsid w:val="00BF400C"/>
    <w:rsid w:val="00BF4500"/>
    <w:rsid w:val="00BF4AE9"/>
    <w:rsid w:val="00BF504C"/>
    <w:rsid w:val="00BF5757"/>
    <w:rsid w:val="00BF67C5"/>
    <w:rsid w:val="00BF6921"/>
    <w:rsid w:val="00BF6A3A"/>
    <w:rsid w:val="00BF6AE3"/>
    <w:rsid w:val="00BF6AFC"/>
    <w:rsid w:val="00BF7D0A"/>
    <w:rsid w:val="00C0023D"/>
    <w:rsid w:val="00C008AA"/>
    <w:rsid w:val="00C008FA"/>
    <w:rsid w:val="00C01501"/>
    <w:rsid w:val="00C01821"/>
    <w:rsid w:val="00C01B98"/>
    <w:rsid w:val="00C02F13"/>
    <w:rsid w:val="00C03915"/>
    <w:rsid w:val="00C05107"/>
    <w:rsid w:val="00C05420"/>
    <w:rsid w:val="00C05BCE"/>
    <w:rsid w:val="00C06ACB"/>
    <w:rsid w:val="00C06CC5"/>
    <w:rsid w:val="00C10748"/>
    <w:rsid w:val="00C10949"/>
    <w:rsid w:val="00C10BEF"/>
    <w:rsid w:val="00C110EF"/>
    <w:rsid w:val="00C1120B"/>
    <w:rsid w:val="00C116B9"/>
    <w:rsid w:val="00C1170B"/>
    <w:rsid w:val="00C11858"/>
    <w:rsid w:val="00C11E6E"/>
    <w:rsid w:val="00C12730"/>
    <w:rsid w:val="00C12CA5"/>
    <w:rsid w:val="00C13B7C"/>
    <w:rsid w:val="00C14947"/>
    <w:rsid w:val="00C14E6C"/>
    <w:rsid w:val="00C1709E"/>
    <w:rsid w:val="00C17251"/>
    <w:rsid w:val="00C17487"/>
    <w:rsid w:val="00C203B6"/>
    <w:rsid w:val="00C205AF"/>
    <w:rsid w:val="00C206F8"/>
    <w:rsid w:val="00C208D6"/>
    <w:rsid w:val="00C20A85"/>
    <w:rsid w:val="00C20DEC"/>
    <w:rsid w:val="00C20F87"/>
    <w:rsid w:val="00C21C05"/>
    <w:rsid w:val="00C21F8E"/>
    <w:rsid w:val="00C22625"/>
    <w:rsid w:val="00C23783"/>
    <w:rsid w:val="00C23B15"/>
    <w:rsid w:val="00C23BD3"/>
    <w:rsid w:val="00C23FDA"/>
    <w:rsid w:val="00C2451F"/>
    <w:rsid w:val="00C24872"/>
    <w:rsid w:val="00C25422"/>
    <w:rsid w:val="00C25BCA"/>
    <w:rsid w:val="00C26E9A"/>
    <w:rsid w:val="00C26FF7"/>
    <w:rsid w:val="00C27E22"/>
    <w:rsid w:val="00C3063C"/>
    <w:rsid w:val="00C31203"/>
    <w:rsid w:val="00C31219"/>
    <w:rsid w:val="00C31258"/>
    <w:rsid w:val="00C31588"/>
    <w:rsid w:val="00C31E2F"/>
    <w:rsid w:val="00C32514"/>
    <w:rsid w:val="00C3360C"/>
    <w:rsid w:val="00C33A53"/>
    <w:rsid w:val="00C33C6C"/>
    <w:rsid w:val="00C33D84"/>
    <w:rsid w:val="00C33F99"/>
    <w:rsid w:val="00C3411E"/>
    <w:rsid w:val="00C344CD"/>
    <w:rsid w:val="00C347AB"/>
    <w:rsid w:val="00C34D41"/>
    <w:rsid w:val="00C3506A"/>
    <w:rsid w:val="00C355DD"/>
    <w:rsid w:val="00C3602E"/>
    <w:rsid w:val="00C37413"/>
    <w:rsid w:val="00C37588"/>
    <w:rsid w:val="00C377FB"/>
    <w:rsid w:val="00C37A44"/>
    <w:rsid w:val="00C40A85"/>
    <w:rsid w:val="00C42637"/>
    <w:rsid w:val="00C4295B"/>
    <w:rsid w:val="00C42B6E"/>
    <w:rsid w:val="00C436FB"/>
    <w:rsid w:val="00C446F9"/>
    <w:rsid w:val="00C44706"/>
    <w:rsid w:val="00C4472A"/>
    <w:rsid w:val="00C44BA7"/>
    <w:rsid w:val="00C44E15"/>
    <w:rsid w:val="00C44E46"/>
    <w:rsid w:val="00C45733"/>
    <w:rsid w:val="00C45A52"/>
    <w:rsid w:val="00C45EFD"/>
    <w:rsid w:val="00C46428"/>
    <w:rsid w:val="00C4648A"/>
    <w:rsid w:val="00C4688D"/>
    <w:rsid w:val="00C4709C"/>
    <w:rsid w:val="00C471D9"/>
    <w:rsid w:val="00C47303"/>
    <w:rsid w:val="00C47F6B"/>
    <w:rsid w:val="00C50C64"/>
    <w:rsid w:val="00C513DF"/>
    <w:rsid w:val="00C51E88"/>
    <w:rsid w:val="00C521B8"/>
    <w:rsid w:val="00C528BA"/>
    <w:rsid w:val="00C536AA"/>
    <w:rsid w:val="00C5394D"/>
    <w:rsid w:val="00C53D75"/>
    <w:rsid w:val="00C54F1C"/>
    <w:rsid w:val="00C552C1"/>
    <w:rsid w:val="00C55E5C"/>
    <w:rsid w:val="00C562B3"/>
    <w:rsid w:val="00C566B7"/>
    <w:rsid w:val="00C56CF1"/>
    <w:rsid w:val="00C56E66"/>
    <w:rsid w:val="00C5704B"/>
    <w:rsid w:val="00C57791"/>
    <w:rsid w:val="00C6002D"/>
    <w:rsid w:val="00C61A1D"/>
    <w:rsid w:val="00C620E7"/>
    <w:rsid w:val="00C621D7"/>
    <w:rsid w:val="00C62701"/>
    <w:rsid w:val="00C627FD"/>
    <w:rsid w:val="00C62E35"/>
    <w:rsid w:val="00C6333B"/>
    <w:rsid w:val="00C63526"/>
    <w:rsid w:val="00C6478A"/>
    <w:rsid w:val="00C6500B"/>
    <w:rsid w:val="00C65BF5"/>
    <w:rsid w:val="00C65FD9"/>
    <w:rsid w:val="00C6665F"/>
    <w:rsid w:val="00C66B4B"/>
    <w:rsid w:val="00C677D4"/>
    <w:rsid w:val="00C67E30"/>
    <w:rsid w:val="00C67F8E"/>
    <w:rsid w:val="00C70516"/>
    <w:rsid w:val="00C70899"/>
    <w:rsid w:val="00C70F4C"/>
    <w:rsid w:val="00C710FC"/>
    <w:rsid w:val="00C71E60"/>
    <w:rsid w:val="00C721EC"/>
    <w:rsid w:val="00C727D9"/>
    <w:rsid w:val="00C72A44"/>
    <w:rsid w:val="00C72AB4"/>
    <w:rsid w:val="00C72E25"/>
    <w:rsid w:val="00C73535"/>
    <w:rsid w:val="00C75593"/>
    <w:rsid w:val="00C75C65"/>
    <w:rsid w:val="00C762A5"/>
    <w:rsid w:val="00C76659"/>
    <w:rsid w:val="00C76D0B"/>
    <w:rsid w:val="00C76E9D"/>
    <w:rsid w:val="00C77C3B"/>
    <w:rsid w:val="00C77C65"/>
    <w:rsid w:val="00C80103"/>
    <w:rsid w:val="00C80159"/>
    <w:rsid w:val="00C805E2"/>
    <w:rsid w:val="00C80840"/>
    <w:rsid w:val="00C8135F"/>
    <w:rsid w:val="00C81848"/>
    <w:rsid w:val="00C818D5"/>
    <w:rsid w:val="00C830F4"/>
    <w:rsid w:val="00C8312C"/>
    <w:rsid w:val="00C8488A"/>
    <w:rsid w:val="00C84B14"/>
    <w:rsid w:val="00C853A2"/>
    <w:rsid w:val="00C85CC8"/>
    <w:rsid w:val="00C86908"/>
    <w:rsid w:val="00C86921"/>
    <w:rsid w:val="00C869BE"/>
    <w:rsid w:val="00C87552"/>
    <w:rsid w:val="00C87837"/>
    <w:rsid w:val="00C87CE5"/>
    <w:rsid w:val="00C901D8"/>
    <w:rsid w:val="00C903D0"/>
    <w:rsid w:val="00C9059C"/>
    <w:rsid w:val="00C9086F"/>
    <w:rsid w:val="00C91259"/>
    <w:rsid w:val="00C92F09"/>
    <w:rsid w:val="00C93049"/>
    <w:rsid w:val="00C932A2"/>
    <w:rsid w:val="00C93B03"/>
    <w:rsid w:val="00C94BC0"/>
    <w:rsid w:val="00C94E38"/>
    <w:rsid w:val="00C94EAD"/>
    <w:rsid w:val="00C95FD1"/>
    <w:rsid w:val="00C961DE"/>
    <w:rsid w:val="00C96A83"/>
    <w:rsid w:val="00CA042A"/>
    <w:rsid w:val="00CA051D"/>
    <w:rsid w:val="00CA0CC0"/>
    <w:rsid w:val="00CA0F56"/>
    <w:rsid w:val="00CA1442"/>
    <w:rsid w:val="00CA1646"/>
    <w:rsid w:val="00CA18E3"/>
    <w:rsid w:val="00CA20D7"/>
    <w:rsid w:val="00CA27B7"/>
    <w:rsid w:val="00CA27D7"/>
    <w:rsid w:val="00CA37E1"/>
    <w:rsid w:val="00CA3A91"/>
    <w:rsid w:val="00CA4A5B"/>
    <w:rsid w:val="00CA4F7E"/>
    <w:rsid w:val="00CA50FB"/>
    <w:rsid w:val="00CA61D1"/>
    <w:rsid w:val="00CA61DA"/>
    <w:rsid w:val="00CA66CD"/>
    <w:rsid w:val="00CA6ADD"/>
    <w:rsid w:val="00CA6B8A"/>
    <w:rsid w:val="00CA6EAD"/>
    <w:rsid w:val="00CA7236"/>
    <w:rsid w:val="00CA74B1"/>
    <w:rsid w:val="00CB01E5"/>
    <w:rsid w:val="00CB058A"/>
    <w:rsid w:val="00CB06E1"/>
    <w:rsid w:val="00CB0832"/>
    <w:rsid w:val="00CB11F1"/>
    <w:rsid w:val="00CB1DD7"/>
    <w:rsid w:val="00CB1E81"/>
    <w:rsid w:val="00CB22E4"/>
    <w:rsid w:val="00CB276A"/>
    <w:rsid w:val="00CB2863"/>
    <w:rsid w:val="00CB2A6E"/>
    <w:rsid w:val="00CB2BDE"/>
    <w:rsid w:val="00CB30C0"/>
    <w:rsid w:val="00CB3A68"/>
    <w:rsid w:val="00CB3CE9"/>
    <w:rsid w:val="00CB3DE7"/>
    <w:rsid w:val="00CB3E27"/>
    <w:rsid w:val="00CB4B22"/>
    <w:rsid w:val="00CB4CDE"/>
    <w:rsid w:val="00CB533D"/>
    <w:rsid w:val="00CB5735"/>
    <w:rsid w:val="00CB6308"/>
    <w:rsid w:val="00CB64CA"/>
    <w:rsid w:val="00CB65F8"/>
    <w:rsid w:val="00CB66CF"/>
    <w:rsid w:val="00CB6BA2"/>
    <w:rsid w:val="00CB717E"/>
    <w:rsid w:val="00CB7363"/>
    <w:rsid w:val="00CB7A71"/>
    <w:rsid w:val="00CC000A"/>
    <w:rsid w:val="00CC01F2"/>
    <w:rsid w:val="00CC0494"/>
    <w:rsid w:val="00CC0E4A"/>
    <w:rsid w:val="00CC16F8"/>
    <w:rsid w:val="00CC1810"/>
    <w:rsid w:val="00CC29DB"/>
    <w:rsid w:val="00CC2A2B"/>
    <w:rsid w:val="00CC2E0D"/>
    <w:rsid w:val="00CC3281"/>
    <w:rsid w:val="00CC32CD"/>
    <w:rsid w:val="00CC335A"/>
    <w:rsid w:val="00CC3584"/>
    <w:rsid w:val="00CC37D4"/>
    <w:rsid w:val="00CC39C2"/>
    <w:rsid w:val="00CC4AED"/>
    <w:rsid w:val="00CC5583"/>
    <w:rsid w:val="00CC5B69"/>
    <w:rsid w:val="00CC6AA1"/>
    <w:rsid w:val="00CC6ED7"/>
    <w:rsid w:val="00CC7B23"/>
    <w:rsid w:val="00CD05C8"/>
    <w:rsid w:val="00CD0640"/>
    <w:rsid w:val="00CD066E"/>
    <w:rsid w:val="00CD09A7"/>
    <w:rsid w:val="00CD1906"/>
    <w:rsid w:val="00CD1A15"/>
    <w:rsid w:val="00CD1A7B"/>
    <w:rsid w:val="00CD2902"/>
    <w:rsid w:val="00CD30C2"/>
    <w:rsid w:val="00CD39AE"/>
    <w:rsid w:val="00CD40EF"/>
    <w:rsid w:val="00CD4E19"/>
    <w:rsid w:val="00CD605F"/>
    <w:rsid w:val="00CD6B4E"/>
    <w:rsid w:val="00CD6C49"/>
    <w:rsid w:val="00CD70CB"/>
    <w:rsid w:val="00CD730A"/>
    <w:rsid w:val="00CD7869"/>
    <w:rsid w:val="00CD79B5"/>
    <w:rsid w:val="00CE08C2"/>
    <w:rsid w:val="00CE0A97"/>
    <w:rsid w:val="00CE0CFA"/>
    <w:rsid w:val="00CE14E1"/>
    <w:rsid w:val="00CE2619"/>
    <w:rsid w:val="00CE2961"/>
    <w:rsid w:val="00CE29C6"/>
    <w:rsid w:val="00CE322C"/>
    <w:rsid w:val="00CE345D"/>
    <w:rsid w:val="00CE3D48"/>
    <w:rsid w:val="00CE4E32"/>
    <w:rsid w:val="00CE5D31"/>
    <w:rsid w:val="00CE5D52"/>
    <w:rsid w:val="00CE6741"/>
    <w:rsid w:val="00CF0413"/>
    <w:rsid w:val="00CF05D5"/>
    <w:rsid w:val="00CF05D8"/>
    <w:rsid w:val="00CF0EFC"/>
    <w:rsid w:val="00CF1304"/>
    <w:rsid w:val="00CF158A"/>
    <w:rsid w:val="00CF1E46"/>
    <w:rsid w:val="00CF283A"/>
    <w:rsid w:val="00CF288D"/>
    <w:rsid w:val="00CF3596"/>
    <w:rsid w:val="00CF3C83"/>
    <w:rsid w:val="00CF3DB3"/>
    <w:rsid w:val="00CF43BB"/>
    <w:rsid w:val="00CF4A0F"/>
    <w:rsid w:val="00CF5C37"/>
    <w:rsid w:val="00CF5C62"/>
    <w:rsid w:val="00CF5FEF"/>
    <w:rsid w:val="00CF63D8"/>
    <w:rsid w:val="00CF7235"/>
    <w:rsid w:val="00CF78E0"/>
    <w:rsid w:val="00CF7FA2"/>
    <w:rsid w:val="00D00529"/>
    <w:rsid w:val="00D005D4"/>
    <w:rsid w:val="00D00CE3"/>
    <w:rsid w:val="00D00F44"/>
    <w:rsid w:val="00D011C4"/>
    <w:rsid w:val="00D016D4"/>
    <w:rsid w:val="00D01ADB"/>
    <w:rsid w:val="00D01ECA"/>
    <w:rsid w:val="00D0242D"/>
    <w:rsid w:val="00D025A6"/>
    <w:rsid w:val="00D0274A"/>
    <w:rsid w:val="00D02928"/>
    <w:rsid w:val="00D030CA"/>
    <w:rsid w:val="00D033DD"/>
    <w:rsid w:val="00D0361E"/>
    <w:rsid w:val="00D037E3"/>
    <w:rsid w:val="00D03CFE"/>
    <w:rsid w:val="00D03EDC"/>
    <w:rsid w:val="00D04972"/>
    <w:rsid w:val="00D04999"/>
    <w:rsid w:val="00D04A6F"/>
    <w:rsid w:val="00D04C33"/>
    <w:rsid w:val="00D05803"/>
    <w:rsid w:val="00D06A17"/>
    <w:rsid w:val="00D0726D"/>
    <w:rsid w:val="00D07548"/>
    <w:rsid w:val="00D0763B"/>
    <w:rsid w:val="00D079CE"/>
    <w:rsid w:val="00D07A1B"/>
    <w:rsid w:val="00D07ECE"/>
    <w:rsid w:val="00D1007F"/>
    <w:rsid w:val="00D113E7"/>
    <w:rsid w:val="00D11625"/>
    <w:rsid w:val="00D11E38"/>
    <w:rsid w:val="00D12035"/>
    <w:rsid w:val="00D12158"/>
    <w:rsid w:val="00D126E1"/>
    <w:rsid w:val="00D12A7D"/>
    <w:rsid w:val="00D1315C"/>
    <w:rsid w:val="00D13DB6"/>
    <w:rsid w:val="00D141E9"/>
    <w:rsid w:val="00D14233"/>
    <w:rsid w:val="00D1435E"/>
    <w:rsid w:val="00D157E2"/>
    <w:rsid w:val="00D15DBE"/>
    <w:rsid w:val="00D16325"/>
    <w:rsid w:val="00D16928"/>
    <w:rsid w:val="00D16CF7"/>
    <w:rsid w:val="00D17197"/>
    <w:rsid w:val="00D172F0"/>
    <w:rsid w:val="00D1752C"/>
    <w:rsid w:val="00D176E7"/>
    <w:rsid w:val="00D17A13"/>
    <w:rsid w:val="00D17D1E"/>
    <w:rsid w:val="00D220B5"/>
    <w:rsid w:val="00D2235D"/>
    <w:rsid w:val="00D225FA"/>
    <w:rsid w:val="00D236D1"/>
    <w:rsid w:val="00D23753"/>
    <w:rsid w:val="00D249B3"/>
    <w:rsid w:val="00D25708"/>
    <w:rsid w:val="00D261D4"/>
    <w:rsid w:val="00D26508"/>
    <w:rsid w:val="00D26871"/>
    <w:rsid w:val="00D30A86"/>
    <w:rsid w:val="00D30C3D"/>
    <w:rsid w:val="00D3115A"/>
    <w:rsid w:val="00D3129B"/>
    <w:rsid w:val="00D31340"/>
    <w:rsid w:val="00D313B9"/>
    <w:rsid w:val="00D313C6"/>
    <w:rsid w:val="00D3175A"/>
    <w:rsid w:val="00D31F91"/>
    <w:rsid w:val="00D32304"/>
    <w:rsid w:val="00D32445"/>
    <w:rsid w:val="00D33127"/>
    <w:rsid w:val="00D336C1"/>
    <w:rsid w:val="00D34112"/>
    <w:rsid w:val="00D34AAA"/>
    <w:rsid w:val="00D34B9E"/>
    <w:rsid w:val="00D34C66"/>
    <w:rsid w:val="00D35753"/>
    <w:rsid w:val="00D35A24"/>
    <w:rsid w:val="00D35B4E"/>
    <w:rsid w:val="00D36BCE"/>
    <w:rsid w:val="00D37236"/>
    <w:rsid w:val="00D37E93"/>
    <w:rsid w:val="00D37F0F"/>
    <w:rsid w:val="00D40131"/>
    <w:rsid w:val="00D4029B"/>
    <w:rsid w:val="00D41D2A"/>
    <w:rsid w:val="00D41DD2"/>
    <w:rsid w:val="00D424E0"/>
    <w:rsid w:val="00D42FC1"/>
    <w:rsid w:val="00D435C4"/>
    <w:rsid w:val="00D437B8"/>
    <w:rsid w:val="00D438F6"/>
    <w:rsid w:val="00D44C21"/>
    <w:rsid w:val="00D4551F"/>
    <w:rsid w:val="00D45DAF"/>
    <w:rsid w:val="00D46D6D"/>
    <w:rsid w:val="00D46FB6"/>
    <w:rsid w:val="00D47FC6"/>
    <w:rsid w:val="00D50135"/>
    <w:rsid w:val="00D50B46"/>
    <w:rsid w:val="00D50B53"/>
    <w:rsid w:val="00D511F6"/>
    <w:rsid w:val="00D513FD"/>
    <w:rsid w:val="00D518B7"/>
    <w:rsid w:val="00D51EEA"/>
    <w:rsid w:val="00D51FDE"/>
    <w:rsid w:val="00D52DF3"/>
    <w:rsid w:val="00D52E0E"/>
    <w:rsid w:val="00D53CA6"/>
    <w:rsid w:val="00D53DC7"/>
    <w:rsid w:val="00D547DA"/>
    <w:rsid w:val="00D547EA"/>
    <w:rsid w:val="00D56554"/>
    <w:rsid w:val="00D569D3"/>
    <w:rsid w:val="00D56DC5"/>
    <w:rsid w:val="00D5709A"/>
    <w:rsid w:val="00D579C2"/>
    <w:rsid w:val="00D57C87"/>
    <w:rsid w:val="00D57E25"/>
    <w:rsid w:val="00D60019"/>
    <w:rsid w:val="00D60B58"/>
    <w:rsid w:val="00D60FDE"/>
    <w:rsid w:val="00D61A03"/>
    <w:rsid w:val="00D61C79"/>
    <w:rsid w:val="00D61D6A"/>
    <w:rsid w:val="00D61E3B"/>
    <w:rsid w:val="00D62877"/>
    <w:rsid w:val="00D63196"/>
    <w:rsid w:val="00D631B0"/>
    <w:rsid w:val="00D63B6C"/>
    <w:rsid w:val="00D63C6E"/>
    <w:rsid w:val="00D63D83"/>
    <w:rsid w:val="00D646C0"/>
    <w:rsid w:val="00D64954"/>
    <w:rsid w:val="00D64982"/>
    <w:rsid w:val="00D65552"/>
    <w:rsid w:val="00D65D5A"/>
    <w:rsid w:val="00D65D65"/>
    <w:rsid w:val="00D6617D"/>
    <w:rsid w:val="00D663A2"/>
    <w:rsid w:val="00D66BBE"/>
    <w:rsid w:val="00D67246"/>
    <w:rsid w:val="00D67B19"/>
    <w:rsid w:val="00D70A49"/>
    <w:rsid w:val="00D70B1B"/>
    <w:rsid w:val="00D70B4A"/>
    <w:rsid w:val="00D70F89"/>
    <w:rsid w:val="00D713A6"/>
    <w:rsid w:val="00D71CA0"/>
    <w:rsid w:val="00D71E34"/>
    <w:rsid w:val="00D72251"/>
    <w:rsid w:val="00D72264"/>
    <w:rsid w:val="00D7242F"/>
    <w:rsid w:val="00D72849"/>
    <w:rsid w:val="00D72F12"/>
    <w:rsid w:val="00D74C56"/>
    <w:rsid w:val="00D7577B"/>
    <w:rsid w:val="00D75A11"/>
    <w:rsid w:val="00D75AD7"/>
    <w:rsid w:val="00D76F9C"/>
    <w:rsid w:val="00D802B4"/>
    <w:rsid w:val="00D80F0E"/>
    <w:rsid w:val="00D816C4"/>
    <w:rsid w:val="00D816F8"/>
    <w:rsid w:val="00D83B2C"/>
    <w:rsid w:val="00D84553"/>
    <w:rsid w:val="00D845BC"/>
    <w:rsid w:val="00D84718"/>
    <w:rsid w:val="00D84B90"/>
    <w:rsid w:val="00D8507B"/>
    <w:rsid w:val="00D85522"/>
    <w:rsid w:val="00D85C3A"/>
    <w:rsid w:val="00D867E2"/>
    <w:rsid w:val="00D86B9F"/>
    <w:rsid w:val="00D86EDF"/>
    <w:rsid w:val="00D87301"/>
    <w:rsid w:val="00D87EC7"/>
    <w:rsid w:val="00D90B52"/>
    <w:rsid w:val="00D9172F"/>
    <w:rsid w:val="00D9175E"/>
    <w:rsid w:val="00D91C32"/>
    <w:rsid w:val="00D925DF"/>
    <w:rsid w:val="00D9262D"/>
    <w:rsid w:val="00D93054"/>
    <w:rsid w:val="00D9344F"/>
    <w:rsid w:val="00D935D1"/>
    <w:rsid w:val="00D93718"/>
    <w:rsid w:val="00D93DC8"/>
    <w:rsid w:val="00D94311"/>
    <w:rsid w:val="00D95175"/>
    <w:rsid w:val="00D95C62"/>
    <w:rsid w:val="00D9656B"/>
    <w:rsid w:val="00D96DB4"/>
    <w:rsid w:val="00DA0876"/>
    <w:rsid w:val="00DA12E9"/>
    <w:rsid w:val="00DA1578"/>
    <w:rsid w:val="00DA18E1"/>
    <w:rsid w:val="00DA1F46"/>
    <w:rsid w:val="00DA3B67"/>
    <w:rsid w:val="00DA3D8C"/>
    <w:rsid w:val="00DA421D"/>
    <w:rsid w:val="00DA4CA5"/>
    <w:rsid w:val="00DA4CC6"/>
    <w:rsid w:val="00DA4EF3"/>
    <w:rsid w:val="00DA5CE0"/>
    <w:rsid w:val="00DA61A8"/>
    <w:rsid w:val="00DA6B39"/>
    <w:rsid w:val="00DA6B5C"/>
    <w:rsid w:val="00DA7987"/>
    <w:rsid w:val="00DA79C2"/>
    <w:rsid w:val="00DB0980"/>
    <w:rsid w:val="00DB0ACF"/>
    <w:rsid w:val="00DB108A"/>
    <w:rsid w:val="00DB11FC"/>
    <w:rsid w:val="00DB1250"/>
    <w:rsid w:val="00DB22D4"/>
    <w:rsid w:val="00DB2FA5"/>
    <w:rsid w:val="00DB3034"/>
    <w:rsid w:val="00DB4349"/>
    <w:rsid w:val="00DB483A"/>
    <w:rsid w:val="00DB4903"/>
    <w:rsid w:val="00DB49EC"/>
    <w:rsid w:val="00DB4F08"/>
    <w:rsid w:val="00DB4F57"/>
    <w:rsid w:val="00DB4FD3"/>
    <w:rsid w:val="00DB504B"/>
    <w:rsid w:val="00DB64FD"/>
    <w:rsid w:val="00DB6860"/>
    <w:rsid w:val="00DB7302"/>
    <w:rsid w:val="00DB732F"/>
    <w:rsid w:val="00DC0E70"/>
    <w:rsid w:val="00DC0FF9"/>
    <w:rsid w:val="00DC10F2"/>
    <w:rsid w:val="00DC1A5F"/>
    <w:rsid w:val="00DC1BBF"/>
    <w:rsid w:val="00DC1DB6"/>
    <w:rsid w:val="00DC2B4D"/>
    <w:rsid w:val="00DC34E0"/>
    <w:rsid w:val="00DC3671"/>
    <w:rsid w:val="00DC371A"/>
    <w:rsid w:val="00DC3C84"/>
    <w:rsid w:val="00DC3FA6"/>
    <w:rsid w:val="00DC452F"/>
    <w:rsid w:val="00DC4643"/>
    <w:rsid w:val="00DC47D1"/>
    <w:rsid w:val="00DC4AA9"/>
    <w:rsid w:val="00DC4E81"/>
    <w:rsid w:val="00DC5190"/>
    <w:rsid w:val="00DC5525"/>
    <w:rsid w:val="00DC6BC2"/>
    <w:rsid w:val="00DC6C40"/>
    <w:rsid w:val="00DC6EAB"/>
    <w:rsid w:val="00DC71DA"/>
    <w:rsid w:val="00DC7233"/>
    <w:rsid w:val="00DC7285"/>
    <w:rsid w:val="00DD024A"/>
    <w:rsid w:val="00DD047C"/>
    <w:rsid w:val="00DD05AC"/>
    <w:rsid w:val="00DD07B1"/>
    <w:rsid w:val="00DD1525"/>
    <w:rsid w:val="00DD1C29"/>
    <w:rsid w:val="00DD394D"/>
    <w:rsid w:val="00DD3C23"/>
    <w:rsid w:val="00DD3E93"/>
    <w:rsid w:val="00DD4610"/>
    <w:rsid w:val="00DD55BA"/>
    <w:rsid w:val="00DD5B08"/>
    <w:rsid w:val="00DD618F"/>
    <w:rsid w:val="00DD6902"/>
    <w:rsid w:val="00DD696E"/>
    <w:rsid w:val="00DD73CA"/>
    <w:rsid w:val="00DD7438"/>
    <w:rsid w:val="00DD76B2"/>
    <w:rsid w:val="00DD7A69"/>
    <w:rsid w:val="00DE04C0"/>
    <w:rsid w:val="00DE0E3E"/>
    <w:rsid w:val="00DE1489"/>
    <w:rsid w:val="00DE1D27"/>
    <w:rsid w:val="00DE1EA6"/>
    <w:rsid w:val="00DE21C0"/>
    <w:rsid w:val="00DE2B1F"/>
    <w:rsid w:val="00DE2D8F"/>
    <w:rsid w:val="00DE2F8F"/>
    <w:rsid w:val="00DE3253"/>
    <w:rsid w:val="00DE3BF2"/>
    <w:rsid w:val="00DE3DD4"/>
    <w:rsid w:val="00DE4054"/>
    <w:rsid w:val="00DE4646"/>
    <w:rsid w:val="00DE468A"/>
    <w:rsid w:val="00DE4D67"/>
    <w:rsid w:val="00DE4F37"/>
    <w:rsid w:val="00DE556A"/>
    <w:rsid w:val="00DE56C4"/>
    <w:rsid w:val="00DE5D04"/>
    <w:rsid w:val="00DE7C5E"/>
    <w:rsid w:val="00DE7CDF"/>
    <w:rsid w:val="00DE7FCD"/>
    <w:rsid w:val="00DF0334"/>
    <w:rsid w:val="00DF0CE7"/>
    <w:rsid w:val="00DF1201"/>
    <w:rsid w:val="00DF13CC"/>
    <w:rsid w:val="00DF1E99"/>
    <w:rsid w:val="00DF2D00"/>
    <w:rsid w:val="00DF3012"/>
    <w:rsid w:val="00DF3733"/>
    <w:rsid w:val="00DF3B4C"/>
    <w:rsid w:val="00DF405E"/>
    <w:rsid w:val="00DF46F5"/>
    <w:rsid w:val="00DF4DFE"/>
    <w:rsid w:val="00DF4F5C"/>
    <w:rsid w:val="00DF5281"/>
    <w:rsid w:val="00DF543B"/>
    <w:rsid w:val="00DF5C88"/>
    <w:rsid w:val="00DF5F6C"/>
    <w:rsid w:val="00DF61D5"/>
    <w:rsid w:val="00DF664E"/>
    <w:rsid w:val="00DF710A"/>
    <w:rsid w:val="00DF732D"/>
    <w:rsid w:val="00DF7662"/>
    <w:rsid w:val="00DF7B0D"/>
    <w:rsid w:val="00E0013A"/>
    <w:rsid w:val="00E0042A"/>
    <w:rsid w:val="00E00486"/>
    <w:rsid w:val="00E00B16"/>
    <w:rsid w:val="00E00B93"/>
    <w:rsid w:val="00E00DDA"/>
    <w:rsid w:val="00E01585"/>
    <w:rsid w:val="00E01730"/>
    <w:rsid w:val="00E01943"/>
    <w:rsid w:val="00E02326"/>
    <w:rsid w:val="00E02BF6"/>
    <w:rsid w:val="00E02C6F"/>
    <w:rsid w:val="00E02D88"/>
    <w:rsid w:val="00E02E46"/>
    <w:rsid w:val="00E02F90"/>
    <w:rsid w:val="00E0374C"/>
    <w:rsid w:val="00E04095"/>
    <w:rsid w:val="00E04256"/>
    <w:rsid w:val="00E043D8"/>
    <w:rsid w:val="00E04D6A"/>
    <w:rsid w:val="00E050B2"/>
    <w:rsid w:val="00E05509"/>
    <w:rsid w:val="00E05F18"/>
    <w:rsid w:val="00E06278"/>
    <w:rsid w:val="00E06D97"/>
    <w:rsid w:val="00E07293"/>
    <w:rsid w:val="00E074AE"/>
    <w:rsid w:val="00E0782B"/>
    <w:rsid w:val="00E109AD"/>
    <w:rsid w:val="00E10D84"/>
    <w:rsid w:val="00E11E98"/>
    <w:rsid w:val="00E124D1"/>
    <w:rsid w:val="00E1254E"/>
    <w:rsid w:val="00E125EE"/>
    <w:rsid w:val="00E12CB7"/>
    <w:rsid w:val="00E137A8"/>
    <w:rsid w:val="00E14D54"/>
    <w:rsid w:val="00E152D8"/>
    <w:rsid w:val="00E159F2"/>
    <w:rsid w:val="00E15B5F"/>
    <w:rsid w:val="00E16219"/>
    <w:rsid w:val="00E164B9"/>
    <w:rsid w:val="00E164D2"/>
    <w:rsid w:val="00E169D2"/>
    <w:rsid w:val="00E16AA7"/>
    <w:rsid w:val="00E16BE8"/>
    <w:rsid w:val="00E16D12"/>
    <w:rsid w:val="00E1741F"/>
    <w:rsid w:val="00E17FB2"/>
    <w:rsid w:val="00E200B2"/>
    <w:rsid w:val="00E2249F"/>
    <w:rsid w:val="00E22C98"/>
    <w:rsid w:val="00E23D42"/>
    <w:rsid w:val="00E24C09"/>
    <w:rsid w:val="00E25314"/>
    <w:rsid w:val="00E256A5"/>
    <w:rsid w:val="00E2576A"/>
    <w:rsid w:val="00E2622F"/>
    <w:rsid w:val="00E26ABC"/>
    <w:rsid w:val="00E26BB6"/>
    <w:rsid w:val="00E26D8A"/>
    <w:rsid w:val="00E30B1C"/>
    <w:rsid w:val="00E31BB4"/>
    <w:rsid w:val="00E3233D"/>
    <w:rsid w:val="00E32C25"/>
    <w:rsid w:val="00E32CA1"/>
    <w:rsid w:val="00E33121"/>
    <w:rsid w:val="00E33411"/>
    <w:rsid w:val="00E338E2"/>
    <w:rsid w:val="00E33AFF"/>
    <w:rsid w:val="00E33BA0"/>
    <w:rsid w:val="00E3483E"/>
    <w:rsid w:val="00E353F6"/>
    <w:rsid w:val="00E35BC0"/>
    <w:rsid w:val="00E35E9F"/>
    <w:rsid w:val="00E35EDD"/>
    <w:rsid w:val="00E360C4"/>
    <w:rsid w:val="00E369E7"/>
    <w:rsid w:val="00E36BEF"/>
    <w:rsid w:val="00E37AA5"/>
    <w:rsid w:val="00E37B8B"/>
    <w:rsid w:val="00E37C4E"/>
    <w:rsid w:val="00E40C57"/>
    <w:rsid w:val="00E41331"/>
    <w:rsid w:val="00E41464"/>
    <w:rsid w:val="00E4177D"/>
    <w:rsid w:val="00E41E6B"/>
    <w:rsid w:val="00E42455"/>
    <w:rsid w:val="00E4292C"/>
    <w:rsid w:val="00E42A78"/>
    <w:rsid w:val="00E42C61"/>
    <w:rsid w:val="00E42F06"/>
    <w:rsid w:val="00E437D2"/>
    <w:rsid w:val="00E43B7D"/>
    <w:rsid w:val="00E43F21"/>
    <w:rsid w:val="00E4404C"/>
    <w:rsid w:val="00E44762"/>
    <w:rsid w:val="00E450A6"/>
    <w:rsid w:val="00E45302"/>
    <w:rsid w:val="00E45AF6"/>
    <w:rsid w:val="00E46693"/>
    <w:rsid w:val="00E468E3"/>
    <w:rsid w:val="00E46BD6"/>
    <w:rsid w:val="00E50BCC"/>
    <w:rsid w:val="00E5111B"/>
    <w:rsid w:val="00E52635"/>
    <w:rsid w:val="00E529DD"/>
    <w:rsid w:val="00E54405"/>
    <w:rsid w:val="00E54794"/>
    <w:rsid w:val="00E54A73"/>
    <w:rsid w:val="00E54ADF"/>
    <w:rsid w:val="00E54BD5"/>
    <w:rsid w:val="00E55313"/>
    <w:rsid w:val="00E554A4"/>
    <w:rsid w:val="00E558A8"/>
    <w:rsid w:val="00E558BA"/>
    <w:rsid w:val="00E568D8"/>
    <w:rsid w:val="00E569F7"/>
    <w:rsid w:val="00E56E04"/>
    <w:rsid w:val="00E57236"/>
    <w:rsid w:val="00E5726E"/>
    <w:rsid w:val="00E573C2"/>
    <w:rsid w:val="00E57625"/>
    <w:rsid w:val="00E57DCE"/>
    <w:rsid w:val="00E60C32"/>
    <w:rsid w:val="00E61052"/>
    <w:rsid w:val="00E611DF"/>
    <w:rsid w:val="00E61289"/>
    <w:rsid w:val="00E618A1"/>
    <w:rsid w:val="00E63125"/>
    <w:rsid w:val="00E633B6"/>
    <w:rsid w:val="00E6341C"/>
    <w:rsid w:val="00E63678"/>
    <w:rsid w:val="00E63C0E"/>
    <w:rsid w:val="00E63E25"/>
    <w:rsid w:val="00E64833"/>
    <w:rsid w:val="00E64B5D"/>
    <w:rsid w:val="00E65206"/>
    <w:rsid w:val="00E655B5"/>
    <w:rsid w:val="00E66059"/>
    <w:rsid w:val="00E6666C"/>
    <w:rsid w:val="00E668ED"/>
    <w:rsid w:val="00E7010A"/>
    <w:rsid w:val="00E7144A"/>
    <w:rsid w:val="00E73D89"/>
    <w:rsid w:val="00E7432A"/>
    <w:rsid w:val="00E74B04"/>
    <w:rsid w:val="00E74B40"/>
    <w:rsid w:val="00E74B7F"/>
    <w:rsid w:val="00E751BD"/>
    <w:rsid w:val="00E75391"/>
    <w:rsid w:val="00E756B9"/>
    <w:rsid w:val="00E75B14"/>
    <w:rsid w:val="00E75B57"/>
    <w:rsid w:val="00E7621C"/>
    <w:rsid w:val="00E76380"/>
    <w:rsid w:val="00E764A4"/>
    <w:rsid w:val="00E764BF"/>
    <w:rsid w:val="00E770EA"/>
    <w:rsid w:val="00E80034"/>
    <w:rsid w:val="00E8081E"/>
    <w:rsid w:val="00E80FCE"/>
    <w:rsid w:val="00E81FBD"/>
    <w:rsid w:val="00E8228A"/>
    <w:rsid w:val="00E8237C"/>
    <w:rsid w:val="00E83B43"/>
    <w:rsid w:val="00E83EC6"/>
    <w:rsid w:val="00E840AD"/>
    <w:rsid w:val="00E84C9F"/>
    <w:rsid w:val="00E8519C"/>
    <w:rsid w:val="00E8538A"/>
    <w:rsid w:val="00E85A85"/>
    <w:rsid w:val="00E85C00"/>
    <w:rsid w:val="00E85F2F"/>
    <w:rsid w:val="00E86A44"/>
    <w:rsid w:val="00E87374"/>
    <w:rsid w:val="00E873BF"/>
    <w:rsid w:val="00E87502"/>
    <w:rsid w:val="00E87704"/>
    <w:rsid w:val="00E87BC9"/>
    <w:rsid w:val="00E90274"/>
    <w:rsid w:val="00E90C4A"/>
    <w:rsid w:val="00E911B8"/>
    <w:rsid w:val="00E91CB0"/>
    <w:rsid w:val="00E91F06"/>
    <w:rsid w:val="00E92471"/>
    <w:rsid w:val="00E9333D"/>
    <w:rsid w:val="00E93533"/>
    <w:rsid w:val="00E93BBD"/>
    <w:rsid w:val="00E9498F"/>
    <w:rsid w:val="00E94A66"/>
    <w:rsid w:val="00E9531B"/>
    <w:rsid w:val="00E95F00"/>
    <w:rsid w:val="00E9701D"/>
    <w:rsid w:val="00E97128"/>
    <w:rsid w:val="00EA030B"/>
    <w:rsid w:val="00EA054D"/>
    <w:rsid w:val="00EA0DBF"/>
    <w:rsid w:val="00EA1001"/>
    <w:rsid w:val="00EA17A9"/>
    <w:rsid w:val="00EA1857"/>
    <w:rsid w:val="00EA20E9"/>
    <w:rsid w:val="00EA22A5"/>
    <w:rsid w:val="00EA25B8"/>
    <w:rsid w:val="00EA2DE1"/>
    <w:rsid w:val="00EA2EDB"/>
    <w:rsid w:val="00EA3BCB"/>
    <w:rsid w:val="00EA3C14"/>
    <w:rsid w:val="00EA4171"/>
    <w:rsid w:val="00EA47A7"/>
    <w:rsid w:val="00EA4C37"/>
    <w:rsid w:val="00EA4E15"/>
    <w:rsid w:val="00EA581F"/>
    <w:rsid w:val="00EA59A2"/>
    <w:rsid w:val="00EA5D0E"/>
    <w:rsid w:val="00EA5D46"/>
    <w:rsid w:val="00EA5DF9"/>
    <w:rsid w:val="00EA5FAB"/>
    <w:rsid w:val="00EA6896"/>
    <w:rsid w:val="00EA6C3E"/>
    <w:rsid w:val="00EA7793"/>
    <w:rsid w:val="00EA78BF"/>
    <w:rsid w:val="00EB0817"/>
    <w:rsid w:val="00EB095A"/>
    <w:rsid w:val="00EB0CB2"/>
    <w:rsid w:val="00EB0CD4"/>
    <w:rsid w:val="00EB13EA"/>
    <w:rsid w:val="00EB1435"/>
    <w:rsid w:val="00EB1700"/>
    <w:rsid w:val="00EB1C3F"/>
    <w:rsid w:val="00EB1E5D"/>
    <w:rsid w:val="00EB2233"/>
    <w:rsid w:val="00EB2443"/>
    <w:rsid w:val="00EB25BE"/>
    <w:rsid w:val="00EB3A1D"/>
    <w:rsid w:val="00EB3CC5"/>
    <w:rsid w:val="00EB3EB4"/>
    <w:rsid w:val="00EB42B5"/>
    <w:rsid w:val="00EB46BD"/>
    <w:rsid w:val="00EB4C3A"/>
    <w:rsid w:val="00EB5231"/>
    <w:rsid w:val="00EB55FD"/>
    <w:rsid w:val="00EB58F5"/>
    <w:rsid w:val="00EB5BC1"/>
    <w:rsid w:val="00EB646D"/>
    <w:rsid w:val="00EB65CB"/>
    <w:rsid w:val="00EB7DBB"/>
    <w:rsid w:val="00EB7E82"/>
    <w:rsid w:val="00EC013B"/>
    <w:rsid w:val="00EC01F2"/>
    <w:rsid w:val="00EC0339"/>
    <w:rsid w:val="00EC085A"/>
    <w:rsid w:val="00EC0A70"/>
    <w:rsid w:val="00EC1840"/>
    <w:rsid w:val="00EC2E30"/>
    <w:rsid w:val="00EC2FD5"/>
    <w:rsid w:val="00EC38DE"/>
    <w:rsid w:val="00EC3916"/>
    <w:rsid w:val="00EC39A7"/>
    <w:rsid w:val="00EC3F6C"/>
    <w:rsid w:val="00EC43CB"/>
    <w:rsid w:val="00EC4423"/>
    <w:rsid w:val="00EC47C4"/>
    <w:rsid w:val="00EC4CE3"/>
    <w:rsid w:val="00EC6043"/>
    <w:rsid w:val="00EC6C03"/>
    <w:rsid w:val="00EC6C6C"/>
    <w:rsid w:val="00EC6C76"/>
    <w:rsid w:val="00EC7A64"/>
    <w:rsid w:val="00ED01B5"/>
    <w:rsid w:val="00ED02D5"/>
    <w:rsid w:val="00ED03BF"/>
    <w:rsid w:val="00ED064B"/>
    <w:rsid w:val="00ED074B"/>
    <w:rsid w:val="00ED1AF9"/>
    <w:rsid w:val="00ED1BBE"/>
    <w:rsid w:val="00ED1C3C"/>
    <w:rsid w:val="00ED203F"/>
    <w:rsid w:val="00ED2057"/>
    <w:rsid w:val="00ED2BBA"/>
    <w:rsid w:val="00ED3754"/>
    <w:rsid w:val="00ED39C7"/>
    <w:rsid w:val="00ED404A"/>
    <w:rsid w:val="00ED40DD"/>
    <w:rsid w:val="00ED469D"/>
    <w:rsid w:val="00ED4C3F"/>
    <w:rsid w:val="00ED4FD3"/>
    <w:rsid w:val="00ED5005"/>
    <w:rsid w:val="00ED5273"/>
    <w:rsid w:val="00ED5386"/>
    <w:rsid w:val="00ED5CA3"/>
    <w:rsid w:val="00ED615D"/>
    <w:rsid w:val="00ED6206"/>
    <w:rsid w:val="00ED6439"/>
    <w:rsid w:val="00ED6B9B"/>
    <w:rsid w:val="00ED6D36"/>
    <w:rsid w:val="00EE0408"/>
    <w:rsid w:val="00EE075B"/>
    <w:rsid w:val="00EE1137"/>
    <w:rsid w:val="00EE16FD"/>
    <w:rsid w:val="00EE1800"/>
    <w:rsid w:val="00EE18FA"/>
    <w:rsid w:val="00EE1934"/>
    <w:rsid w:val="00EE1CA1"/>
    <w:rsid w:val="00EE2237"/>
    <w:rsid w:val="00EE240D"/>
    <w:rsid w:val="00EE290C"/>
    <w:rsid w:val="00EE2F99"/>
    <w:rsid w:val="00EE3143"/>
    <w:rsid w:val="00EE3AC4"/>
    <w:rsid w:val="00EE3B2C"/>
    <w:rsid w:val="00EE4599"/>
    <w:rsid w:val="00EE4AF7"/>
    <w:rsid w:val="00EE504F"/>
    <w:rsid w:val="00EE5995"/>
    <w:rsid w:val="00EE5F35"/>
    <w:rsid w:val="00EE637D"/>
    <w:rsid w:val="00EE688A"/>
    <w:rsid w:val="00EE6AA8"/>
    <w:rsid w:val="00EE777F"/>
    <w:rsid w:val="00EE7EB8"/>
    <w:rsid w:val="00EF0099"/>
    <w:rsid w:val="00EF05FF"/>
    <w:rsid w:val="00EF1418"/>
    <w:rsid w:val="00EF1459"/>
    <w:rsid w:val="00EF157C"/>
    <w:rsid w:val="00EF15E6"/>
    <w:rsid w:val="00EF182B"/>
    <w:rsid w:val="00EF1D49"/>
    <w:rsid w:val="00EF225B"/>
    <w:rsid w:val="00EF2680"/>
    <w:rsid w:val="00EF28EF"/>
    <w:rsid w:val="00EF2CE9"/>
    <w:rsid w:val="00EF31E7"/>
    <w:rsid w:val="00EF34B0"/>
    <w:rsid w:val="00EF3A61"/>
    <w:rsid w:val="00EF3F05"/>
    <w:rsid w:val="00EF47B0"/>
    <w:rsid w:val="00EF4920"/>
    <w:rsid w:val="00EF499F"/>
    <w:rsid w:val="00EF4B83"/>
    <w:rsid w:val="00EF4D0C"/>
    <w:rsid w:val="00EF4DF1"/>
    <w:rsid w:val="00EF5155"/>
    <w:rsid w:val="00EF6040"/>
    <w:rsid w:val="00EF6197"/>
    <w:rsid w:val="00EF69DC"/>
    <w:rsid w:val="00EF6AAF"/>
    <w:rsid w:val="00EF6EBC"/>
    <w:rsid w:val="00EF7269"/>
    <w:rsid w:val="00EF7CE8"/>
    <w:rsid w:val="00F00026"/>
    <w:rsid w:val="00F00429"/>
    <w:rsid w:val="00F017DD"/>
    <w:rsid w:val="00F0192B"/>
    <w:rsid w:val="00F0281A"/>
    <w:rsid w:val="00F029CF"/>
    <w:rsid w:val="00F03323"/>
    <w:rsid w:val="00F03BDA"/>
    <w:rsid w:val="00F0476C"/>
    <w:rsid w:val="00F04774"/>
    <w:rsid w:val="00F04A55"/>
    <w:rsid w:val="00F059DD"/>
    <w:rsid w:val="00F05AD2"/>
    <w:rsid w:val="00F05E72"/>
    <w:rsid w:val="00F070E9"/>
    <w:rsid w:val="00F07A45"/>
    <w:rsid w:val="00F07E02"/>
    <w:rsid w:val="00F07F85"/>
    <w:rsid w:val="00F106E7"/>
    <w:rsid w:val="00F10C17"/>
    <w:rsid w:val="00F10DCD"/>
    <w:rsid w:val="00F11DBF"/>
    <w:rsid w:val="00F132AD"/>
    <w:rsid w:val="00F1376B"/>
    <w:rsid w:val="00F137FE"/>
    <w:rsid w:val="00F13F6D"/>
    <w:rsid w:val="00F144DD"/>
    <w:rsid w:val="00F146FD"/>
    <w:rsid w:val="00F1488E"/>
    <w:rsid w:val="00F14F29"/>
    <w:rsid w:val="00F154DE"/>
    <w:rsid w:val="00F1573D"/>
    <w:rsid w:val="00F158DD"/>
    <w:rsid w:val="00F15951"/>
    <w:rsid w:val="00F15B92"/>
    <w:rsid w:val="00F16577"/>
    <w:rsid w:val="00F16962"/>
    <w:rsid w:val="00F16AC2"/>
    <w:rsid w:val="00F16AC9"/>
    <w:rsid w:val="00F17754"/>
    <w:rsid w:val="00F17DA8"/>
    <w:rsid w:val="00F204F8"/>
    <w:rsid w:val="00F20732"/>
    <w:rsid w:val="00F22712"/>
    <w:rsid w:val="00F22E55"/>
    <w:rsid w:val="00F23158"/>
    <w:rsid w:val="00F2366E"/>
    <w:rsid w:val="00F23D9A"/>
    <w:rsid w:val="00F23DE9"/>
    <w:rsid w:val="00F2406E"/>
    <w:rsid w:val="00F24945"/>
    <w:rsid w:val="00F24988"/>
    <w:rsid w:val="00F24CFB"/>
    <w:rsid w:val="00F24D1D"/>
    <w:rsid w:val="00F24D66"/>
    <w:rsid w:val="00F24EC7"/>
    <w:rsid w:val="00F25652"/>
    <w:rsid w:val="00F25AFC"/>
    <w:rsid w:val="00F25B28"/>
    <w:rsid w:val="00F265AE"/>
    <w:rsid w:val="00F26754"/>
    <w:rsid w:val="00F26994"/>
    <w:rsid w:val="00F2704B"/>
    <w:rsid w:val="00F274B5"/>
    <w:rsid w:val="00F27F39"/>
    <w:rsid w:val="00F304BF"/>
    <w:rsid w:val="00F31305"/>
    <w:rsid w:val="00F320E7"/>
    <w:rsid w:val="00F324D3"/>
    <w:rsid w:val="00F32F24"/>
    <w:rsid w:val="00F34659"/>
    <w:rsid w:val="00F3480E"/>
    <w:rsid w:val="00F35325"/>
    <w:rsid w:val="00F35661"/>
    <w:rsid w:val="00F356CE"/>
    <w:rsid w:val="00F35901"/>
    <w:rsid w:val="00F3596F"/>
    <w:rsid w:val="00F363D7"/>
    <w:rsid w:val="00F3647E"/>
    <w:rsid w:val="00F3719D"/>
    <w:rsid w:val="00F37E06"/>
    <w:rsid w:val="00F407B1"/>
    <w:rsid w:val="00F40DA3"/>
    <w:rsid w:val="00F40F0E"/>
    <w:rsid w:val="00F411EA"/>
    <w:rsid w:val="00F41640"/>
    <w:rsid w:val="00F4169F"/>
    <w:rsid w:val="00F417A5"/>
    <w:rsid w:val="00F41E2E"/>
    <w:rsid w:val="00F42964"/>
    <w:rsid w:val="00F4301F"/>
    <w:rsid w:val="00F4365B"/>
    <w:rsid w:val="00F449CB"/>
    <w:rsid w:val="00F44DB7"/>
    <w:rsid w:val="00F44F4C"/>
    <w:rsid w:val="00F45843"/>
    <w:rsid w:val="00F45BCD"/>
    <w:rsid w:val="00F47376"/>
    <w:rsid w:val="00F47A7A"/>
    <w:rsid w:val="00F47F99"/>
    <w:rsid w:val="00F50159"/>
    <w:rsid w:val="00F50447"/>
    <w:rsid w:val="00F50596"/>
    <w:rsid w:val="00F5177B"/>
    <w:rsid w:val="00F51D7D"/>
    <w:rsid w:val="00F52915"/>
    <w:rsid w:val="00F52A2A"/>
    <w:rsid w:val="00F52BF4"/>
    <w:rsid w:val="00F53533"/>
    <w:rsid w:val="00F5387D"/>
    <w:rsid w:val="00F542AC"/>
    <w:rsid w:val="00F570AD"/>
    <w:rsid w:val="00F573CA"/>
    <w:rsid w:val="00F57780"/>
    <w:rsid w:val="00F57F44"/>
    <w:rsid w:val="00F600B7"/>
    <w:rsid w:val="00F600CF"/>
    <w:rsid w:val="00F60179"/>
    <w:rsid w:val="00F60811"/>
    <w:rsid w:val="00F61875"/>
    <w:rsid w:val="00F61D9C"/>
    <w:rsid w:val="00F621F8"/>
    <w:rsid w:val="00F62552"/>
    <w:rsid w:val="00F62794"/>
    <w:rsid w:val="00F62852"/>
    <w:rsid w:val="00F639EE"/>
    <w:rsid w:val="00F63FE8"/>
    <w:rsid w:val="00F64967"/>
    <w:rsid w:val="00F64DF9"/>
    <w:rsid w:val="00F650FB"/>
    <w:rsid w:val="00F656C2"/>
    <w:rsid w:val="00F65926"/>
    <w:rsid w:val="00F66811"/>
    <w:rsid w:val="00F66B61"/>
    <w:rsid w:val="00F67D7F"/>
    <w:rsid w:val="00F67F9F"/>
    <w:rsid w:val="00F70786"/>
    <w:rsid w:val="00F71339"/>
    <w:rsid w:val="00F71B0D"/>
    <w:rsid w:val="00F7223E"/>
    <w:rsid w:val="00F7296C"/>
    <w:rsid w:val="00F72A10"/>
    <w:rsid w:val="00F72FDC"/>
    <w:rsid w:val="00F73008"/>
    <w:rsid w:val="00F7382E"/>
    <w:rsid w:val="00F73869"/>
    <w:rsid w:val="00F750F5"/>
    <w:rsid w:val="00F75C2B"/>
    <w:rsid w:val="00F76EB2"/>
    <w:rsid w:val="00F76FF0"/>
    <w:rsid w:val="00F80B05"/>
    <w:rsid w:val="00F80BD0"/>
    <w:rsid w:val="00F80EC0"/>
    <w:rsid w:val="00F81010"/>
    <w:rsid w:val="00F815BE"/>
    <w:rsid w:val="00F81694"/>
    <w:rsid w:val="00F818BE"/>
    <w:rsid w:val="00F81B61"/>
    <w:rsid w:val="00F81C84"/>
    <w:rsid w:val="00F8254B"/>
    <w:rsid w:val="00F828D6"/>
    <w:rsid w:val="00F82980"/>
    <w:rsid w:val="00F82DC5"/>
    <w:rsid w:val="00F8316E"/>
    <w:rsid w:val="00F83C29"/>
    <w:rsid w:val="00F84468"/>
    <w:rsid w:val="00F84742"/>
    <w:rsid w:val="00F849BF"/>
    <w:rsid w:val="00F86046"/>
    <w:rsid w:val="00F862B3"/>
    <w:rsid w:val="00F86632"/>
    <w:rsid w:val="00F86BE6"/>
    <w:rsid w:val="00F86C3C"/>
    <w:rsid w:val="00F86E53"/>
    <w:rsid w:val="00F879F2"/>
    <w:rsid w:val="00F87BA5"/>
    <w:rsid w:val="00F87FD7"/>
    <w:rsid w:val="00F90576"/>
    <w:rsid w:val="00F909A8"/>
    <w:rsid w:val="00F90A80"/>
    <w:rsid w:val="00F90D8E"/>
    <w:rsid w:val="00F91BE3"/>
    <w:rsid w:val="00F91E62"/>
    <w:rsid w:val="00F927A9"/>
    <w:rsid w:val="00F92F25"/>
    <w:rsid w:val="00F93E62"/>
    <w:rsid w:val="00F94B06"/>
    <w:rsid w:val="00F94D85"/>
    <w:rsid w:val="00F95245"/>
    <w:rsid w:val="00F95A02"/>
    <w:rsid w:val="00F968EF"/>
    <w:rsid w:val="00FA055C"/>
    <w:rsid w:val="00FA0C81"/>
    <w:rsid w:val="00FA1825"/>
    <w:rsid w:val="00FA19B5"/>
    <w:rsid w:val="00FA2377"/>
    <w:rsid w:val="00FA27BA"/>
    <w:rsid w:val="00FA2A05"/>
    <w:rsid w:val="00FA36B1"/>
    <w:rsid w:val="00FA36D9"/>
    <w:rsid w:val="00FA5150"/>
    <w:rsid w:val="00FA5CBF"/>
    <w:rsid w:val="00FA5D46"/>
    <w:rsid w:val="00FA5DD1"/>
    <w:rsid w:val="00FA5EDD"/>
    <w:rsid w:val="00FA6740"/>
    <w:rsid w:val="00FA6A36"/>
    <w:rsid w:val="00FA6C60"/>
    <w:rsid w:val="00FA6D2E"/>
    <w:rsid w:val="00FA6F8B"/>
    <w:rsid w:val="00FA7922"/>
    <w:rsid w:val="00FB0193"/>
    <w:rsid w:val="00FB0C07"/>
    <w:rsid w:val="00FB12FF"/>
    <w:rsid w:val="00FB134D"/>
    <w:rsid w:val="00FB1531"/>
    <w:rsid w:val="00FB19E6"/>
    <w:rsid w:val="00FB1DB0"/>
    <w:rsid w:val="00FB2161"/>
    <w:rsid w:val="00FB2A21"/>
    <w:rsid w:val="00FB3270"/>
    <w:rsid w:val="00FB327B"/>
    <w:rsid w:val="00FB382D"/>
    <w:rsid w:val="00FB3912"/>
    <w:rsid w:val="00FB4ED2"/>
    <w:rsid w:val="00FB50AC"/>
    <w:rsid w:val="00FB514A"/>
    <w:rsid w:val="00FB53E8"/>
    <w:rsid w:val="00FB58AC"/>
    <w:rsid w:val="00FB5AEC"/>
    <w:rsid w:val="00FB5D02"/>
    <w:rsid w:val="00FB743E"/>
    <w:rsid w:val="00FC0206"/>
    <w:rsid w:val="00FC17E4"/>
    <w:rsid w:val="00FC19D5"/>
    <w:rsid w:val="00FC1C57"/>
    <w:rsid w:val="00FC2118"/>
    <w:rsid w:val="00FC2346"/>
    <w:rsid w:val="00FC2EE8"/>
    <w:rsid w:val="00FC317C"/>
    <w:rsid w:val="00FC329B"/>
    <w:rsid w:val="00FC3EB0"/>
    <w:rsid w:val="00FC3F8E"/>
    <w:rsid w:val="00FC46D3"/>
    <w:rsid w:val="00FC5C04"/>
    <w:rsid w:val="00FC792F"/>
    <w:rsid w:val="00FC7A1A"/>
    <w:rsid w:val="00FD02E2"/>
    <w:rsid w:val="00FD0590"/>
    <w:rsid w:val="00FD1520"/>
    <w:rsid w:val="00FD1D7F"/>
    <w:rsid w:val="00FD21E7"/>
    <w:rsid w:val="00FD237A"/>
    <w:rsid w:val="00FD3968"/>
    <w:rsid w:val="00FD40F4"/>
    <w:rsid w:val="00FD4D00"/>
    <w:rsid w:val="00FD618A"/>
    <w:rsid w:val="00FD6FEE"/>
    <w:rsid w:val="00FD70F9"/>
    <w:rsid w:val="00FD72D0"/>
    <w:rsid w:val="00FD73E3"/>
    <w:rsid w:val="00FD7505"/>
    <w:rsid w:val="00FD7798"/>
    <w:rsid w:val="00FE00A6"/>
    <w:rsid w:val="00FE1192"/>
    <w:rsid w:val="00FE1568"/>
    <w:rsid w:val="00FE1AFF"/>
    <w:rsid w:val="00FE2329"/>
    <w:rsid w:val="00FE237B"/>
    <w:rsid w:val="00FE2609"/>
    <w:rsid w:val="00FE2C90"/>
    <w:rsid w:val="00FE3163"/>
    <w:rsid w:val="00FE35C3"/>
    <w:rsid w:val="00FE404E"/>
    <w:rsid w:val="00FE43E6"/>
    <w:rsid w:val="00FE455A"/>
    <w:rsid w:val="00FE49EB"/>
    <w:rsid w:val="00FE4BB0"/>
    <w:rsid w:val="00FE4CEE"/>
    <w:rsid w:val="00FE4FBD"/>
    <w:rsid w:val="00FE5233"/>
    <w:rsid w:val="00FE6316"/>
    <w:rsid w:val="00FE684C"/>
    <w:rsid w:val="00FE6C8A"/>
    <w:rsid w:val="00FE7173"/>
    <w:rsid w:val="00FF0175"/>
    <w:rsid w:val="00FF0A7D"/>
    <w:rsid w:val="00FF18EF"/>
    <w:rsid w:val="00FF1957"/>
    <w:rsid w:val="00FF25A3"/>
    <w:rsid w:val="00FF25B1"/>
    <w:rsid w:val="00FF2A10"/>
    <w:rsid w:val="00FF2C86"/>
    <w:rsid w:val="00FF394B"/>
    <w:rsid w:val="00FF3E87"/>
    <w:rsid w:val="00FF4797"/>
    <w:rsid w:val="00FF4921"/>
    <w:rsid w:val="00FF4C46"/>
    <w:rsid w:val="00FF4D00"/>
    <w:rsid w:val="00FF50EA"/>
    <w:rsid w:val="00FF5161"/>
    <w:rsid w:val="00FF516E"/>
    <w:rsid w:val="00FF617A"/>
    <w:rsid w:val="00FF63F4"/>
    <w:rsid w:val="00FF6593"/>
    <w:rsid w:val="00FF6F39"/>
    <w:rsid w:val="00FF7160"/>
    <w:rsid w:val="00FF73FD"/>
    <w:rsid w:val="00FF7492"/>
    <w:rsid w:val="00FF7638"/>
    <w:rsid w:val="00FF77D2"/>
    <w:rsid w:val="00FF79FD"/>
    <w:rsid w:val="03161E42"/>
    <w:rsid w:val="1296D689"/>
    <w:rsid w:val="2F8600AF"/>
    <w:rsid w:val="4233DB83"/>
    <w:rsid w:val="4FD2ADB7"/>
    <w:rsid w:val="65DDF355"/>
    <w:rsid w:val="68A8E3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DCB6A"/>
  <w15:chartTrackingRefBased/>
  <w15:docId w15:val="{8B47A3A3-88ED-4686-9860-8B2806D8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571"/>
    <w:pPr>
      <w:spacing w:line="276" w:lineRule="auto"/>
      <w:jc w:val="both"/>
    </w:pPr>
  </w:style>
  <w:style w:type="paragraph" w:styleId="Heading1">
    <w:name w:val="heading 1"/>
    <w:basedOn w:val="Normal"/>
    <w:link w:val="Heading1Char"/>
    <w:uiPriority w:val="9"/>
    <w:qFormat/>
    <w:rsid w:val="00664C4E"/>
    <w:pPr>
      <w:spacing w:before="100" w:beforeAutospacing="1" w:after="100" w:afterAutospacing="1" w:line="240" w:lineRule="auto"/>
      <w:outlineLvl w:val="0"/>
    </w:pPr>
    <w:rPr>
      <w:rFonts w:eastAsia="Times New Roman" w:cstheme="minorHAnsi"/>
      <w:b/>
      <w:bCs/>
      <w:kern w:val="36"/>
      <w:sz w:val="28"/>
      <w:szCs w:val="28"/>
      <w:lang w:eastAsia="en-GB"/>
    </w:rPr>
  </w:style>
  <w:style w:type="paragraph" w:styleId="Heading2">
    <w:name w:val="heading 2"/>
    <w:basedOn w:val="Normal"/>
    <w:next w:val="Normal"/>
    <w:link w:val="Heading2Char"/>
    <w:uiPriority w:val="9"/>
    <w:unhideWhenUsed/>
    <w:qFormat/>
    <w:rsid w:val="00061460"/>
    <w:pPr>
      <w:outlineLvl w:val="1"/>
    </w:pPr>
    <w:rPr>
      <w:b/>
      <w:bCs/>
      <w:sz w:val="28"/>
      <w:szCs w:val="28"/>
    </w:rPr>
  </w:style>
  <w:style w:type="paragraph" w:styleId="Heading3">
    <w:name w:val="heading 3"/>
    <w:basedOn w:val="Normal"/>
    <w:next w:val="Normal"/>
    <w:link w:val="Heading3Char"/>
    <w:uiPriority w:val="9"/>
    <w:unhideWhenUsed/>
    <w:qFormat/>
    <w:rsid w:val="000C6972"/>
    <w:pPr>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C4E"/>
    <w:rPr>
      <w:rFonts w:eastAsia="Times New Roman" w:cstheme="minorHAnsi"/>
      <w:b/>
      <w:bCs/>
      <w:kern w:val="36"/>
      <w:sz w:val="28"/>
      <w:szCs w:val="28"/>
      <w:lang w:eastAsia="en-GB"/>
    </w:rPr>
  </w:style>
  <w:style w:type="paragraph" w:styleId="ListParagraph">
    <w:name w:val="List Paragraph"/>
    <w:basedOn w:val="Normal"/>
    <w:uiPriority w:val="34"/>
    <w:qFormat/>
    <w:rsid w:val="009B1A2B"/>
    <w:pPr>
      <w:ind w:left="720"/>
      <w:contextualSpacing/>
    </w:pPr>
  </w:style>
  <w:style w:type="character" w:styleId="Hyperlink">
    <w:name w:val="Hyperlink"/>
    <w:basedOn w:val="DefaultParagraphFont"/>
    <w:uiPriority w:val="99"/>
    <w:unhideWhenUsed/>
    <w:rsid w:val="00514A28"/>
    <w:rPr>
      <w:color w:val="0000FF"/>
      <w:u w:val="single"/>
    </w:rPr>
  </w:style>
  <w:style w:type="character" w:customStyle="1" w:styleId="UnresolvedMention">
    <w:name w:val="Unresolved Mention"/>
    <w:basedOn w:val="DefaultParagraphFont"/>
    <w:uiPriority w:val="99"/>
    <w:unhideWhenUsed/>
    <w:rsid w:val="00927B21"/>
    <w:rPr>
      <w:color w:val="605E5C"/>
      <w:shd w:val="clear" w:color="auto" w:fill="E1DFDD"/>
    </w:rPr>
  </w:style>
  <w:style w:type="paragraph" w:styleId="BalloonText">
    <w:name w:val="Balloon Text"/>
    <w:basedOn w:val="Normal"/>
    <w:link w:val="BalloonTextChar"/>
    <w:uiPriority w:val="99"/>
    <w:semiHidden/>
    <w:unhideWhenUsed/>
    <w:rsid w:val="00E22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49F"/>
    <w:rPr>
      <w:rFonts w:ascii="Segoe UI" w:hAnsi="Segoe UI" w:cs="Segoe UI"/>
      <w:sz w:val="18"/>
      <w:szCs w:val="18"/>
    </w:rPr>
  </w:style>
  <w:style w:type="character" w:styleId="CommentReference">
    <w:name w:val="annotation reference"/>
    <w:basedOn w:val="DefaultParagraphFont"/>
    <w:uiPriority w:val="99"/>
    <w:semiHidden/>
    <w:unhideWhenUsed/>
    <w:rsid w:val="00212A40"/>
    <w:rPr>
      <w:sz w:val="16"/>
      <w:szCs w:val="16"/>
    </w:rPr>
  </w:style>
  <w:style w:type="paragraph" w:styleId="CommentText">
    <w:name w:val="annotation text"/>
    <w:basedOn w:val="Normal"/>
    <w:link w:val="CommentTextChar"/>
    <w:uiPriority w:val="99"/>
    <w:unhideWhenUsed/>
    <w:rsid w:val="00212A40"/>
    <w:pPr>
      <w:spacing w:line="240" w:lineRule="auto"/>
    </w:pPr>
    <w:rPr>
      <w:sz w:val="20"/>
      <w:szCs w:val="20"/>
    </w:rPr>
  </w:style>
  <w:style w:type="character" w:customStyle="1" w:styleId="CommentTextChar">
    <w:name w:val="Comment Text Char"/>
    <w:basedOn w:val="DefaultParagraphFont"/>
    <w:link w:val="CommentText"/>
    <w:uiPriority w:val="99"/>
    <w:rsid w:val="00212A40"/>
    <w:rPr>
      <w:sz w:val="20"/>
      <w:szCs w:val="20"/>
    </w:rPr>
  </w:style>
  <w:style w:type="paragraph" w:styleId="CommentSubject">
    <w:name w:val="annotation subject"/>
    <w:basedOn w:val="CommentText"/>
    <w:next w:val="CommentText"/>
    <w:link w:val="CommentSubjectChar"/>
    <w:uiPriority w:val="99"/>
    <w:semiHidden/>
    <w:unhideWhenUsed/>
    <w:rsid w:val="0023244D"/>
    <w:rPr>
      <w:b/>
      <w:bCs/>
    </w:rPr>
  </w:style>
  <w:style w:type="character" w:customStyle="1" w:styleId="CommentSubjectChar">
    <w:name w:val="Comment Subject Char"/>
    <w:basedOn w:val="CommentTextChar"/>
    <w:link w:val="CommentSubject"/>
    <w:uiPriority w:val="99"/>
    <w:semiHidden/>
    <w:rsid w:val="0023244D"/>
    <w:rPr>
      <w:b/>
      <w:bCs/>
      <w:sz w:val="20"/>
      <w:szCs w:val="20"/>
    </w:rPr>
  </w:style>
  <w:style w:type="character" w:styleId="FollowedHyperlink">
    <w:name w:val="FollowedHyperlink"/>
    <w:basedOn w:val="DefaultParagraphFont"/>
    <w:uiPriority w:val="99"/>
    <w:semiHidden/>
    <w:unhideWhenUsed/>
    <w:rsid w:val="008851E5"/>
    <w:rPr>
      <w:color w:val="954F72" w:themeColor="followedHyperlink"/>
      <w:u w:val="single"/>
    </w:rPr>
  </w:style>
  <w:style w:type="character" w:customStyle="1" w:styleId="Heading2Char">
    <w:name w:val="Heading 2 Char"/>
    <w:basedOn w:val="DefaultParagraphFont"/>
    <w:link w:val="Heading2"/>
    <w:uiPriority w:val="9"/>
    <w:rsid w:val="00061460"/>
    <w:rPr>
      <w:b/>
      <w:bCs/>
      <w:sz w:val="28"/>
      <w:szCs w:val="28"/>
    </w:rPr>
  </w:style>
  <w:style w:type="character" w:customStyle="1" w:styleId="Heading3Char">
    <w:name w:val="Heading 3 Char"/>
    <w:basedOn w:val="DefaultParagraphFont"/>
    <w:link w:val="Heading3"/>
    <w:uiPriority w:val="9"/>
    <w:rsid w:val="000C6972"/>
    <w:rPr>
      <w:b/>
      <w:sz w:val="24"/>
      <w:szCs w:val="24"/>
    </w:rPr>
  </w:style>
  <w:style w:type="paragraph" w:styleId="NormalWeb">
    <w:name w:val="Normal (Web)"/>
    <w:basedOn w:val="Normal"/>
    <w:link w:val="NormalWebChar"/>
    <w:uiPriority w:val="99"/>
    <w:unhideWhenUsed/>
    <w:rsid w:val="00664C4E"/>
    <w:pPr>
      <w:spacing w:after="0" w:line="240" w:lineRule="auto"/>
    </w:pPr>
    <w:rPr>
      <w:rFonts w:ascii="Calibri" w:hAnsi="Calibri" w:cs="Calibri"/>
      <w:lang w:eastAsia="en-GB"/>
    </w:rPr>
  </w:style>
  <w:style w:type="paragraph" w:styleId="Header">
    <w:name w:val="header"/>
    <w:basedOn w:val="Normal"/>
    <w:link w:val="HeaderChar"/>
    <w:uiPriority w:val="99"/>
    <w:unhideWhenUsed/>
    <w:rsid w:val="008853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3B3"/>
  </w:style>
  <w:style w:type="paragraph" w:styleId="Footer">
    <w:name w:val="footer"/>
    <w:basedOn w:val="Normal"/>
    <w:link w:val="FooterChar"/>
    <w:uiPriority w:val="99"/>
    <w:unhideWhenUsed/>
    <w:rsid w:val="008853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3B3"/>
  </w:style>
  <w:style w:type="character" w:customStyle="1" w:styleId="NormalWebChar">
    <w:name w:val="Normal (Web) Char"/>
    <w:basedOn w:val="DefaultParagraphFont"/>
    <w:link w:val="NormalWeb"/>
    <w:uiPriority w:val="99"/>
    <w:rsid w:val="00410581"/>
    <w:rPr>
      <w:rFonts w:ascii="Calibri" w:hAnsi="Calibri" w:cs="Calibri"/>
      <w:lang w:eastAsia="en-GB"/>
    </w:rPr>
  </w:style>
  <w:style w:type="paragraph" w:styleId="Revision">
    <w:name w:val="Revision"/>
    <w:hidden/>
    <w:uiPriority w:val="99"/>
    <w:semiHidden/>
    <w:rsid w:val="00C56CF1"/>
    <w:pPr>
      <w:spacing w:after="0" w:line="240" w:lineRule="auto"/>
    </w:pPr>
  </w:style>
  <w:style w:type="table" w:styleId="TableGrid">
    <w:name w:val="Table Grid"/>
    <w:basedOn w:val="TableNormal"/>
    <w:uiPriority w:val="39"/>
    <w:rsid w:val="00227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E4FAD"/>
    <w:rPr>
      <w:b/>
      <w:bCs/>
    </w:rPr>
  </w:style>
  <w:style w:type="character" w:styleId="PlaceholderText">
    <w:name w:val="Placeholder Text"/>
    <w:basedOn w:val="DefaultParagraphFont"/>
    <w:uiPriority w:val="99"/>
    <w:semiHidden/>
    <w:rsid w:val="00E91CB0"/>
    <w:rPr>
      <w:color w:val="808080"/>
    </w:rPr>
  </w:style>
  <w:style w:type="paragraph" w:styleId="HTMLPreformatted">
    <w:name w:val="HTML Preformatted"/>
    <w:basedOn w:val="Normal"/>
    <w:link w:val="HTMLPreformattedChar"/>
    <w:uiPriority w:val="99"/>
    <w:semiHidden/>
    <w:unhideWhenUsed/>
    <w:rsid w:val="00E12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E124D1"/>
    <w:rPr>
      <w:rFonts w:ascii="Courier New" w:eastAsia="Times New Roman" w:hAnsi="Courier New" w:cs="Courier New"/>
      <w:sz w:val="20"/>
      <w:szCs w:val="20"/>
      <w:lang w:eastAsia="en-GB"/>
    </w:rPr>
  </w:style>
  <w:style w:type="character" w:customStyle="1" w:styleId="gnkrckgcgsb">
    <w:name w:val="gnkrckgcgsb"/>
    <w:basedOn w:val="DefaultParagraphFont"/>
    <w:rsid w:val="00E124D1"/>
  </w:style>
  <w:style w:type="character" w:customStyle="1" w:styleId="gd15mcfceub">
    <w:name w:val="gd15mcfceub"/>
    <w:basedOn w:val="DefaultParagraphFont"/>
    <w:rsid w:val="000A0032"/>
  </w:style>
  <w:style w:type="character" w:styleId="HTMLCode">
    <w:name w:val="HTML Code"/>
    <w:basedOn w:val="DefaultParagraphFont"/>
    <w:uiPriority w:val="99"/>
    <w:semiHidden/>
    <w:unhideWhenUsed/>
    <w:rsid w:val="00CD40EF"/>
    <w:rPr>
      <w:rFonts w:ascii="Courier New" w:eastAsia="Times New Roman" w:hAnsi="Courier New" w:cs="Courier New"/>
      <w:sz w:val="20"/>
      <w:szCs w:val="20"/>
    </w:rPr>
  </w:style>
  <w:style w:type="character" w:customStyle="1" w:styleId="Mention">
    <w:name w:val="Mention"/>
    <w:basedOn w:val="DefaultParagraphFont"/>
    <w:uiPriority w:val="99"/>
    <w:unhideWhenUsed/>
    <w:rsid w:val="00E9531B"/>
    <w:rPr>
      <w:color w:val="2B579A"/>
      <w:shd w:val="clear" w:color="auto" w:fill="E1DFDD"/>
    </w:rPr>
  </w:style>
  <w:style w:type="paragraph" w:customStyle="1" w:styleId="MTDisplayEquation">
    <w:name w:val="MTDisplayEquation"/>
    <w:basedOn w:val="Normal"/>
    <w:next w:val="Normal"/>
    <w:link w:val="MTDisplayEquationChar"/>
    <w:rsid w:val="002D2830"/>
    <w:pPr>
      <w:tabs>
        <w:tab w:val="center" w:pos="4520"/>
        <w:tab w:val="right" w:pos="9020"/>
      </w:tabs>
    </w:pPr>
  </w:style>
  <w:style w:type="character" w:customStyle="1" w:styleId="MTDisplayEquationChar">
    <w:name w:val="MTDisplayEquation Char"/>
    <w:basedOn w:val="DefaultParagraphFont"/>
    <w:link w:val="MTDisplayEquation"/>
    <w:rsid w:val="002D2830"/>
  </w:style>
  <w:style w:type="character" w:customStyle="1" w:styleId="ggboefpdpvb">
    <w:name w:val="ggboefpdpvb"/>
    <w:basedOn w:val="DefaultParagraphFont"/>
    <w:rsid w:val="002D28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3170">
      <w:bodyDiv w:val="1"/>
      <w:marLeft w:val="0"/>
      <w:marRight w:val="0"/>
      <w:marTop w:val="0"/>
      <w:marBottom w:val="0"/>
      <w:divBdr>
        <w:top w:val="none" w:sz="0" w:space="0" w:color="auto"/>
        <w:left w:val="none" w:sz="0" w:space="0" w:color="auto"/>
        <w:bottom w:val="none" w:sz="0" w:space="0" w:color="auto"/>
        <w:right w:val="none" w:sz="0" w:space="0" w:color="auto"/>
      </w:divBdr>
    </w:div>
    <w:div w:id="33317360">
      <w:bodyDiv w:val="1"/>
      <w:marLeft w:val="0"/>
      <w:marRight w:val="0"/>
      <w:marTop w:val="0"/>
      <w:marBottom w:val="0"/>
      <w:divBdr>
        <w:top w:val="none" w:sz="0" w:space="0" w:color="auto"/>
        <w:left w:val="none" w:sz="0" w:space="0" w:color="auto"/>
        <w:bottom w:val="none" w:sz="0" w:space="0" w:color="auto"/>
        <w:right w:val="none" w:sz="0" w:space="0" w:color="auto"/>
      </w:divBdr>
    </w:div>
    <w:div w:id="39331353">
      <w:bodyDiv w:val="1"/>
      <w:marLeft w:val="0"/>
      <w:marRight w:val="0"/>
      <w:marTop w:val="0"/>
      <w:marBottom w:val="0"/>
      <w:divBdr>
        <w:top w:val="none" w:sz="0" w:space="0" w:color="auto"/>
        <w:left w:val="none" w:sz="0" w:space="0" w:color="auto"/>
        <w:bottom w:val="none" w:sz="0" w:space="0" w:color="auto"/>
        <w:right w:val="none" w:sz="0" w:space="0" w:color="auto"/>
      </w:divBdr>
    </w:div>
    <w:div w:id="54860932">
      <w:bodyDiv w:val="1"/>
      <w:marLeft w:val="0"/>
      <w:marRight w:val="0"/>
      <w:marTop w:val="0"/>
      <w:marBottom w:val="0"/>
      <w:divBdr>
        <w:top w:val="none" w:sz="0" w:space="0" w:color="auto"/>
        <w:left w:val="none" w:sz="0" w:space="0" w:color="auto"/>
        <w:bottom w:val="none" w:sz="0" w:space="0" w:color="auto"/>
        <w:right w:val="none" w:sz="0" w:space="0" w:color="auto"/>
      </w:divBdr>
    </w:div>
    <w:div w:id="64837906">
      <w:bodyDiv w:val="1"/>
      <w:marLeft w:val="0"/>
      <w:marRight w:val="0"/>
      <w:marTop w:val="0"/>
      <w:marBottom w:val="0"/>
      <w:divBdr>
        <w:top w:val="none" w:sz="0" w:space="0" w:color="auto"/>
        <w:left w:val="none" w:sz="0" w:space="0" w:color="auto"/>
        <w:bottom w:val="none" w:sz="0" w:space="0" w:color="auto"/>
        <w:right w:val="none" w:sz="0" w:space="0" w:color="auto"/>
      </w:divBdr>
    </w:div>
    <w:div w:id="73018017">
      <w:bodyDiv w:val="1"/>
      <w:marLeft w:val="0"/>
      <w:marRight w:val="0"/>
      <w:marTop w:val="0"/>
      <w:marBottom w:val="0"/>
      <w:divBdr>
        <w:top w:val="none" w:sz="0" w:space="0" w:color="auto"/>
        <w:left w:val="none" w:sz="0" w:space="0" w:color="auto"/>
        <w:bottom w:val="none" w:sz="0" w:space="0" w:color="auto"/>
        <w:right w:val="none" w:sz="0" w:space="0" w:color="auto"/>
      </w:divBdr>
    </w:div>
    <w:div w:id="94371847">
      <w:bodyDiv w:val="1"/>
      <w:marLeft w:val="0"/>
      <w:marRight w:val="0"/>
      <w:marTop w:val="0"/>
      <w:marBottom w:val="0"/>
      <w:divBdr>
        <w:top w:val="none" w:sz="0" w:space="0" w:color="auto"/>
        <w:left w:val="none" w:sz="0" w:space="0" w:color="auto"/>
        <w:bottom w:val="none" w:sz="0" w:space="0" w:color="auto"/>
        <w:right w:val="none" w:sz="0" w:space="0" w:color="auto"/>
      </w:divBdr>
    </w:div>
    <w:div w:id="110130189">
      <w:bodyDiv w:val="1"/>
      <w:marLeft w:val="0"/>
      <w:marRight w:val="0"/>
      <w:marTop w:val="0"/>
      <w:marBottom w:val="0"/>
      <w:divBdr>
        <w:top w:val="none" w:sz="0" w:space="0" w:color="auto"/>
        <w:left w:val="none" w:sz="0" w:space="0" w:color="auto"/>
        <w:bottom w:val="none" w:sz="0" w:space="0" w:color="auto"/>
        <w:right w:val="none" w:sz="0" w:space="0" w:color="auto"/>
      </w:divBdr>
    </w:div>
    <w:div w:id="110250280">
      <w:bodyDiv w:val="1"/>
      <w:marLeft w:val="0"/>
      <w:marRight w:val="0"/>
      <w:marTop w:val="0"/>
      <w:marBottom w:val="0"/>
      <w:divBdr>
        <w:top w:val="none" w:sz="0" w:space="0" w:color="auto"/>
        <w:left w:val="none" w:sz="0" w:space="0" w:color="auto"/>
        <w:bottom w:val="none" w:sz="0" w:space="0" w:color="auto"/>
        <w:right w:val="none" w:sz="0" w:space="0" w:color="auto"/>
      </w:divBdr>
    </w:div>
    <w:div w:id="159350291">
      <w:bodyDiv w:val="1"/>
      <w:marLeft w:val="0"/>
      <w:marRight w:val="0"/>
      <w:marTop w:val="0"/>
      <w:marBottom w:val="0"/>
      <w:divBdr>
        <w:top w:val="none" w:sz="0" w:space="0" w:color="auto"/>
        <w:left w:val="none" w:sz="0" w:space="0" w:color="auto"/>
        <w:bottom w:val="none" w:sz="0" w:space="0" w:color="auto"/>
        <w:right w:val="none" w:sz="0" w:space="0" w:color="auto"/>
      </w:divBdr>
    </w:div>
    <w:div w:id="185096421">
      <w:bodyDiv w:val="1"/>
      <w:marLeft w:val="0"/>
      <w:marRight w:val="0"/>
      <w:marTop w:val="0"/>
      <w:marBottom w:val="0"/>
      <w:divBdr>
        <w:top w:val="none" w:sz="0" w:space="0" w:color="auto"/>
        <w:left w:val="none" w:sz="0" w:space="0" w:color="auto"/>
        <w:bottom w:val="none" w:sz="0" w:space="0" w:color="auto"/>
        <w:right w:val="none" w:sz="0" w:space="0" w:color="auto"/>
      </w:divBdr>
    </w:div>
    <w:div w:id="205727449">
      <w:bodyDiv w:val="1"/>
      <w:marLeft w:val="0"/>
      <w:marRight w:val="0"/>
      <w:marTop w:val="0"/>
      <w:marBottom w:val="0"/>
      <w:divBdr>
        <w:top w:val="none" w:sz="0" w:space="0" w:color="auto"/>
        <w:left w:val="none" w:sz="0" w:space="0" w:color="auto"/>
        <w:bottom w:val="none" w:sz="0" w:space="0" w:color="auto"/>
        <w:right w:val="none" w:sz="0" w:space="0" w:color="auto"/>
      </w:divBdr>
    </w:div>
    <w:div w:id="211888471">
      <w:bodyDiv w:val="1"/>
      <w:marLeft w:val="0"/>
      <w:marRight w:val="0"/>
      <w:marTop w:val="0"/>
      <w:marBottom w:val="0"/>
      <w:divBdr>
        <w:top w:val="none" w:sz="0" w:space="0" w:color="auto"/>
        <w:left w:val="none" w:sz="0" w:space="0" w:color="auto"/>
        <w:bottom w:val="none" w:sz="0" w:space="0" w:color="auto"/>
        <w:right w:val="none" w:sz="0" w:space="0" w:color="auto"/>
      </w:divBdr>
    </w:div>
    <w:div w:id="228077932">
      <w:bodyDiv w:val="1"/>
      <w:marLeft w:val="0"/>
      <w:marRight w:val="0"/>
      <w:marTop w:val="0"/>
      <w:marBottom w:val="0"/>
      <w:divBdr>
        <w:top w:val="none" w:sz="0" w:space="0" w:color="auto"/>
        <w:left w:val="none" w:sz="0" w:space="0" w:color="auto"/>
        <w:bottom w:val="none" w:sz="0" w:space="0" w:color="auto"/>
        <w:right w:val="none" w:sz="0" w:space="0" w:color="auto"/>
      </w:divBdr>
    </w:div>
    <w:div w:id="238174296">
      <w:bodyDiv w:val="1"/>
      <w:marLeft w:val="0"/>
      <w:marRight w:val="0"/>
      <w:marTop w:val="0"/>
      <w:marBottom w:val="0"/>
      <w:divBdr>
        <w:top w:val="none" w:sz="0" w:space="0" w:color="auto"/>
        <w:left w:val="none" w:sz="0" w:space="0" w:color="auto"/>
        <w:bottom w:val="none" w:sz="0" w:space="0" w:color="auto"/>
        <w:right w:val="none" w:sz="0" w:space="0" w:color="auto"/>
      </w:divBdr>
      <w:divsChild>
        <w:div w:id="1299414669">
          <w:marLeft w:val="0"/>
          <w:marRight w:val="0"/>
          <w:marTop w:val="0"/>
          <w:marBottom w:val="0"/>
          <w:divBdr>
            <w:top w:val="none" w:sz="0" w:space="0" w:color="auto"/>
            <w:left w:val="none" w:sz="0" w:space="0" w:color="auto"/>
            <w:bottom w:val="none" w:sz="0" w:space="0" w:color="auto"/>
            <w:right w:val="none" w:sz="0" w:space="0" w:color="auto"/>
          </w:divBdr>
        </w:div>
      </w:divsChild>
    </w:div>
    <w:div w:id="251283575">
      <w:bodyDiv w:val="1"/>
      <w:marLeft w:val="0"/>
      <w:marRight w:val="0"/>
      <w:marTop w:val="0"/>
      <w:marBottom w:val="0"/>
      <w:divBdr>
        <w:top w:val="none" w:sz="0" w:space="0" w:color="auto"/>
        <w:left w:val="none" w:sz="0" w:space="0" w:color="auto"/>
        <w:bottom w:val="none" w:sz="0" w:space="0" w:color="auto"/>
        <w:right w:val="none" w:sz="0" w:space="0" w:color="auto"/>
      </w:divBdr>
    </w:div>
    <w:div w:id="251475558">
      <w:bodyDiv w:val="1"/>
      <w:marLeft w:val="0"/>
      <w:marRight w:val="0"/>
      <w:marTop w:val="0"/>
      <w:marBottom w:val="0"/>
      <w:divBdr>
        <w:top w:val="none" w:sz="0" w:space="0" w:color="auto"/>
        <w:left w:val="none" w:sz="0" w:space="0" w:color="auto"/>
        <w:bottom w:val="none" w:sz="0" w:space="0" w:color="auto"/>
        <w:right w:val="none" w:sz="0" w:space="0" w:color="auto"/>
      </w:divBdr>
    </w:div>
    <w:div w:id="252444910">
      <w:bodyDiv w:val="1"/>
      <w:marLeft w:val="0"/>
      <w:marRight w:val="0"/>
      <w:marTop w:val="0"/>
      <w:marBottom w:val="0"/>
      <w:divBdr>
        <w:top w:val="none" w:sz="0" w:space="0" w:color="auto"/>
        <w:left w:val="none" w:sz="0" w:space="0" w:color="auto"/>
        <w:bottom w:val="none" w:sz="0" w:space="0" w:color="auto"/>
        <w:right w:val="none" w:sz="0" w:space="0" w:color="auto"/>
      </w:divBdr>
    </w:div>
    <w:div w:id="254674315">
      <w:bodyDiv w:val="1"/>
      <w:marLeft w:val="0"/>
      <w:marRight w:val="0"/>
      <w:marTop w:val="0"/>
      <w:marBottom w:val="0"/>
      <w:divBdr>
        <w:top w:val="none" w:sz="0" w:space="0" w:color="auto"/>
        <w:left w:val="none" w:sz="0" w:space="0" w:color="auto"/>
        <w:bottom w:val="none" w:sz="0" w:space="0" w:color="auto"/>
        <w:right w:val="none" w:sz="0" w:space="0" w:color="auto"/>
      </w:divBdr>
    </w:div>
    <w:div w:id="284577179">
      <w:bodyDiv w:val="1"/>
      <w:marLeft w:val="0"/>
      <w:marRight w:val="0"/>
      <w:marTop w:val="0"/>
      <w:marBottom w:val="0"/>
      <w:divBdr>
        <w:top w:val="none" w:sz="0" w:space="0" w:color="auto"/>
        <w:left w:val="none" w:sz="0" w:space="0" w:color="auto"/>
        <w:bottom w:val="none" w:sz="0" w:space="0" w:color="auto"/>
        <w:right w:val="none" w:sz="0" w:space="0" w:color="auto"/>
      </w:divBdr>
    </w:div>
    <w:div w:id="308830612">
      <w:bodyDiv w:val="1"/>
      <w:marLeft w:val="0"/>
      <w:marRight w:val="0"/>
      <w:marTop w:val="0"/>
      <w:marBottom w:val="0"/>
      <w:divBdr>
        <w:top w:val="none" w:sz="0" w:space="0" w:color="auto"/>
        <w:left w:val="none" w:sz="0" w:space="0" w:color="auto"/>
        <w:bottom w:val="none" w:sz="0" w:space="0" w:color="auto"/>
        <w:right w:val="none" w:sz="0" w:space="0" w:color="auto"/>
      </w:divBdr>
    </w:div>
    <w:div w:id="309100078">
      <w:bodyDiv w:val="1"/>
      <w:marLeft w:val="0"/>
      <w:marRight w:val="0"/>
      <w:marTop w:val="0"/>
      <w:marBottom w:val="0"/>
      <w:divBdr>
        <w:top w:val="none" w:sz="0" w:space="0" w:color="auto"/>
        <w:left w:val="none" w:sz="0" w:space="0" w:color="auto"/>
        <w:bottom w:val="none" w:sz="0" w:space="0" w:color="auto"/>
        <w:right w:val="none" w:sz="0" w:space="0" w:color="auto"/>
      </w:divBdr>
    </w:div>
    <w:div w:id="311182355">
      <w:bodyDiv w:val="1"/>
      <w:marLeft w:val="0"/>
      <w:marRight w:val="0"/>
      <w:marTop w:val="0"/>
      <w:marBottom w:val="0"/>
      <w:divBdr>
        <w:top w:val="none" w:sz="0" w:space="0" w:color="auto"/>
        <w:left w:val="none" w:sz="0" w:space="0" w:color="auto"/>
        <w:bottom w:val="none" w:sz="0" w:space="0" w:color="auto"/>
        <w:right w:val="none" w:sz="0" w:space="0" w:color="auto"/>
      </w:divBdr>
    </w:div>
    <w:div w:id="332534261">
      <w:bodyDiv w:val="1"/>
      <w:marLeft w:val="0"/>
      <w:marRight w:val="0"/>
      <w:marTop w:val="0"/>
      <w:marBottom w:val="0"/>
      <w:divBdr>
        <w:top w:val="none" w:sz="0" w:space="0" w:color="auto"/>
        <w:left w:val="none" w:sz="0" w:space="0" w:color="auto"/>
        <w:bottom w:val="none" w:sz="0" w:space="0" w:color="auto"/>
        <w:right w:val="none" w:sz="0" w:space="0" w:color="auto"/>
      </w:divBdr>
    </w:div>
    <w:div w:id="349451845">
      <w:bodyDiv w:val="1"/>
      <w:marLeft w:val="0"/>
      <w:marRight w:val="0"/>
      <w:marTop w:val="0"/>
      <w:marBottom w:val="0"/>
      <w:divBdr>
        <w:top w:val="none" w:sz="0" w:space="0" w:color="auto"/>
        <w:left w:val="none" w:sz="0" w:space="0" w:color="auto"/>
        <w:bottom w:val="none" w:sz="0" w:space="0" w:color="auto"/>
        <w:right w:val="none" w:sz="0" w:space="0" w:color="auto"/>
      </w:divBdr>
    </w:div>
    <w:div w:id="349990804">
      <w:bodyDiv w:val="1"/>
      <w:marLeft w:val="0"/>
      <w:marRight w:val="0"/>
      <w:marTop w:val="0"/>
      <w:marBottom w:val="0"/>
      <w:divBdr>
        <w:top w:val="none" w:sz="0" w:space="0" w:color="auto"/>
        <w:left w:val="none" w:sz="0" w:space="0" w:color="auto"/>
        <w:bottom w:val="none" w:sz="0" w:space="0" w:color="auto"/>
        <w:right w:val="none" w:sz="0" w:space="0" w:color="auto"/>
      </w:divBdr>
    </w:div>
    <w:div w:id="355666118">
      <w:bodyDiv w:val="1"/>
      <w:marLeft w:val="0"/>
      <w:marRight w:val="0"/>
      <w:marTop w:val="0"/>
      <w:marBottom w:val="0"/>
      <w:divBdr>
        <w:top w:val="none" w:sz="0" w:space="0" w:color="auto"/>
        <w:left w:val="none" w:sz="0" w:space="0" w:color="auto"/>
        <w:bottom w:val="none" w:sz="0" w:space="0" w:color="auto"/>
        <w:right w:val="none" w:sz="0" w:space="0" w:color="auto"/>
      </w:divBdr>
    </w:div>
    <w:div w:id="363557062">
      <w:bodyDiv w:val="1"/>
      <w:marLeft w:val="0"/>
      <w:marRight w:val="0"/>
      <w:marTop w:val="0"/>
      <w:marBottom w:val="0"/>
      <w:divBdr>
        <w:top w:val="none" w:sz="0" w:space="0" w:color="auto"/>
        <w:left w:val="none" w:sz="0" w:space="0" w:color="auto"/>
        <w:bottom w:val="none" w:sz="0" w:space="0" w:color="auto"/>
        <w:right w:val="none" w:sz="0" w:space="0" w:color="auto"/>
      </w:divBdr>
    </w:div>
    <w:div w:id="366569110">
      <w:bodyDiv w:val="1"/>
      <w:marLeft w:val="0"/>
      <w:marRight w:val="0"/>
      <w:marTop w:val="0"/>
      <w:marBottom w:val="0"/>
      <w:divBdr>
        <w:top w:val="none" w:sz="0" w:space="0" w:color="auto"/>
        <w:left w:val="none" w:sz="0" w:space="0" w:color="auto"/>
        <w:bottom w:val="none" w:sz="0" w:space="0" w:color="auto"/>
        <w:right w:val="none" w:sz="0" w:space="0" w:color="auto"/>
      </w:divBdr>
    </w:div>
    <w:div w:id="381756374">
      <w:bodyDiv w:val="1"/>
      <w:marLeft w:val="0"/>
      <w:marRight w:val="0"/>
      <w:marTop w:val="0"/>
      <w:marBottom w:val="0"/>
      <w:divBdr>
        <w:top w:val="none" w:sz="0" w:space="0" w:color="auto"/>
        <w:left w:val="none" w:sz="0" w:space="0" w:color="auto"/>
        <w:bottom w:val="none" w:sz="0" w:space="0" w:color="auto"/>
        <w:right w:val="none" w:sz="0" w:space="0" w:color="auto"/>
      </w:divBdr>
    </w:div>
    <w:div w:id="386340805">
      <w:bodyDiv w:val="1"/>
      <w:marLeft w:val="0"/>
      <w:marRight w:val="0"/>
      <w:marTop w:val="0"/>
      <w:marBottom w:val="0"/>
      <w:divBdr>
        <w:top w:val="none" w:sz="0" w:space="0" w:color="auto"/>
        <w:left w:val="none" w:sz="0" w:space="0" w:color="auto"/>
        <w:bottom w:val="none" w:sz="0" w:space="0" w:color="auto"/>
        <w:right w:val="none" w:sz="0" w:space="0" w:color="auto"/>
      </w:divBdr>
    </w:div>
    <w:div w:id="473065235">
      <w:bodyDiv w:val="1"/>
      <w:marLeft w:val="0"/>
      <w:marRight w:val="0"/>
      <w:marTop w:val="0"/>
      <w:marBottom w:val="0"/>
      <w:divBdr>
        <w:top w:val="none" w:sz="0" w:space="0" w:color="auto"/>
        <w:left w:val="none" w:sz="0" w:space="0" w:color="auto"/>
        <w:bottom w:val="none" w:sz="0" w:space="0" w:color="auto"/>
        <w:right w:val="none" w:sz="0" w:space="0" w:color="auto"/>
      </w:divBdr>
    </w:div>
    <w:div w:id="483622460">
      <w:bodyDiv w:val="1"/>
      <w:marLeft w:val="0"/>
      <w:marRight w:val="0"/>
      <w:marTop w:val="0"/>
      <w:marBottom w:val="0"/>
      <w:divBdr>
        <w:top w:val="none" w:sz="0" w:space="0" w:color="auto"/>
        <w:left w:val="none" w:sz="0" w:space="0" w:color="auto"/>
        <w:bottom w:val="none" w:sz="0" w:space="0" w:color="auto"/>
        <w:right w:val="none" w:sz="0" w:space="0" w:color="auto"/>
      </w:divBdr>
    </w:div>
    <w:div w:id="486634869">
      <w:bodyDiv w:val="1"/>
      <w:marLeft w:val="0"/>
      <w:marRight w:val="0"/>
      <w:marTop w:val="0"/>
      <w:marBottom w:val="0"/>
      <w:divBdr>
        <w:top w:val="none" w:sz="0" w:space="0" w:color="auto"/>
        <w:left w:val="none" w:sz="0" w:space="0" w:color="auto"/>
        <w:bottom w:val="none" w:sz="0" w:space="0" w:color="auto"/>
        <w:right w:val="none" w:sz="0" w:space="0" w:color="auto"/>
      </w:divBdr>
    </w:div>
    <w:div w:id="492569698">
      <w:bodyDiv w:val="1"/>
      <w:marLeft w:val="0"/>
      <w:marRight w:val="0"/>
      <w:marTop w:val="0"/>
      <w:marBottom w:val="0"/>
      <w:divBdr>
        <w:top w:val="none" w:sz="0" w:space="0" w:color="auto"/>
        <w:left w:val="none" w:sz="0" w:space="0" w:color="auto"/>
        <w:bottom w:val="none" w:sz="0" w:space="0" w:color="auto"/>
        <w:right w:val="none" w:sz="0" w:space="0" w:color="auto"/>
      </w:divBdr>
    </w:div>
    <w:div w:id="507866265">
      <w:bodyDiv w:val="1"/>
      <w:marLeft w:val="0"/>
      <w:marRight w:val="0"/>
      <w:marTop w:val="0"/>
      <w:marBottom w:val="0"/>
      <w:divBdr>
        <w:top w:val="none" w:sz="0" w:space="0" w:color="auto"/>
        <w:left w:val="none" w:sz="0" w:space="0" w:color="auto"/>
        <w:bottom w:val="none" w:sz="0" w:space="0" w:color="auto"/>
        <w:right w:val="none" w:sz="0" w:space="0" w:color="auto"/>
      </w:divBdr>
    </w:div>
    <w:div w:id="546187014">
      <w:bodyDiv w:val="1"/>
      <w:marLeft w:val="0"/>
      <w:marRight w:val="0"/>
      <w:marTop w:val="0"/>
      <w:marBottom w:val="0"/>
      <w:divBdr>
        <w:top w:val="none" w:sz="0" w:space="0" w:color="auto"/>
        <w:left w:val="none" w:sz="0" w:space="0" w:color="auto"/>
        <w:bottom w:val="none" w:sz="0" w:space="0" w:color="auto"/>
        <w:right w:val="none" w:sz="0" w:space="0" w:color="auto"/>
      </w:divBdr>
    </w:div>
    <w:div w:id="586886866">
      <w:bodyDiv w:val="1"/>
      <w:marLeft w:val="0"/>
      <w:marRight w:val="0"/>
      <w:marTop w:val="0"/>
      <w:marBottom w:val="0"/>
      <w:divBdr>
        <w:top w:val="none" w:sz="0" w:space="0" w:color="auto"/>
        <w:left w:val="none" w:sz="0" w:space="0" w:color="auto"/>
        <w:bottom w:val="none" w:sz="0" w:space="0" w:color="auto"/>
        <w:right w:val="none" w:sz="0" w:space="0" w:color="auto"/>
      </w:divBdr>
    </w:div>
    <w:div w:id="604769981">
      <w:bodyDiv w:val="1"/>
      <w:marLeft w:val="0"/>
      <w:marRight w:val="0"/>
      <w:marTop w:val="0"/>
      <w:marBottom w:val="0"/>
      <w:divBdr>
        <w:top w:val="none" w:sz="0" w:space="0" w:color="auto"/>
        <w:left w:val="none" w:sz="0" w:space="0" w:color="auto"/>
        <w:bottom w:val="none" w:sz="0" w:space="0" w:color="auto"/>
        <w:right w:val="none" w:sz="0" w:space="0" w:color="auto"/>
      </w:divBdr>
    </w:div>
    <w:div w:id="605815644">
      <w:bodyDiv w:val="1"/>
      <w:marLeft w:val="0"/>
      <w:marRight w:val="0"/>
      <w:marTop w:val="0"/>
      <w:marBottom w:val="0"/>
      <w:divBdr>
        <w:top w:val="none" w:sz="0" w:space="0" w:color="auto"/>
        <w:left w:val="none" w:sz="0" w:space="0" w:color="auto"/>
        <w:bottom w:val="none" w:sz="0" w:space="0" w:color="auto"/>
        <w:right w:val="none" w:sz="0" w:space="0" w:color="auto"/>
      </w:divBdr>
    </w:div>
    <w:div w:id="643895880">
      <w:bodyDiv w:val="1"/>
      <w:marLeft w:val="0"/>
      <w:marRight w:val="0"/>
      <w:marTop w:val="0"/>
      <w:marBottom w:val="0"/>
      <w:divBdr>
        <w:top w:val="none" w:sz="0" w:space="0" w:color="auto"/>
        <w:left w:val="none" w:sz="0" w:space="0" w:color="auto"/>
        <w:bottom w:val="none" w:sz="0" w:space="0" w:color="auto"/>
        <w:right w:val="none" w:sz="0" w:space="0" w:color="auto"/>
      </w:divBdr>
    </w:div>
    <w:div w:id="649287572">
      <w:bodyDiv w:val="1"/>
      <w:marLeft w:val="0"/>
      <w:marRight w:val="0"/>
      <w:marTop w:val="0"/>
      <w:marBottom w:val="0"/>
      <w:divBdr>
        <w:top w:val="none" w:sz="0" w:space="0" w:color="auto"/>
        <w:left w:val="none" w:sz="0" w:space="0" w:color="auto"/>
        <w:bottom w:val="none" w:sz="0" w:space="0" w:color="auto"/>
        <w:right w:val="none" w:sz="0" w:space="0" w:color="auto"/>
      </w:divBdr>
    </w:div>
    <w:div w:id="658536869">
      <w:bodyDiv w:val="1"/>
      <w:marLeft w:val="0"/>
      <w:marRight w:val="0"/>
      <w:marTop w:val="0"/>
      <w:marBottom w:val="0"/>
      <w:divBdr>
        <w:top w:val="none" w:sz="0" w:space="0" w:color="auto"/>
        <w:left w:val="none" w:sz="0" w:space="0" w:color="auto"/>
        <w:bottom w:val="none" w:sz="0" w:space="0" w:color="auto"/>
        <w:right w:val="none" w:sz="0" w:space="0" w:color="auto"/>
      </w:divBdr>
    </w:div>
    <w:div w:id="663048379">
      <w:bodyDiv w:val="1"/>
      <w:marLeft w:val="0"/>
      <w:marRight w:val="0"/>
      <w:marTop w:val="0"/>
      <w:marBottom w:val="0"/>
      <w:divBdr>
        <w:top w:val="none" w:sz="0" w:space="0" w:color="auto"/>
        <w:left w:val="none" w:sz="0" w:space="0" w:color="auto"/>
        <w:bottom w:val="none" w:sz="0" w:space="0" w:color="auto"/>
        <w:right w:val="none" w:sz="0" w:space="0" w:color="auto"/>
      </w:divBdr>
    </w:div>
    <w:div w:id="692998399">
      <w:bodyDiv w:val="1"/>
      <w:marLeft w:val="0"/>
      <w:marRight w:val="0"/>
      <w:marTop w:val="0"/>
      <w:marBottom w:val="0"/>
      <w:divBdr>
        <w:top w:val="none" w:sz="0" w:space="0" w:color="auto"/>
        <w:left w:val="none" w:sz="0" w:space="0" w:color="auto"/>
        <w:bottom w:val="none" w:sz="0" w:space="0" w:color="auto"/>
        <w:right w:val="none" w:sz="0" w:space="0" w:color="auto"/>
      </w:divBdr>
    </w:div>
    <w:div w:id="694696168">
      <w:bodyDiv w:val="1"/>
      <w:marLeft w:val="0"/>
      <w:marRight w:val="0"/>
      <w:marTop w:val="0"/>
      <w:marBottom w:val="0"/>
      <w:divBdr>
        <w:top w:val="none" w:sz="0" w:space="0" w:color="auto"/>
        <w:left w:val="none" w:sz="0" w:space="0" w:color="auto"/>
        <w:bottom w:val="none" w:sz="0" w:space="0" w:color="auto"/>
        <w:right w:val="none" w:sz="0" w:space="0" w:color="auto"/>
      </w:divBdr>
    </w:div>
    <w:div w:id="725639087">
      <w:bodyDiv w:val="1"/>
      <w:marLeft w:val="0"/>
      <w:marRight w:val="0"/>
      <w:marTop w:val="0"/>
      <w:marBottom w:val="0"/>
      <w:divBdr>
        <w:top w:val="none" w:sz="0" w:space="0" w:color="auto"/>
        <w:left w:val="none" w:sz="0" w:space="0" w:color="auto"/>
        <w:bottom w:val="none" w:sz="0" w:space="0" w:color="auto"/>
        <w:right w:val="none" w:sz="0" w:space="0" w:color="auto"/>
      </w:divBdr>
      <w:divsChild>
        <w:div w:id="790124604">
          <w:marLeft w:val="0"/>
          <w:marRight w:val="0"/>
          <w:marTop w:val="0"/>
          <w:marBottom w:val="0"/>
          <w:divBdr>
            <w:top w:val="none" w:sz="0" w:space="0" w:color="auto"/>
            <w:left w:val="none" w:sz="0" w:space="0" w:color="auto"/>
            <w:bottom w:val="none" w:sz="0" w:space="0" w:color="auto"/>
            <w:right w:val="none" w:sz="0" w:space="0" w:color="auto"/>
          </w:divBdr>
        </w:div>
      </w:divsChild>
    </w:div>
    <w:div w:id="764884937">
      <w:bodyDiv w:val="1"/>
      <w:marLeft w:val="0"/>
      <w:marRight w:val="0"/>
      <w:marTop w:val="0"/>
      <w:marBottom w:val="0"/>
      <w:divBdr>
        <w:top w:val="none" w:sz="0" w:space="0" w:color="auto"/>
        <w:left w:val="none" w:sz="0" w:space="0" w:color="auto"/>
        <w:bottom w:val="none" w:sz="0" w:space="0" w:color="auto"/>
        <w:right w:val="none" w:sz="0" w:space="0" w:color="auto"/>
      </w:divBdr>
    </w:div>
    <w:div w:id="769546601">
      <w:bodyDiv w:val="1"/>
      <w:marLeft w:val="0"/>
      <w:marRight w:val="0"/>
      <w:marTop w:val="0"/>
      <w:marBottom w:val="0"/>
      <w:divBdr>
        <w:top w:val="none" w:sz="0" w:space="0" w:color="auto"/>
        <w:left w:val="none" w:sz="0" w:space="0" w:color="auto"/>
        <w:bottom w:val="none" w:sz="0" w:space="0" w:color="auto"/>
        <w:right w:val="none" w:sz="0" w:space="0" w:color="auto"/>
      </w:divBdr>
    </w:div>
    <w:div w:id="782385203">
      <w:bodyDiv w:val="1"/>
      <w:marLeft w:val="0"/>
      <w:marRight w:val="0"/>
      <w:marTop w:val="0"/>
      <w:marBottom w:val="0"/>
      <w:divBdr>
        <w:top w:val="none" w:sz="0" w:space="0" w:color="auto"/>
        <w:left w:val="none" w:sz="0" w:space="0" w:color="auto"/>
        <w:bottom w:val="none" w:sz="0" w:space="0" w:color="auto"/>
        <w:right w:val="none" w:sz="0" w:space="0" w:color="auto"/>
      </w:divBdr>
    </w:div>
    <w:div w:id="800655569">
      <w:bodyDiv w:val="1"/>
      <w:marLeft w:val="0"/>
      <w:marRight w:val="0"/>
      <w:marTop w:val="0"/>
      <w:marBottom w:val="0"/>
      <w:divBdr>
        <w:top w:val="none" w:sz="0" w:space="0" w:color="auto"/>
        <w:left w:val="none" w:sz="0" w:space="0" w:color="auto"/>
        <w:bottom w:val="none" w:sz="0" w:space="0" w:color="auto"/>
        <w:right w:val="none" w:sz="0" w:space="0" w:color="auto"/>
      </w:divBdr>
    </w:div>
    <w:div w:id="832645859">
      <w:bodyDiv w:val="1"/>
      <w:marLeft w:val="0"/>
      <w:marRight w:val="0"/>
      <w:marTop w:val="0"/>
      <w:marBottom w:val="0"/>
      <w:divBdr>
        <w:top w:val="none" w:sz="0" w:space="0" w:color="auto"/>
        <w:left w:val="none" w:sz="0" w:space="0" w:color="auto"/>
        <w:bottom w:val="none" w:sz="0" w:space="0" w:color="auto"/>
        <w:right w:val="none" w:sz="0" w:space="0" w:color="auto"/>
      </w:divBdr>
    </w:div>
    <w:div w:id="843936970">
      <w:bodyDiv w:val="1"/>
      <w:marLeft w:val="0"/>
      <w:marRight w:val="0"/>
      <w:marTop w:val="0"/>
      <w:marBottom w:val="0"/>
      <w:divBdr>
        <w:top w:val="none" w:sz="0" w:space="0" w:color="auto"/>
        <w:left w:val="none" w:sz="0" w:space="0" w:color="auto"/>
        <w:bottom w:val="none" w:sz="0" w:space="0" w:color="auto"/>
        <w:right w:val="none" w:sz="0" w:space="0" w:color="auto"/>
      </w:divBdr>
    </w:div>
    <w:div w:id="877662793">
      <w:bodyDiv w:val="1"/>
      <w:marLeft w:val="0"/>
      <w:marRight w:val="0"/>
      <w:marTop w:val="0"/>
      <w:marBottom w:val="0"/>
      <w:divBdr>
        <w:top w:val="none" w:sz="0" w:space="0" w:color="auto"/>
        <w:left w:val="none" w:sz="0" w:space="0" w:color="auto"/>
        <w:bottom w:val="none" w:sz="0" w:space="0" w:color="auto"/>
        <w:right w:val="none" w:sz="0" w:space="0" w:color="auto"/>
      </w:divBdr>
    </w:div>
    <w:div w:id="889072680">
      <w:bodyDiv w:val="1"/>
      <w:marLeft w:val="0"/>
      <w:marRight w:val="0"/>
      <w:marTop w:val="0"/>
      <w:marBottom w:val="0"/>
      <w:divBdr>
        <w:top w:val="none" w:sz="0" w:space="0" w:color="auto"/>
        <w:left w:val="none" w:sz="0" w:space="0" w:color="auto"/>
        <w:bottom w:val="none" w:sz="0" w:space="0" w:color="auto"/>
        <w:right w:val="none" w:sz="0" w:space="0" w:color="auto"/>
      </w:divBdr>
    </w:div>
    <w:div w:id="889926017">
      <w:bodyDiv w:val="1"/>
      <w:marLeft w:val="0"/>
      <w:marRight w:val="0"/>
      <w:marTop w:val="0"/>
      <w:marBottom w:val="0"/>
      <w:divBdr>
        <w:top w:val="none" w:sz="0" w:space="0" w:color="auto"/>
        <w:left w:val="none" w:sz="0" w:space="0" w:color="auto"/>
        <w:bottom w:val="none" w:sz="0" w:space="0" w:color="auto"/>
        <w:right w:val="none" w:sz="0" w:space="0" w:color="auto"/>
      </w:divBdr>
    </w:div>
    <w:div w:id="893396131">
      <w:bodyDiv w:val="1"/>
      <w:marLeft w:val="0"/>
      <w:marRight w:val="0"/>
      <w:marTop w:val="0"/>
      <w:marBottom w:val="0"/>
      <w:divBdr>
        <w:top w:val="none" w:sz="0" w:space="0" w:color="auto"/>
        <w:left w:val="none" w:sz="0" w:space="0" w:color="auto"/>
        <w:bottom w:val="none" w:sz="0" w:space="0" w:color="auto"/>
        <w:right w:val="none" w:sz="0" w:space="0" w:color="auto"/>
      </w:divBdr>
    </w:div>
    <w:div w:id="896285687">
      <w:bodyDiv w:val="1"/>
      <w:marLeft w:val="0"/>
      <w:marRight w:val="0"/>
      <w:marTop w:val="0"/>
      <w:marBottom w:val="0"/>
      <w:divBdr>
        <w:top w:val="none" w:sz="0" w:space="0" w:color="auto"/>
        <w:left w:val="none" w:sz="0" w:space="0" w:color="auto"/>
        <w:bottom w:val="none" w:sz="0" w:space="0" w:color="auto"/>
        <w:right w:val="none" w:sz="0" w:space="0" w:color="auto"/>
      </w:divBdr>
    </w:div>
    <w:div w:id="923027211">
      <w:bodyDiv w:val="1"/>
      <w:marLeft w:val="0"/>
      <w:marRight w:val="0"/>
      <w:marTop w:val="0"/>
      <w:marBottom w:val="0"/>
      <w:divBdr>
        <w:top w:val="none" w:sz="0" w:space="0" w:color="auto"/>
        <w:left w:val="none" w:sz="0" w:space="0" w:color="auto"/>
        <w:bottom w:val="none" w:sz="0" w:space="0" w:color="auto"/>
        <w:right w:val="none" w:sz="0" w:space="0" w:color="auto"/>
      </w:divBdr>
    </w:div>
    <w:div w:id="932783152">
      <w:bodyDiv w:val="1"/>
      <w:marLeft w:val="0"/>
      <w:marRight w:val="0"/>
      <w:marTop w:val="0"/>
      <w:marBottom w:val="0"/>
      <w:divBdr>
        <w:top w:val="none" w:sz="0" w:space="0" w:color="auto"/>
        <w:left w:val="none" w:sz="0" w:space="0" w:color="auto"/>
        <w:bottom w:val="none" w:sz="0" w:space="0" w:color="auto"/>
        <w:right w:val="none" w:sz="0" w:space="0" w:color="auto"/>
      </w:divBdr>
    </w:div>
    <w:div w:id="948585889">
      <w:bodyDiv w:val="1"/>
      <w:marLeft w:val="0"/>
      <w:marRight w:val="0"/>
      <w:marTop w:val="0"/>
      <w:marBottom w:val="0"/>
      <w:divBdr>
        <w:top w:val="none" w:sz="0" w:space="0" w:color="auto"/>
        <w:left w:val="none" w:sz="0" w:space="0" w:color="auto"/>
        <w:bottom w:val="none" w:sz="0" w:space="0" w:color="auto"/>
        <w:right w:val="none" w:sz="0" w:space="0" w:color="auto"/>
      </w:divBdr>
    </w:div>
    <w:div w:id="955723290">
      <w:bodyDiv w:val="1"/>
      <w:marLeft w:val="0"/>
      <w:marRight w:val="0"/>
      <w:marTop w:val="0"/>
      <w:marBottom w:val="0"/>
      <w:divBdr>
        <w:top w:val="none" w:sz="0" w:space="0" w:color="auto"/>
        <w:left w:val="none" w:sz="0" w:space="0" w:color="auto"/>
        <w:bottom w:val="none" w:sz="0" w:space="0" w:color="auto"/>
        <w:right w:val="none" w:sz="0" w:space="0" w:color="auto"/>
      </w:divBdr>
    </w:div>
    <w:div w:id="958879604">
      <w:bodyDiv w:val="1"/>
      <w:marLeft w:val="0"/>
      <w:marRight w:val="0"/>
      <w:marTop w:val="0"/>
      <w:marBottom w:val="0"/>
      <w:divBdr>
        <w:top w:val="none" w:sz="0" w:space="0" w:color="auto"/>
        <w:left w:val="none" w:sz="0" w:space="0" w:color="auto"/>
        <w:bottom w:val="none" w:sz="0" w:space="0" w:color="auto"/>
        <w:right w:val="none" w:sz="0" w:space="0" w:color="auto"/>
      </w:divBdr>
    </w:div>
    <w:div w:id="964777934">
      <w:bodyDiv w:val="1"/>
      <w:marLeft w:val="0"/>
      <w:marRight w:val="0"/>
      <w:marTop w:val="0"/>
      <w:marBottom w:val="0"/>
      <w:divBdr>
        <w:top w:val="none" w:sz="0" w:space="0" w:color="auto"/>
        <w:left w:val="none" w:sz="0" w:space="0" w:color="auto"/>
        <w:bottom w:val="none" w:sz="0" w:space="0" w:color="auto"/>
        <w:right w:val="none" w:sz="0" w:space="0" w:color="auto"/>
      </w:divBdr>
    </w:div>
    <w:div w:id="972908532">
      <w:bodyDiv w:val="1"/>
      <w:marLeft w:val="0"/>
      <w:marRight w:val="0"/>
      <w:marTop w:val="0"/>
      <w:marBottom w:val="0"/>
      <w:divBdr>
        <w:top w:val="none" w:sz="0" w:space="0" w:color="auto"/>
        <w:left w:val="none" w:sz="0" w:space="0" w:color="auto"/>
        <w:bottom w:val="none" w:sz="0" w:space="0" w:color="auto"/>
        <w:right w:val="none" w:sz="0" w:space="0" w:color="auto"/>
      </w:divBdr>
    </w:div>
    <w:div w:id="977758065">
      <w:bodyDiv w:val="1"/>
      <w:marLeft w:val="0"/>
      <w:marRight w:val="0"/>
      <w:marTop w:val="0"/>
      <w:marBottom w:val="0"/>
      <w:divBdr>
        <w:top w:val="none" w:sz="0" w:space="0" w:color="auto"/>
        <w:left w:val="none" w:sz="0" w:space="0" w:color="auto"/>
        <w:bottom w:val="none" w:sz="0" w:space="0" w:color="auto"/>
        <w:right w:val="none" w:sz="0" w:space="0" w:color="auto"/>
      </w:divBdr>
    </w:div>
    <w:div w:id="1022825548">
      <w:bodyDiv w:val="1"/>
      <w:marLeft w:val="0"/>
      <w:marRight w:val="0"/>
      <w:marTop w:val="0"/>
      <w:marBottom w:val="0"/>
      <w:divBdr>
        <w:top w:val="none" w:sz="0" w:space="0" w:color="auto"/>
        <w:left w:val="none" w:sz="0" w:space="0" w:color="auto"/>
        <w:bottom w:val="none" w:sz="0" w:space="0" w:color="auto"/>
        <w:right w:val="none" w:sz="0" w:space="0" w:color="auto"/>
      </w:divBdr>
    </w:div>
    <w:div w:id="1047605091">
      <w:bodyDiv w:val="1"/>
      <w:marLeft w:val="0"/>
      <w:marRight w:val="0"/>
      <w:marTop w:val="0"/>
      <w:marBottom w:val="0"/>
      <w:divBdr>
        <w:top w:val="none" w:sz="0" w:space="0" w:color="auto"/>
        <w:left w:val="none" w:sz="0" w:space="0" w:color="auto"/>
        <w:bottom w:val="none" w:sz="0" w:space="0" w:color="auto"/>
        <w:right w:val="none" w:sz="0" w:space="0" w:color="auto"/>
      </w:divBdr>
    </w:div>
    <w:div w:id="1048332562">
      <w:bodyDiv w:val="1"/>
      <w:marLeft w:val="0"/>
      <w:marRight w:val="0"/>
      <w:marTop w:val="0"/>
      <w:marBottom w:val="0"/>
      <w:divBdr>
        <w:top w:val="none" w:sz="0" w:space="0" w:color="auto"/>
        <w:left w:val="none" w:sz="0" w:space="0" w:color="auto"/>
        <w:bottom w:val="none" w:sz="0" w:space="0" w:color="auto"/>
        <w:right w:val="none" w:sz="0" w:space="0" w:color="auto"/>
      </w:divBdr>
    </w:div>
    <w:div w:id="1053503967">
      <w:bodyDiv w:val="1"/>
      <w:marLeft w:val="0"/>
      <w:marRight w:val="0"/>
      <w:marTop w:val="0"/>
      <w:marBottom w:val="0"/>
      <w:divBdr>
        <w:top w:val="none" w:sz="0" w:space="0" w:color="auto"/>
        <w:left w:val="none" w:sz="0" w:space="0" w:color="auto"/>
        <w:bottom w:val="none" w:sz="0" w:space="0" w:color="auto"/>
        <w:right w:val="none" w:sz="0" w:space="0" w:color="auto"/>
      </w:divBdr>
    </w:div>
    <w:div w:id="1058358667">
      <w:bodyDiv w:val="1"/>
      <w:marLeft w:val="0"/>
      <w:marRight w:val="0"/>
      <w:marTop w:val="0"/>
      <w:marBottom w:val="0"/>
      <w:divBdr>
        <w:top w:val="none" w:sz="0" w:space="0" w:color="auto"/>
        <w:left w:val="none" w:sz="0" w:space="0" w:color="auto"/>
        <w:bottom w:val="none" w:sz="0" w:space="0" w:color="auto"/>
        <w:right w:val="none" w:sz="0" w:space="0" w:color="auto"/>
      </w:divBdr>
    </w:div>
    <w:div w:id="1062826797">
      <w:bodyDiv w:val="1"/>
      <w:marLeft w:val="0"/>
      <w:marRight w:val="0"/>
      <w:marTop w:val="0"/>
      <w:marBottom w:val="0"/>
      <w:divBdr>
        <w:top w:val="none" w:sz="0" w:space="0" w:color="auto"/>
        <w:left w:val="none" w:sz="0" w:space="0" w:color="auto"/>
        <w:bottom w:val="none" w:sz="0" w:space="0" w:color="auto"/>
        <w:right w:val="none" w:sz="0" w:space="0" w:color="auto"/>
      </w:divBdr>
    </w:div>
    <w:div w:id="1073351513">
      <w:bodyDiv w:val="1"/>
      <w:marLeft w:val="0"/>
      <w:marRight w:val="0"/>
      <w:marTop w:val="0"/>
      <w:marBottom w:val="0"/>
      <w:divBdr>
        <w:top w:val="none" w:sz="0" w:space="0" w:color="auto"/>
        <w:left w:val="none" w:sz="0" w:space="0" w:color="auto"/>
        <w:bottom w:val="none" w:sz="0" w:space="0" w:color="auto"/>
        <w:right w:val="none" w:sz="0" w:space="0" w:color="auto"/>
      </w:divBdr>
    </w:div>
    <w:div w:id="1103302858">
      <w:bodyDiv w:val="1"/>
      <w:marLeft w:val="0"/>
      <w:marRight w:val="0"/>
      <w:marTop w:val="0"/>
      <w:marBottom w:val="0"/>
      <w:divBdr>
        <w:top w:val="none" w:sz="0" w:space="0" w:color="auto"/>
        <w:left w:val="none" w:sz="0" w:space="0" w:color="auto"/>
        <w:bottom w:val="none" w:sz="0" w:space="0" w:color="auto"/>
        <w:right w:val="none" w:sz="0" w:space="0" w:color="auto"/>
      </w:divBdr>
    </w:div>
    <w:div w:id="1110661322">
      <w:bodyDiv w:val="1"/>
      <w:marLeft w:val="0"/>
      <w:marRight w:val="0"/>
      <w:marTop w:val="0"/>
      <w:marBottom w:val="0"/>
      <w:divBdr>
        <w:top w:val="none" w:sz="0" w:space="0" w:color="auto"/>
        <w:left w:val="none" w:sz="0" w:space="0" w:color="auto"/>
        <w:bottom w:val="none" w:sz="0" w:space="0" w:color="auto"/>
        <w:right w:val="none" w:sz="0" w:space="0" w:color="auto"/>
      </w:divBdr>
    </w:div>
    <w:div w:id="1114981482">
      <w:bodyDiv w:val="1"/>
      <w:marLeft w:val="0"/>
      <w:marRight w:val="0"/>
      <w:marTop w:val="0"/>
      <w:marBottom w:val="0"/>
      <w:divBdr>
        <w:top w:val="none" w:sz="0" w:space="0" w:color="auto"/>
        <w:left w:val="none" w:sz="0" w:space="0" w:color="auto"/>
        <w:bottom w:val="none" w:sz="0" w:space="0" w:color="auto"/>
        <w:right w:val="none" w:sz="0" w:space="0" w:color="auto"/>
      </w:divBdr>
    </w:div>
    <w:div w:id="1115095583">
      <w:bodyDiv w:val="1"/>
      <w:marLeft w:val="0"/>
      <w:marRight w:val="0"/>
      <w:marTop w:val="0"/>
      <w:marBottom w:val="0"/>
      <w:divBdr>
        <w:top w:val="none" w:sz="0" w:space="0" w:color="auto"/>
        <w:left w:val="none" w:sz="0" w:space="0" w:color="auto"/>
        <w:bottom w:val="none" w:sz="0" w:space="0" w:color="auto"/>
        <w:right w:val="none" w:sz="0" w:space="0" w:color="auto"/>
      </w:divBdr>
    </w:div>
    <w:div w:id="1125464659">
      <w:bodyDiv w:val="1"/>
      <w:marLeft w:val="0"/>
      <w:marRight w:val="0"/>
      <w:marTop w:val="0"/>
      <w:marBottom w:val="0"/>
      <w:divBdr>
        <w:top w:val="none" w:sz="0" w:space="0" w:color="auto"/>
        <w:left w:val="none" w:sz="0" w:space="0" w:color="auto"/>
        <w:bottom w:val="none" w:sz="0" w:space="0" w:color="auto"/>
        <w:right w:val="none" w:sz="0" w:space="0" w:color="auto"/>
      </w:divBdr>
    </w:div>
    <w:div w:id="1136876079">
      <w:bodyDiv w:val="1"/>
      <w:marLeft w:val="0"/>
      <w:marRight w:val="0"/>
      <w:marTop w:val="0"/>
      <w:marBottom w:val="0"/>
      <w:divBdr>
        <w:top w:val="none" w:sz="0" w:space="0" w:color="auto"/>
        <w:left w:val="none" w:sz="0" w:space="0" w:color="auto"/>
        <w:bottom w:val="none" w:sz="0" w:space="0" w:color="auto"/>
        <w:right w:val="none" w:sz="0" w:space="0" w:color="auto"/>
      </w:divBdr>
    </w:div>
    <w:div w:id="1142848337">
      <w:bodyDiv w:val="1"/>
      <w:marLeft w:val="0"/>
      <w:marRight w:val="0"/>
      <w:marTop w:val="0"/>
      <w:marBottom w:val="0"/>
      <w:divBdr>
        <w:top w:val="none" w:sz="0" w:space="0" w:color="auto"/>
        <w:left w:val="none" w:sz="0" w:space="0" w:color="auto"/>
        <w:bottom w:val="none" w:sz="0" w:space="0" w:color="auto"/>
        <w:right w:val="none" w:sz="0" w:space="0" w:color="auto"/>
      </w:divBdr>
    </w:div>
    <w:div w:id="1186022963">
      <w:bodyDiv w:val="1"/>
      <w:marLeft w:val="0"/>
      <w:marRight w:val="0"/>
      <w:marTop w:val="0"/>
      <w:marBottom w:val="0"/>
      <w:divBdr>
        <w:top w:val="none" w:sz="0" w:space="0" w:color="auto"/>
        <w:left w:val="none" w:sz="0" w:space="0" w:color="auto"/>
        <w:bottom w:val="none" w:sz="0" w:space="0" w:color="auto"/>
        <w:right w:val="none" w:sz="0" w:space="0" w:color="auto"/>
      </w:divBdr>
    </w:div>
    <w:div w:id="1192496092">
      <w:bodyDiv w:val="1"/>
      <w:marLeft w:val="0"/>
      <w:marRight w:val="0"/>
      <w:marTop w:val="0"/>
      <w:marBottom w:val="0"/>
      <w:divBdr>
        <w:top w:val="none" w:sz="0" w:space="0" w:color="auto"/>
        <w:left w:val="none" w:sz="0" w:space="0" w:color="auto"/>
        <w:bottom w:val="none" w:sz="0" w:space="0" w:color="auto"/>
        <w:right w:val="none" w:sz="0" w:space="0" w:color="auto"/>
      </w:divBdr>
    </w:div>
    <w:div w:id="1208689803">
      <w:bodyDiv w:val="1"/>
      <w:marLeft w:val="0"/>
      <w:marRight w:val="0"/>
      <w:marTop w:val="0"/>
      <w:marBottom w:val="0"/>
      <w:divBdr>
        <w:top w:val="none" w:sz="0" w:space="0" w:color="auto"/>
        <w:left w:val="none" w:sz="0" w:space="0" w:color="auto"/>
        <w:bottom w:val="none" w:sz="0" w:space="0" w:color="auto"/>
        <w:right w:val="none" w:sz="0" w:space="0" w:color="auto"/>
      </w:divBdr>
    </w:div>
    <w:div w:id="1245917533">
      <w:bodyDiv w:val="1"/>
      <w:marLeft w:val="0"/>
      <w:marRight w:val="0"/>
      <w:marTop w:val="0"/>
      <w:marBottom w:val="0"/>
      <w:divBdr>
        <w:top w:val="none" w:sz="0" w:space="0" w:color="auto"/>
        <w:left w:val="none" w:sz="0" w:space="0" w:color="auto"/>
        <w:bottom w:val="none" w:sz="0" w:space="0" w:color="auto"/>
        <w:right w:val="none" w:sz="0" w:space="0" w:color="auto"/>
      </w:divBdr>
    </w:div>
    <w:div w:id="1252814751">
      <w:bodyDiv w:val="1"/>
      <w:marLeft w:val="0"/>
      <w:marRight w:val="0"/>
      <w:marTop w:val="0"/>
      <w:marBottom w:val="0"/>
      <w:divBdr>
        <w:top w:val="none" w:sz="0" w:space="0" w:color="auto"/>
        <w:left w:val="none" w:sz="0" w:space="0" w:color="auto"/>
        <w:bottom w:val="none" w:sz="0" w:space="0" w:color="auto"/>
        <w:right w:val="none" w:sz="0" w:space="0" w:color="auto"/>
      </w:divBdr>
    </w:div>
    <w:div w:id="1267613541">
      <w:bodyDiv w:val="1"/>
      <w:marLeft w:val="0"/>
      <w:marRight w:val="0"/>
      <w:marTop w:val="0"/>
      <w:marBottom w:val="0"/>
      <w:divBdr>
        <w:top w:val="none" w:sz="0" w:space="0" w:color="auto"/>
        <w:left w:val="none" w:sz="0" w:space="0" w:color="auto"/>
        <w:bottom w:val="none" w:sz="0" w:space="0" w:color="auto"/>
        <w:right w:val="none" w:sz="0" w:space="0" w:color="auto"/>
      </w:divBdr>
    </w:div>
    <w:div w:id="1320767224">
      <w:bodyDiv w:val="1"/>
      <w:marLeft w:val="0"/>
      <w:marRight w:val="0"/>
      <w:marTop w:val="0"/>
      <w:marBottom w:val="0"/>
      <w:divBdr>
        <w:top w:val="none" w:sz="0" w:space="0" w:color="auto"/>
        <w:left w:val="none" w:sz="0" w:space="0" w:color="auto"/>
        <w:bottom w:val="none" w:sz="0" w:space="0" w:color="auto"/>
        <w:right w:val="none" w:sz="0" w:space="0" w:color="auto"/>
      </w:divBdr>
    </w:div>
    <w:div w:id="1337919553">
      <w:bodyDiv w:val="1"/>
      <w:marLeft w:val="0"/>
      <w:marRight w:val="0"/>
      <w:marTop w:val="0"/>
      <w:marBottom w:val="0"/>
      <w:divBdr>
        <w:top w:val="none" w:sz="0" w:space="0" w:color="auto"/>
        <w:left w:val="none" w:sz="0" w:space="0" w:color="auto"/>
        <w:bottom w:val="none" w:sz="0" w:space="0" w:color="auto"/>
        <w:right w:val="none" w:sz="0" w:space="0" w:color="auto"/>
      </w:divBdr>
    </w:div>
    <w:div w:id="1347976483">
      <w:bodyDiv w:val="1"/>
      <w:marLeft w:val="0"/>
      <w:marRight w:val="0"/>
      <w:marTop w:val="0"/>
      <w:marBottom w:val="0"/>
      <w:divBdr>
        <w:top w:val="none" w:sz="0" w:space="0" w:color="auto"/>
        <w:left w:val="none" w:sz="0" w:space="0" w:color="auto"/>
        <w:bottom w:val="none" w:sz="0" w:space="0" w:color="auto"/>
        <w:right w:val="none" w:sz="0" w:space="0" w:color="auto"/>
      </w:divBdr>
    </w:div>
    <w:div w:id="1382559489">
      <w:bodyDiv w:val="1"/>
      <w:marLeft w:val="0"/>
      <w:marRight w:val="0"/>
      <w:marTop w:val="0"/>
      <w:marBottom w:val="0"/>
      <w:divBdr>
        <w:top w:val="none" w:sz="0" w:space="0" w:color="auto"/>
        <w:left w:val="none" w:sz="0" w:space="0" w:color="auto"/>
        <w:bottom w:val="none" w:sz="0" w:space="0" w:color="auto"/>
        <w:right w:val="none" w:sz="0" w:space="0" w:color="auto"/>
      </w:divBdr>
    </w:div>
    <w:div w:id="1382749210">
      <w:bodyDiv w:val="1"/>
      <w:marLeft w:val="0"/>
      <w:marRight w:val="0"/>
      <w:marTop w:val="0"/>
      <w:marBottom w:val="0"/>
      <w:divBdr>
        <w:top w:val="none" w:sz="0" w:space="0" w:color="auto"/>
        <w:left w:val="none" w:sz="0" w:space="0" w:color="auto"/>
        <w:bottom w:val="none" w:sz="0" w:space="0" w:color="auto"/>
        <w:right w:val="none" w:sz="0" w:space="0" w:color="auto"/>
      </w:divBdr>
    </w:div>
    <w:div w:id="1400397302">
      <w:bodyDiv w:val="1"/>
      <w:marLeft w:val="0"/>
      <w:marRight w:val="0"/>
      <w:marTop w:val="0"/>
      <w:marBottom w:val="0"/>
      <w:divBdr>
        <w:top w:val="none" w:sz="0" w:space="0" w:color="auto"/>
        <w:left w:val="none" w:sz="0" w:space="0" w:color="auto"/>
        <w:bottom w:val="none" w:sz="0" w:space="0" w:color="auto"/>
        <w:right w:val="none" w:sz="0" w:space="0" w:color="auto"/>
      </w:divBdr>
    </w:div>
    <w:div w:id="1406805096">
      <w:bodyDiv w:val="1"/>
      <w:marLeft w:val="0"/>
      <w:marRight w:val="0"/>
      <w:marTop w:val="0"/>
      <w:marBottom w:val="0"/>
      <w:divBdr>
        <w:top w:val="none" w:sz="0" w:space="0" w:color="auto"/>
        <w:left w:val="none" w:sz="0" w:space="0" w:color="auto"/>
        <w:bottom w:val="none" w:sz="0" w:space="0" w:color="auto"/>
        <w:right w:val="none" w:sz="0" w:space="0" w:color="auto"/>
      </w:divBdr>
    </w:div>
    <w:div w:id="1414274053">
      <w:bodyDiv w:val="1"/>
      <w:marLeft w:val="0"/>
      <w:marRight w:val="0"/>
      <w:marTop w:val="0"/>
      <w:marBottom w:val="0"/>
      <w:divBdr>
        <w:top w:val="none" w:sz="0" w:space="0" w:color="auto"/>
        <w:left w:val="none" w:sz="0" w:space="0" w:color="auto"/>
        <w:bottom w:val="none" w:sz="0" w:space="0" w:color="auto"/>
        <w:right w:val="none" w:sz="0" w:space="0" w:color="auto"/>
      </w:divBdr>
    </w:div>
    <w:div w:id="1417244893">
      <w:bodyDiv w:val="1"/>
      <w:marLeft w:val="0"/>
      <w:marRight w:val="0"/>
      <w:marTop w:val="0"/>
      <w:marBottom w:val="0"/>
      <w:divBdr>
        <w:top w:val="none" w:sz="0" w:space="0" w:color="auto"/>
        <w:left w:val="none" w:sz="0" w:space="0" w:color="auto"/>
        <w:bottom w:val="none" w:sz="0" w:space="0" w:color="auto"/>
        <w:right w:val="none" w:sz="0" w:space="0" w:color="auto"/>
      </w:divBdr>
    </w:div>
    <w:div w:id="1432241605">
      <w:bodyDiv w:val="1"/>
      <w:marLeft w:val="0"/>
      <w:marRight w:val="0"/>
      <w:marTop w:val="0"/>
      <w:marBottom w:val="0"/>
      <w:divBdr>
        <w:top w:val="none" w:sz="0" w:space="0" w:color="auto"/>
        <w:left w:val="none" w:sz="0" w:space="0" w:color="auto"/>
        <w:bottom w:val="none" w:sz="0" w:space="0" w:color="auto"/>
        <w:right w:val="none" w:sz="0" w:space="0" w:color="auto"/>
      </w:divBdr>
    </w:div>
    <w:div w:id="1473402407">
      <w:bodyDiv w:val="1"/>
      <w:marLeft w:val="0"/>
      <w:marRight w:val="0"/>
      <w:marTop w:val="0"/>
      <w:marBottom w:val="0"/>
      <w:divBdr>
        <w:top w:val="none" w:sz="0" w:space="0" w:color="auto"/>
        <w:left w:val="none" w:sz="0" w:space="0" w:color="auto"/>
        <w:bottom w:val="none" w:sz="0" w:space="0" w:color="auto"/>
        <w:right w:val="none" w:sz="0" w:space="0" w:color="auto"/>
      </w:divBdr>
    </w:div>
    <w:div w:id="1490633487">
      <w:bodyDiv w:val="1"/>
      <w:marLeft w:val="0"/>
      <w:marRight w:val="0"/>
      <w:marTop w:val="0"/>
      <w:marBottom w:val="0"/>
      <w:divBdr>
        <w:top w:val="none" w:sz="0" w:space="0" w:color="auto"/>
        <w:left w:val="none" w:sz="0" w:space="0" w:color="auto"/>
        <w:bottom w:val="none" w:sz="0" w:space="0" w:color="auto"/>
        <w:right w:val="none" w:sz="0" w:space="0" w:color="auto"/>
      </w:divBdr>
    </w:div>
    <w:div w:id="1492597252">
      <w:bodyDiv w:val="1"/>
      <w:marLeft w:val="0"/>
      <w:marRight w:val="0"/>
      <w:marTop w:val="0"/>
      <w:marBottom w:val="0"/>
      <w:divBdr>
        <w:top w:val="none" w:sz="0" w:space="0" w:color="auto"/>
        <w:left w:val="none" w:sz="0" w:space="0" w:color="auto"/>
        <w:bottom w:val="none" w:sz="0" w:space="0" w:color="auto"/>
        <w:right w:val="none" w:sz="0" w:space="0" w:color="auto"/>
      </w:divBdr>
    </w:div>
    <w:div w:id="1499686092">
      <w:bodyDiv w:val="1"/>
      <w:marLeft w:val="0"/>
      <w:marRight w:val="0"/>
      <w:marTop w:val="0"/>
      <w:marBottom w:val="0"/>
      <w:divBdr>
        <w:top w:val="none" w:sz="0" w:space="0" w:color="auto"/>
        <w:left w:val="none" w:sz="0" w:space="0" w:color="auto"/>
        <w:bottom w:val="none" w:sz="0" w:space="0" w:color="auto"/>
        <w:right w:val="none" w:sz="0" w:space="0" w:color="auto"/>
      </w:divBdr>
    </w:div>
    <w:div w:id="1513493857">
      <w:bodyDiv w:val="1"/>
      <w:marLeft w:val="0"/>
      <w:marRight w:val="0"/>
      <w:marTop w:val="0"/>
      <w:marBottom w:val="0"/>
      <w:divBdr>
        <w:top w:val="none" w:sz="0" w:space="0" w:color="auto"/>
        <w:left w:val="none" w:sz="0" w:space="0" w:color="auto"/>
        <w:bottom w:val="none" w:sz="0" w:space="0" w:color="auto"/>
        <w:right w:val="none" w:sz="0" w:space="0" w:color="auto"/>
      </w:divBdr>
    </w:div>
    <w:div w:id="1523934958">
      <w:bodyDiv w:val="1"/>
      <w:marLeft w:val="0"/>
      <w:marRight w:val="0"/>
      <w:marTop w:val="0"/>
      <w:marBottom w:val="0"/>
      <w:divBdr>
        <w:top w:val="none" w:sz="0" w:space="0" w:color="auto"/>
        <w:left w:val="none" w:sz="0" w:space="0" w:color="auto"/>
        <w:bottom w:val="none" w:sz="0" w:space="0" w:color="auto"/>
        <w:right w:val="none" w:sz="0" w:space="0" w:color="auto"/>
      </w:divBdr>
    </w:div>
    <w:div w:id="1526333909">
      <w:bodyDiv w:val="1"/>
      <w:marLeft w:val="0"/>
      <w:marRight w:val="0"/>
      <w:marTop w:val="0"/>
      <w:marBottom w:val="0"/>
      <w:divBdr>
        <w:top w:val="none" w:sz="0" w:space="0" w:color="auto"/>
        <w:left w:val="none" w:sz="0" w:space="0" w:color="auto"/>
        <w:bottom w:val="none" w:sz="0" w:space="0" w:color="auto"/>
        <w:right w:val="none" w:sz="0" w:space="0" w:color="auto"/>
      </w:divBdr>
    </w:div>
    <w:div w:id="1546940230">
      <w:bodyDiv w:val="1"/>
      <w:marLeft w:val="0"/>
      <w:marRight w:val="0"/>
      <w:marTop w:val="0"/>
      <w:marBottom w:val="0"/>
      <w:divBdr>
        <w:top w:val="none" w:sz="0" w:space="0" w:color="auto"/>
        <w:left w:val="none" w:sz="0" w:space="0" w:color="auto"/>
        <w:bottom w:val="none" w:sz="0" w:space="0" w:color="auto"/>
        <w:right w:val="none" w:sz="0" w:space="0" w:color="auto"/>
      </w:divBdr>
    </w:div>
    <w:div w:id="1622228807">
      <w:bodyDiv w:val="1"/>
      <w:marLeft w:val="0"/>
      <w:marRight w:val="0"/>
      <w:marTop w:val="0"/>
      <w:marBottom w:val="0"/>
      <w:divBdr>
        <w:top w:val="none" w:sz="0" w:space="0" w:color="auto"/>
        <w:left w:val="none" w:sz="0" w:space="0" w:color="auto"/>
        <w:bottom w:val="none" w:sz="0" w:space="0" w:color="auto"/>
        <w:right w:val="none" w:sz="0" w:space="0" w:color="auto"/>
      </w:divBdr>
    </w:div>
    <w:div w:id="1630552446">
      <w:bodyDiv w:val="1"/>
      <w:marLeft w:val="0"/>
      <w:marRight w:val="0"/>
      <w:marTop w:val="0"/>
      <w:marBottom w:val="0"/>
      <w:divBdr>
        <w:top w:val="none" w:sz="0" w:space="0" w:color="auto"/>
        <w:left w:val="none" w:sz="0" w:space="0" w:color="auto"/>
        <w:bottom w:val="none" w:sz="0" w:space="0" w:color="auto"/>
        <w:right w:val="none" w:sz="0" w:space="0" w:color="auto"/>
      </w:divBdr>
    </w:div>
    <w:div w:id="1631285578">
      <w:bodyDiv w:val="1"/>
      <w:marLeft w:val="0"/>
      <w:marRight w:val="0"/>
      <w:marTop w:val="0"/>
      <w:marBottom w:val="0"/>
      <w:divBdr>
        <w:top w:val="none" w:sz="0" w:space="0" w:color="auto"/>
        <w:left w:val="none" w:sz="0" w:space="0" w:color="auto"/>
        <w:bottom w:val="none" w:sz="0" w:space="0" w:color="auto"/>
        <w:right w:val="none" w:sz="0" w:space="0" w:color="auto"/>
      </w:divBdr>
    </w:div>
    <w:div w:id="1642996268">
      <w:bodyDiv w:val="1"/>
      <w:marLeft w:val="0"/>
      <w:marRight w:val="0"/>
      <w:marTop w:val="0"/>
      <w:marBottom w:val="0"/>
      <w:divBdr>
        <w:top w:val="none" w:sz="0" w:space="0" w:color="auto"/>
        <w:left w:val="none" w:sz="0" w:space="0" w:color="auto"/>
        <w:bottom w:val="none" w:sz="0" w:space="0" w:color="auto"/>
        <w:right w:val="none" w:sz="0" w:space="0" w:color="auto"/>
      </w:divBdr>
    </w:div>
    <w:div w:id="1661959855">
      <w:bodyDiv w:val="1"/>
      <w:marLeft w:val="0"/>
      <w:marRight w:val="0"/>
      <w:marTop w:val="0"/>
      <w:marBottom w:val="0"/>
      <w:divBdr>
        <w:top w:val="none" w:sz="0" w:space="0" w:color="auto"/>
        <w:left w:val="none" w:sz="0" w:space="0" w:color="auto"/>
        <w:bottom w:val="none" w:sz="0" w:space="0" w:color="auto"/>
        <w:right w:val="none" w:sz="0" w:space="0" w:color="auto"/>
      </w:divBdr>
    </w:div>
    <w:div w:id="1696343406">
      <w:bodyDiv w:val="1"/>
      <w:marLeft w:val="0"/>
      <w:marRight w:val="0"/>
      <w:marTop w:val="0"/>
      <w:marBottom w:val="0"/>
      <w:divBdr>
        <w:top w:val="none" w:sz="0" w:space="0" w:color="auto"/>
        <w:left w:val="none" w:sz="0" w:space="0" w:color="auto"/>
        <w:bottom w:val="none" w:sz="0" w:space="0" w:color="auto"/>
        <w:right w:val="none" w:sz="0" w:space="0" w:color="auto"/>
      </w:divBdr>
    </w:div>
    <w:div w:id="1697150573">
      <w:bodyDiv w:val="1"/>
      <w:marLeft w:val="0"/>
      <w:marRight w:val="0"/>
      <w:marTop w:val="0"/>
      <w:marBottom w:val="0"/>
      <w:divBdr>
        <w:top w:val="none" w:sz="0" w:space="0" w:color="auto"/>
        <w:left w:val="none" w:sz="0" w:space="0" w:color="auto"/>
        <w:bottom w:val="none" w:sz="0" w:space="0" w:color="auto"/>
        <w:right w:val="none" w:sz="0" w:space="0" w:color="auto"/>
      </w:divBdr>
    </w:div>
    <w:div w:id="1717974794">
      <w:bodyDiv w:val="1"/>
      <w:marLeft w:val="0"/>
      <w:marRight w:val="0"/>
      <w:marTop w:val="0"/>
      <w:marBottom w:val="0"/>
      <w:divBdr>
        <w:top w:val="none" w:sz="0" w:space="0" w:color="auto"/>
        <w:left w:val="none" w:sz="0" w:space="0" w:color="auto"/>
        <w:bottom w:val="none" w:sz="0" w:space="0" w:color="auto"/>
        <w:right w:val="none" w:sz="0" w:space="0" w:color="auto"/>
      </w:divBdr>
    </w:div>
    <w:div w:id="1727992772">
      <w:bodyDiv w:val="1"/>
      <w:marLeft w:val="0"/>
      <w:marRight w:val="0"/>
      <w:marTop w:val="0"/>
      <w:marBottom w:val="0"/>
      <w:divBdr>
        <w:top w:val="none" w:sz="0" w:space="0" w:color="auto"/>
        <w:left w:val="none" w:sz="0" w:space="0" w:color="auto"/>
        <w:bottom w:val="none" w:sz="0" w:space="0" w:color="auto"/>
        <w:right w:val="none" w:sz="0" w:space="0" w:color="auto"/>
      </w:divBdr>
    </w:div>
    <w:div w:id="1770541055">
      <w:bodyDiv w:val="1"/>
      <w:marLeft w:val="0"/>
      <w:marRight w:val="0"/>
      <w:marTop w:val="0"/>
      <w:marBottom w:val="0"/>
      <w:divBdr>
        <w:top w:val="none" w:sz="0" w:space="0" w:color="auto"/>
        <w:left w:val="none" w:sz="0" w:space="0" w:color="auto"/>
        <w:bottom w:val="none" w:sz="0" w:space="0" w:color="auto"/>
        <w:right w:val="none" w:sz="0" w:space="0" w:color="auto"/>
      </w:divBdr>
    </w:div>
    <w:div w:id="1773476186">
      <w:bodyDiv w:val="1"/>
      <w:marLeft w:val="0"/>
      <w:marRight w:val="0"/>
      <w:marTop w:val="0"/>
      <w:marBottom w:val="0"/>
      <w:divBdr>
        <w:top w:val="none" w:sz="0" w:space="0" w:color="auto"/>
        <w:left w:val="none" w:sz="0" w:space="0" w:color="auto"/>
        <w:bottom w:val="none" w:sz="0" w:space="0" w:color="auto"/>
        <w:right w:val="none" w:sz="0" w:space="0" w:color="auto"/>
      </w:divBdr>
    </w:div>
    <w:div w:id="1788427927">
      <w:bodyDiv w:val="1"/>
      <w:marLeft w:val="0"/>
      <w:marRight w:val="0"/>
      <w:marTop w:val="0"/>
      <w:marBottom w:val="0"/>
      <w:divBdr>
        <w:top w:val="none" w:sz="0" w:space="0" w:color="auto"/>
        <w:left w:val="none" w:sz="0" w:space="0" w:color="auto"/>
        <w:bottom w:val="none" w:sz="0" w:space="0" w:color="auto"/>
        <w:right w:val="none" w:sz="0" w:space="0" w:color="auto"/>
      </w:divBdr>
    </w:div>
    <w:div w:id="1788700386">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1775693">
      <w:bodyDiv w:val="1"/>
      <w:marLeft w:val="0"/>
      <w:marRight w:val="0"/>
      <w:marTop w:val="0"/>
      <w:marBottom w:val="0"/>
      <w:divBdr>
        <w:top w:val="none" w:sz="0" w:space="0" w:color="auto"/>
        <w:left w:val="none" w:sz="0" w:space="0" w:color="auto"/>
        <w:bottom w:val="none" w:sz="0" w:space="0" w:color="auto"/>
        <w:right w:val="none" w:sz="0" w:space="0" w:color="auto"/>
      </w:divBdr>
    </w:div>
    <w:div w:id="1795438844">
      <w:bodyDiv w:val="1"/>
      <w:marLeft w:val="0"/>
      <w:marRight w:val="0"/>
      <w:marTop w:val="0"/>
      <w:marBottom w:val="0"/>
      <w:divBdr>
        <w:top w:val="none" w:sz="0" w:space="0" w:color="auto"/>
        <w:left w:val="none" w:sz="0" w:space="0" w:color="auto"/>
        <w:bottom w:val="none" w:sz="0" w:space="0" w:color="auto"/>
        <w:right w:val="none" w:sz="0" w:space="0" w:color="auto"/>
      </w:divBdr>
    </w:div>
    <w:div w:id="1825732408">
      <w:bodyDiv w:val="1"/>
      <w:marLeft w:val="0"/>
      <w:marRight w:val="0"/>
      <w:marTop w:val="0"/>
      <w:marBottom w:val="0"/>
      <w:divBdr>
        <w:top w:val="none" w:sz="0" w:space="0" w:color="auto"/>
        <w:left w:val="none" w:sz="0" w:space="0" w:color="auto"/>
        <w:bottom w:val="none" w:sz="0" w:space="0" w:color="auto"/>
        <w:right w:val="none" w:sz="0" w:space="0" w:color="auto"/>
      </w:divBdr>
    </w:div>
    <w:div w:id="1846433810">
      <w:bodyDiv w:val="1"/>
      <w:marLeft w:val="0"/>
      <w:marRight w:val="0"/>
      <w:marTop w:val="0"/>
      <w:marBottom w:val="0"/>
      <w:divBdr>
        <w:top w:val="none" w:sz="0" w:space="0" w:color="auto"/>
        <w:left w:val="none" w:sz="0" w:space="0" w:color="auto"/>
        <w:bottom w:val="none" w:sz="0" w:space="0" w:color="auto"/>
        <w:right w:val="none" w:sz="0" w:space="0" w:color="auto"/>
      </w:divBdr>
    </w:div>
    <w:div w:id="1846819533">
      <w:bodyDiv w:val="1"/>
      <w:marLeft w:val="0"/>
      <w:marRight w:val="0"/>
      <w:marTop w:val="0"/>
      <w:marBottom w:val="0"/>
      <w:divBdr>
        <w:top w:val="none" w:sz="0" w:space="0" w:color="auto"/>
        <w:left w:val="none" w:sz="0" w:space="0" w:color="auto"/>
        <w:bottom w:val="none" w:sz="0" w:space="0" w:color="auto"/>
        <w:right w:val="none" w:sz="0" w:space="0" w:color="auto"/>
      </w:divBdr>
    </w:div>
    <w:div w:id="1851026121">
      <w:bodyDiv w:val="1"/>
      <w:marLeft w:val="0"/>
      <w:marRight w:val="0"/>
      <w:marTop w:val="0"/>
      <w:marBottom w:val="0"/>
      <w:divBdr>
        <w:top w:val="none" w:sz="0" w:space="0" w:color="auto"/>
        <w:left w:val="none" w:sz="0" w:space="0" w:color="auto"/>
        <w:bottom w:val="none" w:sz="0" w:space="0" w:color="auto"/>
        <w:right w:val="none" w:sz="0" w:space="0" w:color="auto"/>
      </w:divBdr>
    </w:div>
    <w:div w:id="1852840851">
      <w:bodyDiv w:val="1"/>
      <w:marLeft w:val="0"/>
      <w:marRight w:val="0"/>
      <w:marTop w:val="0"/>
      <w:marBottom w:val="0"/>
      <w:divBdr>
        <w:top w:val="none" w:sz="0" w:space="0" w:color="auto"/>
        <w:left w:val="none" w:sz="0" w:space="0" w:color="auto"/>
        <w:bottom w:val="none" w:sz="0" w:space="0" w:color="auto"/>
        <w:right w:val="none" w:sz="0" w:space="0" w:color="auto"/>
      </w:divBdr>
    </w:div>
    <w:div w:id="1887913377">
      <w:bodyDiv w:val="1"/>
      <w:marLeft w:val="0"/>
      <w:marRight w:val="0"/>
      <w:marTop w:val="0"/>
      <w:marBottom w:val="0"/>
      <w:divBdr>
        <w:top w:val="none" w:sz="0" w:space="0" w:color="auto"/>
        <w:left w:val="none" w:sz="0" w:space="0" w:color="auto"/>
        <w:bottom w:val="none" w:sz="0" w:space="0" w:color="auto"/>
        <w:right w:val="none" w:sz="0" w:space="0" w:color="auto"/>
      </w:divBdr>
    </w:div>
    <w:div w:id="1916744111">
      <w:bodyDiv w:val="1"/>
      <w:marLeft w:val="0"/>
      <w:marRight w:val="0"/>
      <w:marTop w:val="0"/>
      <w:marBottom w:val="0"/>
      <w:divBdr>
        <w:top w:val="none" w:sz="0" w:space="0" w:color="auto"/>
        <w:left w:val="none" w:sz="0" w:space="0" w:color="auto"/>
        <w:bottom w:val="none" w:sz="0" w:space="0" w:color="auto"/>
        <w:right w:val="none" w:sz="0" w:space="0" w:color="auto"/>
      </w:divBdr>
    </w:div>
    <w:div w:id="1918632758">
      <w:bodyDiv w:val="1"/>
      <w:marLeft w:val="0"/>
      <w:marRight w:val="0"/>
      <w:marTop w:val="0"/>
      <w:marBottom w:val="0"/>
      <w:divBdr>
        <w:top w:val="none" w:sz="0" w:space="0" w:color="auto"/>
        <w:left w:val="none" w:sz="0" w:space="0" w:color="auto"/>
        <w:bottom w:val="none" w:sz="0" w:space="0" w:color="auto"/>
        <w:right w:val="none" w:sz="0" w:space="0" w:color="auto"/>
      </w:divBdr>
      <w:divsChild>
        <w:div w:id="599410739">
          <w:marLeft w:val="0"/>
          <w:marRight w:val="0"/>
          <w:marTop w:val="0"/>
          <w:marBottom w:val="0"/>
          <w:divBdr>
            <w:top w:val="none" w:sz="0" w:space="0" w:color="auto"/>
            <w:left w:val="none" w:sz="0" w:space="0" w:color="auto"/>
            <w:bottom w:val="none" w:sz="0" w:space="0" w:color="auto"/>
            <w:right w:val="none" w:sz="0" w:space="0" w:color="auto"/>
          </w:divBdr>
          <w:divsChild>
            <w:div w:id="838346866">
              <w:marLeft w:val="0"/>
              <w:marRight w:val="0"/>
              <w:marTop w:val="0"/>
              <w:marBottom w:val="0"/>
              <w:divBdr>
                <w:top w:val="none" w:sz="0" w:space="0" w:color="auto"/>
                <w:left w:val="none" w:sz="0" w:space="0" w:color="auto"/>
                <w:bottom w:val="none" w:sz="0" w:space="0" w:color="auto"/>
                <w:right w:val="none" w:sz="0" w:space="0" w:color="auto"/>
              </w:divBdr>
              <w:divsChild>
                <w:div w:id="1681614733">
                  <w:marLeft w:val="0"/>
                  <w:marRight w:val="0"/>
                  <w:marTop w:val="0"/>
                  <w:marBottom w:val="0"/>
                  <w:divBdr>
                    <w:top w:val="none" w:sz="0" w:space="0" w:color="auto"/>
                    <w:left w:val="none" w:sz="0" w:space="0" w:color="auto"/>
                    <w:bottom w:val="none" w:sz="0" w:space="0" w:color="auto"/>
                    <w:right w:val="none" w:sz="0" w:space="0" w:color="auto"/>
                  </w:divBdr>
                  <w:divsChild>
                    <w:div w:id="685211506">
                      <w:marLeft w:val="0"/>
                      <w:marRight w:val="0"/>
                      <w:marTop w:val="0"/>
                      <w:marBottom w:val="0"/>
                      <w:divBdr>
                        <w:top w:val="none" w:sz="0" w:space="0" w:color="auto"/>
                        <w:left w:val="none" w:sz="0" w:space="0" w:color="auto"/>
                        <w:bottom w:val="none" w:sz="0" w:space="0" w:color="auto"/>
                        <w:right w:val="none" w:sz="0" w:space="0" w:color="auto"/>
                      </w:divBdr>
                      <w:divsChild>
                        <w:div w:id="137576920">
                          <w:marLeft w:val="0"/>
                          <w:marRight w:val="0"/>
                          <w:marTop w:val="0"/>
                          <w:marBottom w:val="0"/>
                          <w:divBdr>
                            <w:top w:val="none" w:sz="0" w:space="0" w:color="auto"/>
                            <w:left w:val="none" w:sz="0" w:space="0" w:color="auto"/>
                            <w:bottom w:val="none" w:sz="0" w:space="0" w:color="auto"/>
                            <w:right w:val="none" w:sz="0" w:space="0" w:color="auto"/>
                          </w:divBdr>
                          <w:divsChild>
                            <w:div w:id="716900793">
                              <w:marLeft w:val="0"/>
                              <w:marRight w:val="0"/>
                              <w:marTop w:val="0"/>
                              <w:marBottom w:val="0"/>
                              <w:divBdr>
                                <w:top w:val="none" w:sz="0" w:space="0" w:color="auto"/>
                                <w:left w:val="none" w:sz="0" w:space="0" w:color="auto"/>
                                <w:bottom w:val="none" w:sz="0" w:space="0" w:color="auto"/>
                                <w:right w:val="none" w:sz="0" w:space="0" w:color="auto"/>
                              </w:divBdr>
                              <w:divsChild>
                                <w:div w:id="827358191">
                                  <w:marLeft w:val="0"/>
                                  <w:marRight w:val="0"/>
                                  <w:marTop w:val="0"/>
                                  <w:marBottom w:val="0"/>
                                  <w:divBdr>
                                    <w:top w:val="none" w:sz="0" w:space="0" w:color="auto"/>
                                    <w:left w:val="none" w:sz="0" w:space="0" w:color="auto"/>
                                    <w:bottom w:val="none" w:sz="0" w:space="0" w:color="auto"/>
                                    <w:right w:val="none" w:sz="0" w:space="0" w:color="auto"/>
                                  </w:divBdr>
                                  <w:divsChild>
                                    <w:div w:id="8913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412763">
      <w:bodyDiv w:val="1"/>
      <w:marLeft w:val="0"/>
      <w:marRight w:val="0"/>
      <w:marTop w:val="0"/>
      <w:marBottom w:val="0"/>
      <w:divBdr>
        <w:top w:val="none" w:sz="0" w:space="0" w:color="auto"/>
        <w:left w:val="none" w:sz="0" w:space="0" w:color="auto"/>
        <w:bottom w:val="none" w:sz="0" w:space="0" w:color="auto"/>
        <w:right w:val="none" w:sz="0" w:space="0" w:color="auto"/>
      </w:divBdr>
    </w:div>
    <w:div w:id="1926262374">
      <w:bodyDiv w:val="1"/>
      <w:marLeft w:val="0"/>
      <w:marRight w:val="0"/>
      <w:marTop w:val="0"/>
      <w:marBottom w:val="0"/>
      <w:divBdr>
        <w:top w:val="none" w:sz="0" w:space="0" w:color="auto"/>
        <w:left w:val="none" w:sz="0" w:space="0" w:color="auto"/>
        <w:bottom w:val="none" w:sz="0" w:space="0" w:color="auto"/>
        <w:right w:val="none" w:sz="0" w:space="0" w:color="auto"/>
      </w:divBdr>
    </w:div>
    <w:div w:id="1936091984">
      <w:bodyDiv w:val="1"/>
      <w:marLeft w:val="0"/>
      <w:marRight w:val="0"/>
      <w:marTop w:val="0"/>
      <w:marBottom w:val="0"/>
      <w:divBdr>
        <w:top w:val="none" w:sz="0" w:space="0" w:color="auto"/>
        <w:left w:val="none" w:sz="0" w:space="0" w:color="auto"/>
        <w:bottom w:val="none" w:sz="0" w:space="0" w:color="auto"/>
        <w:right w:val="none" w:sz="0" w:space="0" w:color="auto"/>
      </w:divBdr>
      <w:divsChild>
        <w:div w:id="1579554720">
          <w:marLeft w:val="0"/>
          <w:marRight w:val="0"/>
          <w:marTop w:val="0"/>
          <w:marBottom w:val="0"/>
          <w:divBdr>
            <w:top w:val="none" w:sz="0" w:space="0" w:color="auto"/>
            <w:left w:val="none" w:sz="0" w:space="0" w:color="auto"/>
            <w:bottom w:val="none" w:sz="0" w:space="0" w:color="auto"/>
            <w:right w:val="none" w:sz="0" w:space="0" w:color="auto"/>
          </w:divBdr>
        </w:div>
      </w:divsChild>
    </w:div>
    <w:div w:id="1946574693">
      <w:bodyDiv w:val="1"/>
      <w:marLeft w:val="0"/>
      <w:marRight w:val="0"/>
      <w:marTop w:val="0"/>
      <w:marBottom w:val="0"/>
      <w:divBdr>
        <w:top w:val="none" w:sz="0" w:space="0" w:color="auto"/>
        <w:left w:val="none" w:sz="0" w:space="0" w:color="auto"/>
        <w:bottom w:val="none" w:sz="0" w:space="0" w:color="auto"/>
        <w:right w:val="none" w:sz="0" w:space="0" w:color="auto"/>
      </w:divBdr>
    </w:div>
    <w:div w:id="1948733762">
      <w:bodyDiv w:val="1"/>
      <w:marLeft w:val="0"/>
      <w:marRight w:val="0"/>
      <w:marTop w:val="0"/>
      <w:marBottom w:val="0"/>
      <w:divBdr>
        <w:top w:val="none" w:sz="0" w:space="0" w:color="auto"/>
        <w:left w:val="none" w:sz="0" w:space="0" w:color="auto"/>
        <w:bottom w:val="none" w:sz="0" w:space="0" w:color="auto"/>
        <w:right w:val="none" w:sz="0" w:space="0" w:color="auto"/>
      </w:divBdr>
    </w:div>
    <w:div w:id="1955356762">
      <w:bodyDiv w:val="1"/>
      <w:marLeft w:val="0"/>
      <w:marRight w:val="0"/>
      <w:marTop w:val="0"/>
      <w:marBottom w:val="0"/>
      <w:divBdr>
        <w:top w:val="none" w:sz="0" w:space="0" w:color="auto"/>
        <w:left w:val="none" w:sz="0" w:space="0" w:color="auto"/>
        <w:bottom w:val="none" w:sz="0" w:space="0" w:color="auto"/>
        <w:right w:val="none" w:sz="0" w:space="0" w:color="auto"/>
      </w:divBdr>
    </w:div>
    <w:div w:id="1982343577">
      <w:bodyDiv w:val="1"/>
      <w:marLeft w:val="0"/>
      <w:marRight w:val="0"/>
      <w:marTop w:val="0"/>
      <w:marBottom w:val="0"/>
      <w:divBdr>
        <w:top w:val="none" w:sz="0" w:space="0" w:color="auto"/>
        <w:left w:val="none" w:sz="0" w:space="0" w:color="auto"/>
        <w:bottom w:val="none" w:sz="0" w:space="0" w:color="auto"/>
        <w:right w:val="none" w:sz="0" w:space="0" w:color="auto"/>
      </w:divBdr>
    </w:div>
    <w:div w:id="1991862998">
      <w:bodyDiv w:val="1"/>
      <w:marLeft w:val="0"/>
      <w:marRight w:val="0"/>
      <w:marTop w:val="0"/>
      <w:marBottom w:val="0"/>
      <w:divBdr>
        <w:top w:val="none" w:sz="0" w:space="0" w:color="auto"/>
        <w:left w:val="none" w:sz="0" w:space="0" w:color="auto"/>
        <w:bottom w:val="none" w:sz="0" w:space="0" w:color="auto"/>
        <w:right w:val="none" w:sz="0" w:space="0" w:color="auto"/>
      </w:divBdr>
    </w:div>
    <w:div w:id="1999722849">
      <w:bodyDiv w:val="1"/>
      <w:marLeft w:val="0"/>
      <w:marRight w:val="0"/>
      <w:marTop w:val="0"/>
      <w:marBottom w:val="0"/>
      <w:divBdr>
        <w:top w:val="none" w:sz="0" w:space="0" w:color="auto"/>
        <w:left w:val="none" w:sz="0" w:space="0" w:color="auto"/>
        <w:bottom w:val="none" w:sz="0" w:space="0" w:color="auto"/>
        <w:right w:val="none" w:sz="0" w:space="0" w:color="auto"/>
      </w:divBdr>
    </w:div>
    <w:div w:id="2024428033">
      <w:bodyDiv w:val="1"/>
      <w:marLeft w:val="0"/>
      <w:marRight w:val="0"/>
      <w:marTop w:val="0"/>
      <w:marBottom w:val="0"/>
      <w:divBdr>
        <w:top w:val="none" w:sz="0" w:space="0" w:color="auto"/>
        <w:left w:val="none" w:sz="0" w:space="0" w:color="auto"/>
        <w:bottom w:val="none" w:sz="0" w:space="0" w:color="auto"/>
        <w:right w:val="none" w:sz="0" w:space="0" w:color="auto"/>
      </w:divBdr>
      <w:divsChild>
        <w:div w:id="80031103">
          <w:marLeft w:val="0"/>
          <w:marRight w:val="0"/>
          <w:marTop w:val="0"/>
          <w:marBottom w:val="0"/>
          <w:divBdr>
            <w:top w:val="none" w:sz="0" w:space="0" w:color="auto"/>
            <w:left w:val="none" w:sz="0" w:space="0" w:color="auto"/>
            <w:bottom w:val="none" w:sz="0" w:space="0" w:color="auto"/>
            <w:right w:val="none" w:sz="0" w:space="0" w:color="auto"/>
          </w:divBdr>
          <w:divsChild>
            <w:div w:id="1592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18008">
      <w:bodyDiv w:val="1"/>
      <w:marLeft w:val="0"/>
      <w:marRight w:val="0"/>
      <w:marTop w:val="0"/>
      <w:marBottom w:val="0"/>
      <w:divBdr>
        <w:top w:val="none" w:sz="0" w:space="0" w:color="auto"/>
        <w:left w:val="none" w:sz="0" w:space="0" w:color="auto"/>
        <w:bottom w:val="none" w:sz="0" w:space="0" w:color="auto"/>
        <w:right w:val="none" w:sz="0" w:space="0" w:color="auto"/>
      </w:divBdr>
    </w:div>
    <w:div w:id="214022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ghani@imperial.ac.uk" TargetMode="External"/><Relationship Id="rId21" Type="http://schemas.openxmlformats.org/officeDocument/2006/relationships/hyperlink" Target="https://github.com/mrc-ide/squire" TargetMode="External"/><Relationship Id="rId42" Type="http://schemas.openxmlformats.org/officeDocument/2006/relationships/oleObject" Target="embeddings/oleObject3.bin"/><Relationship Id="rId47" Type="http://schemas.openxmlformats.org/officeDocument/2006/relationships/image" Target="media/image15.wmf"/><Relationship Id="rId63" Type="http://schemas.openxmlformats.org/officeDocument/2006/relationships/image" Target="media/image23.w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36.wmf"/><Relationship Id="rId7" Type="http://schemas.openxmlformats.org/officeDocument/2006/relationships/settings" Target="settings.xml"/><Relationship Id="rId71" Type="http://schemas.openxmlformats.org/officeDocument/2006/relationships/image" Target="media/image27.wmf"/><Relationship Id="rId92" Type="http://schemas.openxmlformats.org/officeDocument/2006/relationships/oleObject" Target="embeddings/oleObject28.bin"/><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github.com/sbfnk/socialmixr" TargetMode="External"/><Relationship Id="rId11" Type="http://schemas.openxmlformats.org/officeDocument/2006/relationships/hyperlink" Target="mailto:patrick.walker@imperial.ac.uk" TargetMode="External"/><Relationship Id="rId24" Type="http://schemas.openxmlformats.org/officeDocument/2006/relationships/hyperlink" Target="https://doi.org/10.5281/zenodo.3872387" TargetMode="External"/><Relationship Id="rId32" Type="http://schemas.openxmlformats.org/officeDocument/2006/relationships/image" Target="media/image7.tiff"/><Relationship Id="rId37" Type="http://schemas.openxmlformats.org/officeDocument/2006/relationships/image" Target="media/image10.wmf"/><Relationship Id="rId40" Type="http://schemas.openxmlformats.org/officeDocument/2006/relationships/oleObject" Target="embeddings/oleObject2.bin"/><Relationship Id="rId45" Type="http://schemas.openxmlformats.org/officeDocument/2006/relationships/image" Target="media/image14.wmf"/><Relationship Id="rId53" Type="http://schemas.openxmlformats.org/officeDocument/2006/relationships/image" Target="media/image18.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oleObject" Target="embeddings/oleObject21.bin"/><Relationship Id="rId87" Type="http://schemas.openxmlformats.org/officeDocument/2006/relationships/image" Target="media/image35.wmf"/><Relationship Id="rId102"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22.wmf"/><Relationship Id="rId82" Type="http://schemas.openxmlformats.org/officeDocument/2006/relationships/oleObject" Target="embeddings/oleObject23.bin"/><Relationship Id="rId90" Type="http://schemas.openxmlformats.org/officeDocument/2006/relationships/oleObject" Target="embeddings/oleObject27.bin"/><Relationship Id="rId95" Type="http://schemas.openxmlformats.org/officeDocument/2006/relationships/oleObject" Target="embeddings/oleObject30.bin"/><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hyperlink" Target="https://doi.org/10.5281/zenodo.3872340" TargetMode="External"/><Relationship Id="rId27" Type="http://schemas.openxmlformats.org/officeDocument/2006/relationships/hyperlink" Target="mailto:neil.ferguson@imperial.ac.uk" TargetMode="External"/><Relationship Id="rId30" Type="http://schemas.openxmlformats.org/officeDocument/2006/relationships/hyperlink" Target="http://ghdx.healthdata.org/gbd-results-tool" TargetMode="External"/><Relationship Id="rId35" Type="http://schemas.openxmlformats.org/officeDocument/2006/relationships/image" Target="media/image9.png"/><Relationship Id="rId43" Type="http://schemas.openxmlformats.org/officeDocument/2006/relationships/image" Target="media/image13.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26.wmf"/><Relationship Id="rId77" Type="http://schemas.openxmlformats.org/officeDocument/2006/relationships/image" Target="media/image30.tiff"/><Relationship Id="rId100" Type="http://schemas.openxmlformats.org/officeDocument/2006/relationships/hyperlink" Target="https://github.com/mrc-ide/squire" TargetMode="External"/><Relationship Id="rId8" Type="http://schemas.openxmlformats.org/officeDocument/2006/relationships/webSettings" Target="webSettings.xml"/><Relationship Id="rId51" Type="http://schemas.openxmlformats.org/officeDocument/2006/relationships/image" Target="media/image17.wmf"/><Relationship Id="rId72" Type="http://schemas.openxmlformats.org/officeDocument/2006/relationships/oleObject" Target="embeddings/oleObject18.bin"/><Relationship Id="rId80" Type="http://schemas.openxmlformats.org/officeDocument/2006/relationships/image" Target="media/image32.wmf"/><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image" Target="media/image40.tiff"/><Relationship Id="rId3" Type="http://schemas.openxmlformats.org/officeDocument/2006/relationships/customXml" Target="../customXml/item3.xml"/><Relationship Id="rId12" Type="http://schemas.openxmlformats.org/officeDocument/2006/relationships/hyperlink" Target="mailto:a.ghani@imperial.ac.uk" TargetMode="External"/><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hyperlink" Target="https://github.com/mrc-ide/squire"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21.wmf"/><Relationship Id="rId67" Type="http://schemas.openxmlformats.org/officeDocument/2006/relationships/image" Target="media/image25.wmf"/><Relationship Id="rId103" Type="http://schemas.openxmlformats.org/officeDocument/2006/relationships/fontTable" Target="fontTable.xml"/><Relationship Id="rId20" Type="http://schemas.openxmlformats.org/officeDocument/2006/relationships/hyperlink" Target="https://creativecommons.org/licenses/by/4.0/" TargetMode="External"/><Relationship Id="rId41" Type="http://schemas.openxmlformats.org/officeDocument/2006/relationships/image" Target="media/image12.wmf"/><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26.bin"/><Relationship Id="rId91" Type="http://schemas.openxmlformats.org/officeDocument/2006/relationships/image" Target="media/image37.wmf"/><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github.com/mrc-ide/covid_global_impact" TargetMode="External"/><Relationship Id="rId28" Type="http://schemas.openxmlformats.org/officeDocument/2006/relationships/hyperlink" Target="https://population.un.org/wpp/" TargetMode="External"/><Relationship Id="rId36" Type="http://schemas.openxmlformats.org/officeDocument/2006/relationships/footer" Target="footer2.xml"/><Relationship Id="rId49" Type="http://schemas.openxmlformats.org/officeDocument/2006/relationships/image" Target="media/image16.wmf"/><Relationship Id="rId57" Type="http://schemas.openxmlformats.org/officeDocument/2006/relationships/image" Target="media/image20.wmf"/><Relationship Id="rId10" Type="http://schemas.openxmlformats.org/officeDocument/2006/relationships/endnotes" Target="endnotes.xml"/><Relationship Id="rId31" Type="http://schemas.openxmlformats.org/officeDocument/2006/relationships/hyperlink" Target="https://data.worldbank.org/indicator?tab=all"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24.wmf"/><Relationship Id="rId73" Type="http://schemas.openxmlformats.org/officeDocument/2006/relationships/image" Target="media/image28.wmf"/><Relationship Id="rId78" Type="http://schemas.openxmlformats.org/officeDocument/2006/relationships/image" Target="media/image31.wmf"/><Relationship Id="rId81" Type="http://schemas.openxmlformats.org/officeDocument/2006/relationships/oleObject" Target="embeddings/oleObject22.bin"/><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41.tiff"/><Relationship Id="rId101" Type="http://schemas.openxmlformats.org/officeDocument/2006/relationships/hyperlink" Target="https://github.com/mrc-ide/covid_global_impac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eil.ferguson@imperial.ac.uk" TargetMode="External"/><Relationship Id="rId18" Type="http://schemas.openxmlformats.org/officeDocument/2006/relationships/footer" Target="footer1.xml"/><Relationship Id="rId39" Type="http://schemas.openxmlformats.org/officeDocument/2006/relationships/image" Target="media/image11.wmf"/><Relationship Id="rId34" Type="http://schemas.openxmlformats.org/officeDocument/2006/relationships/image" Target="media/image8.png"/><Relationship Id="rId50" Type="http://schemas.openxmlformats.org/officeDocument/2006/relationships/oleObject" Target="embeddings/oleObject7.bin"/><Relationship Id="rId55" Type="http://schemas.openxmlformats.org/officeDocument/2006/relationships/image" Target="media/image19.wmf"/><Relationship Id="rId76" Type="http://schemas.openxmlformats.org/officeDocument/2006/relationships/oleObject" Target="embeddings/oleObject20.bin"/><Relationship Id="rId97" Type="http://schemas.openxmlformats.org/officeDocument/2006/relationships/oleObject" Target="embeddings/oleObject31.bin"/><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8dc0456f-2036-4fc4-9de1-a80949446c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02770DCAEC734E8EB73418E6EC8A3D" ma:contentTypeVersion="13" ma:contentTypeDescription="Create a new document." ma:contentTypeScope="" ma:versionID="af75934e04ab35782fcd810f9460f8d3">
  <xsd:schema xmlns:xsd="http://www.w3.org/2001/XMLSchema" xmlns:xs="http://www.w3.org/2001/XMLSchema" xmlns:p="http://schemas.microsoft.com/office/2006/metadata/properties" xmlns:ns2="012b7256-b6cf-40b6-b733-1f7ee20e4e65" xmlns:ns3="8dc0456f-2036-4fc4-9de1-a80949446cb6" targetNamespace="http://schemas.microsoft.com/office/2006/metadata/properties" ma:root="true" ma:fieldsID="23ebba3bffe71377838332d3133354f0" ns2:_="" ns3:_="">
    <xsd:import namespace="012b7256-b6cf-40b6-b733-1f7ee20e4e65"/>
    <xsd:import namespace="8dc0456f-2036-4fc4-9de1-a80949446c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2b7256-b6cf-40b6-b733-1f7ee20e4e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c0456f-2036-4fc4-9de1-a80949446c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B6B2B-DC70-4754-AD38-454570C6E76D}">
  <ds:schemaRefs>
    <ds:schemaRef ds:uri="http://schemas.microsoft.com/office/2006/metadata/properties"/>
    <ds:schemaRef ds:uri="http://schemas.microsoft.com/office/infopath/2007/PartnerControls"/>
    <ds:schemaRef ds:uri="8dc0456f-2036-4fc4-9de1-a80949446cb6"/>
  </ds:schemaRefs>
</ds:datastoreItem>
</file>

<file path=customXml/itemProps2.xml><?xml version="1.0" encoding="utf-8"?>
<ds:datastoreItem xmlns:ds="http://schemas.openxmlformats.org/officeDocument/2006/customXml" ds:itemID="{89714ADB-6819-4D28-A12F-BC616596E969}">
  <ds:schemaRefs>
    <ds:schemaRef ds:uri="http://schemas.microsoft.com/sharepoint/v3/contenttype/forms"/>
  </ds:schemaRefs>
</ds:datastoreItem>
</file>

<file path=customXml/itemProps3.xml><?xml version="1.0" encoding="utf-8"?>
<ds:datastoreItem xmlns:ds="http://schemas.openxmlformats.org/officeDocument/2006/customXml" ds:itemID="{11C72A03-5AD5-46E3-88F2-7538774AD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2b7256-b6cf-40b6-b733-1f7ee20e4e65"/>
    <ds:schemaRef ds:uri="8dc0456f-2036-4fc4-9de1-a8094944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7C9D33-CA7D-4091-A571-254FDD635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121251</Words>
  <Characters>691131</Characters>
  <Application>Microsoft Office Word</Application>
  <DocSecurity>0</DocSecurity>
  <Lines>5759</Lines>
  <Paragraphs>1621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810761</CharactersWithSpaces>
  <SharedDoc>false</SharedDoc>
  <HLinks>
    <vt:vector size="102" baseType="variant">
      <vt:variant>
        <vt:i4>4259869</vt:i4>
      </vt:variant>
      <vt:variant>
        <vt:i4>402</vt:i4>
      </vt:variant>
      <vt:variant>
        <vt:i4>0</vt:i4>
      </vt:variant>
      <vt:variant>
        <vt:i4>5</vt:i4>
      </vt:variant>
      <vt:variant>
        <vt:lpwstr>https://github.com/mrc-ide/covid_global_impact</vt:lpwstr>
      </vt:variant>
      <vt:variant>
        <vt:lpwstr/>
      </vt:variant>
      <vt:variant>
        <vt:i4>655428</vt:i4>
      </vt:variant>
      <vt:variant>
        <vt:i4>399</vt:i4>
      </vt:variant>
      <vt:variant>
        <vt:i4>0</vt:i4>
      </vt:variant>
      <vt:variant>
        <vt:i4>5</vt:i4>
      </vt:variant>
      <vt:variant>
        <vt:lpwstr>https://github.com/mrc-ide/squire</vt:lpwstr>
      </vt:variant>
      <vt:variant>
        <vt:lpwstr/>
      </vt:variant>
      <vt:variant>
        <vt:i4>655428</vt:i4>
      </vt:variant>
      <vt:variant>
        <vt:i4>243</vt:i4>
      </vt:variant>
      <vt:variant>
        <vt:i4>0</vt:i4>
      </vt:variant>
      <vt:variant>
        <vt:i4>5</vt:i4>
      </vt:variant>
      <vt:variant>
        <vt:lpwstr>https://github.com/mrc-ide/squire</vt:lpwstr>
      </vt:variant>
      <vt:variant>
        <vt:lpwstr/>
      </vt:variant>
      <vt:variant>
        <vt:i4>65540</vt:i4>
      </vt:variant>
      <vt:variant>
        <vt:i4>216</vt:i4>
      </vt:variant>
      <vt:variant>
        <vt:i4>0</vt:i4>
      </vt:variant>
      <vt:variant>
        <vt:i4>5</vt:i4>
      </vt:variant>
      <vt:variant>
        <vt:lpwstr>https://data.worldbank.org/indicator?tab=all</vt:lpwstr>
      </vt:variant>
      <vt:variant>
        <vt:lpwstr/>
      </vt:variant>
      <vt:variant>
        <vt:i4>6881390</vt:i4>
      </vt:variant>
      <vt:variant>
        <vt:i4>210</vt:i4>
      </vt:variant>
      <vt:variant>
        <vt:i4>0</vt:i4>
      </vt:variant>
      <vt:variant>
        <vt:i4>5</vt:i4>
      </vt:variant>
      <vt:variant>
        <vt:lpwstr>http://ghdx.healthdata.org/gbd-results-tool</vt:lpwstr>
      </vt:variant>
      <vt:variant>
        <vt:lpwstr/>
      </vt:variant>
      <vt:variant>
        <vt:i4>6684776</vt:i4>
      </vt:variant>
      <vt:variant>
        <vt:i4>150</vt:i4>
      </vt:variant>
      <vt:variant>
        <vt:i4>0</vt:i4>
      </vt:variant>
      <vt:variant>
        <vt:i4>5</vt:i4>
      </vt:variant>
      <vt:variant>
        <vt:lpwstr>https://github.com/sbfnk/socialmixr</vt:lpwstr>
      </vt:variant>
      <vt:variant>
        <vt:lpwstr/>
      </vt:variant>
      <vt:variant>
        <vt:i4>3407992</vt:i4>
      </vt:variant>
      <vt:variant>
        <vt:i4>138</vt:i4>
      </vt:variant>
      <vt:variant>
        <vt:i4>0</vt:i4>
      </vt:variant>
      <vt:variant>
        <vt:i4>5</vt:i4>
      </vt:variant>
      <vt:variant>
        <vt:lpwstr>https://population.un.org/wpp/</vt:lpwstr>
      </vt:variant>
      <vt:variant>
        <vt:lpwstr/>
      </vt:variant>
      <vt:variant>
        <vt:i4>6684751</vt:i4>
      </vt:variant>
      <vt:variant>
        <vt:i4>135</vt:i4>
      </vt:variant>
      <vt:variant>
        <vt:i4>0</vt:i4>
      </vt:variant>
      <vt:variant>
        <vt:i4>5</vt:i4>
      </vt:variant>
      <vt:variant>
        <vt:lpwstr>mailto:neil.ferguson@imperial.ac.uk</vt:lpwstr>
      </vt:variant>
      <vt:variant>
        <vt:lpwstr/>
      </vt:variant>
      <vt:variant>
        <vt:i4>6160480</vt:i4>
      </vt:variant>
      <vt:variant>
        <vt:i4>132</vt:i4>
      </vt:variant>
      <vt:variant>
        <vt:i4>0</vt:i4>
      </vt:variant>
      <vt:variant>
        <vt:i4>5</vt:i4>
      </vt:variant>
      <vt:variant>
        <vt:lpwstr>mailto:a.ghani@imperial.ac.uk</vt:lpwstr>
      </vt:variant>
      <vt:variant>
        <vt:lpwstr/>
      </vt:variant>
      <vt:variant>
        <vt:i4>7995445</vt:i4>
      </vt:variant>
      <vt:variant>
        <vt:i4>126</vt:i4>
      </vt:variant>
      <vt:variant>
        <vt:i4>0</vt:i4>
      </vt:variant>
      <vt:variant>
        <vt:i4>5</vt:i4>
      </vt:variant>
      <vt:variant>
        <vt:lpwstr>https://doi.org/10.5281/zenodo.3872387</vt:lpwstr>
      </vt:variant>
      <vt:variant>
        <vt:lpwstr/>
      </vt:variant>
      <vt:variant>
        <vt:i4>4259869</vt:i4>
      </vt:variant>
      <vt:variant>
        <vt:i4>123</vt:i4>
      </vt:variant>
      <vt:variant>
        <vt:i4>0</vt:i4>
      </vt:variant>
      <vt:variant>
        <vt:i4>5</vt:i4>
      </vt:variant>
      <vt:variant>
        <vt:lpwstr>https://github.com/mrc-ide/covid_global_impact</vt:lpwstr>
      </vt:variant>
      <vt:variant>
        <vt:lpwstr/>
      </vt:variant>
      <vt:variant>
        <vt:i4>8192057</vt:i4>
      </vt:variant>
      <vt:variant>
        <vt:i4>117</vt:i4>
      </vt:variant>
      <vt:variant>
        <vt:i4>0</vt:i4>
      </vt:variant>
      <vt:variant>
        <vt:i4>5</vt:i4>
      </vt:variant>
      <vt:variant>
        <vt:lpwstr>https://doi.org/10.5281/zenodo.3872340</vt:lpwstr>
      </vt:variant>
      <vt:variant>
        <vt:lpwstr/>
      </vt:variant>
      <vt:variant>
        <vt:i4>655428</vt:i4>
      </vt:variant>
      <vt:variant>
        <vt:i4>114</vt:i4>
      </vt:variant>
      <vt:variant>
        <vt:i4>0</vt:i4>
      </vt:variant>
      <vt:variant>
        <vt:i4>5</vt:i4>
      </vt:variant>
      <vt:variant>
        <vt:lpwstr>https://github.com/mrc-ide/squire</vt:lpwstr>
      </vt:variant>
      <vt:variant>
        <vt:lpwstr/>
      </vt:variant>
      <vt:variant>
        <vt:i4>5308424</vt:i4>
      </vt:variant>
      <vt:variant>
        <vt:i4>108</vt:i4>
      </vt:variant>
      <vt:variant>
        <vt:i4>0</vt:i4>
      </vt:variant>
      <vt:variant>
        <vt:i4>5</vt:i4>
      </vt:variant>
      <vt:variant>
        <vt:lpwstr>https://creativecommons.org/licenses/by/4.0/</vt:lpwstr>
      </vt:variant>
      <vt:variant>
        <vt:lpwstr/>
      </vt:variant>
      <vt:variant>
        <vt:i4>6684751</vt:i4>
      </vt:variant>
      <vt:variant>
        <vt:i4>6</vt:i4>
      </vt:variant>
      <vt:variant>
        <vt:i4>0</vt:i4>
      </vt:variant>
      <vt:variant>
        <vt:i4>5</vt:i4>
      </vt:variant>
      <vt:variant>
        <vt:lpwstr>mailto:neil.ferguson@imperial.ac.uk</vt:lpwstr>
      </vt:variant>
      <vt:variant>
        <vt:lpwstr/>
      </vt:variant>
      <vt:variant>
        <vt:i4>6160480</vt:i4>
      </vt:variant>
      <vt:variant>
        <vt:i4>3</vt:i4>
      </vt:variant>
      <vt:variant>
        <vt:i4>0</vt:i4>
      </vt:variant>
      <vt:variant>
        <vt:i4>5</vt:i4>
      </vt:variant>
      <vt:variant>
        <vt:lpwstr>mailto:a.ghani@imperial.ac.uk</vt:lpwstr>
      </vt:variant>
      <vt:variant>
        <vt:lpwstr/>
      </vt:variant>
      <vt:variant>
        <vt:i4>7536734</vt:i4>
      </vt:variant>
      <vt:variant>
        <vt:i4>0</vt:i4>
      </vt:variant>
      <vt:variant>
        <vt:i4>0</vt:i4>
      </vt:variant>
      <vt:variant>
        <vt:i4>5</vt:i4>
      </vt:variant>
      <vt:variant>
        <vt:lpwstr>mailto:patrick.walker@imperial.ac.uk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Wright</dc:creator>
  <cp:keywords/>
  <dc:description/>
  <cp:lastModifiedBy>Stacy Murtagh</cp:lastModifiedBy>
  <cp:revision>2</cp:revision>
  <cp:lastPrinted>2020-03-31T08:00:00Z</cp:lastPrinted>
  <dcterms:created xsi:type="dcterms:W3CDTF">2020-06-18T15:12:00Z</dcterms:created>
  <dcterms:modified xsi:type="dcterms:W3CDTF">2020-06-18T15:12:00Z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0x0101000C02770DCAEC734E8EB73418E6EC8A3D</vt:lpwstr>
  </property>
  <property fmtid="{D5CDD505-2E9C-101B-9397-08002B2CF9AE}" pid="3" name="Mendeley Document_1">
    <vt:lpwstr>True</vt:lpwstr>
  </property>
  <property fmtid="{D5CDD505-2E9C-101B-9397-08002B2CF9AE}" pid="4" name="Mendeley Unique User Id_1">
    <vt:lpwstr>67bc64ff-cfad-3c02-8556-77bcf266b84c</vt:lpwstr>
  </property>
  <property fmtid="{D5CDD505-2E9C-101B-9397-08002B2CF9AE}" pid="5" name="Mendeley Recent Style Id 0_1">
    <vt:lpwstr>http://www.zotero.org/styles/american-sociological-association</vt:lpwstr>
  </property>
  <property fmtid="{D5CDD505-2E9C-101B-9397-08002B2CF9AE}" pid="6" name="Mendeley Recent Style Name 0_1">
    <vt:lpwstr>American Sociological Association 6th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https://csl.mendeley.com/styles/3158181/science-2</vt:lpwstr>
  </property>
  <property fmtid="{D5CDD505-2E9C-101B-9397-08002B2CF9AE}" pid="18" name="Mendeley Recent Style Name 6_1">
    <vt:lpwstr>Science - Patrick Walker</vt:lpwstr>
  </property>
  <property fmtid="{D5CDD505-2E9C-101B-9397-08002B2CF9AE}" pid="19" name="Mendeley Recent Style Id 7_1">
    <vt:lpwstr>http://csl.mendeley.com/styles/3148531/science-6authors</vt:lpwstr>
  </property>
  <property fmtid="{D5CDD505-2E9C-101B-9397-08002B2CF9AE}" pid="20" name="Mendeley Recent Style Name 7_1">
    <vt:lpwstr>Science - Patrick Walker</vt:lpwstr>
  </property>
  <property fmtid="{D5CDD505-2E9C-101B-9397-08002B2CF9AE}" pid="21" name="Mendeley Recent Style Id 8_1">
    <vt:lpwstr>http://csl.mendeley.com/styles/3158181/science-2</vt:lpwstr>
  </property>
  <property fmtid="{D5CDD505-2E9C-101B-9397-08002B2CF9AE}" pid="22" name="Mendeley Recent Style Name 8_1">
    <vt:lpwstr>Science - Patrick Walker</vt:lpwstr>
  </property>
  <property fmtid="{D5CDD505-2E9C-101B-9397-08002B2CF9AE}" pid="23" name="Mendeley Recent Style Id 9_1">
    <vt:lpwstr>http://www.zotero.org/styles/the-lancet</vt:lpwstr>
  </property>
  <property fmtid="{D5CDD505-2E9C-101B-9397-08002B2CF9AE}" pid="24" name="Mendeley Recent Style Name 9_1">
    <vt:lpwstr>The Lancet</vt:lpwstr>
  </property>
  <property fmtid="{D5CDD505-2E9C-101B-9397-08002B2CF9AE}" pid="25" name="Mendeley Citation Style_1">
    <vt:lpwstr>http://csl.mendeley.com/styles/3148531/science-6authors</vt:lpwstr>
  </property>
</Properties>
</file>