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02" w:rsidRPr="00E0211F" w:rsidRDefault="00106202" w:rsidP="00FC4B01">
      <w:pPr>
        <w:spacing w:line="480" w:lineRule="auto"/>
        <w:rPr>
          <w:b/>
          <w:sz w:val="18"/>
        </w:rPr>
      </w:pPr>
      <w:bookmarkStart w:id="0" w:name="_Hlk41205385"/>
      <w:r w:rsidRPr="00E0211F">
        <w:rPr>
          <w:b/>
          <w:sz w:val="24"/>
        </w:rPr>
        <w:t>Setting priorities for patient-</w:t>
      </w:r>
      <w:proofErr w:type="spellStart"/>
      <w:r w:rsidRPr="00E0211F">
        <w:rPr>
          <w:b/>
          <w:sz w:val="24"/>
        </w:rPr>
        <w:t>centred</w:t>
      </w:r>
      <w:proofErr w:type="spellEnd"/>
      <w:r w:rsidRPr="00E0211F">
        <w:rPr>
          <w:b/>
          <w:sz w:val="24"/>
        </w:rPr>
        <w:t xml:space="preserve"> surveillance of drug-resistant infections</w:t>
      </w:r>
    </w:p>
    <w:bookmarkEnd w:id="0"/>
    <w:p w:rsidR="00106202" w:rsidRDefault="00106202" w:rsidP="00FC4B01">
      <w:pPr>
        <w:spacing w:line="480" w:lineRule="auto"/>
      </w:pPr>
      <w:r>
        <w:t>Elizabeth Ashley,</w:t>
      </w:r>
      <w:r w:rsidRPr="00F15CA8">
        <w:rPr>
          <w:vertAlign w:val="superscript"/>
        </w:rPr>
        <w:t>1,2</w:t>
      </w:r>
      <w:r>
        <w:rPr>
          <w:vertAlign w:val="superscript"/>
        </w:rPr>
        <w:t>,3</w:t>
      </w:r>
      <w:r w:rsidRPr="00F15CA8">
        <w:rPr>
          <w:vertAlign w:val="superscript"/>
        </w:rPr>
        <w:t>*</w:t>
      </w:r>
      <w:r>
        <w:t xml:space="preserve"> Alistair McLean,</w:t>
      </w:r>
      <w:r w:rsidRPr="00F15CA8">
        <w:rPr>
          <w:vertAlign w:val="superscript"/>
        </w:rPr>
        <w:t>2,3</w:t>
      </w:r>
      <w:r>
        <w:rPr>
          <w:vertAlign w:val="superscript"/>
        </w:rPr>
        <w:t>,4</w:t>
      </w:r>
      <w:r>
        <w:t xml:space="preserve"> Francesca Chiara,</w:t>
      </w:r>
      <w:r w:rsidRPr="00E93285">
        <w:rPr>
          <w:vertAlign w:val="superscript"/>
        </w:rPr>
        <w:t>5</w:t>
      </w:r>
      <w:r>
        <w:t xml:space="preserve"> Nicholas Feasey,</w:t>
      </w:r>
      <w:r w:rsidRPr="00E93285">
        <w:rPr>
          <w:vertAlign w:val="superscript"/>
        </w:rPr>
        <w:t>6,7</w:t>
      </w:r>
      <w:r>
        <w:t xml:space="preserve"> </w:t>
      </w:r>
      <w:r w:rsidRPr="00960E63">
        <w:t>Walter Jaoko</w:t>
      </w:r>
      <w:r>
        <w:t>,</w:t>
      </w:r>
      <w:r w:rsidRPr="00E93285">
        <w:rPr>
          <w:vertAlign w:val="superscript"/>
        </w:rPr>
        <w:t>8</w:t>
      </w:r>
      <w:r>
        <w:t xml:space="preserve"> Japheth A. Opintan,</w:t>
      </w:r>
      <w:r w:rsidRPr="00E93285">
        <w:rPr>
          <w:vertAlign w:val="superscript"/>
        </w:rPr>
        <w:t>9</w:t>
      </w:r>
      <w:r>
        <w:t xml:space="preserve"> </w:t>
      </w:r>
      <w:r w:rsidRPr="00960E63">
        <w:t xml:space="preserve">Sharon </w:t>
      </w:r>
      <w:r>
        <w:t xml:space="preserve">J. </w:t>
      </w:r>
      <w:r w:rsidRPr="00960E63">
        <w:t>Peacock</w:t>
      </w:r>
      <w:r>
        <w:t>,</w:t>
      </w:r>
      <w:r w:rsidRPr="00E93285">
        <w:rPr>
          <w:vertAlign w:val="superscript"/>
        </w:rPr>
        <w:t>10</w:t>
      </w:r>
      <w:r w:rsidRPr="00354ECB">
        <w:rPr>
          <w:vertAlign w:val="superscript"/>
        </w:rPr>
        <w:t xml:space="preserve"> </w:t>
      </w:r>
      <w:r w:rsidRPr="00960E63">
        <w:t>Priscilla Rupali</w:t>
      </w:r>
      <w:r w:rsidRPr="00E93285">
        <w:rPr>
          <w:vertAlign w:val="superscript"/>
        </w:rPr>
        <w:t>1</w:t>
      </w:r>
      <w:r>
        <w:rPr>
          <w:vertAlign w:val="superscript"/>
        </w:rPr>
        <w:t>1</w:t>
      </w:r>
      <w:r>
        <w:t xml:space="preserve"> and Paul Turner</w:t>
      </w:r>
      <w:r>
        <w:rPr>
          <w:vertAlign w:val="superscript"/>
        </w:rPr>
        <w:t>3,12</w:t>
      </w:r>
    </w:p>
    <w:p w:rsidR="00106202" w:rsidRDefault="00106202" w:rsidP="00FC4B01">
      <w:pPr>
        <w:spacing w:line="480" w:lineRule="auto"/>
      </w:pPr>
      <w:r>
        <w:rPr>
          <w:vertAlign w:val="superscript"/>
        </w:rPr>
        <w:t>1</w:t>
      </w:r>
      <w:r>
        <w:t xml:space="preserve"> </w:t>
      </w:r>
      <w:r w:rsidRPr="00FA45F3">
        <w:t>Lao-Oxford-</w:t>
      </w:r>
      <w:proofErr w:type="spellStart"/>
      <w:r w:rsidRPr="00FA45F3">
        <w:t>Mahosot</w:t>
      </w:r>
      <w:proofErr w:type="spellEnd"/>
      <w:r w:rsidRPr="00FA45F3">
        <w:t xml:space="preserve"> Hospital-</w:t>
      </w:r>
      <w:proofErr w:type="spellStart"/>
      <w:r w:rsidRPr="00FA45F3">
        <w:t>Wellcome</w:t>
      </w:r>
      <w:proofErr w:type="spellEnd"/>
      <w:r w:rsidRPr="00FA45F3">
        <w:t xml:space="preserve"> Trust Research Unit, Microbiology Laboratory, </w:t>
      </w:r>
      <w:proofErr w:type="spellStart"/>
      <w:r w:rsidRPr="00FA45F3">
        <w:t>Mahosot</w:t>
      </w:r>
      <w:proofErr w:type="spellEnd"/>
      <w:r w:rsidRPr="00FA45F3">
        <w:t xml:space="preserve"> Hospital, Vientiane, Lao PDR</w:t>
      </w:r>
    </w:p>
    <w:p w:rsidR="00106202" w:rsidRDefault="00106202" w:rsidP="00FC4B01">
      <w:pPr>
        <w:spacing w:line="480" w:lineRule="auto"/>
      </w:pPr>
      <w:r w:rsidRPr="00E93285">
        <w:rPr>
          <w:vertAlign w:val="superscript"/>
        </w:rPr>
        <w:t>2</w:t>
      </w:r>
      <w:r>
        <w:t xml:space="preserve"> Myanmar Oxford Clinical Research Unit, Yangon, Myanmar</w:t>
      </w:r>
    </w:p>
    <w:p w:rsidR="00106202" w:rsidRDefault="00106202" w:rsidP="00FC4B01">
      <w:pPr>
        <w:spacing w:line="480" w:lineRule="auto"/>
      </w:pPr>
      <w:r>
        <w:rPr>
          <w:vertAlign w:val="superscript"/>
        </w:rPr>
        <w:t xml:space="preserve">3 </w:t>
      </w:r>
      <w:r w:rsidRPr="00FA45F3">
        <w:t>Centre for Tropical Medicine and Global Health, Nuffield Department of Medicine, University of Oxford, Oxford, UK</w:t>
      </w:r>
    </w:p>
    <w:p w:rsidR="00106202" w:rsidRDefault="00106202" w:rsidP="00FC4B01">
      <w:pPr>
        <w:spacing w:line="480" w:lineRule="auto"/>
        <w:rPr>
          <w:rFonts w:ascii="Calibri" w:hAnsi="Calibri" w:cs="Calibri"/>
        </w:rPr>
      </w:pPr>
      <w:r>
        <w:rPr>
          <w:vertAlign w:val="superscript"/>
        </w:rPr>
        <w:t xml:space="preserve">4 </w:t>
      </w:r>
      <w:r w:rsidRPr="007A3715">
        <w:rPr>
          <w:rFonts w:ascii="Calibri" w:hAnsi="Calibri" w:cs="Calibri"/>
        </w:rPr>
        <w:t>Infectious Diseases Data Observatory (IDDO), Centre for Tropical Medicine and Global Health, University of Oxford, UK</w:t>
      </w:r>
    </w:p>
    <w:p w:rsidR="00106202" w:rsidRPr="00284D93" w:rsidRDefault="00106202" w:rsidP="00FC4B01">
      <w:pPr>
        <w:spacing w:line="480" w:lineRule="auto"/>
        <w:rPr>
          <w:rFonts w:ascii="Calibri" w:hAnsi="Calibri" w:cs="Calibri"/>
          <w:b/>
          <w:bCs/>
        </w:rPr>
      </w:pPr>
      <w:r>
        <w:rPr>
          <w:vertAlign w:val="superscript"/>
        </w:rPr>
        <w:t>5</w:t>
      </w:r>
      <w:r>
        <w:rPr>
          <w:rFonts w:ascii="Calibri" w:hAnsi="Calibri" w:cs="Calibri"/>
        </w:rPr>
        <w:t>D</w:t>
      </w:r>
      <w:r>
        <w:rPr>
          <w:rFonts w:ascii="Calibri" w:hAnsi="Calibri" w:cs="Calibri"/>
          <w:bCs/>
        </w:rPr>
        <w:t>rug-Resistant I</w:t>
      </w:r>
      <w:r w:rsidRPr="00284D93">
        <w:rPr>
          <w:rFonts w:ascii="Calibri" w:hAnsi="Calibri" w:cs="Calibri"/>
          <w:bCs/>
        </w:rPr>
        <w:t xml:space="preserve">nfections </w:t>
      </w:r>
      <w:r>
        <w:rPr>
          <w:rFonts w:ascii="Calibri" w:hAnsi="Calibri" w:cs="Calibri"/>
          <w:bCs/>
        </w:rPr>
        <w:t xml:space="preserve">Priority </w:t>
      </w:r>
      <w:proofErr w:type="spellStart"/>
      <w:r>
        <w:rPr>
          <w:rFonts w:ascii="Calibri" w:hAnsi="Calibri" w:cs="Calibri"/>
          <w:bCs/>
        </w:rPr>
        <w:t>Programme</w:t>
      </w:r>
      <w:proofErr w:type="spellEnd"/>
      <w:r w:rsidRPr="00284D93">
        <w:rPr>
          <w:rFonts w:ascii="Calibri" w:hAnsi="Calibri" w:cs="Calibri"/>
          <w:bCs/>
        </w:rPr>
        <w:t>,</w:t>
      </w:r>
      <w:r>
        <w:rPr>
          <w:rFonts w:ascii="Calibri" w:hAnsi="Calibri" w:cs="Calibri"/>
          <w:bCs/>
        </w:rPr>
        <w:t xml:space="preserve"> </w:t>
      </w:r>
      <w:proofErr w:type="spellStart"/>
      <w:r>
        <w:rPr>
          <w:rFonts w:ascii="Calibri" w:hAnsi="Calibri" w:cs="Calibri"/>
          <w:bCs/>
        </w:rPr>
        <w:t>Wellcome</w:t>
      </w:r>
      <w:proofErr w:type="spellEnd"/>
      <w:r w:rsidRPr="00284D93">
        <w:rPr>
          <w:rFonts w:ascii="Calibri" w:hAnsi="Calibri" w:cs="Calibri"/>
          <w:bCs/>
        </w:rPr>
        <w:t>, London, UK</w:t>
      </w:r>
    </w:p>
    <w:p w:rsidR="00106202" w:rsidRDefault="00106202" w:rsidP="00FC4B01">
      <w:pPr>
        <w:spacing w:line="480" w:lineRule="auto"/>
      </w:pPr>
      <w:r>
        <w:rPr>
          <w:vertAlign w:val="superscript"/>
        </w:rPr>
        <w:t xml:space="preserve">6 </w:t>
      </w:r>
      <w:r w:rsidRPr="00551A78">
        <w:t>Malawi-Liverpool-</w:t>
      </w:r>
      <w:proofErr w:type="spellStart"/>
      <w:r w:rsidRPr="00551A78">
        <w:t>Wellcome</w:t>
      </w:r>
      <w:proofErr w:type="spellEnd"/>
      <w:r w:rsidRPr="00551A78">
        <w:t xml:space="preserve"> Trust Clinical Research </w:t>
      </w:r>
      <w:proofErr w:type="spellStart"/>
      <w:r w:rsidRPr="00551A78">
        <w:t>Programme</w:t>
      </w:r>
      <w:proofErr w:type="spellEnd"/>
      <w:r>
        <w:t>, Blantyre, Malawi</w:t>
      </w:r>
    </w:p>
    <w:p w:rsidR="00106202" w:rsidRDefault="00106202" w:rsidP="00FC4B01">
      <w:pPr>
        <w:spacing w:line="480" w:lineRule="auto"/>
      </w:pPr>
      <w:proofErr w:type="gramStart"/>
      <w:r>
        <w:rPr>
          <w:vertAlign w:val="superscript"/>
        </w:rPr>
        <w:t xml:space="preserve">7  </w:t>
      </w:r>
      <w:r>
        <w:t>Department</w:t>
      </w:r>
      <w:proofErr w:type="gramEnd"/>
      <w:r>
        <w:t xml:space="preserve"> of Clinical Sciences, Liverpool School of Tropical Medicine, Liverpool, UK</w:t>
      </w:r>
    </w:p>
    <w:p w:rsidR="00106202" w:rsidRDefault="00106202" w:rsidP="00FC4B01">
      <w:pPr>
        <w:spacing w:line="480" w:lineRule="auto"/>
      </w:pPr>
      <w:r>
        <w:rPr>
          <w:vertAlign w:val="superscript"/>
        </w:rPr>
        <w:t xml:space="preserve">8 </w:t>
      </w:r>
      <w:r>
        <w:t xml:space="preserve">Department of Medical Microbiology, University of Nairobi, </w:t>
      </w:r>
      <w:proofErr w:type="spellStart"/>
      <w:r>
        <w:t>KenyaKenya</w:t>
      </w:r>
      <w:proofErr w:type="spellEnd"/>
    </w:p>
    <w:p w:rsidR="00106202" w:rsidRDefault="00106202" w:rsidP="00FC4B01">
      <w:pPr>
        <w:spacing w:line="480" w:lineRule="auto"/>
      </w:pPr>
      <w:r>
        <w:rPr>
          <w:vertAlign w:val="superscript"/>
        </w:rPr>
        <w:t xml:space="preserve">9 </w:t>
      </w:r>
      <w:r>
        <w:t xml:space="preserve">Department of Medical Microbiology, University of </w:t>
      </w:r>
      <w:proofErr w:type="spellStart"/>
      <w:r>
        <w:t>GhanaGhana</w:t>
      </w:r>
      <w:proofErr w:type="spellEnd"/>
      <w:r>
        <w:t xml:space="preserve">, Accra, </w:t>
      </w:r>
      <w:proofErr w:type="spellStart"/>
      <w:r>
        <w:t>GhanaGhana</w:t>
      </w:r>
      <w:proofErr w:type="spellEnd"/>
    </w:p>
    <w:p w:rsidR="00106202" w:rsidRDefault="00106202" w:rsidP="00FC4B01">
      <w:pPr>
        <w:spacing w:line="480" w:lineRule="auto"/>
      </w:pPr>
      <w:r>
        <w:rPr>
          <w:vertAlign w:val="superscript"/>
        </w:rPr>
        <w:t xml:space="preserve">10 </w:t>
      </w:r>
      <w:r>
        <w:t>Department of Medicine, University of Cambridge, UK</w:t>
      </w:r>
    </w:p>
    <w:p w:rsidR="00106202" w:rsidRDefault="00106202" w:rsidP="00FC4B01">
      <w:pPr>
        <w:spacing w:line="480" w:lineRule="auto"/>
      </w:pPr>
      <w:r>
        <w:rPr>
          <w:vertAlign w:val="superscript"/>
        </w:rPr>
        <w:t xml:space="preserve">11 </w:t>
      </w:r>
      <w:r>
        <w:t>Department of Infectious Diseases, Christian Medical College, Vellore Tamil Nadu, India</w:t>
      </w:r>
    </w:p>
    <w:p w:rsidR="00106202" w:rsidRDefault="00106202" w:rsidP="00FC4B01">
      <w:pPr>
        <w:spacing w:line="480" w:lineRule="auto"/>
      </w:pPr>
      <w:r>
        <w:rPr>
          <w:vertAlign w:val="superscript"/>
        </w:rPr>
        <w:t xml:space="preserve">12 </w:t>
      </w:r>
      <w:r>
        <w:t xml:space="preserve">Cambodia Oxford Medical Research Unit, Angkor Hospital for Children, </w:t>
      </w:r>
      <w:proofErr w:type="spellStart"/>
      <w:r>
        <w:t>Siem</w:t>
      </w:r>
      <w:proofErr w:type="spellEnd"/>
      <w:r>
        <w:t xml:space="preserve"> Reap, Cambodia</w:t>
      </w:r>
    </w:p>
    <w:p w:rsidR="00106202" w:rsidRDefault="00106202" w:rsidP="00FC4B01">
      <w:pPr>
        <w:spacing w:line="480" w:lineRule="auto"/>
      </w:pPr>
    </w:p>
    <w:p w:rsidR="00106202" w:rsidRDefault="00106202" w:rsidP="00FC4B01">
      <w:pPr>
        <w:spacing w:line="480" w:lineRule="auto"/>
        <w:rPr>
          <w:vertAlign w:val="superscript"/>
        </w:rPr>
      </w:pPr>
      <w:r>
        <w:lastRenderedPageBreak/>
        <w:t xml:space="preserve">* Corresponding author: Elizabeth Ashley; </w:t>
      </w:r>
      <w:hyperlink r:id="rId5" w:history="1">
        <w:r w:rsidRPr="00C851EE">
          <w:rPr>
            <w:rStyle w:val="Hyperlink"/>
          </w:rPr>
          <w:t>liz@tropmedres.ac</w:t>
        </w:r>
      </w:hyperlink>
      <w:r>
        <w:t xml:space="preserve">; Microbiology Laboratory, </w:t>
      </w:r>
      <w:proofErr w:type="spellStart"/>
      <w:r>
        <w:t>Mahosot</w:t>
      </w:r>
      <w:proofErr w:type="spellEnd"/>
      <w:r>
        <w:t xml:space="preserve"> Hospital, Vientiane, Laos</w:t>
      </w:r>
    </w:p>
    <w:p w:rsidR="00106202" w:rsidRDefault="00106202" w:rsidP="00FC4B01">
      <w:pPr>
        <w:spacing w:line="480" w:lineRule="auto"/>
      </w:pPr>
    </w:p>
    <w:p w:rsidR="00106202" w:rsidRDefault="00106202" w:rsidP="00FC4B01">
      <w:pPr>
        <w:spacing w:line="480" w:lineRule="auto"/>
        <w:rPr>
          <w:b/>
        </w:rPr>
      </w:pPr>
      <w:r w:rsidRPr="00F15CA8">
        <w:rPr>
          <w:b/>
        </w:rPr>
        <w:t>Abstract</w:t>
      </w:r>
    </w:p>
    <w:p w:rsidR="00106202" w:rsidRDefault="00106202" w:rsidP="00FC4B01">
      <w:pPr>
        <w:spacing w:line="480" w:lineRule="auto"/>
      </w:pPr>
      <w:r>
        <w:t>Methods</w:t>
      </w:r>
    </w:p>
    <w:p w:rsidR="00106202" w:rsidRDefault="00106202" w:rsidP="00FC4B01">
      <w:pPr>
        <w:spacing w:line="480" w:lineRule="auto"/>
      </w:pPr>
      <w:r>
        <w:t>A priority-s</w:t>
      </w:r>
      <w:r w:rsidRPr="00DD63EE">
        <w:t>et</w:t>
      </w:r>
      <w:r>
        <w:t>ting p</w:t>
      </w:r>
      <w:r w:rsidRPr="00DD63EE">
        <w:t>rocess (PSP) was launched to define priorities for</w:t>
      </w:r>
      <w:r>
        <w:t xml:space="preserve"> patient-</w:t>
      </w:r>
      <w:proofErr w:type="spellStart"/>
      <w:r>
        <w:t>centred</w:t>
      </w:r>
      <w:proofErr w:type="spellEnd"/>
      <w:r>
        <w:t xml:space="preserve"> antimicrobial resistance (</w:t>
      </w:r>
      <w:r w:rsidRPr="00DD63EE">
        <w:t>AMR</w:t>
      </w:r>
      <w:r>
        <w:t>)</w:t>
      </w:r>
      <w:r w:rsidRPr="00DD63EE">
        <w:t xml:space="preserve"> surveillance and research in </w:t>
      </w:r>
      <w:r>
        <w:t>low- and middle-</w:t>
      </w:r>
      <w:r w:rsidRPr="00E87A8B">
        <w:t>income countries (LMICs). A list of uncertainties related to AMR su</w:t>
      </w:r>
      <w:r>
        <w:t>rveillance in human health</w:t>
      </w:r>
      <w:r w:rsidRPr="00E87A8B">
        <w:t xml:space="preserve"> was generated using an online survey</w:t>
      </w:r>
      <w:r>
        <w:t xml:space="preserve"> of</w:t>
      </w:r>
      <w:r w:rsidRPr="00E87A8B">
        <w:t xml:space="preserve"> stakeholders i</w:t>
      </w:r>
      <w:r>
        <w:t xml:space="preserve">n LMICs </w:t>
      </w:r>
      <w:r w:rsidRPr="00E87A8B">
        <w:t>which asked for unanswered questions about diagnosis, treatment or prev</w:t>
      </w:r>
      <w:r>
        <w:t>ention of antibiotic resistance.</w:t>
      </w:r>
    </w:p>
    <w:p w:rsidR="00106202" w:rsidRDefault="00106202" w:rsidP="00FC4B01">
      <w:pPr>
        <w:spacing w:line="480" w:lineRule="auto"/>
      </w:pPr>
      <w:r>
        <w:t>Results</w:t>
      </w:r>
    </w:p>
    <w:p w:rsidR="00106202" w:rsidRDefault="00106202" w:rsidP="00FC4B01">
      <w:pPr>
        <w:spacing w:line="480" w:lineRule="auto"/>
      </w:pPr>
      <w:r>
        <w:t>A total of 445 respondents generated 1076 questions that were mapped to a final shortlist of 107 questions.</w:t>
      </w:r>
      <w:r w:rsidRPr="00BA7CF2">
        <w:t xml:space="preserve"> The most common theme was the treatment of drug-resistant infections, followed by diagnosis, then prevention and then requests for local AMR data</w:t>
      </w:r>
      <w:r>
        <w:t>. The most asked question was a request for local AMR data, revealing the lack of basic information in many LMICs to guide actions to tackle AMR. The steering group recommended three research areas to be prioritised for funding in the next five years: infection prevention and control in LMICs, improved electronic</w:t>
      </w:r>
      <w:r w:rsidRPr="00BD27E8">
        <w:rPr>
          <w:noProof/>
        </w:rPr>
        <w:t xml:space="preserve"> patient </w:t>
      </w:r>
      <w:r>
        <w:rPr>
          <w:noProof/>
        </w:rPr>
        <w:t xml:space="preserve">records, starting with laboratory information management </w:t>
      </w:r>
      <w:r w:rsidRPr="00BD27E8">
        <w:rPr>
          <w:noProof/>
        </w:rPr>
        <w:t>systems</w:t>
      </w:r>
      <w:r>
        <w:rPr>
          <w:noProof/>
        </w:rPr>
        <w:t xml:space="preserve">, and </w:t>
      </w:r>
      <w:r w:rsidRPr="00BB77C5">
        <w:rPr>
          <w:noProof/>
        </w:rPr>
        <w:t xml:space="preserve">sustainable behavior change among doctors and other health care professionals with </w:t>
      </w:r>
      <w:r>
        <w:rPr>
          <w:noProof/>
        </w:rPr>
        <w:t xml:space="preserve">a focus on diagnostic stewardship. </w:t>
      </w:r>
    </w:p>
    <w:p w:rsidR="00106202" w:rsidRPr="00F367F5" w:rsidRDefault="00106202" w:rsidP="00FC4B01">
      <w:pPr>
        <w:spacing w:line="480" w:lineRule="auto"/>
        <w:rPr>
          <w:b/>
        </w:rPr>
      </w:pPr>
      <w:r w:rsidRPr="00F367F5">
        <w:rPr>
          <w:b/>
        </w:rPr>
        <w:t>Keywords</w:t>
      </w:r>
    </w:p>
    <w:p w:rsidR="00106202" w:rsidRPr="003D7DEC" w:rsidRDefault="00106202" w:rsidP="00FC4B01">
      <w:pPr>
        <w:spacing w:line="480" w:lineRule="auto"/>
      </w:pPr>
      <w:r>
        <w:t>Antimicrobial resistance; surveillance; drug-resistant infections; priority-setting; low- and middle-income countries</w:t>
      </w:r>
    </w:p>
    <w:p w:rsidR="00106202" w:rsidRPr="00F46E77" w:rsidRDefault="00106202" w:rsidP="00FC4B01">
      <w:pPr>
        <w:spacing w:line="480" w:lineRule="auto"/>
        <w:rPr>
          <w:b/>
        </w:rPr>
      </w:pPr>
      <w:r w:rsidRPr="00F46E77">
        <w:rPr>
          <w:b/>
        </w:rPr>
        <w:lastRenderedPageBreak/>
        <w:t>Background &amp; Rationale</w:t>
      </w:r>
    </w:p>
    <w:p w:rsidR="00106202" w:rsidRDefault="00106202" w:rsidP="00FC4B01">
      <w:pPr>
        <w:spacing w:line="480" w:lineRule="auto"/>
      </w:pPr>
      <w:proofErr w:type="gramStart"/>
      <w:r>
        <w:t>Low and middle income</w:t>
      </w:r>
      <w:proofErr w:type="gramEnd"/>
      <w:r>
        <w:t xml:space="preserve"> countries (LMICs) are predicted to be hit hardest by drug-resistant infections (DRI) </w:t>
      </w:r>
      <w:r>
        <w:rPr>
          <w:noProof/>
        </w:rPr>
        <w:t>(O'Neill, 2016)</w:t>
      </w:r>
      <w:r>
        <w:t>. The burden of infectious diseases is higher, laboratory infrastructure is weaker, antibiotic use and quality are less regulated, there is and the healthcare workforce is smaller per population and less sub-</w:t>
      </w:r>
      <w:proofErr w:type="spellStart"/>
      <w:r>
        <w:t>specialised</w:t>
      </w:r>
      <w:proofErr w:type="spellEnd"/>
      <w:r>
        <w:t xml:space="preserve"> than in higher income settings. There is evidence that healthcare-associated infections, which are more likely to be drug-resistant, occur more frequently in LMICs </w:t>
      </w:r>
      <w:r>
        <w:rPr>
          <w:noProof/>
        </w:rPr>
        <w:t>(Allegranzi et al., 2011)</w:t>
      </w:r>
      <w:r>
        <w:t xml:space="preserve">. Currently, high-income country approaches to tackling antimicrobial resistance (AMR) are being adapted in LMICs, but there is a lack of evidence for how these should be prioritised, </w:t>
      </w:r>
      <w:proofErr w:type="gramStart"/>
      <w:r>
        <w:t>taking into account</w:t>
      </w:r>
      <w:proofErr w:type="gramEnd"/>
      <w:r>
        <w:t xml:space="preserve"> differences in the DRI burden, the fact that human and financial resources are much more limited, and that there may be different competing health-priorities. </w:t>
      </w:r>
    </w:p>
    <w:p w:rsidR="00106202" w:rsidRPr="00354ECB" w:rsidRDefault="00106202" w:rsidP="00FC4B01">
      <w:pPr>
        <w:spacing w:line="480" w:lineRule="auto"/>
        <w:rPr>
          <w:rFonts w:cstheme="minorHAnsi"/>
          <w:color w:val="333333"/>
        </w:rPr>
      </w:pPr>
      <w:r w:rsidRPr="00354ECB">
        <w:rPr>
          <w:rFonts w:cstheme="minorHAnsi"/>
          <w:bCs/>
        </w:rPr>
        <w:t>The Surveillance and Epidemiology of Drug-resistant Infections Consortium (</w:t>
      </w:r>
      <w:hyperlink r:id="rId6" w:history="1">
        <w:r w:rsidRPr="00354ECB">
          <w:rPr>
            <w:rStyle w:val="Hyperlink"/>
            <w:rFonts w:cstheme="minorHAnsi"/>
            <w:bCs/>
          </w:rPr>
          <w:t>SEDRIC</w:t>
        </w:r>
      </w:hyperlink>
      <w:r w:rsidRPr="00354ECB">
        <w:rPr>
          <w:rFonts w:cstheme="minorHAnsi"/>
          <w:bCs/>
        </w:rPr>
        <w:t xml:space="preserve">) is a global think-tank </w:t>
      </w:r>
      <w:r w:rsidRPr="00354ECB">
        <w:rPr>
          <w:rFonts w:cstheme="minorHAnsi"/>
          <w:color w:val="333333"/>
        </w:rPr>
        <w:t>that brings</w:t>
      </w:r>
      <w:r w:rsidRPr="00354ECB">
        <w:rPr>
          <w:rFonts w:eastAsia="Times New Roman" w:cstheme="minorHAnsi"/>
          <w:color w:val="333333"/>
          <w:lang w:val="en-GB" w:eastAsia="en-GB"/>
        </w:rPr>
        <w:t xml:space="preserve"> together a range of international experts to </w:t>
      </w:r>
      <w:proofErr w:type="gramStart"/>
      <w:r w:rsidRPr="00354ECB">
        <w:rPr>
          <w:rFonts w:eastAsia="Times New Roman" w:cstheme="minorHAnsi"/>
          <w:color w:val="333333"/>
          <w:lang w:val="en-GB" w:eastAsia="en-GB"/>
        </w:rPr>
        <w:t>take action</w:t>
      </w:r>
      <w:proofErr w:type="gramEnd"/>
      <w:r w:rsidRPr="00354ECB">
        <w:rPr>
          <w:rFonts w:eastAsia="Times New Roman" w:cstheme="minorHAnsi"/>
          <w:color w:val="333333"/>
          <w:lang w:val="en-GB" w:eastAsia="en-GB"/>
        </w:rPr>
        <w:t xml:space="preserve"> to tackle the gaps in drug-resistant infection surveillance and epidemiology.</w:t>
      </w:r>
      <w:r>
        <w:rPr>
          <w:rFonts w:eastAsia="Times New Roman" w:cstheme="minorHAnsi"/>
          <w:color w:val="333333"/>
          <w:lang w:val="en-GB" w:eastAsia="en-GB"/>
        </w:rPr>
        <w:t xml:space="preserve"> Its </w:t>
      </w:r>
      <w:r w:rsidRPr="00354ECB">
        <w:rPr>
          <w:rFonts w:eastAsia="Times New Roman" w:cstheme="minorHAnsi"/>
          <w:color w:val="333333"/>
          <w:lang w:val="en-GB" w:eastAsia="en-GB"/>
        </w:rPr>
        <w:t xml:space="preserve">mission is to strengthen the availability of information needed to monitor and track risks, and to support the translation of surveillance data into interventions, changes in policy and </w:t>
      </w:r>
      <w:r>
        <w:rPr>
          <w:rFonts w:eastAsia="Times New Roman" w:cstheme="minorHAnsi"/>
          <w:color w:val="333333"/>
          <w:lang w:val="en-GB" w:eastAsia="en-GB"/>
        </w:rPr>
        <w:t xml:space="preserve">application of </w:t>
      </w:r>
      <w:r w:rsidRPr="00354ECB">
        <w:rPr>
          <w:rFonts w:eastAsia="Times New Roman" w:cstheme="minorHAnsi"/>
          <w:color w:val="333333"/>
          <w:lang w:val="en-GB" w:eastAsia="en-GB"/>
        </w:rPr>
        <w:t>more effective practices.</w:t>
      </w:r>
      <w:r w:rsidRPr="00354ECB">
        <w:rPr>
          <w:rFonts w:cstheme="minorHAnsi"/>
          <w:color w:val="333333"/>
        </w:rPr>
        <w:t xml:space="preserve"> </w:t>
      </w:r>
      <w:r w:rsidRPr="00354ECB">
        <w:rPr>
          <w:rFonts w:cstheme="minorHAnsi"/>
        </w:rPr>
        <w:t xml:space="preserve">The work described here was an activity of the first SEDRIC working group. A priority-setting process (PSP) was launched to define priorities for AMR surveillance and research to benefit human health in LMICs. Priority-setting exercises are used increasingly in health research </w:t>
      </w:r>
      <w:r>
        <w:rPr>
          <w:rFonts w:cstheme="minorHAnsi"/>
          <w:noProof/>
        </w:rPr>
        <w:t>(Sibbald et al., 2009)</w:t>
      </w:r>
      <w:r w:rsidRPr="00354ECB">
        <w:rPr>
          <w:rFonts w:cstheme="minorHAnsi"/>
        </w:rPr>
        <w:t xml:space="preserve">. The rationale for using this method was that in order to rank the myriad competing priorities for tackling DRIs, stakeholders from LMICs should first be consulted to generate a list of uncertainties, rather than relying on expert opinion. The PSP described here was adapted from the James Lind Alliance </w:t>
      </w:r>
      <w:r>
        <w:rPr>
          <w:rFonts w:cstheme="minorHAnsi"/>
          <w:noProof/>
        </w:rPr>
        <w:t>(2018)</w:t>
      </w:r>
      <w:r w:rsidRPr="00354ECB">
        <w:rPr>
          <w:rFonts w:cstheme="minorHAnsi"/>
        </w:rPr>
        <w:t xml:space="preserve"> and the Child Health and Nutrition Research Initiative (</w:t>
      </w:r>
      <w:r w:rsidRPr="00354ECB">
        <w:rPr>
          <w:rFonts w:cstheme="minorHAnsi"/>
          <w:bCs/>
        </w:rPr>
        <w:t>CHNRI</w:t>
      </w:r>
      <w:r w:rsidRPr="00354ECB">
        <w:rPr>
          <w:rFonts w:cstheme="minorHAnsi"/>
        </w:rPr>
        <w:t xml:space="preserve">) priority-setting partnership methods </w:t>
      </w:r>
      <w:r>
        <w:rPr>
          <w:rFonts w:cstheme="minorHAnsi"/>
          <w:noProof/>
        </w:rPr>
        <w:t>(Rudan et al., 2008)</w:t>
      </w:r>
      <w:r w:rsidRPr="00354ECB">
        <w:rPr>
          <w:rFonts w:cstheme="minorHAnsi"/>
        </w:rPr>
        <w:t>. Guiding principles were to have a transparent process driven by stakeholders working in LMICs.</w:t>
      </w:r>
    </w:p>
    <w:p w:rsidR="00106202" w:rsidRDefault="00106202" w:rsidP="00FC4B01">
      <w:pPr>
        <w:spacing w:line="480" w:lineRule="auto"/>
      </w:pPr>
      <w:r>
        <w:lastRenderedPageBreak/>
        <w:t>The aim of this priority-setting process was to identify priorities for DRI surveillance or research in LMICs with the goal of reducing their spread, transmission and associated morbidity and mortality. The scope was restricted to human health with the beneficiaries from the research intended to be patients affected by AMR in LMICs. Resistance to anti-tuberculous, or antimalarial or antiretroviral drugs was not considered. The time-frame of interest in which to see improvements when selecting priorities was set as the next 3 to 5 years. The SEDRIC working group acted as the steering group for the process.  Members were selected based on their knowledge and expertise of AMR, understanding of the patient and clinician populations, experience of working in LMICs and access to networks who could participate to the PSP.</w:t>
      </w:r>
    </w:p>
    <w:p w:rsidR="00106202" w:rsidRPr="00916657" w:rsidRDefault="00106202" w:rsidP="00FC4B01">
      <w:pPr>
        <w:spacing w:line="480" w:lineRule="auto"/>
        <w:rPr>
          <w:b/>
        </w:rPr>
      </w:pPr>
      <w:r w:rsidRPr="00916657">
        <w:rPr>
          <w:b/>
        </w:rPr>
        <w:t>Methods</w:t>
      </w:r>
    </w:p>
    <w:p w:rsidR="00106202" w:rsidRDefault="00106202" w:rsidP="00FC4B01">
      <w:pPr>
        <w:spacing w:line="480" w:lineRule="auto"/>
      </w:pPr>
      <w:r>
        <w:t>The PSP was conducted in four steps (Box 1):</w:t>
      </w:r>
    </w:p>
    <w:p w:rsidR="00106202" w:rsidRPr="005404D3" w:rsidRDefault="00106202" w:rsidP="00FC4B01">
      <w:pPr>
        <w:spacing w:line="480" w:lineRule="auto"/>
      </w:pPr>
      <w:r>
        <w:t>1) Survey. An online survey was piloted and then launched to ge</w:t>
      </w:r>
      <w:r w:rsidRPr="00240540">
        <w:t>nerate a list of uncertainties related to AMR surveillance in human health in low-and middle-income countries</w:t>
      </w:r>
      <w:r>
        <w:t>. This was designed using SurveyMonkey® and translated from English into French and Spanish (Supplementary Material). The main survey question was “</w:t>
      </w:r>
      <w:r w:rsidRPr="00E3408A">
        <w:rPr>
          <w:i/>
        </w:rPr>
        <w:t>Please write down questions about diagnosis, treatment or prevention of antibiotic resistance that, if fully answered, could make a difference to your practice and to the health and well-being of your patients.</w:t>
      </w:r>
      <w:r>
        <w:rPr>
          <w:i/>
        </w:rPr>
        <w:t xml:space="preserve">” </w:t>
      </w:r>
      <w:r>
        <w:t xml:space="preserve">Respondents could enter up to three questions and were asked to be specific and focus on questions they considered to be of high priority. </w:t>
      </w:r>
      <w:r w:rsidRPr="00B511A6">
        <w:t xml:space="preserve">The target </w:t>
      </w:r>
      <w:r>
        <w:t>s</w:t>
      </w:r>
      <w:r w:rsidRPr="00B511A6">
        <w:t>takeholder</w:t>
      </w:r>
      <w:r>
        <w:t>s were clinicians, pathologists or researchers involved in patient care in LMICs. Respondents’ anonymity was protected but some d</w:t>
      </w:r>
      <w:r w:rsidRPr="005404D3">
        <w:t xml:space="preserve">emographic information </w:t>
      </w:r>
      <w:r>
        <w:t xml:space="preserve">was collected: </w:t>
      </w:r>
      <w:r w:rsidRPr="005404D3">
        <w:t xml:space="preserve">gender, age </w:t>
      </w:r>
      <w:r>
        <w:t>range,</w:t>
      </w:r>
      <w:r w:rsidRPr="005404D3">
        <w:t xml:space="preserve"> country working in, occupation</w:t>
      </w:r>
      <w:r>
        <w:t xml:space="preserve"> and</w:t>
      </w:r>
      <w:r w:rsidRPr="005404D3">
        <w:t xml:space="preserve"> </w:t>
      </w:r>
      <w:r>
        <w:t xml:space="preserve">grade. We disseminated the survey via professional networks of the steering group using flyers, email and Twitter. Our target was to keep the survey open for two months or until we had reached 500 respondents (whichever occurred first). </w:t>
      </w:r>
    </w:p>
    <w:p w:rsidR="00106202" w:rsidRDefault="00106202" w:rsidP="00FC4B01">
      <w:pPr>
        <w:spacing w:line="480" w:lineRule="auto"/>
      </w:pPr>
      <w:r>
        <w:lastRenderedPageBreak/>
        <w:t xml:space="preserve">2) </w:t>
      </w:r>
      <w:proofErr w:type="spellStart"/>
      <w:r>
        <w:t>Categorisation</w:t>
      </w:r>
      <w:proofErr w:type="spellEnd"/>
      <w:r>
        <w:t xml:space="preserve"> of survey responses. Collation of</w:t>
      </w:r>
      <w:r w:rsidRPr="00240540">
        <w:t xml:space="preserve"> responses by organizing them into themes</w:t>
      </w:r>
      <w:r>
        <w:t xml:space="preserve"> and mapping to a shortlist of questions. </w:t>
      </w:r>
      <w:r w:rsidRPr="003230CE">
        <w:t xml:space="preserve">Initial collation and categorization </w:t>
      </w:r>
      <w:r>
        <w:t xml:space="preserve">of the questions </w:t>
      </w:r>
      <w:r w:rsidRPr="003230CE">
        <w:t xml:space="preserve">into themes </w:t>
      </w:r>
      <w:r>
        <w:t xml:space="preserve">was performed independently </w:t>
      </w:r>
      <w:r w:rsidRPr="003230CE">
        <w:t xml:space="preserve">by </w:t>
      </w:r>
      <w:r>
        <w:t xml:space="preserve">two members of </w:t>
      </w:r>
      <w:r w:rsidRPr="003230CE">
        <w:t>the Steering Committee.</w:t>
      </w:r>
      <w:r>
        <w:t xml:space="preserve"> R</w:t>
      </w:r>
      <w:r w:rsidRPr="003230CE">
        <w:t xml:space="preserve">esponses </w:t>
      </w:r>
      <w:r>
        <w:t>that fell out of the scope of the survey were</w:t>
      </w:r>
      <w:r w:rsidRPr="003230CE">
        <w:t xml:space="preserve"> excluded</w:t>
      </w:r>
      <w:r>
        <w:t>. Theme headings were generated by the first reviewer (EA). Where there was discordance in theme allocation between the two reviewers a third member of the steering committee made the final decision on thematic categorization. Once questions had been organized into themes, s</w:t>
      </w:r>
      <w:r w:rsidRPr="003230CE">
        <w:t xml:space="preserve">imilar or duplicate questions </w:t>
      </w:r>
      <w:r>
        <w:t xml:space="preserve">were combined and mapped to a shorter list of questions by one member of the steering committee (EA). For each theme, the long and short lists of questions were reviewed by a second member of the steering group with questions added or edited if the meaning of the original questions on the long list was assessed to have not been captured adequately.  </w:t>
      </w:r>
    </w:p>
    <w:p w:rsidR="00106202" w:rsidRDefault="00106202" w:rsidP="00FC4B01">
      <w:pPr>
        <w:spacing w:line="480" w:lineRule="auto"/>
        <w:rPr>
          <w:rFonts w:ascii="Calibri" w:hAnsi="Calibri" w:cs="Calibri"/>
        </w:rPr>
      </w:pPr>
      <w:r>
        <w:t xml:space="preserve">3) </w:t>
      </w:r>
      <w:r w:rsidRPr="00DF4CAB">
        <w:t xml:space="preserve">Interim </w:t>
      </w:r>
      <w:r>
        <w:t>prioritisation.</w:t>
      </w:r>
      <w:r>
        <w:rPr>
          <w:rFonts w:ascii="Calibri" w:hAnsi="Calibri" w:cs="Calibri"/>
        </w:rPr>
        <w:t xml:space="preserve"> The members of the Steering Group then each ranked their top ten questions. These were combined to come up with a ranking score, which </w:t>
      </w:r>
      <w:proofErr w:type="gramStart"/>
      <w:r>
        <w:rPr>
          <w:rFonts w:ascii="Calibri" w:hAnsi="Calibri" w:cs="Calibri"/>
        </w:rPr>
        <w:t>took into account</w:t>
      </w:r>
      <w:proofErr w:type="gramEnd"/>
      <w:r>
        <w:rPr>
          <w:rFonts w:ascii="Calibri" w:hAnsi="Calibri" w:cs="Calibri"/>
        </w:rPr>
        <w:t xml:space="preserve"> the number of times a question was ranked by different steering group members </w:t>
      </w:r>
      <w:r w:rsidRPr="006456AF">
        <w:rPr>
          <w:rFonts w:ascii="Calibri" w:hAnsi="Calibri" w:cs="Calibri"/>
        </w:rPr>
        <w:t xml:space="preserve">(top ranked preference given </w:t>
      </w:r>
      <w:r>
        <w:rPr>
          <w:rFonts w:ascii="Calibri" w:hAnsi="Calibri" w:cs="Calibri"/>
        </w:rPr>
        <w:t>2</w:t>
      </w:r>
      <w:r w:rsidRPr="006456AF">
        <w:rPr>
          <w:rFonts w:ascii="Calibri" w:hAnsi="Calibri" w:cs="Calibri"/>
        </w:rPr>
        <w:t xml:space="preserve">0 points; </w:t>
      </w:r>
      <w:r>
        <w:rPr>
          <w:rFonts w:ascii="Calibri" w:hAnsi="Calibri" w:cs="Calibri"/>
        </w:rPr>
        <w:t xml:space="preserve">tenth </w:t>
      </w:r>
      <w:r w:rsidRPr="006456AF">
        <w:rPr>
          <w:rFonts w:ascii="Calibri" w:hAnsi="Calibri" w:cs="Calibri"/>
        </w:rPr>
        <w:t>preference</w:t>
      </w:r>
      <w:r>
        <w:rPr>
          <w:rFonts w:ascii="Calibri" w:hAnsi="Calibri" w:cs="Calibri"/>
        </w:rPr>
        <w:t>,</w:t>
      </w:r>
      <w:r w:rsidRPr="006456AF">
        <w:rPr>
          <w:rFonts w:ascii="Calibri" w:hAnsi="Calibri" w:cs="Calibri"/>
        </w:rPr>
        <w:t xml:space="preserve"> </w:t>
      </w:r>
      <w:r>
        <w:rPr>
          <w:rFonts w:ascii="Calibri" w:hAnsi="Calibri" w:cs="Calibri"/>
        </w:rPr>
        <w:t>11</w:t>
      </w:r>
      <w:r w:rsidRPr="006456AF">
        <w:rPr>
          <w:rFonts w:ascii="Calibri" w:hAnsi="Calibri" w:cs="Calibri"/>
        </w:rPr>
        <w:t xml:space="preserve"> points). </w:t>
      </w:r>
    </w:p>
    <w:p w:rsidR="00106202" w:rsidRDefault="00106202" w:rsidP="00FC4B01">
      <w:pPr>
        <w:spacing w:line="480" w:lineRule="auto"/>
      </w:pPr>
      <w:r>
        <w:t>4)</w:t>
      </w:r>
      <w:r w:rsidRPr="0092340B">
        <w:t xml:space="preserve"> Final </w:t>
      </w:r>
      <w:r>
        <w:t xml:space="preserve">prioritisation. The final step was identification of three questions to be recommended as priorities for further research to the SEDRIC board according to defined criteria. This was reached by consensus. Criteria for final prioritisation included: a) questions were within the scope of the PSP, b) they identified a clear gap in knowledge regarding AMR surveillance in LMICs, c) they had the potential to be answerable by research within 3 to 5 years, d) they were amenable to a funding call, e) there was minimal overlap with other initiatives. </w:t>
      </w:r>
    </w:p>
    <w:p w:rsidR="00106202" w:rsidRPr="00A85B8E" w:rsidRDefault="00106202" w:rsidP="00FC4B01">
      <w:pPr>
        <w:spacing w:line="480" w:lineRule="auto"/>
        <w:rPr>
          <w:b/>
        </w:rPr>
      </w:pPr>
      <w:r w:rsidRPr="00A85B8E">
        <w:rPr>
          <w:b/>
        </w:rPr>
        <w:t>Results</w:t>
      </w:r>
    </w:p>
    <w:p w:rsidR="00106202" w:rsidRDefault="00106202" w:rsidP="00FC4B01">
      <w:pPr>
        <w:spacing w:line="480" w:lineRule="auto"/>
        <w:rPr>
          <w:szCs w:val="20"/>
        </w:rPr>
      </w:pPr>
      <w:r>
        <w:t xml:space="preserve">The survey </w:t>
      </w:r>
      <w:r w:rsidRPr="00EC4501">
        <w:t>was launched on 6</w:t>
      </w:r>
      <w:r w:rsidRPr="00EC4501">
        <w:rPr>
          <w:vertAlign w:val="superscript"/>
        </w:rPr>
        <w:t>th</w:t>
      </w:r>
      <w:r w:rsidRPr="00EC4501">
        <w:t xml:space="preserve"> December 201</w:t>
      </w:r>
      <w:r>
        <w:t>8</w:t>
      </w:r>
      <w:r w:rsidRPr="00EC4501">
        <w:t xml:space="preserve"> during the 59th </w:t>
      </w:r>
      <w:r w:rsidRPr="00EC4501">
        <w:rPr>
          <w:bCs/>
        </w:rPr>
        <w:t>Colloquium</w:t>
      </w:r>
      <w:r w:rsidRPr="00EC4501">
        <w:t> of the Institute o</w:t>
      </w:r>
      <w:r>
        <w:t xml:space="preserve">f Tropical Medicine Antwerp, </w:t>
      </w:r>
      <w:r w:rsidRPr="00EC4501">
        <w:rPr>
          <w:bCs/>
        </w:rPr>
        <w:t>Phnom Penh</w:t>
      </w:r>
      <w:r>
        <w:rPr>
          <w:bCs/>
        </w:rPr>
        <w:t xml:space="preserve">, </w:t>
      </w:r>
      <w:r w:rsidRPr="00EC4501">
        <w:rPr>
          <w:bCs/>
        </w:rPr>
        <w:t>Cambodia</w:t>
      </w:r>
      <w:r>
        <w:t>. Wider dissemination by the Steering Group started on 3</w:t>
      </w:r>
      <w:r w:rsidRPr="00B83B48">
        <w:rPr>
          <w:vertAlign w:val="superscript"/>
        </w:rPr>
        <w:t>rd</w:t>
      </w:r>
      <w:r>
        <w:t xml:space="preserve"> </w:t>
      </w:r>
      <w:r>
        <w:lastRenderedPageBreak/>
        <w:t>January 2019 using a standard invitation sent out by email or Twitter and the survey closed two months later on 4</w:t>
      </w:r>
      <w:r w:rsidRPr="00B83B48">
        <w:rPr>
          <w:vertAlign w:val="superscript"/>
        </w:rPr>
        <w:t>th</w:t>
      </w:r>
      <w:r>
        <w:t xml:space="preserve"> March 2019. There were 445 respondents who generated 1076 questions. </w:t>
      </w:r>
      <w:r w:rsidRPr="00BB675F">
        <w:t xml:space="preserve">The way in which the survey was disseminated via social media and informal networks meant we </w:t>
      </w:r>
      <w:r w:rsidRPr="002433E7">
        <w:t>were not able to estimate the response rate</w:t>
      </w:r>
      <w:r w:rsidRPr="002433E7">
        <w:rPr>
          <w:szCs w:val="20"/>
        </w:rPr>
        <w:t xml:space="preserve">. </w:t>
      </w:r>
      <w:r w:rsidRPr="00407A27">
        <w:rPr>
          <w:szCs w:val="20"/>
        </w:rPr>
        <w:t xml:space="preserve">While our sampling strategy could not ensure population representativeness the characteristics of the survey respondents confirm that the majority of them </w:t>
      </w:r>
      <w:r>
        <w:rPr>
          <w:szCs w:val="20"/>
        </w:rPr>
        <w:t xml:space="preserve">(80%) </w:t>
      </w:r>
      <w:r w:rsidRPr="00407A27">
        <w:rPr>
          <w:szCs w:val="20"/>
        </w:rPr>
        <w:t xml:space="preserve">were from low- and middle- income countries and were </w:t>
      </w:r>
      <w:proofErr w:type="spellStart"/>
      <w:r w:rsidRPr="00407A27">
        <w:rPr>
          <w:szCs w:val="20"/>
        </w:rPr>
        <w:t>practising</w:t>
      </w:r>
      <w:proofErr w:type="spellEnd"/>
      <w:r w:rsidRPr="00407A27">
        <w:rPr>
          <w:szCs w:val="20"/>
        </w:rPr>
        <w:t xml:space="preserve"> clinicians or microbiologists involved in patient care.</w:t>
      </w:r>
      <w:r>
        <w:rPr>
          <w:i/>
          <w:szCs w:val="20"/>
        </w:rPr>
        <w:t xml:space="preserve"> </w:t>
      </w:r>
      <w:r>
        <w:rPr>
          <w:szCs w:val="20"/>
        </w:rPr>
        <w:t xml:space="preserve">The locations of the respondents are shown in Figure 2. </w:t>
      </w:r>
      <w:r>
        <w:t xml:space="preserve">The highest number of respondents were based in Myanmar (n=44) followed by South Africa (31), UK (27), India (22) and Ghana (16). Most respondents submitted their questions in English (386/445 or 87%), followed by Spanish (n=32) and French (n=27). Most were senior grade physicians or pathologists with &lt;5% from surgical specialties. </w:t>
      </w:r>
      <w:r>
        <w:rPr>
          <w:szCs w:val="20"/>
        </w:rPr>
        <w:t xml:space="preserve">Respondent characteristics are shown in Table 1. </w:t>
      </w:r>
    </w:p>
    <w:p w:rsidR="00106202" w:rsidRDefault="00106202" w:rsidP="00FC4B01">
      <w:pPr>
        <w:spacing w:line="480" w:lineRule="auto"/>
      </w:pPr>
      <w:proofErr w:type="spellStart"/>
      <w:r w:rsidRPr="008D72C6">
        <w:rPr>
          <w:i/>
        </w:rPr>
        <w:t>Categorisation</w:t>
      </w:r>
      <w:proofErr w:type="spellEnd"/>
      <w:r w:rsidRPr="008D72C6">
        <w:rPr>
          <w:i/>
        </w:rPr>
        <w:t xml:space="preserve"> into themes</w:t>
      </w:r>
      <w:r>
        <w:rPr>
          <w:i/>
        </w:rPr>
        <w:t>-</w:t>
      </w:r>
    </w:p>
    <w:p w:rsidR="00106202" w:rsidRDefault="00106202" w:rsidP="00FC4B01">
      <w:pPr>
        <w:spacing w:line="480" w:lineRule="auto"/>
      </w:pPr>
      <w:r>
        <w:t xml:space="preserve">After excluding 417 questions which fell outside the scope of the survey (included blank or incomprehensible responses), the remaining 659 questions were categorized into themes (including one miscellaneous category). The most common theme was treatment of drug-resistant infections, followed by diagnosis, then prevention and then requests for local AMR data. All of the themes are shown in Figure 3. The 659 questions were mapped to a shortlist of 107 questions as described in the methods. The top ten most asked questions are shown in Figure 4.  </w:t>
      </w:r>
    </w:p>
    <w:p w:rsidR="00106202" w:rsidRPr="008D72C6" w:rsidRDefault="00106202" w:rsidP="00FC4B01">
      <w:pPr>
        <w:spacing w:line="480" w:lineRule="auto"/>
        <w:rPr>
          <w:i/>
          <w:noProof/>
        </w:rPr>
      </w:pPr>
      <w:r w:rsidRPr="008D72C6">
        <w:rPr>
          <w:i/>
          <w:noProof/>
        </w:rPr>
        <w:t>Results of interim prioritisation</w:t>
      </w:r>
      <w:r>
        <w:rPr>
          <w:i/>
          <w:noProof/>
        </w:rPr>
        <w:t>-</w:t>
      </w:r>
    </w:p>
    <w:p w:rsidR="00106202" w:rsidRDefault="00106202" w:rsidP="00FC4B01">
      <w:pPr>
        <w:spacing w:line="480" w:lineRule="auto"/>
        <w:rPr>
          <w:noProof/>
        </w:rPr>
      </w:pPr>
      <w:r>
        <w:rPr>
          <w:noProof/>
        </w:rPr>
        <w:t>Each member of the Steering Committee ranked their top ten questions fr</w:t>
      </w:r>
      <w:r w:rsidRPr="00C65669">
        <w:rPr>
          <w:noProof/>
        </w:rPr>
        <w:t>om the shortlist of 107 questions</w:t>
      </w:r>
      <w:r>
        <w:rPr>
          <w:noProof/>
        </w:rPr>
        <w:t>. These were combined to come up with a top ten list of surveillance priorities (Table 3).</w:t>
      </w:r>
    </w:p>
    <w:p w:rsidR="00106202" w:rsidRPr="008D72C6" w:rsidRDefault="00106202" w:rsidP="00FC4B01">
      <w:pPr>
        <w:spacing w:line="480" w:lineRule="auto"/>
        <w:rPr>
          <w:i/>
          <w:noProof/>
        </w:rPr>
      </w:pPr>
      <w:r w:rsidRPr="008D72C6">
        <w:rPr>
          <w:i/>
          <w:noProof/>
        </w:rPr>
        <w:t>Results of final prioritisation</w:t>
      </w:r>
      <w:r>
        <w:rPr>
          <w:i/>
          <w:noProof/>
        </w:rPr>
        <w:t>-</w:t>
      </w:r>
    </w:p>
    <w:p w:rsidR="00106202" w:rsidRPr="00A94750" w:rsidRDefault="00106202" w:rsidP="00FC4B01">
      <w:pPr>
        <w:tabs>
          <w:tab w:val="left" w:pos="1560"/>
        </w:tabs>
        <w:spacing w:line="480" w:lineRule="auto"/>
        <w:rPr>
          <w:noProof/>
        </w:rPr>
      </w:pPr>
      <w:r>
        <w:rPr>
          <w:noProof/>
        </w:rPr>
        <w:lastRenderedPageBreak/>
        <w:t>To make the final prioritisation the Steering Group reviewed the top 10 questions according to the predefined criteria</w:t>
      </w:r>
      <w:r w:rsidRPr="00A94750">
        <w:rPr>
          <w:noProof/>
        </w:rPr>
        <w:t>. The final prioritisation of three questions for</w:t>
      </w:r>
      <w:r>
        <w:rPr>
          <w:noProof/>
        </w:rPr>
        <w:t xml:space="preserve"> </w:t>
      </w:r>
      <w:r w:rsidRPr="00A94750">
        <w:rPr>
          <w:noProof/>
        </w:rPr>
        <w:t>further research/prioritisation for funding were:</w:t>
      </w:r>
    </w:p>
    <w:p w:rsidR="00106202" w:rsidRPr="00A94750" w:rsidRDefault="00106202" w:rsidP="00FC4B01">
      <w:pPr>
        <w:pStyle w:val="ListParagraph"/>
        <w:numPr>
          <w:ilvl w:val="0"/>
          <w:numId w:val="29"/>
        </w:numPr>
        <w:tabs>
          <w:tab w:val="left" w:pos="1560"/>
        </w:tabs>
        <w:spacing w:line="480" w:lineRule="auto"/>
        <w:rPr>
          <w:noProof/>
        </w:rPr>
      </w:pPr>
      <w:r w:rsidRPr="00A94750">
        <w:rPr>
          <w:b/>
          <w:noProof/>
        </w:rPr>
        <w:t>Which IPC interventions should be prioritized in LMICs, taking into account the context (overcrowding, no isolation facilities, poor infrastructure, low availability of PPE, water and sanitation issues) and limited financial resources?</w:t>
      </w:r>
      <w:r w:rsidRPr="00A94750">
        <w:rPr>
          <w:noProof/>
        </w:rPr>
        <w:t xml:space="preserve"> This was considered a high priority because  there are significant knowledge gaps and it is an area where most approaches implemented in high income settings are not feasible in lower income settings. </w:t>
      </w:r>
      <w:r>
        <w:rPr>
          <w:noProof/>
        </w:rPr>
        <w:t xml:space="preserve">Case-definitions of HCAIs used in high-income countries are difficult to operationalise in LMICs because they frequently require more investigations such as radiology, blood testing that add to healthcare costs. Adapted definitions and surveillance methods may be needed. </w:t>
      </w:r>
      <w:r w:rsidRPr="00A94750">
        <w:rPr>
          <w:noProof/>
        </w:rPr>
        <w:t xml:space="preserve">Some IPC interventions can be introduced without laboratory surveillance. </w:t>
      </w:r>
    </w:p>
    <w:p w:rsidR="00106202" w:rsidRPr="00A94750" w:rsidRDefault="00106202" w:rsidP="00FC4B01">
      <w:pPr>
        <w:pStyle w:val="ListParagraph"/>
        <w:numPr>
          <w:ilvl w:val="0"/>
          <w:numId w:val="29"/>
        </w:numPr>
        <w:tabs>
          <w:tab w:val="left" w:pos="1560"/>
        </w:tabs>
        <w:spacing w:line="480" w:lineRule="auto"/>
        <w:rPr>
          <w:noProof/>
        </w:rPr>
      </w:pPr>
      <w:r w:rsidRPr="00A94750">
        <w:rPr>
          <w:b/>
          <w:noProof/>
        </w:rPr>
        <w:t>What is the role of improved information patient management systems including electronic prescribing, to tackle AMR?</w:t>
      </w:r>
      <w:r w:rsidRPr="00A94750">
        <w:rPr>
          <w:noProof/>
        </w:rPr>
        <w:t xml:space="preserve"> The highest priority in LMICs was considered to be laboratory information systems in the next 3-5 years with electronic patient records showing potential as tools for AMR and </w:t>
      </w:r>
      <w:r>
        <w:rPr>
          <w:noProof/>
        </w:rPr>
        <w:t>antimicrobial use (</w:t>
      </w:r>
      <w:r w:rsidRPr="00A94750">
        <w:rPr>
          <w:noProof/>
        </w:rPr>
        <w:t>AMU</w:t>
      </w:r>
      <w:r>
        <w:rPr>
          <w:noProof/>
        </w:rPr>
        <w:t>)</w:t>
      </w:r>
      <w:r w:rsidRPr="00A94750">
        <w:rPr>
          <w:noProof/>
        </w:rPr>
        <w:t xml:space="preserve"> surveillance in the longer term.</w:t>
      </w:r>
    </w:p>
    <w:p w:rsidR="00106202" w:rsidRPr="00A94750" w:rsidRDefault="00106202" w:rsidP="00FC4B01">
      <w:pPr>
        <w:pStyle w:val="ListParagraph"/>
        <w:numPr>
          <w:ilvl w:val="0"/>
          <w:numId w:val="29"/>
        </w:numPr>
        <w:tabs>
          <w:tab w:val="left" w:pos="1560"/>
        </w:tabs>
        <w:spacing w:line="480" w:lineRule="auto"/>
        <w:rPr>
          <w:noProof/>
        </w:rPr>
      </w:pPr>
      <w:r w:rsidRPr="00A94750">
        <w:rPr>
          <w:b/>
          <w:noProof/>
        </w:rPr>
        <w:t>How can we bring about sustainable behavior change among doctors and other health care professionals with regard to managing infections and prescribing antibiotics?</w:t>
      </w:r>
      <w:r w:rsidRPr="00A94750">
        <w:rPr>
          <w:noProof/>
        </w:rPr>
        <w:t xml:space="preserve"> The steering group </w:t>
      </w:r>
      <w:r>
        <w:rPr>
          <w:noProof/>
        </w:rPr>
        <w:t>identified this as</w:t>
      </w:r>
      <w:r w:rsidRPr="00A94750">
        <w:rPr>
          <w:noProof/>
        </w:rPr>
        <w:t xml:space="preserve"> another high priority area, however the focus should be aligned with the objective</w:t>
      </w:r>
      <w:r>
        <w:rPr>
          <w:noProof/>
        </w:rPr>
        <w:t xml:space="preserve"> of </w:t>
      </w:r>
      <w:r w:rsidRPr="00A94750">
        <w:rPr>
          <w:noProof/>
        </w:rPr>
        <w:t>improv</w:t>
      </w:r>
      <w:r>
        <w:rPr>
          <w:noProof/>
        </w:rPr>
        <w:t>ing</w:t>
      </w:r>
      <w:r w:rsidRPr="00A94750">
        <w:rPr>
          <w:noProof/>
        </w:rPr>
        <w:t xml:space="preserve"> AMR surveillance and data. Targeting diagnostic stewardship, specifically changing clinician behaviour when requesting blood cultures was recommended.</w:t>
      </w:r>
    </w:p>
    <w:p w:rsidR="00106202" w:rsidRPr="00A94750" w:rsidRDefault="00106202" w:rsidP="00FC4B01">
      <w:pPr>
        <w:spacing w:line="480" w:lineRule="auto"/>
      </w:pPr>
      <w:r w:rsidRPr="00A94750">
        <w:t>Development of diagnostics was not prioritized by the group because several other</w:t>
      </w:r>
      <w:r>
        <w:t xml:space="preserve"> stakeholders</w:t>
      </w:r>
      <w:r w:rsidRPr="00A94750">
        <w:t xml:space="preserve"> (commercial interests, non-profit organizations e.g. FIND, and academic </w:t>
      </w:r>
      <w:proofErr w:type="spellStart"/>
      <w:r w:rsidRPr="00A94750">
        <w:t>organisations</w:t>
      </w:r>
      <w:proofErr w:type="spellEnd"/>
      <w:r w:rsidRPr="00A94750">
        <w:t>) are working on diagnostic development, including improve</w:t>
      </w:r>
      <w:r>
        <w:t>ments to existing</w:t>
      </w:r>
      <w:r w:rsidRPr="00A94750">
        <w:t xml:space="preserve"> methods, novel markers, transcriptomic </w:t>
      </w:r>
      <w:r w:rsidRPr="00A94750">
        <w:lastRenderedPageBreak/>
        <w:t>signatures</w:t>
      </w:r>
      <w:r>
        <w:t xml:space="preserve"> and </w:t>
      </w:r>
      <w:r w:rsidRPr="00A94750">
        <w:t>leapfrog technologies. Making a significant breakthrough within 3 to 5 years was also judged to be unlikely.</w:t>
      </w:r>
    </w:p>
    <w:p w:rsidR="00106202" w:rsidRPr="00A94750" w:rsidRDefault="00106202" w:rsidP="00FC4B01">
      <w:pPr>
        <w:spacing w:line="480" w:lineRule="auto"/>
      </w:pPr>
      <w:r w:rsidRPr="00A94750">
        <w:t xml:space="preserve">Generating local data and network strengthening was also not prioritized because provision of guidance on AMR surveillance is one of the normative functions of the WHO. Strengthening laboratory </w:t>
      </w:r>
      <w:r>
        <w:t xml:space="preserve">AMR </w:t>
      </w:r>
      <w:r w:rsidRPr="00A94750">
        <w:t xml:space="preserve">surveillance in LMICs is the main goal of the UK </w:t>
      </w:r>
      <w:r>
        <w:t xml:space="preserve">aid </w:t>
      </w:r>
      <w:proofErr w:type="spellStart"/>
      <w:r>
        <w:t>programme</w:t>
      </w:r>
      <w:proofErr w:type="spellEnd"/>
      <w:r>
        <w:t>,</w:t>
      </w:r>
      <w:r w:rsidRPr="00A94750">
        <w:t xml:space="preserve"> </w:t>
      </w:r>
      <w:r>
        <w:t xml:space="preserve">the </w:t>
      </w:r>
      <w:r w:rsidRPr="00A94750">
        <w:t>Fleming Fund</w:t>
      </w:r>
      <w:r>
        <w:t>,</w:t>
      </w:r>
      <w:r w:rsidRPr="00A94750">
        <w:t xml:space="preserve"> and several countries have received </w:t>
      </w:r>
      <w:r>
        <w:t>grants to build and strengthen their surveillance capacity.</w:t>
      </w:r>
      <w:r w:rsidRPr="00A94750">
        <w:t xml:space="preserve"> </w:t>
      </w:r>
    </w:p>
    <w:p w:rsidR="00106202" w:rsidRPr="00A94750" w:rsidRDefault="00106202" w:rsidP="00FC4B01">
      <w:pPr>
        <w:spacing w:line="480" w:lineRule="auto"/>
        <w:rPr>
          <w:b/>
        </w:rPr>
      </w:pPr>
      <w:r w:rsidRPr="00A94750">
        <w:rPr>
          <w:b/>
        </w:rPr>
        <w:t>Discussion</w:t>
      </w:r>
    </w:p>
    <w:p w:rsidR="00106202" w:rsidRDefault="00106202" w:rsidP="00FC4B01">
      <w:pPr>
        <w:spacing w:line="480" w:lineRule="auto"/>
      </w:pPr>
      <w:r w:rsidRPr="00A94750">
        <w:t xml:space="preserve">The results of </w:t>
      </w:r>
      <w:r>
        <w:t>our</w:t>
      </w:r>
      <w:r w:rsidRPr="00A94750">
        <w:t xml:space="preserve"> survey revealed that many clinicians in LMICs lack AMR data from their local area with the top question (n=64) being a request for basic surveillance data at local or country level. Most responses were about treatment of drug-resistant infections (n=133). This included questions about antibiotic stewardship</w:t>
      </w:r>
      <w:r>
        <w:t>,</w:t>
      </w:r>
      <w:r w:rsidRPr="00A94750">
        <w:t xml:space="preserve"> but typically respondents were asking for guidance on optimal treatment of </w:t>
      </w:r>
      <w:r w:rsidRPr="000F3A4E">
        <w:t xml:space="preserve">drug resistant infections </w:t>
      </w:r>
      <w:r w:rsidRPr="00A94750">
        <w:t xml:space="preserve">in their patients. There are global treatment guidelines for malaria, tuberculosis and HIV and for some individual syndromes requiring antibiotics published by the WHO but no comprehensive </w:t>
      </w:r>
      <w:r w:rsidRPr="00354ECB">
        <w:t>treatment guidelines for drug-resistant bacterial or fungal infections yet. Given the differing epidemiology of AMR between institutions, regions and nations, issuing a comprehensive global treatment guideline would be challenging. However authoritative evidence reviews of the treatment of drug resistant infections would</w:t>
      </w:r>
      <w:r>
        <w:t xml:space="preserve"> be useful and guidelines could also be used by countries as a means to facilitate access to second-line antimicrobial treatments.</w:t>
      </w:r>
    </w:p>
    <w:p w:rsidR="00106202" w:rsidRDefault="00106202" w:rsidP="00FC4B01">
      <w:pPr>
        <w:spacing w:line="480" w:lineRule="auto"/>
      </w:pPr>
      <w:r>
        <w:t xml:space="preserve">Another common theme was a call for improved diagnostics. The most common questions expressed a need for more rapid diagnostic tests, ideally at the point of care, both to distinguish bacterial from viral infections and to diagnose drug resistant infections more quickly. Laboratory diagnosis of infections in most LMICs, where it exists, is reliant on conventional bacteriology and an array of immunochromatographic tests that frequently lack sensitivity or are not well-validated. There have been </w:t>
      </w:r>
      <w:r>
        <w:lastRenderedPageBreak/>
        <w:t xml:space="preserve">major advances in development of close to point-of-care molecular diagnostics direct from patient samples in recent years, including a small number of tests for drug resistance such as the Cepheid </w:t>
      </w:r>
      <w:r w:rsidRPr="003A67A2">
        <w:rPr>
          <w:bCs/>
        </w:rPr>
        <w:t>GeneXpert</w:t>
      </w:r>
      <w:r w:rsidRPr="003A67A2">
        <w:rPr>
          <w:vertAlign w:val="superscript"/>
        </w:rPr>
        <w:t>®</w:t>
      </w:r>
      <w:r>
        <w:rPr>
          <w:vertAlign w:val="superscript"/>
        </w:rPr>
        <w:t xml:space="preserve"> </w:t>
      </w:r>
      <w:r>
        <w:t xml:space="preserve">testing platform (MRSA from superficial swabs, </w:t>
      </w:r>
      <w:r w:rsidRPr="003A67A2">
        <w:rPr>
          <w:i/>
        </w:rPr>
        <w:t>N.</w:t>
      </w:r>
      <w:r>
        <w:rPr>
          <w:i/>
        </w:rPr>
        <w:t xml:space="preserve"> </w:t>
      </w:r>
      <w:r w:rsidRPr="003A67A2">
        <w:rPr>
          <w:i/>
        </w:rPr>
        <w:t>gonorrhoeae</w:t>
      </w:r>
      <w:r>
        <w:t xml:space="preserve"> and </w:t>
      </w:r>
      <w:r w:rsidRPr="003A67A2">
        <w:rPr>
          <w:i/>
        </w:rPr>
        <w:t>C.</w:t>
      </w:r>
      <w:r>
        <w:rPr>
          <w:i/>
        </w:rPr>
        <w:t xml:space="preserve"> </w:t>
      </w:r>
      <w:r w:rsidRPr="003A67A2">
        <w:rPr>
          <w:i/>
        </w:rPr>
        <w:t>trachomatis</w:t>
      </w:r>
      <w:r>
        <w:t xml:space="preserve"> from vaginal or urethral swabs, respiratory virus PCRs from nose or throat swabs and </w:t>
      </w:r>
      <w:proofErr w:type="spellStart"/>
      <w:r>
        <w:t>carbapenemase</w:t>
      </w:r>
      <w:proofErr w:type="spellEnd"/>
      <w:r>
        <w:t xml:space="preserve"> genes from cultured isolates) and the </w:t>
      </w:r>
      <w:proofErr w:type="spellStart"/>
      <w:r>
        <w:t>BioFire</w:t>
      </w:r>
      <w:proofErr w:type="spellEnd"/>
      <w:r>
        <w:t xml:space="preserve">® </w:t>
      </w:r>
      <w:proofErr w:type="spellStart"/>
      <w:r>
        <w:t>FilmArray</w:t>
      </w:r>
      <w:proofErr w:type="spellEnd"/>
      <w:r>
        <w:t xml:space="preserve">® panels (meningitis/encephalitis, gastrointestinal infections, respiratory infections, blood culture identification including AMR genes). However, these are not accessible to most patients in LMICs because of high unit cost (15-200USD/patient depending on the number of targets). Furthermore, molecular diagnostic methods do not always lead to a definitive diagnosis. Clinical presentations with respiratory illness are one of the main drivers of antibiotic prescription but reliable </w:t>
      </w:r>
      <w:proofErr w:type="spellStart"/>
      <w:r>
        <w:t>aetiological</w:t>
      </w:r>
      <w:proofErr w:type="spellEnd"/>
      <w:r>
        <w:t xml:space="preserve"> diagnosis of bacterial pneumonia by nasopharyngeal sampling is still very challenging as demonstrated in the </w:t>
      </w:r>
      <w:r w:rsidRPr="00931A57">
        <w:t>Pneumonia Etiology Research for Child Health</w:t>
      </w:r>
      <w:r>
        <w:t xml:space="preserve"> (PERCH) study. </w:t>
      </w:r>
      <w:r>
        <w:rPr>
          <w:noProof/>
        </w:rPr>
        <w:t>(Pneumonia Etiology Research for Child Health Study, 2019)</w:t>
      </w:r>
    </w:p>
    <w:p w:rsidR="00106202" w:rsidRDefault="00106202" w:rsidP="00FC4B01">
      <w:pPr>
        <w:spacing w:line="480" w:lineRule="auto"/>
      </w:pPr>
      <w:r>
        <w:t xml:space="preserve">Infection prevention and control remains relatively neglected in LMICs. The most </w:t>
      </w:r>
      <w:proofErr w:type="gramStart"/>
      <w:r>
        <w:t>high profile</w:t>
      </w:r>
      <w:proofErr w:type="gramEnd"/>
      <w:r>
        <w:t xml:space="preserve"> global initiative is the “Save Lives: Clean your Hands” campaign of the WHO. Uptake of good hand hygiene practices varies in all countries but is very low in many LMICs where there is poor access to soap and water or alcohol gel in many clinical areas. Other interventions </w:t>
      </w:r>
      <w:proofErr w:type="spellStart"/>
      <w:r>
        <w:t>practised</w:t>
      </w:r>
      <w:proofErr w:type="spellEnd"/>
      <w:r>
        <w:t xml:space="preserve"> in high-income countries e.g. terminal cleaning of patient bed areas on discharge from hospital, cleaning mattresses and curtains, patient isolation, use of PPE, screening for carriage of antimicrobial resistant bacteria, HCAI surveillance, outbreak investigation, policy development, hand hygiene and other IPC audits require a level of resources that is not available in most LMICs. Survey respondents asked for guidance on which IPC interventions should be prioritised in the LMIC context. The steering committee considered this to be a high priority area for research given the lack of evidence, the potential impact for reducing AMR and the fact that HCAI surveillance can be performed without a laboratory. None of the questions mentioned surveillance or prevention of healthcare–associated infections which suggests that awareness of these is </w:t>
      </w:r>
      <w:r>
        <w:lastRenderedPageBreak/>
        <w:t xml:space="preserve">still too low, especially given the burden in LMICs </w:t>
      </w:r>
      <w:r>
        <w:rPr>
          <w:noProof/>
        </w:rPr>
        <w:t>(Allegranzi et al., 2011)</w:t>
      </w:r>
      <w:r>
        <w:t>. Good case-definitions adapted to LMIC contexts are needed.</w:t>
      </w:r>
    </w:p>
    <w:p w:rsidR="00106202" w:rsidRDefault="00106202" w:rsidP="00FC4B01">
      <w:pPr>
        <w:spacing w:line="480" w:lineRule="auto"/>
      </w:pPr>
      <w:r>
        <w:t xml:space="preserve">Development of actions to promote </w:t>
      </w:r>
      <w:proofErr w:type="spellStart"/>
      <w:r>
        <w:t>behaviour</w:t>
      </w:r>
      <w:proofErr w:type="spellEnd"/>
      <w:r>
        <w:t xml:space="preserve"> change to tackle AMR falls under objective 1 of the global action plan on AMR (</w:t>
      </w:r>
      <w:r w:rsidRPr="00542EE0">
        <w:t>Improve awareness</w:t>
      </w:r>
      <w:r>
        <w:t xml:space="preserve"> </w:t>
      </w:r>
      <w:r w:rsidRPr="00542EE0">
        <w:t>and understanding of</w:t>
      </w:r>
      <w:r>
        <w:t xml:space="preserve"> </w:t>
      </w:r>
      <w:r w:rsidRPr="00542EE0">
        <w:t>antimicrobial resistance through</w:t>
      </w:r>
      <w:r>
        <w:t xml:space="preserve"> </w:t>
      </w:r>
      <w:r w:rsidRPr="00542EE0">
        <w:t>effective communication,</w:t>
      </w:r>
      <w:r>
        <w:t xml:space="preserve"> </w:t>
      </w:r>
      <w:r w:rsidRPr="00542EE0">
        <w:t>education and training</w:t>
      </w:r>
      <w:r>
        <w:t xml:space="preserve">). Many </w:t>
      </w:r>
      <w:proofErr w:type="spellStart"/>
      <w:r>
        <w:t>behaviour</w:t>
      </w:r>
      <w:proofErr w:type="spellEnd"/>
      <w:r>
        <w:t xml:space="preserve"> change initiatives targeting healthcare professionals focus on antimicrobial </w:t>
      </w:r>
      <w:r w:rsidRPr="00E414EA">
        <w:rPr>
          <w:lang w:val="en-GB"/>
        </w:rPr>
        <w:t>prescribing</w:t>
      </w:r>
      <w:r>
        <w:t xml:space="preserve">/stewardship and hand hygiene. </w:t>
      </w:r>
      <w:proofErr w:type="spellStart"/>
      <w:r>
        <w:t>Behaviour</w:t>
      </w:r>
      <w:proofErr w:type="spellEnd"/>
      <w:r>
        <w:t xml:space="preserve"> change that could be prioritised to lead to improved surveillance data is in the area of diagnostic stewardship, for example finding ways to achieve appropriate requesting of blood cultures in patients, avoiding selection bias. </w:t>
      </w:r>
    </w:p>
    <w:p w:rsidR="00106202" w:rsidRDefault="00106202" w:rsidP="00FC4B01">
      <w:pPr>
        <w:spacing w:line="480" w:lineRule="auto"/>
      </w:pPr>
      <w:r>
        <w:t xml:space="preserve">Improving data management was mentioned by a low number of survey respondents but was considered high priority by the steering group. In general, the survey respondents focused on having access to data rather than the mechanisms needed to acquire it. Linkage of laboratory and clinical data is an aspiration in most LMICs at present and unlikely to be achieved in the short term with most hospitals still using paper-based systems. Development of open access laboratory information management systems is more likely to be achievable ahead of widespread implementation of electronic patient records. </w:t>
      </w:r>
    </w:p>
    <w:p w:rsidR="00106202" w:rsidRDefault="00106202" w:rsidP="00FC4B01">
      <w:pPr>
        <w:spacing w:line="480" w:lineRule="auto"/>
      </w:pPr>
      <w:r>
        <w:t xml:space="preserve">Strengths of this PSP include canvassing opinion from stakeholders based in LMICs- i.e. the clinicians and pathologists involved in patient care, using open-ended questioning, and translating the questionnaire into French and Spanish. Limitations include the lack of respondents from surgical specialties, poor uptake by non-Anglophone respondents and the fact that the survey was only available in three languages. A number of responses fell outside the scope of the survey and did not follow the instructions suggesting it was not well understood by all participants despite pilot testing. </w:t>
      </w:r>
    </w:p>
    <w:p w:rsidR="00106202" w:rsidRDefault="00106202" w:rsidP="00FC4B01">
      <w:pPr>
        <w:spacing w:line="480" w:lineRule="auto"/>
      </w:pPr>
      <w:r>
        <w:lastRenderedPageBreak/>
        <w:t>AMR is a complex and multidimensional topic. Increased awareness and funding for AMR research mean there is now a lot of activity on this subject, but there have been many different approaches to the problem. Here we have given an example of one approach to setting priorities for human health in LMICs when tackling AMR. We propose three high priorities are for research are infection prevention and control, improved information management and behavior change among healthcare providers.</w:t>
      </w:r>
    </w:p>
    <w:p w:rsidR="00D504FB" w:rsidRDefault="00D504FB" w:rsidP="00FC4B01">
      <w:pPr>
        <w:spacing w:line="480" w:lineRule="auto"/>
        <w:rPr>
          <w:b/>
        </w:rPr>
      </w:pPr>
    </w:p>
    <w:p w:rsidR="00106202" w:rsidRPr="00AF5FBE" w:rsidRDefault="00106202" w:rsidP="00FC4B01">
      <w:pPr>
        <w:spacing w:line="480" w:lineRule="auto"/>
        <w:rPr>
          <w:b/>
        </w:rPr>
      </w:pPr>
      <w:r w:rsidRPr="00AF5FBE">
        <w:rPr>
          <w:b/>
        </w:rPr>
        <w:t>Acknowledgements</w:t>
      </w:r>
    </w:p>
    <w:p w:rsidR="00106202" w:rsidRDefault="00106202" w:rsidP="00FC4B01">
      <w:pPr>
        <w:spacing w:line="480" w:lineRule="auto"/>
      </w:pPr>
      <w:r>
        <w:t>We would like to thank all of the survey respondents, especially those who shared the survey with their networks. Thanks to Jean Patel who contributed to the survey design and initial dissemination,</w:t>
      </w:r>
      <w:r w:rsidRPr="009677BC">
        <w:t xml:space="preserve"> and to </w:t>
      </w:r>
      <w:r>
        <w:t xml:space="preserve">Alison Holmes, facilitators and </w:t>
      </w:r>
      <w:r w:rsidRPr="009677BC">
        <w:t>participants to the SEDRIC global meeting (</w:t>
      </w:r>
      <w:r w:rsidRPr="009677BC">
        <w:rPr>
          <w:bCs/>
        </w:rPr>
        <w:t>“</w:t>
      </w:r>
      <w:proofErr w:type="spellStart"/>
      <w:r w:rsidRPr="009677BC">
        <w:rPr>
          <w:bCs/>
          <w:i/>
        </w:rPr>
        <w:t>Mobilising</w:t>
      </w:r>
      <w:proofErr w:type="spellEnd"/>
      <w:r w:rsidRPr="009677BC">
        <w:rPr>
          <w:bCs/>
          <w:i/>
        </w:rPr>
        <w:t xml:space="preserve"> epidemiology and surveillance data to inform patient care</w:t>
      </w:r>
      <w:r w:rsidRPr="009677BC">
        <w:rPr>
          <w:bCs/>
        </w:rPr>
        <w:t>”) in October 2019</w:t>
      </w:r>
      <w:r>
        <w:rPr>
          <w:bCs/>
        </w:rPr>
        <w:t>, whom</w:t>
      </w:r>
      <w:r w:rsidRPr="009677BC">
        <w:rPr>
          <w:bCs/>
        </w:rPr>
        <w:t xml:space="preserve"> discussed some of the topics generated by the PSP.</w:t>
      </w:r>
      <w:r>
        <w:rPr>
          <w:bCs/>
        </w:rPr>
        <w:t xml:space="preserve"> Finally, thanks to the SEDRIC Secretariat, especially Nick Vail and Jamie Nunn for their support. </w:t>
      </w:r>
      <w:r w:rsidRPr="00DD63EE">
        <w:t>The work described here was an activity of the first SEDRIC working group (A</w:t>
      </w:r>
      <w:r>
        <w:t>ntimicrobial Resistance</w:t>
      </w:r>
      <w:r w:rsidRPr="00DD63EE">
        <w:t xml:space="preserve"> &amp; </w:t>
      </w:r>
      <w:r>
        <w:t>Data)</w:t>
      </w:r>
    </w:p>
    <w:p w:rsidR="00D504FB" w:rsidRPr="00AF5FBE" w:rsidRDefault="00D504FB" w:rsidP="00D504FB">
      <w:pPr>
        <w:spacing w:line="480" w:lineRule="auto"/>
        <w:rPr>
          <w:b/>
        </w:rPr>
      </w:pPr>
      <w:r w:rsidRPr="00AF5FBE">
        <w:rPr>
          <w:b/>
        </w:rPr>
        <w:t>Conflict of interest statement</w:t>
      </w:r>
    </w:p>
    <w:p w:rsidR="00D504FB" w:rsidRPr="00D504FB" w:rsidRDefault="00D504FB" w:rsidP="00FC4B01">
      <w:pPr>
        <w:spacing w:line="480" w:lineRule="auto"/>
      </w:pPr>
      <w:r>
        <w:t>None declared</w:t>
      </w:r>
      <w:bookmarkStart w:id="1" w:name="_GoBack"/>
      <w:bookmarkEnd w:id="1"/>
    </w:p>
    <w:p w:rsidR="00D504FB" w:rsidRDefault="00F41DB6" w:rsidP="00FC4B01">
      <w:pPr>
        <w:spacing w:line="480" w:lineRule="auto"/>
        <w:rPr>
          <w:b/>
        </w:rPr>
      </w:pPr>
      <w:r w:rsidRPr="00F41DB6">
        <w:rPr>
          <w:b/>
        </w:rPr>
        <w:t>Funding</w:t>
      </w:r>
      <w:r w:rsidR="00D504FB">
        <w:rPr>
          <w:b/>
        </w:rPr>
        <w:t xml:space="preserve"> source</w:t>
      </w:r>
    </w:p>
    <w:p w:rsidR="00F41DB6" w:rsidRDefault="00F41DB6" w:rsidP="00FC4B01">
      <w:pPr>
        <w:spacing w:line="480" w:lineRule="auto"/>
      </w:pPr>
      <w:r>
        <w:t xml:space="preserve"> This work was supported by the </w:t>
      </w:r>
      <w:proofErr w:type="spellStart"/>
      <w:r>
        <w:t>Wellcome</w:t>
      </w:r>
      <w:proofErr w:type="spellEnd"/>
      <w:r>
        <w:t xml:space="preserve"> Trust</w:t>
      </w:r>
    </w:p>
    <w:p w:rsidR="00D504FB" w:rsidRPr="00002F82" w:rsidRDefault="00D504FB" w:rsidP="00D504FB">
      <w:pPr>
        <w:spacing w:line="480" w:lineRule="auto"/>
        <w:rPr>
          <w:b/>
        </w:rPr>
      </w:pPr>
      <w:r w:rsidRPr="00002F82">
        <w:rPr>
          <w:b/>
        </w:rPr>
        <w:t>Ethical approval</w:t>
      </w:r>
    </w:p>
    <w:p w:rsidR="00D504FB" w:rsidRDefault="00D504FB" w:rsidP="00D504FB">
      <w:pPr>
        <w:spacing w:line="480" w:lineRule="auto"/>
      </w:pPr>
      <w:r>
        <w:t>The survey was discussed with the Oxford Tropical Ethics Committee (OxTREC) who reviewed the content and advised it was exempt from ethics committee review.</w:t>
      </w:r>
    </w:p>
    <w:p w:rsidR="00106202" w:rsidRPr="00AF5FBE" w:rsidRDefault="00106202" w:rsidP="00FC4B01">
      <w:pPr>
        <w:spacing w:line="480" w:lineRule="auto"/>
        <w:rPr>
          <w:b/>
        </w:rPr>
      </w:pPr>
      <w:r w:rsidRPr="00AF5FBE">
        <w:rPr>
          <w:b/>
        </w:rPr>
        <w:lastRenderedPageBreak/>
        <w:t>Data sharing statement</w:t>
      </w:r>
    </w:p>
    <w:p w:rsidR="00106202" w:rsidRPr="00874711" w:rsidRDefault="00106202" w:rsidP="00FC4B01">
      <w:pPr>
        <w:spacing w:line="480" w:lineRule="auto"/>
        <w:rPr>
          <w:bCs/>
        </w:rPr>
      </w:pPr>
      <w:r>
        <w:rPr>
          <w:bCs/>
        </w:rPr>
        <w:t xml:space="preserve">Survey data are available as supplementary material </w:t>
      </w:r>
    </w:p>
    <w:p w:rsidR="00106202" w:rsidRPr="002F4158" w:rsidRDefault="00106202" w:rsidP="00FC4B01">
      <w:pPr>
        <w:spacing w:line="480" w:lineRule="auto"/>
        <w:rPr>
          <w:b/>
        </w:rPr>
      </w:pPr>
      <w:r w:rsidRPr="002F4158">
        <w:rPr>
          <w:b/>
        </w:rPr>
        <w:t>References</w:t>
      </w:r>
    </w:p>
    <w:p w:rsidR="00106202" w:rsidRPr="00D441F2" w:rsidRDefault="00106202" w:rsidP="00FC4B01">
      <w:pPr>
        <w:pStyle w:val="EndNoteBibliography"/>
        <w:spacing w:after="0" w:line="480" w:lineRule="auto"/>
        <w:rPr>
          <w:rFonts w:asciiTheme="minorHAnsi" w:hAnsiTheme="minorHAnsi" w:cstheme="minorHAnsi"/>
          <w:sz w:val="22"/>
        </w:rPr>
      </w:pPr>
      <w:r w:rsidRPr="00D441F2">
        <w:rPr>
          <w:rFonts w:asciiTheme="minorHAnsi" w:hAnsiTheme="minorHAnsi" w:cstheme="minorHAnsi"/>
          <w:sz w:val="22"/>
        </w:rPr>
        <w:t xml:space="preserve">The James Lind Alliance; 2018. Available from: </w:t>
      </w:r>
      <w:r w:rsidRPr="00106202">
        <w:rPr>
          <w:rFonts w:asciiTheme="minorHAnsi" w:hAnsiTheme="minorHAnsi" w:cstheme="minorHAnsi"/>
          <w:sz w:val="22"/>
        </w:rPr>
        <w:t>http://www.jla.nihr.ac.uk/</w:t>
      </w:r>
      <w:r w:rsidRPr="00D441F2">
        <w:rPr>
          <w:rFonts w:asciiTheme="minorHAnsi" w:hAnsiTheme="minorHAnsi" w:cstheme="minorHAnsi"/>
          <w:sz w:val="22"/>
        </w:rPr>
        <w:t>. [Accessed 5th July 2018].</w:t>
      </w:r>
    </w:p>
    <w:p w:rsidR="00106202" w:rsidRPr="00D441F2" w:rsidRDefault="00106202" w:rsidP="00FC4B01">
      <w:pPr>
        <w:pStyle w:val="EndNoteBibliography"/>
        <w:spacing w:after="0" w:line="480" w:lineRule="auto"/>
        <w:rPr>
          <w:rFonts w:asciiTheme="minorHAnsi" w:hAnsiTheme="minorHAnsi" w:cstheme="minorHAnsi"/>
          <w:sz w:val="22"/>
        </w:rPr>
      </w:pPr>
      <w:r w:rsidRPr="00D441F2">
        <w:rPr>
          <w:rFonts w:asciiTheme="minorHAnsi" w:hAnsiTheme="minorHAnsi" w:cstheme="minorHAnsi"/>
          <w:sz w:val="22"/>
        </w:rPr>
        <w:t>Allegranzi B, Bagheri Nejad S, Combescure C, Graafmans W, Attar H, Donaldson L, et al. Burden of endemic health-care-associated infection in developing countries: systematic review and meta-analysis. Lancet (London, England) 2011;377(9761):228-41.</w:t>
      </w:r>
    </w:p>
    <w:p w:rsidR="00106202" w:rsidRPr="00D441F2" w:rsidRDefault="00106202" w:rsidP="00FC4B01">
      <w:pPr>
        <w:pStyle w:val="EndNoteBibliography"/>
        <w:spacing w:after="0" w:line="480" w:lineRule="auto"/>
        <w:rPr>
          <w:rFonts w:asciiTheme="minorHAnsi" w:hAnsiTheme="minorHAnsi" w:cstheme="minorHAnsi"/>
          <w:sz w:val="22"/>
        </w:rPr>
      </w:pPr>
      <w:r w:rsidRPr="00D441F2">
        <w:rPr>
          <w:rFonts w:asciiTheme="minorHAnsi" w:hAnsiTheme="minorHAnsi" w:cstheme="minorHAnsi"/>
          <w:sz w:val="22"/>
        </w:rPr>
        <w:t>O'Neill J. Tackling Drug-resistant infections globally: final report and recommendations. 2016.</w:t>
      </w:r>
    </w:p>
    <w:p w:rsidR="00106202" w:rsidRPr="00D441F2" w:rsidRDefault="00106202" w:rsidP="00FC4B01">
      <w:pPr>
        <w:pStyle w:val="EndNoteBibliography"/>
        <w:spacing w:after="0" w:line="480" w:lineRule="auto"/>
        <w:rPr>
          <w:rFonts w:asciiTheme="minorHAnsi" w:hAnsiTheme="minorHAnsi" w:cstheme="minorHAnsi"/>
          <w:sz w:val="22"/>
        </w:rPr>
      </w:pPr>
      <w:r w:rsidRPr="00D441F2">
        <w:rPr>
          <w:rFonts w:asciiTheme="minorHAnsi" w:hAnsiTheme="minorHAnsi" w:cstheme="minorHAnsi"/>
          <w:sz w:val="22"/>
        </w:rPr>
        <w:t>Pneumonia Etiology Research for Child Health Study G. Causes of severe pneumonia requiring hospital admission in children without HIV infection from Africa and Asia: the PERCH multi-country case-control study. Lancet (London, England) 2019;394(10200):757-79.</w:t>
      </w:r>
    </w:p>
    <w:p w:rsidR="00106202" w:rsidRPr="00D441F2" w:rsidRDefault="00106202" w:rsidP="00FC4B01">
      <w:pPr>
        <w:pStyle w:val="EndNoteBibliography"/>
        <w:spacing w:after="0" w:line="480" w:lineRule="auto"/>
        <w:rPr>
          <w:rFonts w:asciiTheme="minorHAnsi" w:hAnsiTheme="minorHAnsi" w:cstheme="minorHAnsi"/>
          <w:sz w:val="22"/>
        </w:rPr>
      </w:pPr>
      <w:r w:rsidRPr="00D441F2">
        <w:rPr>
          <w:rFonts w:asciiTheme="minorHAnsi" w:hAnsiTheme="minorHAnsi" w:cstheme="minorHAnsi"/>
          <w:sz w:val="22"/>
        </w:rPr>
        <w:t>Rudan I, et al. Setting priorities in global child health research investments: guidelines for implementation of CHNRI method. Croatian medical journal 2008;49(6):720-33.</w:t>
      </w:r>
    </w:p>
    <w:p w:rsidR="00106202" w:rsidRPr="00D441F2" w:rsidRDefault="00106202" w:rsidP="00FC4B01">
      <w:pPr>
        <w:pStyle w:val="EndNoteBibliography"/>
        <w:spacing w:line="480" w:lineRule="auto"/>
        <w:rPr>
          <w:rFonts w:asciiTheme="minorHAnsi" w:hAnsiTheme="minorHAnsi" w:cstheme="minorHAnsi"/>
          <w:sz w:val="22"/>
        </w:rPr>
      </w:pPr>
      <w:r w:rsidRPr="00D441F2">
        <w:rPr>
          <w:rFonts w:asciiTheme="minorHAnsi" w:hAnsiTheme="minorHAnsi" w:cstheme="minorHAnsi"/>
          <w:sz w:val="22"/>
        </w:rPr>
        <w:t>Sibbald SL</w:t>
      </w:r>
      <w:r w:rsidR="00B535D5">
        <w:rPr>
          <w:rFonts w:asciiTheme="minorHAnsi" w:hAnsiTheme="minorHAnsi" w:cstheme="minorHAnsi"/>
          <w:sz w:val="22"/>
        </w:rPr>
        <w:t>, et al</w:t>
      </w:r>
      <w:r w:rsidRPr="00D441F2">
        <w:rPr>
          <w:rFonts w:asciiTheme="minorHAnsi" w:hAnsiTheme="minorHAnsi" w:cstheme="minorHAnsi"/>
          <w:sz w:val="22"/>
        </w:rPr>
        <w:t>. Priority setting: what constitutes success? A conceptual framework for successful priority setting. BMC health services research 2009;9:43.</w:t>
      </w:r>
    </w:p>
    <w:p w:rsidR="00106202" w:rsidRPr="00D441F2" w:rsidRDefault="00106202" w:rsidP="00FC4B01">
      <w:pPr>
        <w:spacing w:line="480" w:lineRule="auto"/>
        <w:rPr>
          <w:rFonts w:cstheme="minorHAnsi"/>
        </w:rPr>
      </w:pPr>
    </w:p>
    <w:p w:rsidR="00106202" w:rsidRDefault="00106202" w:rsidP="00FC4B01">
      <w:pPr>
        <w:spacing w:line="480" w:lineRule="auto"/>
      </w:pPr>
    </w:p>
    <w:p w:rsidR="00854E3A" w:rsidRDefault="00854E3A" w:rsidP="00FC4B01">
      <w:pPr>
        <w:spacing w:line="480" w:lineRule="auto"/>
      </w:pPr>
    </w:p>
    <w:p w:rsidR="00854E3A" w:rsidRDefault="00854E3A" w:rsidP="00FC4B01">
      <w:pPr>
        <w:spacing w:line="480" w:lineRule="auto"/>
      </w:pPr>
    </w:p>
    <w:p w:rsidR="00854E3A" w:rsidRDefault="00854E3A" w:rsidP="00FC4B01">
      <w:pPr>
        <w:spacing w:line="480" w:lineRule="auto"/>
      </w:pPr>
    </w:p>
    <w:p w:rsidR="00854E3A" w:rsidRDefault="00854E3A" w:rsidP="00FC4B01">
      <w:pPr>
        <w:spacing w:line="480" w:lineRule="auto"/>
      </w:pPr>
    </w:p>
    <w:p w:rsidR="00854E3A" w:rsidRDefault="00854E3A" w:rsidP="00FC4B01">
      <w:pPr>
        <w:spacing w:line="480" w:lineRule="auto"/>
      </w:pPr>
    </w:p>
    <w:p w:rsidR="00106202" w:rsidRDefault="00106202" w:rsidP="00FC4B01">
      <w:pPr>
        <w:spacing w:line="480" w:lineRule="auto"/>
      </w:pPr>
    </w:p>
    <w:p w:rsidR="00106202" w:rsidRPr="00A85B8E" w:rsidRDefault="00106202" w:rsidP="00FC4B01">
      <w:pPr>
        <w:spacing w:line="480" w:lineRule="auto"/>
      </w:pPr>
    </w:p>
    <w:p w:rsidR="00106202" w:rsidRPr="00A85B8E" w:rsidRDefault="00106202" w:rsidP="00FC4B01">
      <w:pPr>
        <w:spacing w:line="480" w:lineRule="auto"/>
        <w:rPr>
          <w:b/>
        </w:rPr>
      </w:pPr>
      <w:r w:rsidRPr="00A85B8E">
        <w:rPr>
          <w:b/>
          <w:bCs/>
        </w:rPr>
        <w:t>Table 1.</w:t>
      </w:r>
      <w:r w:rsidRPr="00A85B8E">
        <w:rPr>
          <w:b/>
        </w:rPr>
        <w:t xml:space="preserve"> Characteristics of 445 survey respondents</w:t>
      </w:r>
    </w:p>
    <w:tbl>
      <w:tblPr>
        <w:tblW w:w="8505" w:type="dxa"/>
        <w:tblBorders>
          <w:top w:val="single" w:sz="4" w:space="0" w:color="auto"/>
          <w:bottom w:val="single" w:sz="4" w:space="0" w:color="auto"/>
        </w:tblBorders>
        <w:tblLook w:val="04A0" w:firstRow="1" w:lastRow="0" w:firstColumn="1" w:lastColumn="0" w:noHBand="0" w:noVBand="1"/>
      </w:tblPr>
      <w:tblGrid>
        <w:gridCol w:w="6320"/>
        <w:gridCol w:w="2185"/>
      </w:tblGrid>
      <w:tr w:rsidR="00106202" w:rsidRPr="00FA13C9" w:rsidTr="005110B1">
        <w:trPr>
          <w:trHeight w:val="252"/>
        </w:trPr>
        <w:tc>
          <w:tcPr>
            <w:tcW w:w="6320" w:type="dxa"/>
            <w:tcBorders>
              <w:top w:val="single" w:sz="4" w:space="0" w:color="auto"/>
              <w:bottom w:val="single" w:sz="4" w:space="0" w:color="auto"/>
            </w:tcBorders>
            <w:shd w:val="clear" w:color="auto" w:fill="auto"/>
            <w:noWrap/>
            <w:vAlign w:val="bottom"/>
            <w:hideMark/>
          </w:tcPr>
          <w:p w:rsidR="00106202" w:rsidRPr="00FA13C9" w:rsidRDefault="00106202" w:rsidP="00FC4B01">
            <w:pPr>
              <w:spacing w:line="480" w:lineRule="auto"/>
              <w:rPr>
                <w:rFonts w:ascii="Calibri" w:hAnsi="Calibri" w:cs="Calibri"/>
                <w:lang w:eastAsia="en-AU"/>
              </w:rPr>
            </w:pPr>
            <w:r>
              <w:rPr>
                <w:rFonts w:ascii="Calibri" w:hAnsi="Calibri" w:cs="Calibri"/>
                <w:lang w:eastAsia="en-AU"/>
              </w:rPr>
              <w:t>Characteristic</w:t>
            </w:r>
          </w:p>
        </w:tc>
        <w:tc>
          <w:tcPr>
            <w:tcW w:w="2185" w:type="dxa"/>
            <w:tcBorders>
              <w:top w:val="single" w:sz="4" w:space="0" w:color="auto"/>
              <w:bottom w:val="single" w:sz="4" w:space="0" w:color="auto"/>
            </w:tcBorders>
            <w:shd w:val="clear" w:color="auto" w:fill="auto"/>
            <w:noWrap/>
            <w:vAlign w:val="bottom"/>
            <w:hideMark/>
          </w:tcPr>
          <w:p w:rsidR="00106202" w:rsidRPr="00FA13C9" w:rsidRDefault="00106202" w:rsidP="00FC4B01">
            <w:pPr>
              <w:spacing w:line="480" w:lineRule="auto"/>
              <w:rPr>
                <w:rFonts w:ascii="Calibri" w:hAnsi="Calibri" w:cs="Calibri"/>
                <w:lang w:eastAsia="en-AU"/>
              </w:rPr>
            </w:pPr>
            <w:r>
              <w:rPr>
                <w:rFonts w:ascii="Calibri" w:hAnsi="Calibri" w:cs="Calibri"/>
                <w:lang w:eastAsia="en-AU"/>
              </w:rPr>
              <w:t>n/N (%)</w:t>
            </w:r>
          </w:p>
        </w:tc>
      </w:tr>
      <w:tr w:rsidR="00106202" w:rsidRPr="00FA13C9" w:rsidTr="005110B1">
        <w:trPr>
          <w:trHeight w:val="288"/>
        </w:trPr>
        <w:tc>
          <w:tcPr>
            <w:tcW w:w="6320" w:type="dxa"/>
            <w:tcBorders>
              <w:top w:val="single" w:sz="4" w:space="0" w:color="auto"/>
            </w:tcBorders>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Gender</w:t>
            </w:r>
          </w:p>
        </w:tc>
        <w:tc>
          <w:tcPr>
            <w:tcW w:w="2185" w:type="dxa"/>
            <w:tcBorders>
              <w:top w:val="single" w:sz="4" w:space="0" w:color="auto"/>
            </w:tcBorders>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Female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186/433 (43%)</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Male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242/433 (56%)</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Rather not say</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5/433 (1.2%)</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Age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21-30 years</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40/433 (9.2%)</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31-40 years</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150/433 (35%)</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41-50 years</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138/433 (32%)</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51-60 years</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63/433 (15%)</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61 or older</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36/433 (8.3%)</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Rather not say</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6/433 (1.4%)</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Income group</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High income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83/428 (19%)</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lastRenderedPageBreak/>
              <w:t xml:space="preserve">   Upper middle income</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91/428 (21%)</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Lower middle income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180/428 (42%)</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Low income</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74/428 (17%)</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Pr>
                <w:rFonts w:ascii="Calibri" w:hAnsi="Calibri" w:cs="Calibri"/>
                <w:bCs/>
                <w:lang w:eastAsia="en-AU"/>
              </w:rPr>
              <w:t xml:space="preserve">WHO </w:t>
            </w:r>
            <w:r w:rsidRPr="00FA13C9">
              <w:rPr>
                <w:rFonts w:ascii="Calibri" w:hAnsi="Calibri" w:cs="Calibri"/>
                <w:bCs/>
                <w:lang w:eastAsia="en-AU"/>
              </w:rPr>
              <w:t>Region</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 xml:space="preserve">   African (AFRO)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142/428 (33%)</w:t>
            </w:r>
          </w:p>
        </w:tc>
      </w:tr>
      <w:tr w:rsidR="00106202" w:rsidRPr="00FA13C9" w:rsidTr="005110B1">
        <w:trPr>
          <w:trHeight w:val="288"/>
        </w:trPr>
        <w:tc>
          <w:tcPr>
            <w:tcW w:w="6320" w:type="dxa"/>
            <w:shd w:val="clear" w:color="auto" w:fill="auto"/>
            <w:noWrap/>
            <w:vAlign w:val="bottom"/>
          </w:tcPr>
          <w:p w:rsidR="00106202" w:rsidRDefault="00106202" w:rsidP="00FC4B01">
            <w:pPr>
              <w:spacing w:line="480" w:lineRule="auto"/>
              <w:rPr>
                <w:rFonts w:ascii="Calibri" w:hAnsi="Calibri" w:cs="Calibri"/>
              </w:rPr>
            </w:pPr>
            <w:r>
              <w:rPr>
                <w:rFonts w:ascii="Calibri" w:hAnsi="Calibri" w:cs="Calibri"/>
              </w:rPr>
              <w:t xml:space="preserve">   South-East Asia (SEARO)</w:t>
            </w:r>
          </w:p>
        </w:tc>
        <w:tc>
          <w:tcPr>
            <w:tcW w:w="2185" w:type="dxa"/>
            <w:shd w:val="clear" w:color="auto" w:fill="auto"/>
            <w:noWrap/>
            <w:vAlign w:val="bottom"/>
          </w:tcPr>
          <w:p w:rsidR="00106202" w:rsidRDefault="00106202" w:rsidP="00FC4B01">
            <w:pPr>
              <w:spacing w:line="480" w:lineRule="auto"/>
              <w:rPr>
                <w:rFonts w:ascii="Calibri" w:hAnsi="Calibri" w:cs="Calibri"/>
              </w:rPr>
            </w:pPr>
            <w:r>
              <w:rPr>
                <w:rFonts w:ascii="Calibri" w:hAnsi="Calibri" w:cs="Calibri"/>
              </w:rPr>
              <w:t>115/428 (27%)</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 xml:space="preserve">   European (EURO)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65/428 (15%)</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 xml:space="preserve">   Pan-America (PAHO) </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48/428 (11%)</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 xml:space="preserve">   Western Pacific (WPRO)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47/428 (11%)</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 xml:space="preserve">   Eastern Mediterranean (EMRO)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Pr>
                <w:rFonts w:ascii="Calibri" w:hAnsi="Calibri" w:cs="Calibri"/>
              </w:rPr>
              <w:t>11/428 (2.6%)</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Language</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English</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386/445 (87%)</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Spanish</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32/445 (7.2%)</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French</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27/445 (6.1%)</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 xml:space="preserve">Specialty: </w:t>
            </w:r>
            <w:r w:rsidRPr="001019D1">
              <w:rPr>
                <w:rFonts w:ascii="Calibri" w:hAnsi="Calibri" w:cs="Calibri"/>
                <w:bCs/>
                <w:lang w:eastAsia="en-AU"/>
              </w:rPr>
              <w:t>Medical (except Pediatrics)</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113/433 (26%)</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 xml:space="preserve">Specialty: </w:t>
            </w:r>
            <w:r w:rsidRPr="001019D1">
              <w:rPr>
                <w:rFonts w:ascii="Calibri" w:hAnsi="Calibri" w:cs="Calibri"/>
                <w:bCs/>
                <w:lang w:eastAsia="en-AU"/>
              </w:rPr>
              <w:t>Pathology (includes Microbiology)</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85/433 (20%)</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Specialty:</w:t>
            </w:r>
            <w:r w:rsidRPr="001019D1">
              <w:rPr>
                <w:rFonts w:ascii="Calibri" w:hAnsi="Calibri" w:cs="Calibri"/>
                <w:bCs/>
                <w:lang w:eastAsia="en-AU"/>
              </w:rPr>
              <w:t xml:space="preserve"> Pediatrics</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59/433 (14%)</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 xml:space="preserve">Specialty: </w:t>
            </w:r>
            <w:r w:rsidRPr="001019D1">
              <w:rPr>
                <w:rFonts w:ascii="Calibri" w:hAnsi="Calibri" w:cs="Calibri"/>
                <w:bCs/>
                <w:lang w:eastAsia="en-AU"/>
              </w:rPr>
              <w:t>General practice</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38/433 (8.8%)</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lastRenderedPageBreak/>
              <w:t xml:space="preserve">Specialty: </w:t>
            </w:r>
            <w:r w:rsidRPr="001019D1">
              <w:rPr>
                <w:rFonts w:ascii="Calibri" w:hAnsi="Calibri" w:cs="Calibri"/>
                <w:bCs/>
                <w:lang w:eastAsia="en-AU"/>
              </w:rPr>
              <w:t>Surgical</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14/433 (3.2%)</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Grade</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Consultant/Attending</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218/433 (50%)</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General Practitioner</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57/433 (13%)</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Trainee/Resident</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40/433 (9.2%)</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Other (please specify)</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118/433 (27%)</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Institution has prescribing guidelines</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Yes</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259/433 (60%)</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No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128/433 (30%)</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Don't know</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46/433 (11%)</w:t>
            </w:r>
          </w:p>
        </w:tc>
      </w:tr>
      <w:tr w:rsidR="00106202" w:rsidRPr="00FA13C9" w:rsidTr="005110B1">
        <w:trPr>
          <w:trHeight w:val="288"/>
        </w:trPr>
        <w:tc>
          <w:tcPr>
            <w:tcW w:w="6320" w:type="dxa"/>
            <w:shd w:val="clear" w:color="auto" w:fill="auto"/>
            <w:noWrap/>
            <w:vAlign w:val="bottom"/>
            <w:hideMark/>
          </w:tcPr>
          <w:p w:rsidR="00106202" w:rsidRPr="00FA13C9" w:rsidRDefault="00106202" w:rsidP="00FC4B01">
            <w:pPr>
              <w:spacing w:line="480" w:lineRule="auto"/>
              <w:rPr>
                <w:rFonts w:ascii="Calibri" w:hAnsi="Calibri" w:cs="Calibri"/>
                <w:bCs/>
                <w:lang w:eastAsia="en-AU"/>
              </w:rPr>
            </w:pPr>
            <w:r w:rsidRPr="00FA13C9">
              <w:rPr>
                <w:rFonts w:ascii="Calibri" w:hAnsi="Calibri" w:cs="Calibri"/>
                <w:bCs/>
                <w:lang w:eastAsia="en-AU"/>
              </w:rPr>
              <w:t>Institution has lab</w:t>
            </w:r>
            <w:r>
              <w:rPr>
                <w:rFonts w:ascii="Calibri" w:hAnsi="Calibri" w:cs="Calibri"/>
                <w:bCs/>
                <w:lang w:eastAsia="en-AU"/>
              </w:rPr>
              <w:t>oratory</w:t>
            </w:r>
          </w:p>
        </w:tc>
        <w:tc>
          <w:tcPr>
            <w:tcW w:w="2185" w:type="dxa"/>
            <w:shd w:val="clear" w:color="auto" w:fill="auto"/>
            <w:noWrap/>
            <w:vAlign w:val="bottom"/>
            <w:hideMark/>
          </w:tcPr>
          <w:p w:rsidR="00106202" w:rsidRPr="00FA13C9" w:rsidRDefault="00106202" w:rsidP="00FC4B01">
            <w:pPr>
              <w:spacing w:line="480" w:lineRule="auto"/>
              <w:rPr>
                <w:rFonts w:ascii="Calibri" w:hAnsi="Calibri" w:cs="Calibri"/>
                <w:lang w:eastAsia="en-AU"/>
              </w:rPr>
            </w:pP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Yes</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359/433 (83%)</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No</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59/433 (14%)</w:t>
            </w:r>
          </w:p>
        </w:tc>
      </w:tr>
      <w:tr w:rsidR="00106202" w:rsidRPr="00FA13C9" w:rsidTr="005110B1">
        <w:trPr>
          <w:trHeight w:val="288"/>
        </w:trPr>
        <w:tc>
          <w:tcPr>
            <w:tcW w:w="6320"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 xml:space="preserve">   Don't know</w:t>
            </w:r>
          </w:p>
        </w:tc>
        <w:tc>
          <w:tcPr>
            <w:tcW w:w="2185" w:type="dxa"/>
            <w:shd w:val="clear" w:color="auto" w:fill="auto"/>
            <w:noWrap/>
            <w:vAlign w:val="bottom"/>
          </w:tcPr>
          <w:p w:rsidR="00106202" w:rsidRPr="00FA13C9" w:rsidRDefault="00106202" w:rsidP="00FC4B01">
            <w:pPr>
              <w:spacing w:line="480" w:lineRule="auto"/>
              <w:rPr>
                <w:rFonts w:ascii="Calibri" w:hAnsi="Calibri" w:cs="Calibri"/>
                <w:lang w:eastAsia="en-AU"/>
              </w:rPr>
            </w:pPr>
            <w:r w:rsidRPr="00FA13C9">
              <w:rPr>
                <w:rFonts w:ascii="Calibri" w:hAnsi="Calibri" w:cs="Calibri"/>
                <w:lang w:eastAsia="en-AU"/>
              </w:rPr>
              <w:t>15/433 (3.5%)</w:t>
            </w:r>
          </w:p>
        </w:tc>
      </w:tr>
    </w:tbl>
    <w:p w:rsidR="00106202" w:rsidRDefault="00106202" w:rsidP="00FC4B01">
      <w:pPr>
        <w:spacing w:line="480" w:lineRule="auto"/>
      </w:pPr>
      <w:r>
        <w:t xml:space="preserve">n/N (%) are presented. Note: 12 survey respondents provided no personal information but still submitted questions.  </w:t>
      </w:r>
    </w:p>
    <w:p w:rsidR="00106202" w:rsidRDefault="00106202" w:rsidP="00FC4B01">
      <w:pPr>
        <w:spacing w:line="480" w:lineRule="auto"/>
        <w:rPr>
          <w:szCs w:val="20"/>
        </w:rPr>
      </w:pPr>
    </w:p>
    <w:p w:rsidR="00106202" w:rsidRDefault="00106202" w:rsidP="00FC4B01">
      <w:pPr>
        <w:spacing w:line="480" w:lineRule="auto"/>
        <w:rPr>
          <w:szCs w:val="20"/>
        </w:rPr>
      </w:pPr>
    </w:p>
    <w:p w:rsidR="00106202" w:rsidRDefault="00106202" w:rsidP="00FC4B01">
      <w:pPr>
        <w:spacing w:line="480" w:lineRule="auto"/>
        <w:rPr>
          <w:szCs w:val="20"/>
        </w:rPr>
      </w:pPr>
    </w:p>
    <w:p w:rsidR="00854E3A" w:rsidRDefault="00854E3A" w:rsidP="00FC4B01">
      <w:pPr>
        <w:spacing w:line="480" w:lineRule="auto"/>
        <w:rPr>
          <w:b/>
          <w:szCs w:val="20"/>
        </w:rPr>
      </w:pPr>
    </w:p>
    <w:p w:rsidR="00854E3A" w:rsidRDefault="00854E3A" w:rsidP="00FC4B01">
      <w:pPr>
        <w:spacing w:line="480" w:lineRule="auto"/>
        <w:rPr>
          <w:b/>
          <w:szCs w:val="20"/>
        </w:rPr>
      </w:pPr>
    </w:p>
    <w:p w:rsidR="00854E3A" w:rsidRDefault="00854E3A" w:rsidP="00FC4B01">
      <w:pPr>
        <w:spacing w:line="480" w:lineRule="auto"/>
        <w:rPr>
          <w:b/>
          <w:szCs w:val="20"/>
        </w:rPr>
      </w:pPr>
    </w:p>
    <w:p w:rsidR="00106202" w:rsidRPr="007E3770" w:rsidRDefault="00106202" w:rsidP="00FC4B01">
      <w:pPr>
        <w:spacing w:line="480" w:lineRule="auto"/>
        <w:rPr>
          <w:b/>
          <w:szCs w:val="20"/>
        </w:rPr>
      </w:pPr>
      <w:r w:rsidRPr="007E3770">
        <w:rPr>
          <w:b/>
          <w:szCs w:val="20"/>
        </w:rPr>
        <w:t xml:space="preserve">Table </w:t>
      </w:r>
      <w:proofErr w:type="gramStart"/>
      <w:r>
        <w:rPr>
          <w:b/>
          <w:szCs w:val="20"/>
        </w:rPr>
        <w:t>2  Interim</w:t>
      </w:r>
      <w:proofErr w:type="gramEnd"/>
      <w:r>
        <w:rPr>
          <w:b/>
          <w:szCs w:val="20"/>
        </w:rPr>
        <w:t xml:space="preserve"> prioritisation of top 10 questions </w:t>
      </w:r>
    </w:p>
    <w:tbl>
      <w:tblPr>
        <w:tblStyle w:val="TableGrid"/>
        <w:tblW w:w="0" w:type="auto"/>
        <w:tblLook w:val="04A0" w:firstRow="1" w:lastRow="0" w:firstColumn="1" w:lastColumn="0" w:noHBand="0" w:noVBand="1"/>
      </w:tblPr>
      <w:tblGrid>
        <w:gridCol w:w="540"/>
        <w:gridCol w:w="4211"/>
        <w:gridCol w:w="1566"/>
        <w:gridCol w:w="1443"/>
        <w:gridCol w:w="1590"/>
      </w:tblGrid>
      <w:tr w:rsidR="00106202" w:rsidTr="005110B1">
        <w:tc>
          <w:tcPr>
            <w:tcW w:w="540" w:type="dxa"/>
          </w:tcPr>
          <w:p w:rsidR="00106202" w:rsidRDefault="00106202" w:rsidP="00FC4B01">
            <w:pPr>
              <w:spacing w:line="480" w:lineRule="auto"/>
              <w:rPr>
                <w:noProof/>
              </w:rPr>
            </w:pPr>
          </w:p>
        </w:tc>
        <w:tc>
          <w:tcPr>
            <w:tcW w:w="4211" w:type="dxa"/>
          </w:tcPr>
          <w:p w:rsidR="00106202" w:rsidRPr="007E2708" w:rsidRDefault="00106202" w:rsidP="00FC4B01">
            <w:pPr>
              <w:spacing w:line="480" w:lineRule="auto"/>
            </w:pPr>
          </w:p>
        </w:tc>
        <w:tc>
          <w:tcPr>
            <w:tcW w:w="1566" w:type="dxa"/>
          </w:tcPr>
          <w:p w:rsidR="00106202" w:rsidRDefault="00106202" w:rsidP="00854E3A">
            <w:pPr>
              <w:spacing w:line="480" w:lineRule="auto"/>
              <w:rPr>
                <w:noProof/>
              </w:rPr>
            </w:pPr>
            <w:r>
              <w:rPr>
                <w:noProof/>
              </w:rPr>
              <w:t>Ranking score</w:t>
            </w:r>
            <w:r w:rsidR="00854E3A">
              <w:rPr>
                <w:noProof/>
              </w:rPr>
              <w:t xml:space="preserve"> </w:t>
            </w:r>
            <w:r w:rsidR="00854E3A">
              <w:rPr>
                <w:noProof/>
                <w:vertAlign w:val="superscript"/>
              </w:rPr>
              <w:t>a</w:t>
            </w:r>
          </w:p>
        </w:tc>
        <w:tc>
          <w:tcPr>
            <w:tcW w:w="1443" w:type="dxa"/>
          </w:tcPr>
          <w:p w:rsidR="00106202" w:rsidRDefault="00106202" w:rsidP="00FC4B01">
            <w:pPr>
              <w:spacing w:line="480" w:lineRule="auto"/>
              <w:rPr>
                <w:noProof/>
              </w:rPr>
            </w:pPr>
            <w:r>
              <w:rPr>
                <w:noProof/>
              </w:rPr>
              <w:t>N respondents asking this Q</w:t>
            </w:r>
          </w:p>
        </w:tc>
        <w:tc>
          <w:tcPr>
            <w:tcW w:w="1590" w:type="dxa"/>
          </w:tcPr>
          <w:p w:rsidR="00106202" w:rsidRDefault="00106202" w:rsidP="00FC4B01">
            <w:pPr>
              <w:spacing w:line="480" w:lineRule="auto"/>
              <w:rPr>
                <w:noProof/>
              </w:rPr>
            </w:pPr>
            <w:r>
              <w:rPr>
                <w:noProof/>
              </w:rPr>
              <w:t>N steering group members who ranked this Q in their top 5</w:t>
            </w:r>
          </w:p>
        </w:tc>
      </w:tr>
      <w:tr w:rsidR="00106202" w:rsidTr="005110B1">
        <w:tc>
          <w:tcPr>
            <w:tcW w:w="540" w:type="dxa"/>
          </w:tcPr>
          <w:p w:rsidR="00106202" w:rsidRDefault="00106202" w:rsidP="00FC4B01">
            <w:pPr>
              <w:spacing w:line="480" w:lineRule="auto"/>
              <w:rPr>
                <w:noProof/>
              </w:rPr>
            </w:pPr>
            <w:r>
              <w:rPr>
                <w:noProof/>
              </w:rPr>
              <w:t>1</w:t>
            </w:r>
          </w:p>
        </w:tc>
        <w:tc>
          <w:tcPr>
            <w:tcW w:w="4211" w:type="dxa"/>
          </w:tcPr>
          <w:p w:rsidR="00106202" w:rsidRDefault="00106202" w:rsidP="00FC4B01">
            <w:pPr>
              <w:spacing w:line="480" w:lineRule="auto"/>
              <w:rPr>
                <w:noProof/>
              </w:rPr>
            </w:pPr>
            <w:r w:rsidRPr="007E2708">
              <w:t xml:space="preserve">Which IPC interventions should be prioritized in LMICs </w:t>
            </w:r>
            <w:proofErr w:type="gramStart"/>
            <w:r w:rsidRPr="007E2708">
              <w:t>taking into account</w:t>
            </w:r>
            <w:proofErr w:type="gramEnd"/>
            <w:r w:rsidRPr="007E2708">
              <w:t xml:space="preserve"> the context (overcrowding, no isolation facilities, poor infrastructure, low availability of PPE, water and sanitation issues) and limited financial resources</w:t>
            </w:r>
          </w:p>
        </w:tc>
        <w:tc>
          <w:tcPr>
            <w:tcW w:w="1566" w:type="dxa"/>
          </w:tcPr>
          <w:p w:rsidR="00106202" w:rsidRDefault="00106202" w:rsidP="00FC4B01">
            <w:pPr>
              <w:spacing w:line="480" w:lineRule="auto"/>
              <w:jc w:val="center"/>
              <w:rPr>
                <w:noProof/>
              </w:rPr>
            </w:pPr>
            <w:r>
              <w:t>94</w:t>
            </w:r>
          </w:p>
        </w:tc>
        <w:tc>
          <w:tcPr>
            <w:tcW w:w="1443" w:type="dxa"/>
          </w:tcPr>
          <w:p w:rsidR="00106202" w:rsidRPr="007F0B9D" w:rsidRDefault="00106202" w:rsidP="00FC4B01">
            <w:pPr>
              <w:spacing w:line="480" w:lineRule="auto"/>
              <w:jc w:val="center"/>
            </w:pPr>
            <w:r>
              <w:t>37</w:t>
            </w:r>
          </w:p>
        </w:tc>
        <w:tc>
          <w:tcPr>
            <w:tcW w:w="1590" w:type="dxa"/>
          </w:tcPr>
          <w:p w:rsidR="00106202" w:rsidRDefault="00106202" w:rsidP="00FC4B01">
            <w:pPr>
              <w:spacing w:line="480" w:lineRule="auto"/>
              <w:jc w:val="center"/>
              <w:rPr>
                <w:noProof/>
              </w:rPr>
            </w:pPr>
            <w:r w:rsidRPr="007F0B9D">
              <w:t>6</w:t>
            </w:r>
          </w:p>
        </w:tc>
      </w:tr>
      <w:tr w:rsidR="00106202" w:rsidTr="005110B1">
        <w:tc>
          <w:tcPr>
            <w:tcW w:w="540" w:type="dxa"/>
          </w:tcPr>
          <w:p w:rsidR="00106202" w:rsidRDefault="00106202" w:rsidP="00FC4B01">
            <w:pPr>
              <w:spacing w:line="480" w:lineRule="auto"/>
              <w:rPr>
                <w:noProof/>
              </w:rPr>
            </w:pPr>
            <w:r>
              <w:rPr>
                <w:noProof/>
              </w:rPr>
              <w:t>2</w:t>
            </w:r>
          </w:p>
        </w:tc>
        <w:tc>
          <w:tcPr>
            <w:tcW w:w="4211" w:type="dxa"/>
          </w:tcPr>
          <w:p w:rsidR="00106202" w:rsidRPr="007E2708" w:rsidRDefault="00106202" w:rsidP="00FC4B01">
            <w:pPr>
              <w:spacing w:line="480" w:lineRule="auto"/>
            </w:pPr>
            <w:r w:rsidRPr="007E2708">
              <w:t>How can we bring about sustainable behavior change among doctors and other health care professionals with regard to managing infections and prescribing antibiotics?</w:t>
            </w:r>
          </w:p>
        </w:tc>
        <w:tc>
          <w:tcPr>
            <w:tcW w:w="1566" w:type="dxa"/>
          </w:tcPr>
          <w:p w:rsidR="00106202" w:rsidRPr="007F0B9D" w:rsidDel="00F6419B" w:rsidRDefault="00106202" w:rsidP="00FC4B01">
            <w:pPr>
              <w:spacing w:line="480" w:lineRule="auto"/>
              <w:jc w:val="center"/>
            </w:pPr>
            <w:r>
              <w:t>65</w:t>
            </w:r>
          </w:p>
        </w:tc>
        <w:tc>
          <w:tcPr>
            <w:tcW w:w="1443" w:type="dxa"/>
          </w:tcPr>
          <w:p w:rsidR="00106202" w:rsidRDefault="00106202" w:rsidP="00FC4B01">
            <w:pPr>
              <w:spacing w:line="480" w:lineRule="auto"/>
              <w:jc w:val="center"/>
            </w:pPr>
            <w:r>
              <w:t>14</w:t>
            </w:r>
          </w:p>
        </w:tc>
        <w:tc>
          <w:tcPr>
            <w:tcW w:w="1590" w:type="dxa"/>
          </w:tcPr>
          <w:p w:rsidR="00106202" w:rsidRPr="007F0B9D" w:rsidRDefault="00106202" w:rsidP="00FC4B01">
            <w:pPr>
              <w:spacing w:line="480" w:lineRule="auto"/>
              <w:jc w:val="center"/>
            </w:pPr>
            <w:r w:rsidRPr="007F0B9D">
              <w:t>4</w:t>
            </w:r>
          </w:p>
        </w:tc>
      </w:tr>
      <w:tr w:rsidR="00106202" w:rsidTr="005110B1">
        <w:tc>
          <w:tcPr>
            <w:tcW w:w="540" w:type="dxa"/>
          </w:tcPr>
          <w:p w:rsidR="00106202" w:rsidRDefault="00106202" w:rsidP="00FC4B01">
            <w:pPr>
              <w:spacing w:line="480" w:lineRule="auto"/>
              <w:rPr>
                <w:noProof/>
              </w:rPr>
            </w:pPr>
            <w:r>
              <w:rPr>
                <w:noProof/>
              </w:rPr>
              <w:lastRenderedPageBreak/>
              <w:t>3</w:t>
            </w:r>
          </w:p>
        </w:tc>
        <w:tc>
          <w:tcPr>
            <w:tcW w:w="4211" w:type="dxa"/>
          </w:tcPr>
          <w:p w:rsidR="00106202" w:rsidRDefault="00106202" w:rsidP="00FC4B01">
            <w:pPr>
              <w:spacing w:line="480" w:lineRule="auto"/>
              <w:rPr>
                <w:noProof/>
              </w:rPr>
            </w:pPr>
            <w:r w:rsidRPr="007E2708">
              <w:t>Can diagnosis of infections be improved and made more rapid, ideally available at the point of care?</w:t>
            </w:r>
          </w:p>
        </w:tc>
        <w:tc>
          <w:tcPr>
            <w:tcW w:w="1566" w:type="dxa"/>
          </w:tcPr>
          <w:p w:rsidR="00106202" w:rsidRDefault="00106202" w:rsidP="00FC4B01">
            <w:pPr>
              <w:spacing w:line="480" w:lineRule="auto"/>
              <w:jc w:val="center"/>
              <w:rPr>
                <w:noProof/>
              </w:rPr>
            </w:pPr>
            <w:r>
              <w:t>59</w:t>
            </w:r>
          </w:p>
        </w:tc>
        <w:tc>
          <w:tcPr>
            <w:tcW w:w="1443" w:type="dxa"/>
          </w:tcPr>
          <w:p w:rsidR="00106202" w:rsidRPr="007F0B9D" w:rsidRDefault="00106202" w:rsidP="00FC4B01">
            <w:pPr>
              <w:spacing w:line="480" w:lineRule="auto"/>
              <w:jc w:val="center"/>
            </w:pPr>
            <w:r>
              <w:t>24</w:t>
            </w:r>
          </w:p>
        </w:tc>
        <w:tc>
          <w:tcPr>
            <w:tcW w:w="1590" w:type="dxa"/>
          </w:tcPr>
          <w:p w:rsidR="00106202" w:rsidRDefault="00106202" w:rsidP="00FC4B01">
            <w:pPr>
              <w:spacing w:line="480" w:lineRule="auto"/>
              <w:jc w:val="center"/>
              <w:rPr>
                <w:noProof/>
              </w:rPr>
            </w:pPr>
            <w:r w:rsidRPr="007F0B9D">
              <w:t>3</w:t>
            </w:r>
          </w:p>
        </w:tc>
      </w:tr>
      <w:tr w:rsidR="00106202" w:rsidTr="005110B1">
        <w:tc>
          <w:tcPr>
            <w:tcW w:w="540" w:type="dxa"/>
          </w:tcPr>
          <w:p w:rsidR="00106202" w:rsidRDefault="00106202" w:rsidP="00FC4B01">
            <w:pPr>
              <w:spacing w:line="480" w:lineRule="auto"/>
              <w:rPr>
                <w:noProof/>
              </w:rPr>
            </w:pPr>
            <w:r>
              <w:rPr>
                <w:noProof/>
              </w:rPr>
              <w:t>4</w:t>
            </w:r>
          </w:p>
        </w:tc>
        <w:tc>
          <w:tcPr>
            <w:tcW w:w="4211" w:type="dxa"/>
          </w:tcPr>
          <w:p w:rsidR="00106202" w:rsidRDefault="00106202" w:rsidP="00FC4B01">
            <w:pPr>
              <w:spacing w:line="480" w:lineRule="auto"/>
              <w:rPr>
                <w:noProof/>
              </w:rPr>
            </w:pPr>
            <w:r w:rsidRPr="007E2708">
              <w:t>What is the prevalence of AMR/ What are the antimicrobial susceptibility patterns of infections encountered in my institution/country/region? Includes distinguishing community from hospital acquired</w:t>
            </w:r>
          </w:p>
        </w:tc>
        <w:tc>
          <w:tcPr>
            <w:tcW w:w="1566" w:type="dxa"/>
          </w:tcPr>
          <w:p w:rsidR="00106202" w:rsidRDefault="00106202" w:rsidP="00FC4B01">
            <w:pPr>
              <w:spacing w:line="480" w:lineRule="auto"/>
              <w:jc w:val="center"/>
              <w:rPr>
                <w:noProof/>
              </w:rPr>
            </w:pPr>
            <w:r>
              <w:t>51</w:t>
            </w:r>
          </w:p>
        </w:tc>
        <w:tc>
          <w:tcPr>
            <w:tcW w:w="1443" w:type="dxa"/>
          </w:tcPr>
          <w:p w:rsidR="00106202" w:rsidRPr="007F0B9D" w:rsidRDefault="00106202" w:rsidP="00FC4B01">
            <w:pPr>
              <w:spacing w:line="480" w:lineRule="auto"/>
              <w:jc w:val="center"/>
            </w:pPr>
            <w:r>
              <w:t>64</w:t>
            </w:r>
          </w:p>
        </w:tc>
        <w:tc>
          <w:tcPr>
            <w:tcW w:w="1590" w:type="dxa"/>
          </w:tcPr>
          <w:p w:rsidR="00106202" w:rsidRDefault="00106202" w:rsidP="00FC4B01">
            <w:pPr>
              <w:spacing w:line="480" w:lineRule="auto"/>
              <w:jc w:val="center"/>
              <w:rPr>
                <w:noProof/>
              </w:rPr>
            </w:pPr>
            <w:r w:rsidRPr="007F0B9D">
              <w:t>3</w:t>
            </w:r>
          </w:p>
        </w:tc>
      </w:tr>
      <w:tr w:rsidR="00106202" w:rsidTr="005110B1">
        <w:tc>
          <w:tcPr>
            <w:tcW w:w="540" w:type="dxa"/>
          </w:tcPr>
          <w:p w:rsidR="00106202" w:rsidRDefault="00106202" w:rsidP="00FC4B01">
            <w:pPr>
              <w:spacing w:line="480" w:lineRule="auto"/>
              <w:rPr>
                <w:noProof/>
              </w:rPr>
            </w:pPr>
            <w:r>
              <w:rPr>
                <w:noProof/>
              </w:rPr>
              <w:t>5</w:t>
            </w:r>
          </w:p>
        </w:tc>
        <w:tc>
          <w:tcPr>
            <w:tcW w:w="4211" w:type="dxa"/>
          </w:tcPr>
          <w:p w:rsidR="00106202" w:rsidRDefault="00106202" w:rsidP="00FC4B01">
            <w:pPr>
              <w:spacing w:line="480" w:lineRule="auto"/>
              <w:rPr>
                <w:noProof/>
              </w:rPr>
            </w:pPr>
            <w:r w:rsidRPr="007E2708">
              <w:t>What is the role of improved information patient management systems including electronic prescribing, to tackle AMR?</w:t>
            </w:r>
          </w:p>
        </w:tc>
        <w:tc>
          <w:tcPr>
            <w:tcW w:w="1566" w:type="dxa"/>
          </w:tcPr>
          <w:p w:rsidR="00106202" w:rsidRDefault="00106202" w:rsidP="00FC4B01">
            <w:pPr>
              <w:spacing w:line="480" w:lineRule="auto"/>
              <w:jc w:val="center"/>
              <w:rPr>
                <w:noProof/>
              </w:rPr>
            </w:pPr>
            <w:r>
              <w:t>51</w:t>
            </w:r>
          </w:p>
        </w:tc>
        <w:tc>
          <w:tcPr>
            <w:tcW w:w="1443" w:type="dxa"/>
          </w:tcPr>
          <w:p w:rsidR="00106202" w:rsidRPr="007F0B9D" w:rsidRDefault="00106202" w:rsidP="00FC4B01">
            <w:pPr>
              <w:spacing w:line="480" w:lineRule="auto"/>
              <w:jc w:val="center"/>
            </w:pPr>
            <w:r>
              <w:t>2</w:t>
            </w:r>
          </w:p>
        </w:tc>
        <w:tc>
          <w:tcPr>
            <w:tcW w:w="1590" w:type="dxa"/>
          </w:tcPr>
          <w:p w:rsidR="00106202" w:rsidRDefault="00106202" w:rsidP="00FC4B01">
            <w:pPr>
              <w:spacing w:line="480" w:lineRule="auto"/>
              <w:jc w:val="center"/>
              <w:rPr>
                <w:noProof/>
              </w:rPr>
            </w:pPr>
            <w:r w:rsidRPr="007F0B9D">
              <w:t>3</w:t>
            </w:r>
          </w:p>
        </w:tc>
      </w:tr>
      <w:tr w:rsidR="00106202" w:rsidTr="005110B1">
        <w:tc>
          <w:tcPr>
            <w:tcW w:w="540" w:type="dxa"/>
          </w:tcPr>
          <w:p w:rsidR="00106202" w:rsidRDefault="00106202" w:rsidP="00FC4B01">
            <w:pPr>
              <w:spacing w:line="480" w:lineRule="auto"/>
              <w:rPr>
                <w:noProof/>
              </w:rPr>
            </w:pPr>
            <w:r>
              <w:rPr>
                <w:noProof/>
              </w:rPr>
              <w:t>6</w:t>
            </w:r>
          </w:p>
        </w:tc>
        <w:tc>
          <w:tcPr>
            <w:tcW w:w="4211" w:type="dxa"/>
          </w:tcPr>
          <w:p w:rsidR="00106202" w:rsidRDefault="00106202" w:rsidP="00FC4B01">
            <w:pPr>
              <w:spacing w:line="480" w:lineRule="auto"/>
              <w:rPr>
                <w:noProof/>
              </w:rPr>
            </w:pPr>
            <w:r w:rsidRPr="007E2708">
              <w:t>What is the most appropriate methodology to assess the mortality/burden of AMR?</w:t>
            </w:r>
          </w:p>
        </w:tc>
        <w:tc>
          <w:tcPr>
            <w:tcW w:w="1566" w:type="dxa"/>
          </w:tcPr>
          <w:p w:rsidR="00106202" w:rsidRDefault="00106202" w:rsidP="00FC4B01">
            <w:pPr>
              <w:spacing w:line="480" w:lineRule="auto"/>
              <w:jc w:val="center"/>
              <w:rPr>
                <w:noProof/>
              </w:rPr>
            </w:pPr>
            <w:r>
              <w:t>49</w:t>
            </w:r>
          </w:p>
        </w:tc>
        <w:tc>
          <w:tcPr>
            <w:tcW w:w="1443" w:type="dxa"/>
          </w:tcPr>
          <w:p w:rsidR="00106202" w:rsidRPr="007F0B9D" w:rsidRDefault="00106202" w:rsidP="00FC4B01">
            <w:pPr>
              <w:spacing w:line="480" w:lineRule="auto"/>
              <w:jc w:val="center"/>
            </w:pPr>
            <w:r>
              <w:t>1</w:t>
            </w:r>
          </w:p>
        </w:tc>
        <w:tc>
          <w:tcPr>
            <w:tcW w:w="1590" w:type="dxa"/>
          </w:tcPr>
          <w:p w:rsidR="00106202" w:rsidRDefault="00106202" w:rsidP="00FC4B01">
            <w:pPr>
              <w:spacing w:line="480" w:lineRule="auto"/>
              <w:jc w:val="center"/>
              <w:rPr>
                <w:noProof/>
              </w:rPr>
            </w:pPr>
            <w:r w:rsidRPr="007F0B9D">
              <w:t>3</w:t>
            </w:r>
          </w:p>
        </w:tc>
      </w:tr>
      <w:tr w:rsidR="00106202" w:rsidTr="005110B1">
        <w:tc>
          <w:tcPr>
            <w:tcW w:w="540" w:type="dxa"/>
          </w:tcPr>
          <w:p w:rsidR="00106202" w:rsidRDefault="00106202" w:rsidP="00FC4B01">
            <w:pPr>
              <w:spacing w:line="480" w:lineRule="auto"/>
              <w:rPr>
                <w:noProof/>
              </w:rPr>
            </w:pPr>
            <w:r>
              <w:rPr>
                <w:noProof/>
              </w:rPr>
              <w:t>7</w:t>
            </w:r>
          </w:p>
        </w:tc>
        <w:tc>
          <w:tcPr>
            <w:tcW w:w="4211" w:type="dxa"/>
          </w:tcPr>
          <w:p w:rsidR="00106202" w:rsidRPr="007E2708" w:rsidRDefault="00106202" w:rsidP="00FC4B01">
            <w:pPr>
              <w:spacing w:line="480" w:lineRule="auto"/>
            </w:pPr>
            <w:r w:rsidRPr="00F6419B">
              <w:t>What is the role of combination antibiotic therapy to treat or prevent drug-resistant infections?</w:t>
            </w:r>
          </w:p>
        </w:tc>
        <w:tc>
          <w:tcPr>
            <w:tcW w:w="1566" w:type="dxa"/>
          </w:tcPr>
          <w:p w:rsidR="00106202" w:rsidRPr="007F0B9D" w:rsidRDefault="00106202" w:rsidP="00FC4B01">
            <w:pPr>
              <w:spacing w:line="480" w:lineRule="auto"/>
              <w:jc w:val="center"/>
            </w:pPr>
            <w:r>
              <w:t>43</w:t>
            </w:r>
          </w:p>
        </w:tc>
        <w:tc>
          <w:tcPr>
            <w:tcW w:w="1443" w:type="dxa"/>
          </w:tcPr>
          <w:p w:rsidR="00106202" w:rsidRDefault="00106202" w:rsidP="00FC4B01">
            <w:pPr>
              <w:spacing w:line="480" w:lineRule="auto"/>
              <w:jc w:val="center"/>
            </w:pPr>
            <w:r>
              <w:t>11</w:t>
            </w:r>
          </w:p>
        </w:tc>
        <w:tc>
          <w:tcPr>
            <w:tcW w:w="1590" w:type="dxa"/>
          </w:tcPr>
          <w:p w:rsidR="00106202" w:rsidRPr="007F0B9D" w:rsidRDefault="00106202" w:rsidP="00FC4B01">
            <w:pPr>
              <w:spacing w:line="480" w:lineRule="auto"/>
              <w:jc w:val="center"/>
            </w:pPr>
            <w:r>
              <w:t>3</w:t>
            </w:r>
          </w:p>
        </w:tc>
      </w:tr>
      <w:tr w:rsidR="00106202" w:rsidTr="005110B1">
        <w:tc>
          <w:tcPr>
            <w:tcW w:w="540" w:type="dxa"/>
          </w:tcPr>
          <w:p w:rsidR="00106202" w:rsidRDefault="00106202" w:rsidP="00FC4B01">
            <w:pPr>
              <w:spacing w:line="480" w:lineRule="auto"/>
              <w:rPr>
                <w:noProof/>
              </w:rPr>
            </w:pPr>
            <w:r>
              <w:rPr>
                <w:noProof/>
              </w:rPr>
              <w:t>8</w:t>
            </w:r>
          </w:p>
        </w:tc>
        <w:tc>
          <w:tcPr>
            <w:tcW w:w="4211" w:type="dxa"/>
          </w:tcPr>
          <w:p w:rsidR="00106202" w:rsidRPr="007E2708" w:rsidRDefault="00106202" w:rsidP="00FC4B01">
            <w:pPr>
              <w:spacing w:line="480" w:lineRule="auto"/>
            </w:pPr>
            <w:r w:rsidRPr="00F6419B">
              <w:t>What is the potential impact of vaccines to reduce AMR?</w:t>
            </w:r>
          </w:p>
        </w:tc>
        <w:tc>
          <w:tcPr>
            <w:tcW w:w="1566" w:type="dxa"/>
          </w:tcPr>
          <w:p w:rsidR="00106202" w:rsidRPr="007F0B9D" w:rsidRDefault="00106202" w:rsidP="00FC4B01">
            <w:pPr>
              <w:spacing w:line="480" w:lineRule="auto"/>
              <w:jc w:val="center"/>
            </w:pPr>
            <w:r>
              <w:t>42</w:t>
            </w:r>
          </w:p>
        </w:tc>
        <w:tc>
          <w:tcPr>
            <w:tcW w:w="1443" w:type="dxa"/>
          </w:tcPr>
          <w:p w:rsidR="00106202" w:rsidRDefault="00106202" w:rsidP="00FC4B01">
            <w:pPr>
              <w:spacing w:line="480" w:lineRule="auto"/>
              <w:jc w:val="center"/>
            </w:pPr>
            <w:r>
              <w:t>5</w:t>
            </w:r>
          </w:p>
        </w:tc>
        <w:tc>
          <w:tcPr>
            <w:tcW w:w="1590" w:type="dxa"/>
          </w:tcPr>
          <w:p w:rsidR="00106202" w:rsidRPr="007F0B9D" w:rsidRDefault="00106202" w:rsidP="00FC4B01">
            <w:pPr>
              <w:spacing w:line="480" w:lineRule="auto"/>
              <w:jc w:val="center"/>
            </w:pPr>
            <w:r>
              <w:t>3</w:t>
            </w:r>
          </w:p>
        </w:tc>
      </w:tr>
      <w:tr w:rsidR="00106202" w:rsidTr="005110B1">
        <w:tc>
          <w:tcPr>
            <w:tcW w:w="540" w:type="dxa"/>
          </w:tcPr>
          <w:p w:rsidR="00106202" w:rsidRDefault="00106202" w:rsidP="00FC4B01">
            <w:pPr>
              <w:spacing w:line="480" w:lineRule="auto"/>
              <w:rPr>
                <w:noProof/>
              </w:rPr>
            </w:pPr>
            <w:r>
              <w:rPr>
                <w:noProof/>
              </w:rPr>
              <w:t>9</w:t>
            </w:r>
          </w:p>
        </w:tc>
        <w:tc>
          <w:tcPr>
            <w:tcW w:w="4211" w:type="dxa"/>
          </w:tcPr>
          <w:p w:rsidR="00106202" w:rsidRDefault="00106202" w:rsidP="00FC4B01">
            <w:pPr>
              <w:spacing w:line="480" w:lineRule="auto"/>
              <w:rPr>
                <w:noProof/>
              </w:rPr>
            </w:pPr>
            <w:r w:rsidRPr="007E2708">
              <w:t>Can more rapid methods be developed e.g.  an affordable POCT that can diagnose drug resistant infections</w:t>
            </w:r>
          </w:p>
        </w:tc>
        <w:tc>
          <w:tcPr>
            <w:tcW w:w="1566" w:type="dxa"/>
          </w:tcPr>
          <w:p w:rsidR="00106202" w:rsidRDefault="00106202" w:rsidP="00FC4B01">
            <w:pPr>
              <w:spacing w:line="480" w:lineRule="auto"/>
              <w:jc w:val="center"/>
              <w:rPr>
                <w:noProof/>
              </w:rPr>
            </w:pPr>
            <w:r>
              <w:t>38</w:t>
            </w:r>
          </w:p>
        </w:tc>
        <w:tc>
          <w:tcPr>
            <w:tcW w:w="1443" w:type="dxa"/>
          </w:tcPr>
          <w:p w:rsidR="00106202" w:rsidRPr="007F0B9D" w:rsidRDefault="00106202" w:rsidP="00FC4B01">
            <w:pPr>
              <w:spacing w:line="480" w:lineRule="auto"/>
              <w:jc w:val="center"/>
            </w:pPr>
            <w:r>
              <w:t>53</w:t>
            </w:r>
          </w:p>
        </w:tc>
        <w:tc>
          <w:tcPr>
            <w:tcW w:w="1590" w:type="dxa"/>
          </w:tcPr>
          <w:p w:rsidR="00106202" w:rsidRDefault="00106202" w:rsidP="00FC4B01">
            <w:pPr>
              <w:spacing w:line="480" w:lineRule="auto"/>
              <w:jc w:val="center"/>
              <w:rPr>
                <w:noProof/>
              </w:rPr>
            </w:pPr>
            <w:r w:rsidRPr="007F0B9D">
              <w:t>2</w:t>
            </w:r>
          </w:p>
        </w:tc>
      </w:tr>
      <w:tr w:rsidR="00106202" w:rsidTr="005110B1">
        <w:tc>
          <w:tcPr>
            <w:tcW w:w="540" w:type="dxa"/>
          </w:tcPr>
          <w:p w:rsidR="00106202" w:rsidRDefault="00106202" w:rsidP="00FC4B01">
            <w:pPr>
              <w:spacing w:line="480" w:lineRule="auto"/>
              <w:rPr>
                <w:noProof/>
              </w:rPr>
            </w:pPr>
            <w:r>
              <w:rPr>
                <w:noProof/>
              </w:rPr>
              <w:lastRenderedPageBreak/>
              <w:t>10</w:t>
            </w:r>
          </w:p>
        </w:tc>
        <w:tc>
          <w:tcPr>
            <w:tcW w:w="4211" w:type="dxa"/>
          </w:tcPr>
          <w:p w:rsidR="00106202" w:rsidRDefault="00106202" w:rsidP="00FC4B01">
            <w:pPr>
              <w:spacing w:line="480" w:lineRule="auto"/>
              <w:rPr>
                <w:noProof/>
              </w:rPr>
            </w:pPr>
            <w:r w:rsidRPr="007E2708">
              <w:t>Will improved diagnosis lead to appropriate antimicrobial use and a reduction in AMR?</w:t>
            </w:r>
          </w:p>
        </w:tc>
        <w:tc>
          <w:tcPr>
            <w:tcW w:w="1566" w:type="dxa"/>
          </w:tcPr>
          <w:p w:rsidR="00106202" w:rsidRDefault="00106202" w:rsidP="00FC4B01">
            <w:pPr>
              <w:spacing w:line="480" w:lineRule="auto"/>
              <w:jc w:val="center"/>
              <w:rPr>
                <w:noProof/>
              </w:rPr>
            </w:pPr>
            <w:r>
              <w:t>36</w:t>
            </w:r>
          </w:p>
        </w:tc>
        <w:tc>
          <w:tcPr>
            <w:tcW w:w="1443" w:type="dxa"/>
          </w:tcPr>
          <w:p w:rsidR="00106202" w:rsidRPr="007F0B9D" w:rsidRDefault="00106202" w:rsidP="00FC4B01">
            <w:pPr>
              <w:spacing w:line="480" w:lineRule="auto"/>
              <w:jc w:val="center"/>
            </w:pPr>
            <w:r>
              <w:t>7</w:t>
            </w:r>
          </w:p>
        </w:tc>
        <w:tc>
          <w:tcPr>
            <w:tcW w:w="1590" w:type="dxa"/>
          </w:tcPr>
          <w:p w:rsidR="00106202" w:rsidRDefault="00106202" w:rsidP="00FC4B01">
            <w:pPr>
              <w:spacing w:line="480" w:lineRule="auto"/>
              <w:jc w:val="center"/>
              <w:rPr>
                <w:noProof/>
              </w:rPr>
            </w:pPr>
            <w:r w:rsidRPr="007F0B9D">
              <w:t>2</w:t>
            </w:r>
          </w:p>
        </w:tc>
      </w:tr>
    </w:tbl>
    <w:p w:rsidR="00106202" w:rsidRDefault="00106202" w:rsidP="00FC4B01">
      <w:pPr>
        <w:spacing w:line="480" w:lineRule="auto"/>
        <w:rPr>
          <w:noProof/>
        </w:rPr>
      </w:pPr>
    </w:p>
    <w:p w:rsidR="00106202" w:rsidRDefault="00854E3A" w:rsidP="00FC4B01">
      <w:pPr>
        <w:spacing w:line="480" w:lineRule="auto"/>
      </w:pPr>
      <w:proofErr w:type="spellStart"/>
      <w:r w:rsidRPr="00854E3A">
        <w:rPr>
          <w:vertAlign w:val="superscript"/>
        </w:rPr>
        <w:t>a</w:t>
      </w:r>
      <w:proofErr w:type="spellEnd"/>
      <w:r>
        <w:t xml:space="preserve"> </w:t>
      </w:r>
      <w:proofErr w:type="gramStart"/>
      <w:r w:rsidR="00106202">
        <w:t>The</w:t>
      </w:r>
      <w:proofErr w:type="gramEnd"/>
      <w:r w:rsidR="00106202">
        <w:t xml:space="preserve"> ranking score was derived by combining the rankings of the individual steering group members (first preference given 20 points; tenth preference 11 points). </w:t>
      </w:r>
    </w:p>
    <w:p w:rsidR="00106202" w:rsidRDefault="00106202" w:rsidP="00FC4B01">
      <w:pPr>
        <w:spacing w:line="480" w:lineRule="auto"/>
        <w:rPr>
          <w:noProof/>
        </w:rPr>
      </w:pPr>
    </w:p>
    <w:p w:rsidR="00106202" w:rsidRDefault="00106202" w:rsidP="00FC4B01">
      <w:pPr>
        <w:spacing w:line="480" w:lineRule="auto"/>
        <w:rPr>
          <w:szCs w:val="20"/>
        </w:rPr>
      </w:pPr>
    </w:p>
    <w:p w:rsidR="00106202" w:rsidRDefault="00106202" w:rsidP="00FC4B01">
      <w:pPr>
        <w:spacing w:line="480" w:lineRule="auto"/>
        <w:rPr>
          <w:szCs w:val="20"/>
        </w:rPr>
      </w:pPr>
      <w:r>
        <w:rPr>
          <w:noProof/>
        </w:rPr>
        <w:drawing>
          <wp:inline distT="0" distB="0" distL="0" distR="0" wp14:anchorId="4FEE27EA" wp14:editId="1BFE4617">
            <wp:extent cx="5486400" cy="3200400"/>
            <wp:effectExtent l="38100" t="3810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06202" w:rsidRPr="00493B9B" w:rsidRDefault="00106202" w:rsidP="00FC4B01">
      <w:pPr>
        <w:spacing w:line="480" w:lineRule="auto"/>
        <w:rPr>
          <w:b/>
        </w:rPr>
      </w:pPr>
      <w:r w:rsidRPr="00493B9B">
        <w:rPr>
          <w:b/>
          <w:szCs w:val="20"/>
        </w:rPr>
        <w:t xml:space="preserve">Figure 1. </w:t>
      </w:r>
      <w:r w:rsidRPr="00493B9B">
        <w:rPr>
          <w:b/>
        </w:rPr>
        <w:t xml:space="preserve">Steps in the priority-setting process </w:t>
      </w:r>
    </w:p>
    <w:p w:rsidR="00106202" w:rsidRDefault="00106202" w:rsidP="00FC4B01">
      <w:pPr>
        <w:spacing w:line="480" w:lineRule="auto"/>
        <w:rPr>
          <w:szCs w:val="20"/>
        </w:rPr>
      </w:pPr>
    </w:p>
    <w:p w:rsidR="002B750B" w:rsidRDefault="002B750B" w:rsidP="00FC4B01">
      <w:pPr>
        <w:spacing w:line="480" w:lineRule="auto"/>
        <w:rPr>
          <w:szCs w:val="20"/>
        </w:rPr>
      </w:pPr>
    </w:p>
    <w:p w:rsidR="002B750B" w:rsidRDefault="002B750B" w:rsidP="00FC4B01">
      <w:pPr>
        <w:spacing w:line="480" w:lineRule="auto"/>
        <w:rPr>
          <w:szCs w:val="20"/>
        </w:rPr>
      </w:pPr>
    </w:p>
    <w:p w:rsidR="002B750B" w:rsidRPr="00046BE3" w:rsidRDefault="002B750B" w:rsidP="00FC4B01">
      <w:pPr>
        <w:spacing w:line="480" w:lineRule="auto"/>
        <w:rPr>
          <w:szCs w:val="20"/>
        </w:rPr>
      </w:pPr>
    </w:p>
    <w:p w:rsidR="00106202" w:rsidRPr="00142F00" w:rsidRDefault="00106202" w:rsidP="00FC4B01">
      <w:pPr>
        <w:spacing w:line="480" w:lineRule="auto"/>
      </w:pPr>
      <w:r>
        <w:rPr>
          <w:noProof/>
        </w:rPr>
        <w:drawing>
          <wp:inline distT="0" distB="0" distL="0" distR="0" wp14:anchorId="7F05BE44" wp14:editId="1A612287">
            <wp:extent cx="5943600" cy="2986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ft_respondent_map1.emf"/>
                    <pic:cNvPicPr/>
                  </pic:nvPicPr>
                  <pic:blipFill rotWithShape="1">
                    <a:blip r:embed="rId12" cstate="print">
                      <a:extLst>
                        <a:ext uri="{28A0092B-C50C-407E-A947-70E740481C1C}">
                          <a14:useLocalDpi xmlns:a14="http://schemas.microsoft.com/office/drawing/2010/main" val="0"/>
                        </a:ext>
                      </a:extLst>
                    </a:blip>
                    <a:srcRect t="24196" b="25549"/>
                    <a:stretch/>
                  </pic:blipFill>
                  <pic:spPr bwMode="auto">
                    <a:xfrm>
                      <a:off x="0" y="0"/>
                      <a:ext cx="5943600" cy="2986716"/>
                    </a:xfrm>
                    <a:prstGeom prst="rect">
                      <a:avLst/>
                    </a:prstGeom>
                    <a:ln>
                      <a:noFill/>
                    </a:ln>
                    <a:extLst>
                      <a:ext uri="{53640926-AAD7-44d8-BBD7-CCE9431645EC}">
                        <a14:shadowObscured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106202" w:rsidRDefault="00106202" w:rsidP="00FC4B01">
      <w:pPr>
        <w:spacing w:line="480" w:lineRule="auto"/>
        <w:rPr>
          <w:b/>
        </w:rPr>
      </w:pPr>
      <w:r w:rsidRPr="00493B9B">
        <w:rPr>
          <w:b/>
          <w:bCs/>
        </w:rPr>
        <w:t xml:space="preserve">Figure </w:t>
      </w:r>
      <w:r>
        <w:rPr>
          <w:b/>
          <w:bCs/>
        </w:rPr>
        <w:t>2</w:t>
      </w:r>
      <w:r w:rsidRPr="00493B9B">
        <w:rPr>
          <w:b/>
          <w:bCs/>
        </w:rPr>
        <w:t>.</w:t>
      </w:r>
      <w:r w:rsidRPr="00493B9B">
        <w:rPr>
          <w:b/>
        </w:rPr>
        <w:t xml:space="preserve"> Number of survey respondents from each country. 428/445 survey respondents provided this information</w:t>
      </w:r>
    </w:p>
    <w:p w:rsidR="002B750B" w:rsidRDefault="002B750B" w:rsidP="00FC4B01">
      <w:pPr>
        <w:spacing w:line="480" w:lineRule="auto"/>
        <w:rPr>
          <w:b/>
        </w:rPr>
      </w:pPr>
    </w:p>
    <w:p w:rsidR="002B750B" w:rsidRDefault="002B750B" w:rsidP="00FC4B01">
      <w:pPr>
        <w:spacing w:line="480" w:lineRule="auto"/>
        <w:rPr>
          <w:b/>
        </w:rPr>
      </w:pPr>
    </w:p>
    <w:p w:rsidR="002B750B" w:rsidRPr="00493B9B" w:rsidRDefault="002B750B" w:rsidP="00FC4B01">
      <w:pPr>
        <w:spacing w:line="480" w:lineRule="auto"/>
        <w:rPr>
          <w:b/>
        </w:rPr>
      </w:pPr>
    </w:p>
    <w:p w:rsidR="00106202" w:rsidRDefault="00106202" w:rsidP="00FC4B01">
      <w:pPr>
        <w:spacing w:line="480" w:lineRule="auto"/>
        <w:rPr>
          <w:szCs w:val="20"/>
        </w:rPr>
      </w:pPr>
      <w:r>
        <w:rPr>
          <w:noProof/>
        </w:rPr>
        <w:lastRenderedPageBreak/>
        <w:drawing>
          <wp:inline distT="0" distB="0" distL="0" distR="0" wp14:anchorId="6D8F124B" wp14:editId="73F98184">
            <wp:extent cx="5943600" cy="31710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_scatter_times_asked_freq_wo_exc.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71084"/>
                    </a:xfrm>
                    <a:prstGeom prst="rect">
                      <a:avLst/>
                    </a:prstGeom>
                  </pic:spPr>
                </pic:pic>
              </a:graphicData>
            </a:graphic>
          </wp:inline>
        </w:drawing>
      </w:r>
    </w:p>
    <w:p w:rsidR="00106202" w:rsidRDefault="00106202" w:rsidP="00FC4B01">
      <w:pPr>
        <w:spacing w:line="480" w:lineRule="auto"/>
        <w:rPr>
          <w:b/>
        </w:rPr>
      </w:pPr>
      <w:r w:rsidRPr="00493B9B">
        <w:rPr>
          <w:b/>
          <w:bCs/>
        </w:rPr>
        <w:t>Figure 3.</w:t>
      </w:r>
      <w:r w:rsidRPr="00493B9B">
        <w:rPr>
          <w:b/>
        </w:rPr>
        <w:t xml:space="preserve"> Number of questions asked by theme. 659/1076 questions could be classified into a theme. 417 questions were excluded. </w:t>
      </w:r>
    </w:p>
    <w:p w:rsidR="00106202" w:rsidRDefault="00106202" w:rsidP="00FC4B01">
      <w:pPr>
        <w:spacing w:line="480" w:lineRule="auto"/>
        <w:rPr>
          <w:b/>
        </w:rPr>
      </w:pPr>
    </w:p>
    <w:p w:rsidR="00106202" w:rsidRPr="00493B9B" w:rsidRDefault="00106202" w:rsidP="00FC4B01">
      <w:pPr>
        <w:spacing w:line="480" w:lineRule="auto"/>
        <w:rPr>
          <w:b/>
        </w:rPr>
      </w:pPr>
    </w:p>
    <w:p w:rsidR="00106202" w:rsidRDefault="00106202" w:rsidP="00FC4B01">
      <w:pPr>
        <w:spacing w:line="480" w:lineRule="auto"/>
      </w:pPr>
      <w:r>
        <w:rPr>
          <w:noProof/>
        </w:rPr>
        <w:lastRenderedPageBreak/>
        <w:drawing>
          <wp:inline distT="0" distB="0" distL="0" distR="0" wp14:anchorId="169D1D47" wp14:editId="60CA2203">
            <wp:extent cx="6545095" cy="3492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ed_scatter_times_asked_freq_top_10.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45095" cy="3492000"/>
                    </a:xfrm>
                    <a:prstGeom prst="rect">
                      <a:avLst/>
                    </a:prstGeom>
                  </pic:spPr>
                </pic:pic>
              </a:graphicData>
            </a:graphic>
          </wp:inline>
        </w:drawing>
      </w:r>
    </w:p>
    <w:p w:rsidR="00106202" w:rsidRDefault="00106202" w:rsidP="00FC4B01">
      <w:pPr>
        <w:spacing w:line="480" w:lineRule="auto"/>
        <w:rPr>
          <w:b/>
        </w:rPr>
      </w:pPr>
      <w:r w:rsidRPr="00E9559F">
        <w:rPr>
          <w:b/>
          <w:bCs/>
        </w:rPr>
        <w:t xml:space="preserve">Figure </w:t>
      </w:r>
      <w:r>
        <w:rPr>
          <w:b/>
          <w:bCs/>
        </w:rPr>
        <w:t>4</w:t>
      </w:r>
      <w:r w:rsidRPr="00E9559F">
        <w:rPr>
          <w:b/>
          <w:bCs/>
        </w:rPr>
        <w:t>.</w:t>
      </w:r>
      <w:r w:rsidRPr="00E9559F">
        <w:rPr>
          <w:b/>
        </w:rPr>
        <w:t xml:space="preserve"> Top 10 number of mapped questions asked by survey respondents. Marker </w:t>
      </w:r>
      <w:proofErr w:type="spellStart"/>
      <w:r w:rsidRPr="00E9559F">
        <w:rPr>
          <w:b/>
        </w:rPr>
        <w:t>colour</w:t>
      </w:r>
      <w:proofErr w:type="spellEnd"/>
      <w:r w:rsidRPr="00E9559F">
        <w:rPr>
          <w:b/>
        </w:rPr>
        <w:t xml:space="preserve"> reflects theme (see Figure </w:t>
      </w:r>
      <w:r>
        <w:rPr>
          <w:b/>
        </w:rPr>
        <w:t>3</w:t>
      </w:r>
      <w:r w:rsidRPr="00E9559F">
        <w:rPr>
          <w:b/>
        </w:rPr>
        <w:t xml:space="preserve">). </w:t>
      </w:r>
    </w:p>
    <w:p w:rsidR="00106202" w:rsidRPr="00E9559F" w:rsidRDefault="00106202" w:rsidP="00FC4B01">
      <w:pPr>
        <w:spacing w:line="480" w:lineRule="auto"/>
        <w:rPr>
          <w:b/>
        </w:rPr>
      </w:pPr>
    </w:p>
    <w:p w:rsidR="00214C4A" w:rsidRDefault="00214C4A"/>
    <w:sectPr w:rsidR="00214C4A" w:rsidSect="00467326">
      <w:headerReference w:type="default" r:id="rId15"/>
      <w:footerReference w:type="defaul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366314"/>
      <w:docPartObj>
        <w:docPartGallery w:val="Page Numbers (Bottom of Page)"/>
        <w:docPartUnique/>
      </w:docPartObj>
    </w:sdtPr>
    <w:sdtEndPr>
      <w:rPr>
        <w:noProof/>
      </w:rPr>
    </w:sdtEndPr>
    <w:sdtContent>
      <w:p w:rsidR="00916085" w:rsidRDefault="00D504FB" w:rsidP="00E215B5">
        <w:pPr>
          <w:pStyle w:val="Footer"/>
          <w:tabs>
            <w:tab w:val="left" w:pos="3540"/>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rsidR="00916085" w:rsidRDefault="00D5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25225"/>
      <w:docPartObj>
        <w:docPartGallery w:val="Page Numbers (Bottom of Page)"/>
        <w:docPartUnique/>
      </w:docPartObj>
    </w:sdtPr>
    <w:sdtEndPr>
      <w:rPr>
        <w:noProof/>
      </w:rPr>
    </w:sdtEndPr>
    <w:sdtContent>
      <w:p w:rsidR="00FC4B01" w:rsidRDefault="00D504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4B01" w:rsidRDefault="00D504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85" w:rsidRDefault="00D504FB">
    <w:pPr>
      <w:pStyle w:val="Header"/>
    </w:pPr>
  </w:p>
  <w:p w:rsidR="00916085" w:rsidRDefault="00D5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DAD"/>
    <w:multiLevelType w:val="hybridMultilevel"/>
    <w:tmpl w:val="77AC9B3A"/>
    <w:lvl w:ilvl="0" w:tplc="114620B8">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1E58"/>
    <w:multiLevelType w:val="hybridMultilevel"/>
    <w:tmpl w:val="74B0DD58"/>
    <w:lvl w:ilvl="0" w:tplc="06F2EC34">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7DAF"/>
    <w:multiLevelType w:val="hybridMultilevel"/>
    <w:tmpl w:val="F5E84D7C"/>
    <w:lvl w:ilvl="0" w:tplc="06F2EC34">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75A1"/>
    <w:multiLevelType w:val="hybridMultilevel"/>
    <w:tmpl w:val="0D5E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A4276"/>
    <w:multiLevelType w:val="hybridMultilevel"/>
    <w:tmpl w:val="8BF8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75B29"/>
    <w:multiLevelType w:val="hybridMultilevel"/>
    <w:tmpl w:val="FB40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05ECA"/>
    <w:multiLevelType w:val="hybridMultilevel"/>
    <w:tmpl w:val="334E99BA"/>
    <w:lvl w:ilvl="0" w:tplc="0409000F">
      <w:start w:val="1"/>
      <w:numFmt w:val="decimal"/>
      <w:lvlText w:val="%1."/>
      <w:lvlJc w:val="left"/>
      <w:pPr>
        <w:ind w:left="720" w:hanging="360"/>
      </w:pPr>
    </w:lvl>
    <w:lvl w:ilvl="1" w:tplc="D8D26BFC">
      <w:numFmt w:val="bullet"/>
      <w:lvlText w:val="•"/>
      <w:lvlJc w:val="left"/>
      <w:pPr>
        <w:ind w:left="1440" w:hanging="360"/>
      </w:pPr>
      <w:rPr>
        <w:rFonts w:ascii="Calibri" w:eastAsiaTheme="minorHAnsi" w:hAnsi="Calibri" w:cs="Calibri"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A1A"/>
    <w:multiLevelType w:val="hybridMultilevel"/>
    <w:tmpl w:val="B39E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264B7"/>
    <w:multiLevelType w:val="hybridMultilevel"/>
    <w:tmpl w:val="1F10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6EA"/>
    <w:multiLevelType w:val="hybridMultilevel"/>
    <w:tmpl w:val="3E70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21912"/>
    <w:multiLevelType w:val="multilevel"/>
    <w:tmpl w:val="F85EBF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0752A"/>
    <w:multiLevelType w:val="hybridMultilevel"/>
    <w:tmpl w:val="81E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B084B"/>
    <w:multiLevelType w:val="hybridMultilevel"/>
    <w:tmpl w:val="9246F148"/>
    <w:lvl w:ilvl="0" w:tplc="06F2EC34">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224CC"/>
    <w:multiLevelType w:val="hybridMultilevel"/>
    <w:tmpl w:val="0D5E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2FE5"/>
    <w:multiLevelType w:val="hybridMultilevel"/>
    <w:tmpl w:val="630A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8223B"/>
    <w:multiLevelType w:val="hybridMultilevel"/>
    <w:tmpl w:val="3D3A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42897"/>
    <w:multiLevelType w:val="hybridMultilevel"/>
    <w:tmpl w:val="E30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AEE"/>
    <w:multiLevelType w:val="hybridMultilevel"/>
    <w:tmpl w:val="9C8C2906"/>
    <w:lvl w:ilvl="0" w:tplc="06F2EC34">
      <w:numFmt w:val="bullet"/>
      <w:lvlText w:val="•"/>
      <w:lvlJc w:val="left"/>
      <w:pPr>
        <w:ind w:left="360" w:hanging="360"/>
      </w:pPr>
      <w:rPr>
        <w:rFonts w:ascii="Arial" w:eastAsiaTheme="minorHAnsi"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207888"/>
    <w:multiLevelType w:val="hybridMultilevel"/>
    <w:tmpl w:val="A9EA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612C"/>
    <w:multiLevelType w:val="hybridMultilevel"/>
    <w:tmpl w:val="9F5A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333AF"/>
    <w:multiLevelType w:val="hybridMultilevel"/>
    <w:tmpl w:val="19EA686A"/>
    <w:lvl w:ilvl="0" w:tplc="06F2EC34">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0F92"/>
    <w:multiLevelType w:val="hybridMultilevel"/>
    <w:tmpl w:val="F7C6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A49B0"/>
    <w:multiLevelType w:val="hybridMultilevel"/>
    <w:tmpl w:val="53B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7013A"/>
    <w:multiLevelType w:val="hybridMultilevel"/>
    <w:tmpl w:val="D89A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A4FC6"/>
    <w:multiLevelType w:val="hybridMultilevel"/>
    <w:tmpl w:val="680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D223E7"/>
    <w:multiLevelType w:val="hybridMultilevel"/>
    <w:tmpl w:val="E27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12CFB"/>
    <w:multiLevelType w:val="hybridMultilevel"/>
    <w:tmpl w:val="9C0C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D3A88"/>
    <w:multiLevelType w:val="multilevel"/>
    <w:tmpl w:val="431E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6A65EB"/>
    <w:multiLevelType w:val="hybridMultilevel"/>
    <w:tmpl w:val="56BCFA06"/>
    <w:lvl w:ilvl="0" w:tplc="06F2EC34">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14"/>
  </w:num>
  <w:num w:numId="4">
    <w:abstractNumId w:val="5"/>
  </w:num>
  <w:num w:numId="5">
    <w:abstractNumId w:val="7"/>
  </w:num>
  <w:num w:numId="6">
    <w:abstractNumId w:val="25"/>
  </w:num>
  <w:num w:numId="7">
    <w:abstractNumId w:val="18"/>
  </w:num>
  <w:num w:numId="8">
    <w:abstractNumId w:val="0"/>
  </w:num>
  <w:num w:numId="9">
    <w:abstractNumId w:val="6"/>
  </w:num>
  <w:num w:numId="10">
    <w:abstractNumId w:val="22"/>
  </w:num>
  <w:num w:numId="11">
    <w:abstractNumId w:val="24"/>
  </w:num>
  <w:num w:numId="12">
    <w:abstractNumId w:val="8"/>
  </w:num>
  <w:num w:numId="13">
    <w:abstractNumId w:val="20"/>
  </w:num>
  <w:num w:numId="14">
    <w:abstractNumId w:val="17"/>
  </w:num>
  <w:num w:numId="15">
    <w:abstractNumId w:val="12"/>
  </w:num>
  <w:num w:numId="16">
    <w:abstractNumId w:val="1"/>
  </w:num>
  <w:num w:numId="17">
    <w:abstractNumId w:val="2"/>
  </w:num>
  <w:num w:numId="18">
    <w:abstractNumId w:val="28"/>
  </w:num>
  <w:num w:numId="19">
    <w:abstractNumId w:val="23"/>
  </w:num>
  <w:num w:numId="20">
    <w:abstractNumId w:val="21"/>
  </w:num>
  <w:num w:numId="21">
    <w:abstractNumId w:val="16"/>
  </w:num>
  <w:num w:numId="22">
    <w:abstractNumId w:val="19"/>
  </w:num>
  <w:num w:numId="23">
    <w:abstractNumId w:val="3"/>
  </w:num>
  <w:num w:numId="24">
    <w:abstractNumId w:val="15"/>
  </w:num>
  <w:num w:numId="25">
    <w:abstractNumId w:val="26"/>
  </w:num>
  <w:num w:numId="26">
    <w:abstractNumId w:val="13"/>
  </w:num>
  <w:num w:numId="27">
    <w:abstractNumId w:val="9"/>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06202"/>
    <w:rsid w:val="00106202"/>
    <w:rsid w:val="00214C4A"/>
    <w:rsid w:val="002B750B"/>
    <w:rsid w:val="00854E3A"/>
    <w:rsid w:val="00B535D5"/>
    <w:rsid w:val="00D504FB"/>
    <w:rsid w:val="00F4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862"/>
  <w15:chartTrackingRefBased/>
  <w15:docId w15:val="{4D122215-7DE7-447D-B4EA-792C957F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202"/>
  </w:style>
  <w:style w:type="paragraph" w:styleId="Heading1">
    <w:name w:val="heading 1"/>
    <w:basedOn w:val="Normal"/>
    <w:next w:val="Normal"/>
    <w:link w:val="Heading1Char"/>
    <w:uiPriority w:val="9"/>
    <w:qFormat/>
    <w:rsid w:val="00106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06202"/>
    <w:pPr>
      <w:outlineLvl w:val="1"/>
    </w:pPr>
    <w:rPr>
      <w:rFonts w:cstheme="minorHAnsi"/>
      <w:b/>
      <w:color w:val="444444"/>
    </w:rPr>
  </w:style>
  <w:style w:type="paragraph" w:styleId="Heading3">
    <w:name w:val="heading 3"/>
    <w:basedOn w:val="Normal"/>
    <w:next w:val="Normal"/>
    <w:link w:val="Heading3Char"/>
    <w:uiPriority w:val="9"/>
    <w:unhideWhenUsed/>
    <w:qFormat/>
    <w:rsid w:val="00106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62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1062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202"/>
  </w:style>
  <w:style w:type="character" w:customStyle="1" w:styleId="Heading1Char">
    <w:name w:val="Heading 1 Char"/>
    <w:basedOn w:val="DefaultParagraphFont"/>
    <w:link w:val="Heading1"/>
    <w:uiPriority w:val="9"/>
    <w:rsid w:val="001062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6202"/>
    <w:rPr>
      <w:rFonts w:cstheme="minorHAnsi"/>
      <w:b/>
      <w:color w:val="444444"/>
    </w:rPr>
  </w:style>
  <w:style w:type="character" w:customStyle="1" w:styleId="Heading3Char">
    <w:name w:val="Heading 3 Char"/>
    <w:basedOn w:val="DefaultParagraphFont"/>
    <w:link w:val="Heading3"/>
    <w:uiPriority w:val="9"/>
    <w:rsid w:val="001062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0620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06202"/>
    <w:rPr>
      <w:color w:val="0000FF"/>
      <w:u w:val="single"/>
    </w:rPr>
  </w:style>
  <w:style w:type="paragraph" w:styleId="NormalWeb">
    <w:name w:val="Normal (Web)"/>
    <w:basedOn w:val="Normal"/>
    <w:uiPriority w:val="99"/>
    <w:unhideWhenUsed/>
    <w:rsid w:val="00106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202"/>
    <w:pPr>
      <w:ind w:left="720"/>
      <w:contextualSpacing/>
    </w:pPr>
  </w:style>
  <w:style w:type="paragraph" w:customStyle="1" w:styleId="Default">
    <w:name w:val="Default"/>
    <w:rsid w:val="001062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0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02"/>
  </w:style>
  <w:style w:type="paragraph" w:styleId="Footer">
    <w:name w:val="footer"/>
    <w:basedOn w:val="Normal"/>
    <w:link w:val="FooterChar"/>
    <w:uiPriority w:val="99"/>
    <w:unhideWhenUsed/>
    <w:qFormat/>
    <w:rsid w:val="00106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02"/>
  </w:style>
  <w:style w:type="paragraph" w:styleId="TOCHeading">
    <w:name w:val="TOC Heading"/>
    <w:basedOn w:val="Heading1"/>
    <w:next w:val="Normal"/>
    <w:uiPriority w:val="39"/>
    <w:unhideWhenUsed/>
    <w:qFormat/>
    <w:rsid w:val="00106202"/>
    <w:pPr>
      <w:outlineLvl w:val="9"/>
    </w:pPr>
  </w:style>
  <w:style w:type="paragraph" w:styleId="TOC1">
    <w:name w:val="toc 1"/>
    <w:basedOn w:val="Normal"/>
    <w:next w:val="Normal"/>
    <w:autoRedefine/>
    <w:uiPriority w:val="39"/>
    <w:unhideWhenUsed/>
    <w:rsid w:val="00106202"/>
    <w:pPr>
      <w:spacing w:after="100"/>
    </w:pPr>
  </w:style>
  <w:style w:type="paragraph" w:styleId="TOC2">
    <w:name w:val="toc 2"/>
    <w:basedOn w:val="Normal"/>
    <w:next w:val="Normal"/>
    <w:autoRedefine/>
    <w:uiPriority w:val="39"/>
    <w:unhideWhenUsed/>
    <w:rsid w:val="00106202"/>
    <w:pPr>
      <w:spacing w:after="100"/>
      <w:ind w:left="220"/>
    </w:pPr>
  </w:style>
  <w:style w:type="paragraph" w:styleId="TOC3">
    <w:name w:val="toc 3"/>
    <w:basedOn w:val="Normal"/>
    <w:next w:val="Normal"/>
    <w:autoRedefine/>
    <w:uiPriority w:val="39"/>
    <w:unhideWhenUsed/>
    <w:rsid w:val="00106202"/>
    <w:pPr>
      <w:spacing w:after="100"/>
      <w:ind w:left="440"/>
    </w:pPr>
  </w:style>
  <w:style w:type="paragraph" w:customStyle="1" w:styleId="EndNoteBibliographyTitle">
    <w:name w:val="EndNote Bibliography Title"/>
    <w:basedOn w:val="Normal"/>
    <w:link w:val="EndNoteBibliographyTitleChar"/>
    <w:rsid w:val="00106202"/>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06202"/>
    <w:rPr>
      <w:rFonts w:ascii="Arial" w:hAnsi="Arial" w:cs="Arial"/>
      <w:noProof/>
      <w:sz w:val="24"/>
    </w:rPr>
  </w:style>
  <w:style w:type="paragraph" w:customStyle="1" w:styleId="EndNoteBibliography">
    <w:name w:val="EndNote Bibliography"/>
    <w:basedOn w:val="Normal"/>
    <w:link w:val="EndNoteBibliographyChar"/>
    <w:rsid w:val="00106202"/>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06202"/>
    <w:rPr>
      <w:rFonts w:ascii="Arial" w:hAnsi="Arial" w:cs="Arial"/>
      <w:noProof/>
      <w:sz w:val="24"/>
    </w:rPr>
  </w:style>
  <w:style w:type="paragraph" w:styleId="BalloonText">
    <w:name w:val="Balloon Text"/>
    <w:basedOn w:val="Normal"/>
    <w:link w:val="BalloonTextChar"/>
    <w:uiPriority w:val="99"/>
    <w:semiHidden/>
    <w:unhideWhenUsed/>
    <w:rsid w:val="0010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02"/>
    <w:rPr>
      <w:rFonts w:ascii="Segoe UI" w:hAnsi="Segoe UI" w:cs="Segoe UI"/>
      <w:sz w:val="18"/>
      <w:szCs w:val="18"/>
    </w:rPr>
  </w:style>
  <w:style w:type="character" w:styleId="CommentReference">
    <w:name w:val="annotation reference"/>
    <w:basedOn w:val="DefaultParagraphFont"/>
    <w:uiPriority w:val="99"/>
    <w:semiHidden/>
    <w:unhideWhenUsed/>
    <w:rsid w:val="00106202"/>
    <w:rPr>
      <w:sz w:val="16"/>
      <w:szCs w:val="16"/>
    </w:rPr>
  </w:style>
  <w:style w:type="paragraph" w:styleId="CommentText">
    <w:name w:val="annotation text"/>
    <w:basedOn w:val="Normal"/>
    <w:link w:val="CommentTextChar"/>
    <w:uiPriority w:val="99"/>
    <w:semiHidden/>
    <w:unhideWhenUsed/>
    <w:rsid w:val="00106202"/>
    <w:pPr>
      <w:spacing w:line="240" w:lineRule="auto"/>
    </w:pPr>
    <w:rPr>
      <w:sz w:val="20"/>
      <w:szCs w:val="20"/>
      <w:lang w:val="en-AU" w:bidi="my-MM"/>
    </w:rPr>
  </w:style>
  <w:style w:type="character" w:customStyle="1" w:styleId="CommentTextChar">
    <w:name w:val="Comment Text Char"/>
    <w:basedOn w:val="DefaultParagraphFont"/>
    <w:link w:val="CommentText"/>
    <w:uiPriority w:val="99"/>
    <w:semiHidden/>
    <w:rsid w:val="00106202"/>
    <w:rPr>
      <w:sz w:val="20"/>
      <w:szCs w:val="20"/>
      <w:lang w:val="en-AU" w:bidi="my-MM"/>
    </w:rPr>
  </w:style>
  <w:style w:type="table" w:styleId="TableGrid">
    <w:name w:val="Table Grid"/>
    <w:basedOn w:val="TableNormal"/>
    <w:uiPriority w:val="39"/>
    <w:rsid w:val="0010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6202"/>
    <w:rPr>
      <w:b/>
      <w:bCs/>
    </w:rPr>
  </w:style>
  <w:style w:type="character" w:customStyle="1" w:styleId="CommentSubjectChar">
    <w:name w:val="Comment Subject Char"/>
    <w:basedOn w:val="CommentTextChar"/>
    <w:link w:val="CommentSubject"/>
    <w:uiPriority w:val="99"/>
    <w:semiHidden/>
    <w:rsid w:val="00106202"/>
    <w:rPr>
      <w:b/>
      <w:bCs/>
      <w:sz w:val="20"/>
      <w:szCs w:val="20"/>
      <w:lang w:val="en-AU" w:bidi="my-MM"/>
    </w:rPr>
  </w:style>
  <w:style w:type="paragraph" w:styleId="Revision">
    <w:name w:val="Revision"/>
    <w:hidden/>
    <w:uiPriority w:val="99"/>
    <w:semiHidden/>
    <w:rsid w:val="00106202"/>
    <w:pPr>
      <w:spacing w:after="0" w:line="240" w:lineRule="auto"/>
    </w:pPr>
  </w:style>
  <w:style w:type="paragraph" w:customStyle="1" w:styleId="subheading">
    <w:name w:val="subheading"/>
    <w:basedOn w:val="Normal"/>
    <w:rsid w:val="001062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0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sedric.org.uk/" TargetMode="External"/><Relationship Id="rId11" Type="http://schemas.microsoft.com/office/2007/relationships/diagramDrawing" Target="diagrams/drawing1.xml"/><Relationship Id="rId5" Type="http://schemas.openxmlformats.org/officeDocument/2006/relationships/hyperlink" Target="mailto:liz@tropmedres.ac" TargetMode="Externa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E3886F-FEF9-4687-9B4D-1B43701A308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1A814A3-D976-4517-BF27-66B139D25796}">
      <dgm:prSet phldrT="[Text]"/>
      <dgm:spPr>
        <a:solidFill>
          <a:schemeClr val="bg1">
            <a:lumMod val="50000"/>
          </a:schemeClr>
        </a:solidFill>
        <a:ln>
          <a:solidFill>
            <a:schemeClr val="bg1">
              <a:lumMod val="50000"/>
            </a:schemeClr>
          </a:solidFill>
        </a:ln>
      </dgm:spPr>
      <dgm:t>
        <a:bodyPr/>
        <a:lstStyle/>
        <a:p>
          <a:r>
            <a:rPr lang="en-US"/>
            <a:t>Step 1</a:t>
          </a:r>
        </a:p>
      </dgm:t>
    </dgm:pt>
    <dgm:pt modelId="{062097E7-A1C3-4A6B-A80B-24C91784A1D3}" type="parTrans" cxnId="{B026E08E-C001-4492-B7F4-0DC408C58AE5}">
      <dgm:prSet/>
      <dgm:spPr/>
      <dgm:t>
        <a:bodyPr/>
        <a:lstStyle/>
        <a:p>
          <a:endParaRPr lang="en-US"/>
        </a:p>
      </dgm:t>
    </dgm:pt>
    <dgm:pt modelId="{EB1B9420-E69A-4BE9-9476-8DE7E6371309}" type="sibTrans" cxnId="{B026E08E-C001-4492-B7F4-0DC408C58AE5}">
      <dgm:prSet/>
      <dgm:spPr/>
      <dgm:t>
        <a:bodyPr/>
        <a:lstStyle/>
        <a:p>
          <a:endParaRPr lang="en-US"/>
        </a:p>
      </dgm:t>
    </dgm:pt>
    <dgm:pt modelId="{7E188745-069A-405A-ACBD-5FBC87C045FB}">
      <dgm:prSet phldrT="[Text]" custT="1"/>
      <dgm:spPr/>
      <dgm:t>
        <a:bodyPr/>
        <a:lstStyle/>
        <a:p>
          <a:r>
            <a:rPr lang="en-US" sz="1200"/>
            <a:t>Online survey of stakeholders in low-and middle-income countries to generate a list of uncertainties regarding diagnosis, treatment or prevention of patients with drug-resistant infections</a:t>
          </a:r>
        </a:p>
      </dgm:t>
    </dgm:pt>
    <dgm:pt modelId="{07D05EA4-8D99-4890-9DEE-8C3169AC782F}" type="parTrans" cxnId="{3077A99E-0E6C-4196-A892-7C9E5EABFFF2}">
      <dgm:prSet/>
      <dgm:spPr/>
      <dgm:t>
        <a:bodyPr/>
        <a:lstStyle/>
        <a:p>
          <a:endParaRPr lang="en-US"/>
        </a:p>
      </dgm:t>
    </dgm:pt>
    <dgm:pt modelId="{8468F620-836F-4807-BE42-F368F72CCCCA}" type="sibTrans" cxnId="{3077A99E-0E6C-4196-A892-7C9E5EABFFF2}">
      <dgm:prSet/>
      <dgm:spPr/>
      <dgm:t>
        <a:bodyPr/>
        <a:lstStyle/>
        <a:p>
          <a:endParaRPr lang="en-US"/>
        </a:p>
      </dgm:t>
    </dgm:pt>
    <dgm:pt modelId="{A188AAB2-50DB-49B0-99AE-12D6D51EC5DB}">
      <dgm:prSet phldrT="[Text]"/>
      <dgm:spPr>
        <a:solidFill>
          <a:schemeClr val="bg1">
            <a:lumMod val="50000"/>
          </a:schemeClr>
        </a:solidFill>
        <a:ln>
          <a:solidFill>
            <a:schemeClr val="bg1">
              <a:lumMod val="50000"/>
            </a:schemeClr>
          </a:solidFill>
        </a:ln>
      </dgm:spPr>
      <dgm:t>
        <a:bodyPr/>
        <a:lstStyle/>
        <a:p>
          <a:r>
            <a:rPr lang="en-US"/>
            <a:t>Step 2</a:t>
          </a:r>
        </a:p>
      </dgm:t>
    </dgm:pt>
    <dgm:pt modelId="{DA3B55B9-00AC-44E2-99BF-D8A03FD0DF12}" type="parTrans" cxnId="{53AD8737-200E-462C-90C4-5D55F39E6416}">
      <dgm:prSet/>
      <dgm:spPr/>
      <dgm:t>
        <a:bodyPr/>
        <a:lstStyle/>
        <a:p>
          <a:endParaRPr lang="en-US"/>
        </a:p>
      </dgm:t>
    </dgm:pt>
    <dgm:pt modelId="{34C871F1-CC54-4B06-98A3-229B1564BD15}" type="sibTrans" cxnId="{53AD8737-200E-462C-90C4-5D55F39E6416}">
      <dgm:prSet/>
      <dgm:spPr/>
      <dgm:t>
        <a:bodyPr/>
        <a:lstStyle/>
        <a:p>
          <a:endParaRPr lang="en-US"/>
        </a:p>
      </dgm:t>
    </dgm:pt>
    <dgm:pt modelId="{4D5E0E4B-FFB1-430A-AEF8-255A39956B5B}">
      <dgm:prSet phldrT="[Text]"/>
      <dgm:spPr/>
      <dgm:t>
        <a:bodyPr/>
        <a:lstStyle/>
        <a:p>
          <a:r>
            <a:rPr lang="en-US"/>
            <a:t>Thematic categorisation, exclusion of ineligible responses and mapping of all responsed to a shortlist of questions by two reviewers</a:t>
          </a:r>
        </a:p>
      </dgm:t>
    </dgm:pt>
    <dgm:pt modelId="{A7D1F177-374F-4CB8-906B-E8974BFFDFDA}" type="parTrans" cxnId="{ADB07061-4F49-4B0C-A198-8CCBD64E91FA}">
      <dgm:prSet/>
      <dgm:spPr/>
      <dgm:t>
        <a:bodyPr/>
        <a:lstStyle/>
        <a:p>
          <a:endParaRPr lang="en-US"/>
        </a:p>
      </dgm:t>
    </dgm:pt>
    <dgm:pt modelId="{1D1AB76F-D14E-4F16-9E65-B037CFB416CE}" type="sibTrans" cxnId="{ADB07061-4F49-4B0C-A198-8CCBD64E91FA}">
      <dgm:prSet/>
      <dgm:spPr/>
      <dgm:t>
        <a:bodyPr/>
        <a:lstStyle/>
        <a:p>
          <a:endParaRPr lang="en-US"/>
        </a:p>
      </dgm:t>
    </dgm:pt>
    <dgm:pt modelId="{F7B21BB1-FE80-4B5B-9B41-E1ADFBE6F128}">
      <dgm:prSet phldrT="[Text]"/>
      <dgm:spPr>
        <a:solidFill>
          <a:schemeClr val="bg1">
            <a:lumMod val="50000"/>
          </a:schemeClr>
        </a:solidFill>
        <a:ln>
          <a:solidFill>
            <a:schemeClr val="bg1">
              <a:lumMod val="50000"/>
            </a:schemeClr>
          </a:solidFill>
        </a:ln>
      </dgm:spPr>
      <dgm:t>
        <a:bodyPr/>
        <a:lstStyle/>
        <a:p>
          <a:r>
            <a:rPr lang="en-US"/>
            <a:t>Step 3</a:t>
          </a:r>
        </a:p>
      </dgm:t>
    </dgm:pt>
    <dgm:pt modelId="{4D6687C9-8948-45EA-80BD-0EA10796170A}" type="parTrans" cxnId="{9D1FB72B-03C4-4008-A06C-1BD4B16ADB60}">
      <dgm:prSet/>
      <dgm:spPr/>
      <dgm:t>
        <a:bodyPr/>
        <a:lstStyle/>
        <a:p>
          <a:endParaRPr lang="en-US"/>
        </a:p>
      </dgm:t>
    </dgm:pt>
    <dgm:pt modelId="{45F5FF0D-983B-4769-ACA6-FB6ECA3ED0B2}" type="sibTrans" cxnId="{9D1FB72B-03C4-4008-A06C-1BD4B16ADB60}">
      <dgm:prSet/>
      <dgm:spPr/>
      <dgm:t>
        <a:bodyPr/>
        <a:lstStyle/>
        <a:p>
          <a:endParaRPr lang="en-US"/>
        </a:p>
      </dgm:t>
    </dgm:pt>
    <dgm:pt modelId="{641616AA-330A-437B-9052-327BF8C8D611}">
      <dgm:prSet phldrT="[Text]"/>
      <dgm:spPr/>
      <dgm:t>
        <a:bodyPr/>
        <a:lstStyle/>
        <a:p>
          <a:r>
            <a:rPr lang="en-US"/>
            <a:t>Interim prioritisation by ranking of questions on the shortlist by the steering group</a:t>
          </a:r>
        </a:p>
      </dgm:t>
    </dgm:pt>
    <dgm:pt modelId="{FC91E1B6-ED02-4E22-BA1E-FB24DFC9DF1E}" type="parTrans" cxnId="{CF9BD785-FBC1-4879-A6AE-4A44ABB1FF51}">
      <dgm:prSet/>
      <dgm:spPr/>
      <dgm:t>
        <a:bodyPr/>
        <a:lstStyle/>
        <a:p>
          <a:endParaRPr lang="en-US"/>
        </a:p>
      </dgm:t>
    </dgm:pt>
    <dgm:pt modelId="{6C91430E-5CE2-4C27-B199-FD6E373CD550}" type="sibTrans" cxnId="{CF9BD785-FBC1-4879-A6AE-4A44ABB1FF51}">
      <dgm:prSet/>
      <dgm:spPr/>
      <dgm:t>
        <a:bodyPr/>
        <a:lstStyle/>
        <a:p>
          <a:endParaRPr lang="en-US"/>
        </a:p>
      </dgm:t>
    </dgm:pt>
    <dgm:pt modelId="{2149394C-9183-406D-83A8-1CE81C1F72C0}">
      <dgm:prSet/>
      <dgm:spPr>
        <a:solidFill>
          <a:schemeClr val="bg1">
            <a:lumMod val="50000"/>
          </a:schemeClr>
        </a:solidFill>
        <a:ln>
          <a:solidFill>
            <a:schemeClr val="bg1">
              <a:lumMod val="50000"/>
            </a:schemeClr>
          </a:solidFill>
        </a:ln>
      </dgm:spPr>
      <dgm:t>
        <a:bodyPr/>
        <a:lstStyle/>
        <a:p>
          <a:r>
            <a:rPr lang="en-US"/>
            <a:t>Step 4</a:t>
          </a:r>
        </a:p>
      </dgm:t>
    </dgm:pt>
    <dgm:pt modelId="{A20CF30F-CC04-4CC2-9FE0-D5541B817BC1}" type="parTrans" cxnId="{10E525EE-B58A-4B58-975C-F57B55F01005}">
      <dgm:prSet/>
      <dgm:spPr/>
      <dgm:t>
        <a:bodyPr/>
        <a:lstStyle/>
        <a:p>
          <a:endParaRPr lang="en-US"/>
        </a:p>
      </dgm:t>
    </dgm:pt>
    <dgm:pt modelId="{DF841AEE-C0D9-4745-8E02-1991282A9A00}" type="sibTrans" cxnId="{10E525EE-B58A-4B58-975C-F57B55F01005}">
      <dgm:prSet/>
      <dgm:spPr/>
      <dgm:t>
        <a:bodyPr/>
        <a:lstStyle/>
        <a:p>
          <a:endParaRPr lang="en-US"/>
        </a:p>
      </dgm:t>
    </dgm:pt>
    <dgm:pt modelId="{F0F170AF-ABBD-4634-9C8D-D7D2DFD82706}">
      <dgm:prSet/>
      <dgm:spPr/>
      <dgm:t>
        <a:bodyPr/>
        <a:lstStyle/>
        <a:p>
          <a:r>
            <a:rPr lang="en-US"/>
            <a:t>Final priorisation of three topics for further research according to pre-defined criteria</a:t>
          </a:r>
        </a:p>
      </dgm:t>
    </dgm:pt>
    <dgm:pt modelId="{B77D79C5-E61A-4067-895D-0584ED666CE6}" type="parTrans" cxnId="{839693C3-5494-429B-85F2-B97DCDA241F5}">
      <dgm:prSet/>
      <dgm:spPr/>
      <dgm:t>
        <a:bodyPr/>
        <a:lstStyle/>
        <a:p>
          <a:endParaRPr lang="en-GB"/>
        </a:p>
      </dgm:t>
    </dgm:pt>
    <dgm:pt modelId="{CEB3D645-4ACB-4D31-8CDA-CD851FC927DB}" type="sibTrans" cxnId="{839693C3-5494-429B-85F2-B97DCDA241F5}">
      <dgm:prSet/>
      <dgm:spPr/>
      <dgm:t>
        <a:bodyPr/>
        <a:lstStyle/>
        <a:p>
          <a:endParaRPr lang="en-GB"/>
        </a:p>
      </dgm:t>
    </dgm:pt>
    <dgm:pt modelId="{247DAE79-ABFA-48AB-B78E-9045D28FE82D}" type="pres">
      <dgm:prSet presAssocID="{C9E3886F-FEF9-4687-9B4D-1B43701A3083}" presName="linearFlow" presStyleCnt="0">
        <dgm:presLayoutVars>
          <dgm:dir/>
          <dgm:animLvl val="lvl"/>
          <dgm:resizeHandles val="exact"/>
        </dgm:presLayoutVars>
      </dgm:prSet>
      <dgm:spPr/>
    </dgm:pt>
    <dgm:pt modelId="{50CDF967-D1EA-4E65-BCE4-32D5364231BA}" type="pres">
      <dgm:prSet presAssocID="{31A814A3-D976-4517-BF27-66B139D25796}" presName="composite" presStyleCnt="0"/>
      <dgm:spPr/>
    </dgm:pt>
    <dgm:pt modelId="{AAC90639-3E25-46E0-B361-91796666757B}" type="pres">
      <dgm:prSet presAssocID="{31A814A3-D976-4517-BF27-66B139D25796}" presName="parentText" presStyleLbl="alignNode1" presStyleIdx="0" presStyleCnt="4">
        <dgm:presLayoutVars>
          <dgm:chMax val="1"/>
          <dgm:bulletEnabled val="1"/>
        </dgm:presLayoutVars>
      </dgm:prSet>
      <dgm:spPr/>
    </dgm:pt>
    <dgm:pt modelId="{21EFA39E-70E1-466F-8BDF-1617FE7E4C1B}" type="pres">
      <dgm:prSet presAssocID="{31A814A3-D976-4517-BF27-66B139D25796}" presName="descendantText" presStyleLbl="alignAcc1" presStyleIdx="0" presStyleCnt="4">
        <dgm:presLayoutVars>
          <dgm:bulletEnabled val="1"/>
        </dgm:presLayoutVars>
      </dgm:prSet>
      <dgm:spPr/>
    </dgm:pt>
    <dgm:pt modelId="{F21C9E94-AEEA-4A77-9DF2-2959CF5C71AE}" type="pres">
      <dgm:prSet presAssocID="{EB1B9420-E69A-4BE9-9476-8DE7E6371309}" presName="sp" presStyleCnt="0"/>
      <dgm:spPr/>
    </dgm:pt>
    <dgm:pt modelId="{BAABDA24-FFA4-4471-852B-B122B133E007}" type="pres">
      <dgm:prSet presAssocID="{A188AAB2-50DB-49B0-99AE-12D6D51EC5DB}" presName="composite" presStyleCnt="0"/>
      <dgm:spPr/>
    </dgm:pt>
    <dgm:pt modelId="{5539B46E-2250-4EAD-8A9F-7B76A71B42D2}" type="pres">
      <dgm:prSet presAssocID="{A188AAB2-50DB-49B0-99AE-12D6D51EC5DB}" presName="parentText" presStyleLbl="alignNode1" presStyleIdx="1" presStyleCnt="4">
        <dgm:presLayoutVars>
          <dgm:chMax val="1"/>
          <dgm:bulletEnabled val="1"/>
        </dgm:presLayoutVars>
      </dgm:prSet>
      <dgm:spPr/>
    </dgm:pt>
    <dgm:pt modelId="{66DB3911-5E9A-41A3-B36E-B4ADAB67FD8D}" type="pres">
      <dgm:prSet presAssocID="{A188AAB2-50DB-49B0-99AE-12D6D51EC5DB}" presName="descendantText" presStyleLbl="alignAcc1" presStyleIdx="1" presStyleCnt="4">
        <dgm:presLayoutVars>
          <dgm:bulletEnabled val="1"/>
        </dgm:presLayoutVars>
      </dgm:prSet>
      <dgm:spPr/>
    </dgm:pt>
    <dgm:pt modelId="{B1C26471-E6EA-4EE7-8AD3-ADE6CC1B8E4B}" type="pres">
      <dgm:prSet presAssocID="{34C871F1-CC54-4B06-98A3-229B1564BD15}" presName="sp" presStyleCnt="0"/>
      <dgm:spPr/>
    </dgm:pt>
    <dgm:pt modelId="{B0329648-EDCA-484A-A969-A599029F7B9A}" type="pres">
      <dgm:prSet presAssocID="{F7B21BB1-FE80-4B5B-9B41-E1ADFBE6F128}" presName="composite" presStyleCnt="0"/>
      <dgm:spPr/>
    </dgm:pt>
    <dgm:pt modelId="{0160C2D5-00B7-4A29-BA60-6966F79DD9FB}" type="pres">
      <dgm:prSet presAssocID="{F7B21BB1-FE80-4B5B-9B41-E1ADFBE6F128}" presName="parentText" presStyleLbl="alignNode1" presStyleIdx="2" presStyleCnt="4">
        <dgm:presLayoutVars>
          <dgm:chMax val="1"/>
          <dgm:bulletEnabled val="1"/>
        </dgm:presLayoutVars>
      </dgm:prSet>
      <dgm:spPr/>
    </dgm:pt>
    <dgm:pt modelId="{B11B9993-8C07-43DC-82E1-2289EA723208}" type="pres">
      <dgm:prSet presAssocID="{F7B21BB1-FE80-4B5B-9B41-E1ADFBE6F128}" presName="descendantText" presStyleLbl="alignAcc1" presStyleIdx="2" presStyleCnt="4">
        <dgm:presLayoutVars>
          <dgm:bulletEnabled val="1"/>
        </dgm:presLayoutVars>
      </dgm:prSet>
      <dgm:spPr/>
    </dgm:pt>
    <dgm:pt modelId="{F81701F0-AE38-4BEF-A43D-95EA1B1FD882}" type="pres">
      <dgm:prSet presAssocID="{45F5FF0D-983B-4769-ACA6-FB6ECA3ED0B2}" presName="sp" presStyleCnt="0"/>
      <dgm:spPr/>
    </dgm:pt>
    <dgm:pt modelId="{4607EA75-44B9-4732-9CCF-2577A4A108D9}" type="pres">
      <dgm:prSet presAssocID="{2149394C-9183-406D-83A8-1CE81C1F72C0}" presName="composite" presStyleCnt="0"/>
      <dgm:spPr/>
    </dgm:pt>
    <dgm:pt modelId="{E5F84763-74E1-43F1-B39D-E9F01012306E}" type="pres">
      <dgm:prSet presAssocID="{2149394C-9183-406D-83A8-1CE81C1F72C0}" presName="parentText" presStyleLbl="alignNode1" presStyleIdx="3" presStyleCnt="4">
        <dgm:presLayoutVars>
          <dgm:chMax val="1"/>
          <dgm:bulletEnabled val="1"/>
        </dgm:presLayoutVars>
      </dgm:prSet>
      <dgm:spPr/>
    </dgm:pt>
    <dgm:pt modelId="{220C6A34-D15A-42E4-98D1-B8F886A29646}" type="pres">
      <dgm:prSet presAssocID="{2149394C-9183-406D-83A8-1CE81C1F72C0}" presName="descendantText" presStyleLbl="alignAcc1" presStyleIdx="3" presStyleCnt="4">
        <dgm:presLayoutVars>
          <dgm:bulletEnabled val="1"/>
        </dgm:presLayoutVars>
      </dgm:prSet>
      <dgm:spPr/>
    </dgm:pt>
  </dgm:ptLst>
  <dgm:cxnLst>
    <dgm:cxn modelId="{0BE99F02-D38D-461B-8E47-E93DBCBA469A}" type="presOf" srcId="{31A814A3-D976-4517-BF27-66B139D25796}" destId="{AAC90639-3E25-46E0-B361-91796666757B}" srcOrd="0" destOrd="0" presId="urn:microsoft.com/office/officeart/2005/8/layout/chevron2"/>
    <dgm:cxn modelId="{2A1E9B0F-1FFA-4956-812E-84AD7FFBE34C}" type="presOf" srcId="{F7B21BB1-FE80-4B5B-9B41-E1ADFBE6F128}" destId="{0160C2D5-00B7-4A29-BA60-6966F79DD9FB}" srcOrd="0" destOrd="0" presId="urn:microsoft.com/office/officeart/2005/8/layout/chevron2"/>
    <dgm:cxn modelId="{4BF3FD18-2DF0-44B2-8443-F2B55D170E02}" type="presOf" srcId="{7E188745-069A-405A-ACBD-5FBC87C045FB}" destId="{21EFA39E-70E1-466F-8BDF-1617FE7E4C1B}" srcOrd="0" destOrd="0" presId="urn:microsoft.com/office/officeart/2005/8/layout/chevron2"/>
    <dgm:cxn modelId="{9D1FB72B-03C4-4008-A06C-1BD4B16ADB60}" srcId="{C9E3886F-FEF9-4687-9B4D-1B43701A3083}" destId="{F7B21BB1-FE80-4B5B-9B41-E1ADFBE6F128}" srcOrd="2" destOrd="0" parTransId="{4D6687C9-8948-45EA-80BD-0EA10796170A}" sibTransId="{45F5FF0D-983B-4769-ACA6-FB6ECA3ED0B2}"/>
    <dgm:cxn modelId="{53AD8737-200E-462C-90C4-5D55F39E6416}" srcId="{C9E3886F-FEF9-4687-9B4D-1B43701A3083}" destId="{A188AAB2-50DB-49B0-99AE-12D6D51EC5DB}" srcOrd="1" destOrd="0" parTransId="{DA3B55B9-00AC-44E2-99BF-D8A03FD0DF12}" sibTransId="{34C871F1-CC54-4B06-98A3-229B1564BD15}"/>
    <dgm:cxn modelId="{ADB07061-4F49-4B0C-A198-8CCBD64E91FA}" srcId="{A188AAB2-50DB-49B0-99AE-12D6D51EC5DB}" destId="{4D5E0E4B-FFB1-430A-AEF8-255A39956B5B}" srcOrd="0" destOrd="0" parTransId="{A7D1F177-374F-4CB8-906B-E8974BFFDFDA}" sibTransId="{1D1AB76F-D14E-4F16-9E65-B037CFB416CE}"/>
    <dgm:cxn modelId="{6C31EE42-B441-48D0-BA50-445811FADB57}" type="presOf" srcId="{C9E3886F-FEF9-4687-9B4D-1B43701A3083}" destId="{247DAE79-ABFA-48AB-B78E-9045D28FE82D}" srcOrd="0" destOrd="0" presId="urn:microsoft.com/office/officeart/2005/8/layout/chevron2"/>
    <dgm:cxn modelId="{B09FCD4E-62DB-464A-AB8B-7D308DDB2C9E}" type="presOf" srcId="{641616AA-330A-437B-9052-327BF8C8D611}" destId="{B11B9993-8C07-43DC-82E1-2289EA723208}" srcOrd="0" destOrd="0" presId="urn:microsoft.com/office/officeart/2005/8/layout/chevron2"/>
    <dgm:cxn modelId="{83BC3783-C9B8-4F9F-B425-C67B6E34490C}" type="presOf" srcId="{4D5E0E4B-FFB1-430A-AEF8-255A39956B5B}" destId="{66DB3911-5E9A-41A3-B36E-B4ADAB67FD8D}" srcOrd="0" destOrd="0" presId="urn:microsoft.com/office/officeart/2005/8/layout/chevron2"/>
    <dgm:cxn modelId="{CF9BD785-FBC1-4879-A6AE-4A44ABB1FF51}" srcId="{F7B21BB1-FE80-4B5B-9B41-E1ADFBE6F128}" destId="{641616AA-330A-437B-9052-327BF8C8D611}" srcOrd="0" destOrd="0" parTransId="{FC91E1B6-ED02-4E22-BA1E-FB24DFC9DF1E}" sibTransId="{6C91430E-5CE2-4C27-B199-FD6E373CD550}"/>
    <dgm:cxn modelId="{B026E08E-C001-4492-B7F4-0DC408C58AE5}" srcId="{C9E3886F-FEF9-4687-9B4D-1B43701A3083}" destId="{31A814A3-D976-4517-BF27-66B139D25796}" srcOrd="0" destOrd="0" parTransId="{062097E7-A1C3-4A6B-A80B-24C91784A1D3}" sibTransId="{EB1B9420-E69A-4BE9-9476-8DE7E6371309}"/>
    <dgm:cxn modelId="{3077A99E-0E6C-4196-A892-7C9E5EABFFF2}" srcId="{31A814A3-D976-4517-BF27-66B139D25796}" destId="{7E188745-069A-405A-ACBD-5FBC87C045FB}" srcOrd="0" destOrd="0" parTransId="{07D05EA4-8D99-4890-9DEE-8C3169AC782F}" sibTransId="{8468F620-836F-4807-BE42-F368F72CCCCA}"/>
    <dgm:cxn modelId="{839693C3-5494-429B-85F2-B97DCDA241F5}" srcId="{2149394C-9183-406D-83A8-1CE81C1F72C0}" destId="{F0F170AF-ABBD-4634-9C8D-D7D2DFD82706}" srcOrd="0" destOrd="0" parTransId="{B77D79C5-E61A-4067-895D-0584ED666CE6}" sibTransId="{CEB3D645-4ACB-4D31-8CDA-CD851FC927DB}"/>
    <dgm:cxn modelId="{403699C3-8EC5-4F1E-A782-7C5EA3444710}" type="presOf" srcId="{A188AAB2-50DB-49B0-99AE-12D6D51EC5DB}" destId="{5539B46E-2250-4EAD-8A9F-7B76A71B42D2}" srcOrd="0" destOrd="0" presId="urn:microsoft.com/office/officeart/2005/8/layout/chevron2"/>
    <dgm:cxn modelId="{741A56D8-62E1-4B4C-8796-EFD9861B5D4B}" type="presOf" srcId="{2149394C-9183-406D-83A8-1CE81C1F72C0}" destId="{E5F84763-74E1-43F1-B39D-E9F01012306E}" srcOrd="0" destOrd="0" presId="urn:microsoft.com/office/officeart/2005/8/layout/chevron2"/>
    <dgm:cxn modelId="{10E525EE-B58A-4B58-975C-F57B55F01005}" srcId="{C9E3886F-FEF9-4687-9B4D-1B43701A3083}" destId="{2149394C-9183-406D-83A8-1CE81C1F72C0}" srcOrd="3" destOrd="0" parTransId="{A20CF30F-CC04-4CC2-9FE0-D5541B817BC1}" sibTransId="{DF841AEE-C0D9-4745-8E02-1991282A9A00}"/>
    <dgm:cxn modelId="{A0C2D6F9-9D51-481F-9C96-4438E5D0E4D5}" type="presOf" srcId="{F0F170AF-ABBD-4634-9C8D-D7D2DFD82706}" destId="{220C6A34-D15A-42E4-98D1-B8F886A29646}" srcOrd="0" destOrd="0" presId="urn:microsoft.com/office/officeart/2005/8/layout/chevron2"/>
    <dgm:cxn modelId="{93D792BC-889B-4F05-83CB-6304BF2C5B3C}" type="presParOf" srcId="{247DAE79-ABFA-48AB-B78E-9045D28FE82D}" destId="{50CDF967-D1EA-4E65-BCE4-32D5364231BA}" srcOrd="0" destOrd="0" presId="urn:microsoft.com/office/officeart/2005/8/layout/chevron2"/>
    <dgm:cxn modelId="{729A0346-B16B-495D-932A-0A125D796678}" type="presParOf" srcId="{50CDF967-D1EA-4E65-BCE4-32D5364231BA}" destId="{AAC90639-3E25-46E0-B361-91796666757B}" srcOrd="0" destOrd="0" presId="urn:microsoft.com/office/officeart/2005/8/layout/chevron2"/>
    <dgm:cxn modelId="{E520EE64-B84D-4493-97F7-CA7E1D20817F}" type="presParOf" srcId="{50CDF967-D1EA-4E65-BCE4-32D5364231BA}" destId="{21EFA39E-70E1-466F-8BDF-1617FE7E4C1B}" srcOrd="1" destOrd="0" presId="urn:microsoft.com/office/officeart/2005/8/layout/chevron2"/>
    <dgm:cxn modelId="{DFBD1F90-CB80-4A16-BCC6-525131A4DE76}" type="presParOf" srcId="{247DAE79-ABFA-48AB-B78E-9045D28FE82D}" destId="{F21C9E94-AEEA-4A77-9DF2-2959CF5C71AE}" srcOrd="1" destOrd="0" presId="urn:microsoft.com/office/officeart/2005/8/layout/chevron2"/>
    <dgm:cxn modelId="{07CAA91F-F1E4-43B5-9B48-ED933373845B}" type="presParOf" srcId="{247DAE79-ABFA-48AB-B78E-9045D28FE82D}" destId="{BAABDA24-FFA4-4471-852B-B122B133E007}" srcOrd="2" destOrd="0" presId="urn:microsoft.com/office/officeart/2005/8/layout/chevron2"/>
    <dgm:cxn modelId="{6023C504-C95B-41BD-8E16-571B41F36F6C}" type="presParOf" srcId="{BAABDA24-FFA4-4471-852B-B122B133E007}" destId="{5539B46E-2250-4EAD-8A9F-7B76A71B42D2}" srcOrd="0" destOrd="0" presId="urn:microsoft.com/office/officeart/2005/8/layout/chevron2"/>
    <dgm:cxn modelId="{51E22FCF-9337-4DC0-B147-CA6DA5E1CBE5}" type="presParOf" srcId="{BAABDA24-FFA4-4471-852B-B122B133E007}" destId="{66DB3911-5E9A-41A3-B36E-B4ADAB67FD8D}" srcOrd="1" destOrd="0" presId="urn:microsoft.com/office/officeart/2005/8/layout/chevron2"/>
    <dgm:cxn modelId="{A5C5EFB6-AE76-4B68-BE58-F76BAB268827}" type="presParOf" srcId="{247DAE79-ABFA-48AB-B78E-9045D28FE82D}" destId="{B1C26471-E6EA-4EE7-8AD3-ADE6CC1B8E4B}" srcOrd="3" destOrd="0" presId="urn:microsoft.com/office/officeart/2005/8/layout/chevron2"/>
    <dgm:cxn modelId="{9F4B9FFC-9AE4-4EB5-9973-72246A918BD5}" type="presParOf" srcId="{247DAE79-ABFA-48AB-B78E-9045D28FE82D}" destId="{B0329648-EDCA-484A-A969-A599029F7B9A}" srcOrd="4" destOrd="0" presId="urn:microsoft.com/office/officeart/2005/8/layout/chevron2"/>
    <dgm:cxn modelId="{F91F56A0-407B-436B-AFDD-31781516DAD7}" type="presParOf" srcId="{B0329648-EDCA-484A-A969-A599029F7B9A}" destId="{0160C2D5-00B7-4A29-BA60-6966F79DD9FB}" srcOrd="0" destOrd="0" presId="urn:microsoft.com/office/officeart/2005/8/layout/chevron2"/>
    <dgm:cxn modelId="{4E85C057-E04B-42F8-AE7D-FAE6D362C8C9}" type="presParOf" srcId="{B0329648-EDCA-484A-A969-A599029F7B9A}" destId="{B11B9993-8C07-43DC-82E1-2289EA723208}" srcOrd="1" destOrd="0" presId="urn:microsoft.com/office/officeart/2005/8/layout/chevron2"/>
    <dgm:cxn modelId="{3FB51CA7-BA4D-49FD-AA51-F5CEE42D5C49}" type="presParOf" srcId="{247DAE79-ABFA-48AB-B78E-9045D28FE82D}" destId="{F81701F0-AE38-4BEF-A43D-95EA1B1FD882}" srcOrd="5" destOrd="0" presId="urn:microsoft.com/office/officeart/2005/8/layout/chevron2"/>
    <dgm:cxn modelId="{F8FD5B92-3967-44EC-83CD-BD0C564F7C69}" type="presParOf" srcId="{247DAE79-ABFA-48AB-B78E-9045D28FE82D}" destId="{4607EA75-44B9-4732-9CCF-2577A4A108D9}" srcOrd="6" destOrd="0" presId="urn:microsoft.com/office/officeart/2005/8/layout/chevron2"/>
    <dgm:cxn modelId="{8F528C2E-9511-41CE-A590-756F3277898B}" type="presParOf" srcId="{4607EA75-44B9-4732-9CCF-2577A4A108D9}" destId="{E5F84763-74E1-43F1-B39D-E9F01012306E}" srcOrd="0" destOrd="0" presId="urn:microsoft.com/office/officeart/2005/8/layout/chevron2"/>
    <dgm:cxn modelId="{7B38DBEB-70D8-45F7-A7E3-02A15D942225}" type="presParOf" srcId="{4607EA75-44B9-4732-9CCF-2577A4A108D9}" destId="{220C6A34-D15A-42E4-98D1-B8F886A29646}"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90639-3E25-46E0-B361-91796666757B}">
      <dsp:nvSpPr>
        <dsp:cNvPr id="0" name=""/>
        <dsp:cNvSpPr/>
      </dsp:nvSpPr>
      <dsp:spPr>
        <a:xfrm rot="5400000">
          <a:off x="-137126" y="138494"/>
          <a:ext cx="914176" cy="639923"/>
        </a:xfrm>
        <a:prstGeom prst="chevron">
          <a:avLst/>
        </a:prstGeom>
        <a:solidFill>
          <a:schemeClr val="bg1">
            <a:lumMod val="50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1</a:t>
          </a:r>
        </a:p>
      </dsp:txBody>
      <dsp:txXfrm rot="-5400000">
        <a:off x="1" y="321330"/>
        <a:ext cx="639923" cy="274253"/>
      </dsp:txXfrm>
    </dsp:sp>
    <dsp:sp modelId="{21EFA39E-70E1-466F-8BDF-1617FE7E4C1B}">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Online survey of stakeholders in low-and middle-income countries to generate a list of uncertainties regarding diagnosis, treatment or prevention of patients with drug-resistant infections</a:t>
          </a:r>
        </a:p>
      </dsp:txBody>
      <dsp:txXfrm rot="-5400000">
        <a:off x="639924" y="30374"/>
        <a:ext cx="4817469" cy="536200"/>
      </dsp:txXfrm>
    </dsp:sp>
    <dsp:sp modelId="{5539B46E-2250-4EAD-8A9F-7B76A71B42D2}">
      <dsp:nvSpPr>
        <dsp:cNvPr id="0" name=""/>
        <dsp:cNvSpPr/>
      </dsp:nvSpPr>
      <dsp:spPr>
        <a:xfrm rot="5400000">
          <a:off x="-137126" y="899656"/>
          <a:ext cx="914176" cy="639923"/>
        </a:xfrm>
        <a:prstGeom prst="chevron">
          <a:avLst/>
        </a:prstGeom>
        <a:solidFill>
          <a:schemeClr val="bg1">
            <a:lumMod val="50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2</a:t>
          </a:r>
        </a:p>
      </dsp:txBody>
      <dsp:txXfrm rot="-5400000">
        <a:off x="1" y="1082492"/>
        <a:ext cx="639923" cy="274253"/>
      </dsp:txXfrm>
    </dsp:sp>
    <dsp:sp modelId="{66DB3911-5E9A-41A3-B36E-B4ADAB67FD8D}">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Thematic categorisation, exclusion of ineligible responses and mapping of all responsed to a shortlist of questions by two reviewers</a:t>
          </a:r>
        </a:p>
      </dsp:txBody>
      <dsp:txXfrm rot="-5400000">
        <a:off x="639924" y="791537"/>
        <a:ext cx="4817469" cy="536200"/>
      </dsp:txXfrm>
    </dsp:sp>
    <dsp:sp modelId="{0160C2D5-00B7-4A29-BA60-6966F79DD9FB}">
      <dsp:nvSpPr>
        <dsp:cNvPr id="0" name=""/>
        <dsp:cNvSpPr/>
      </dsp:nvSpPr>
      <dsp:spPr>
        <a:xfrm rot="5400000">
          <a:off x="-137126" y="1660819"/>
          <a:ext cx="914176" cy="639923"/>
        </a:xfrm>
        <a:prstGeom prst="chevron">
          <a:avLst/>
        </a:prstGeom>
        <a:solidFill>
          <a:schemeClr val="bg1">
            <a:lumMod val="50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3</a:t>
          </a:r>
        </a:p>
      </dsp:txBody>
      <dsp:txXfrm rot="-5400000">
        <a:off x="1" y="1843655"/>
        <a:ext cx="639923" cy="274253"/>
      </dsp:txXfrm>
    </dsp:sp>
    <dsp:sp modelId="{B11B9993-8C07-43DC-82E1-2289EA723208}">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Interim prioritisation by ranking of questions on the shortlist by the steering group</a:t>
          </a:r>
        </a:p>
      </dsp:txBody>
      <dsp:txXfrm rot="-5400000">
        <a:off x="639924" y="1552700"/>
        <a:ext cx="4817469" cy="536200"/>
      </dsp:txXfrm>
    </dsp:sp>
    <dsp:sp modelId="{E5F84763-74E1-43F1-B39D-E9F01012306E}">
      <dsp:nvSpPr>
        <dsp:cNvPr id="0" name=""/>
        <dsp:cNvSpPr/>
      </dsp:nvSpPr>
      <dsp:spPr>
        <a:xfrm rot="5400000">
          <a:off x="-137126" y="2421982"/>
          <a:ext cx="914176" cy="639923"/>
        </a:xfrm>
        <a:prstGeom prst="chevron">
          <a:avLst/>
        </a:prstGeom>
        <a:solidFill>
          <a:schemeClr val="bg1">
            <a:lumMod val="5000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4</a:t>
          </a:r>
        </a:p>
      </dsp:txBody>
      <dsp:txXfrm rot="-5400000">
        <a:off x="1" y="2604818"/>
        <a:ext cx="639923" cy="274253"/>
      </dsp:txXfrm>
    </dsp:sp>
    <dsp:sp modelId="{220C6A34-D15A-42E4-98D1-B8F886A29646}">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 priorisation of three topics for further research according to pre-defined criteria</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Ashley</dc:creator>
  <cp:keywords/>
  <dc:description/>
  <cp:lastModifiedBy>Liz Ashley</cp:lastModifiedBy>
  <cp:revision>7</cp:revision>
  <dcterms:created xsi:type="dcterms:W3CDTF">2020-05-28T02:45:00Z</dcterms:created>
  <dcterms:modified xsi:type="dcterms:W3CDTF">2020-05-28T02:52:00Z</dcterms:modified>
</cp:coreProperties>
</file>