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DAECA" w14:textId="77777777" w:rsidR="00E16B47" w:rsidRPr="00E44330" w:rsidRDefault="0036232A" w:rsidP="003429C2">
      <w:pPr>
        <w:spacing w:line="360" w:lineRule="auto"/>
        <w:jc w:val="center"/>
        <w:rPr>
          <w:b/>
        </w:rPr>
      </w:pPr>
      <w:r>
        <w:rPr>
          <w:b/>
        </w:rPr>
        <w:t>Revised m</w:t>
      </w:r>
      <w:r w:rsidR="00E44330" w:rsidRPr="00E44330">
        <w:rPr>
          <w:b/>
        </w:rPr>
        <w:t>anuscript</w:t>
      </w:r>
      <w:r>
        <w:rPr>
          <w:b/>
        </w:rPr>
        <w:t xml:space="preserve"> submitted to Clinical Medicine Journal</w:t>
      </w:r>
    </w:p>
    <w:p w14:paraId="61F721AB" w14:textId="77777777" w:rsidR="00E44330" w:rsidRPr="00E44330" w:rsidRDefault="00E44330" w:rsidP="003429C2">
      <w:pPr>
        <w:spacing w:line="360" w:lineRule="auto"/>
        <w:rPr>
          <w:b/>
        </w:rPr>
      </w:pPr>
      <w:r w:rsidRPr="00E44330">
        <w:rPr>
          <w:b/>
        </w:rPr>
        <w:t>Background</w:t>
      </w:r>
    </w:p>
    <w:p w14:paraId="60D3965B" w14:textId="77777777" w:rsidR="005D470D" w:rsidRDefault="00D5680C" w:rsidP="005D470D">
      <w:pPr>
        <w:spacing w:line="360" w:lineRule="auto"/>
        <w:jc w:val="both"/>
      </w:pPr>
      <w:r>
        <w:t>Many m</w:t>
      </w:r>
      <w:r w:rsidR="00887E96">
        <w:t xml:space="preserve">edical departments </w:t>
      </w:r>
      <w:r>
        <w:t xml:space="preserve">in NHS hospitals </w:t>
      </w:r>
      <w:r w:rsidR="00887E96">
        <w:t xml:space="preserve">receive regular advice calls </w:t>
      </w:r>
      <w:r>
        <w:t xml:space="preserve">from general practitioners or teams at external hospitals </w:t>
      </w:r>
      <w:r w:rsidR="00887E96">
        <w:t>to discuss patient</w:t>
      </w:r>
      <w:r>
        <w:t>s’</w:t>
      </w:r>
      <w:r w:rsidR="00887E96">
        <w:t xml:space="preserve"> diagnosis and care. </w:t>
      </w:r>
      <w:r>
        <w:t>There is little evidence to suggest that there are forma</w:t>
      </w:r>
      <w:r w:rsidR="00887E96">
        <w:t xml:space="preserve">l systems in place to document the number and nature of such calls </w:t>
      </w:r>
      <w:r>
        <w:t xml:space="preserve">and the outcomes of the patients involved. Therefore, the burden on staff costs and time of dealing with such calls remains unknown and the continuity of advice given unclear. </w:t>
      </w:r>
      <w:r w:rsidR="0037777A">
        <w:t>In conjunction with the Liverpool School of Tropical Medicine (LSTM), t</w:t>
      </w:r>
      <w:r w:rsidR="00E44330">
        <w:t>he Tropical and Infectious Disease Unit (TIDU)</w:t>
      </w:r>
      <w:r w:rsidR="00833788">
        <w:t xml:space="preserve"> </w:t>
      </w:r>
      <w:r w:rsidR="0037777A">
        <w:t>at</w:t>
      </w:r>
      <w:r w:rsidR="00833788">
        <w:t xml:space="preserve"> Liverpool </w:t>
      </w:r>
      <w:r w:rsidR="005F7DB1">
        <w:t>University Hospital</w:t>
      </w:r>
      <w:r w:rsidR="00D152C7">
        <w:t>s Foundation</w:t>
      </w:r>
      <w:r w:rsidR="005F7DB1">
        <w:t xml:space="preserve"> Trust</w:t>
      </w:r>
      <w:r w:rsidR="0037777A" w:rsidRPr="0037777A">
        <w:t xml:space="preserve"> </w:t>
      </w:r>
      <w:r w:rsidR="0037777A">
        <w:t>(</w:t>
      </w:r>
      <w:r w:rsidR="00887E96">
        <w:t>LUFT</w:t>
      </w:r>
      <w:r w:rsidR="00D152C7">
        <w:t>LUFT</w:t>
      </w:r>
      <w:r w:rsidR="0037777A">
        <w:t xml:space="preserve">) provides specialist advice locally, </w:t>
      </w:r>
      <w:proofErr w:type="gramStart"/>
      <w:r w:rsidR="0037777A">
        <w:t>regionally</w:t>
      </w:r>
      <w:proofErr w:type="gramEnd"/>
      <w:r w:rsidR="0037777A">
        <w:t xml:space="preserve"> and nationally in the United Kingdom.</w:t>
      </w:r>
      <w:r w:rsidR="005046A5">
        <w:t xml:space="preserve"> </w:t>
      </w:r>
      <w:r w:rsidR="003A169C">
        <w:t xml:space="preserve">This service is </w:t>
      </w:r>
      <w:r w:rsidR="003A169C" w:rsidRPr="003A169C">
        <w:t xml:space="preserve">separate from calls received at </w:t>
      </w:r>
      <w:r w:rsidR="0037777A">
        <w:t>LSTM</w:t>
      </w:r>
      <w:r w:rsidR="00D65BCD">
        <w:t xml:space="preserve">, referrals from </w:t>
      </w:r>
      <w:r w:rsidR="00887E96">
        <w:t>LUFT</w:t>
      </w:r>
      <w:r w:rsidR="0037777A">
        <w:t xml:space="preserve">’s </w:t>
      </w:r>
      <w:r w:rsidR="003A169C" w:rsidRPr="003A169C">
        <w:t xml:space="preserve">Emergency Room, </w:t>
      </w:r>
      <w:r w:rsidR="0037777A">
        <w:t>TIDU’s</w:t>
      </w:r>
      <w:r w:rsidR="0037777A" w:rsidRPr="003A169C">
        <w:t xml:space="preserve"> </w:t>
      </w:r>
      <w:r w:rsidR="003A169C" w:rsidRPr="003A169C">
        <w:t xml:space="preserve">combined </w:t>
      </w:r>
      <w:r>
        <w:t xml:space="preserve">infectious diseases and </w:t>
      </w:r>
      <w:r w:rsidR="003A169C" w:rsidRPr="003A169C">
        <w:t xml:space="preserve">microbiology consult service within </w:t>
      </w:r>
      <w:r w:rsidR="00887E96">
        <w:t>LUFT</w:t>
      </w:r>
      <w:r w:rsidR="0037777A">
        <w:t xml:space="preserve">, or coverage provided to the </w:t>
      </w:r>
      <w:r w:rsidR="00055548">
        <w:t>national Imported Fever Service</w:t>
      </w:r>
      <w:r w:rsidR="003A169C" w:rsidRPr="003A169C">
        <w:t xml:space="preserve">. </w:t>
      </w:r>
      <w:r w:rsidR="00E44330">
        <w:t xml:space="preserve">The initial point of contact for </w:t>
      </w:r>
      <w:r w:rsidR="003A169C">
        <w:t>TIDU specialist advice</w:t>
      </w:r>
      <w:r w:rsidR="00E44330">
        <w:t xml:space="preserve"> is a TIDU Specialist </w:t>
      </w:r>
      <w:r w:rsidR="003A169C">
        <w:t>Trainee</w:t>
      </w:r>
      <w:r w:rsidR="00E44330">
        <w:t xml:space="preserve"> </w:t>
      </w:r>
      <w:r w:rsidR="00640050">
        <w:t>through</w:t>
      </w:r>
      <w:r w:rsidR="00E44330">
        <w:t xml:space="preserve"> the on-call telephone</w:t>
      </w:r>
      <w:r w:rsidR="00640050">
        <w:t>,</w:t>
      </w:r>
      <w:r w:rsidR="003A169C">
        <w:t xml:space="preserve"> to which </w:t>
      </w:r>
      <w:r w:rsidR="00640050">
        <w:t>trainees</w:t>
      </w:r>
      <w:r w:rsidR="003A169C">
        <w:t xml:space="preserve"> are allocated </w:t>
      </w:r>
      <w:r w:rsidR="00E727DF">
        <w:t>by rota t</w:t>
      </w:r>
      <w:r w:rsidR="003A169C">
        <w:t>hroughout the year</w:t>
      </w:r>
      <w:r w:rsidR="00267505">
        <w:t xml:space="preserve">, with evening and weekend on-call duties changing hands </w:t>
      </w:r>
      <w:proofErr w:type="gramStart"/>
      <w:r w:rsidR="00267505">
        <w:t>on a daily basis</w:t>
      </w:r>
      <w:proofErr w:type="gramEnd"/>
      <w:r w:rsidR="00E44330">
        <w:t xml:space="preserve">. </w:t>
      </w:r>
    </w:p>
    <w:p w14:paraId="303C0DDB" w14:textId="77777777" w:rsidR="00B00073" w:rsidRDefault="003A169C" w:rsidP="00BA43F9">
      <w:pPr>
        <w:spacing w:line="360" w:lineRule="auto"/>
        <w:jc w:val="both"/>
      </w:pPr>
      <w:r>
        <w:t>Until June 2017, no central</w:t>
      </w:r>
      <w:r w:rsidR="00D65BCD">
        <w:t xml:space="preserve"> system for documentation of</w:t>
      </w:r>
      <w:r>
        <w:t xml:space="preserve"> advice calls existed</w:t>
      </w:r>
      <w:r w:rsidR="00E727DF">
        <w:t xml:space="preserve">. </w:t>
      </w:r>
      <w:r>
        <w:t xml:space="preserve">TIDU Specialist </w:t>
      </w:r>
      <w:r w:rsidR="00E727DF">
        <w:t>Trainees</w:t>
      </w:r>
      <w:r>
        <w:t xml:space="preserve"> receiving advice calls would document </w:t>
      </w:r>
      <w:r w:rsidR="00583703">
        <w:t xml:space="preserve">their own </w:t>
      </w:r>
      <w:r w:rsidR="00D65BCD">
        <w:t xml:space="preserve">call </w:t>
      </w:r>
      <w:r w:rsidR="00583703">
        <w:t>notes</w:t>
      </w:r>
      <w:r w:rsidR="00D65BCD">
        <w:t xml:space="preserve">, which were </w:t>
      </w:r>
      <w:r>
        <w:t xml:space="preserve">inaccessible to </w:t>
      </w:r>
      <w:r w:rsidR="00D43054">
        <w:t>other trainees and</w:t>
      </w:r>
      <w:r w:rsidR="00D5680C">
        <w:t>/or</w:t>
      </w:r>
      <w:r w:rsidR="00D43054">
        <w:t xml:space="preserve"> </w:t>
      </w:r>
      <w:r>
        <w:t xml:space="preserve">the </w:t>
      </w:r>
      <w:r w:rsidR="00583703">
        <w:t xml:space="preserve">multi-disciplinary </w:t>
      </w:r>
      <w:r>
        <w:t>team</w:t>
      </w:r>
      <w:r w:rsidR="00583703">
        <w:t xml:space="preserve"> (MDT)</w:t>
      </w:r>
      <w:r>
        <w:t xml:space="preserve">. </w:t>
      </w:r>
      <w:r w:rsidR="00D65BCD">
        <w:t xml:space="preserve">Repeated advice calls regarding the same patient </w:t>
      </w:r>
      <w:r>
        <w:t>(e.g. from a general practitioner or secondary healthcare)</w:t>
      </w:r>
      <w:r w:rsidR="00D65BCD">
        <w:t xml:space="preserve"> were often received by different trainees. </w:t>
      </w:r>
      <w:r w:rsidR="00833788">
        <w:t xml:space="preserve">Most </w:t>
      </w:r>
      <w:r w:rsidR="0037777A">
        <w:t xml:space="preserve">of these </w:t>
      </w:r>
      <w:r w:rsidR="00833788">
        <w:t>calls concern</w:t>
      </w:r>
      <w:r w:rsidR="0037777A">
        <w:t>ed</w:t>
      </w:r>
      <w:r w:rsidR="00833788">
        <w:t xml:space="preserve"> </w:t>
      </w:r>
      <w:r w:rsidR="0037777A">
        <w:t xml:space="preserve">external </w:t>
      </w:r>
      <w:r w:rsidR="00833788">
        <w:t xml:space="preserve">patients who </w:t>
      </w:r>
      <w:r w:rsidR="0037777A">
        <w:t>were</w:t>
      </w:r>
      <w:r w:rsidR="00833788">
        <w:t xml:space="preserve"> not registered in the </w:t>
      </w:r>
      <w:r w:rsidR="00D43054">
        <w:t>local T</w:t>
      </w:r>
      <w:r w:rsidR="00833788">
        <w:t xml:space="preserve">rust electronic record system, </w:t>
      </w:r>
      <w:r w:rsidR="00D43054">
        <w:t>which</w:t>
      </w:r>
      <w:r w:rsidR="00833788">
        <w:t xml:space="preserve"> could not </w:t>
      </w:r>
      <w:r w:rsidR="0037777A">
        <w:t>therefore be used for documentation</w:t>
      </w:r>
      <w:r w:rsidR="00833788">
        <w:t xml:space="preserve">. </w:t>
      </w:r>
      <w:r w:rsidR="0037777A">
        <w:t>TIDU Specialist T</w:t>
      </w:r>
      <w:r w:rsidR="00055548">
        <w:t>r</w:t>
      </w:r>
      <w:r w:rsidR="00D65BCD">
        <w:t xml:space="preserve">ainees reported that this </w:t>
      </w:r>
      <w:r w:rsidR="005F0D21">
        <w:t xml:space="preserve">lack of robust documentation </w:t>
      </w:r>
      <w:r w:rsidR="0037777A">
        <w:t xml:space="preserve">led to inadequate </w:t>
      </w:r>
      <w:r w:rsidR="00055548">
        <w:t>handover</w:t>
      </w:r>
      <w:r w:rsidR="0037777A">
        <w:t xml:space="preserve"> and discontinuity of patient care</w:t>
      </w:r>
      <w:r w:rsidR="00833788">
        <w:t xml:space="preserve">. </w:t>
      </w:r>
      <w:r w:rsidR="00D65BCD">
        <w:t>Moreover</w:t>
      </w:r>
      <w:r w:rsidR="00583703">
        <w:t xml:space="preserve">, the lack of extant </w:t>
      </w:r>
      <w:r w:rsidR="00640050">
        <w:t>data regarding call volume</w:t>
      </w:r>
      <w:r w:rsidR="00583703">
        <w:t>s</w:t>
      </w:r>
      <w:r w:rsidR="00640050">
        <w:t>, clinical advice given, communicable disease recognition, patient outcomes, costs, and remuneration of such services</w:t>
      </w:r>
      <w:r w:rsidR="00583703">
        <w:t>, was perceived to overlook a substantial workload and thus be a barrier to workforce planning and resource allocation</w:t>
      </w:r>
      <w:r w:rsidR="00640050">
        <w:t>.</w:t>
      </w:r>
      <w:r w:rsidR="00583703">
        <w:t xml:space="preserve"> </w:t>
      </w:r>
      <w:r w:rsidR="00B00073">
        <w:t xml:space="preserve">Therefore, </w:t>
      </w:r>
      <w:r w:rsidR="005D470D">
        <w:t xml:space="preserve">it was decided </w:t>
      </w:r>
      <w:r w:rsidR="00B00073">
        <w:t xml:space="preserve">departmentally </w:t>
      </w:r>
      <w:r w:rsidR="005D470D">
        <w:t>that</w:t>
      </w:r>
      <w:r w:rsidR="00833788">
        <w:t xml:space="preserve"> </w:t>
      </w:r>
      <w:r w:rsidR="00E5120E">
        <w:t xml:space="preserve">an advice-call </w:t>
      </w:r>
      <w:r w:rsidR="005D470D">
        <w:t xml:space="preserve">recording system and database </w:t>
      </w:r>
      <w:r w:rsidR="005F0D21">
        <w:t xml:space="preserve">for such predominantly external calls </w:t>
      </w:r>
      <w:r w:rsidR="00833788">
        <w:t>sh</w:t>
      </w:r>
      <w:r w:rsidR="000C0439">
        <w:t>ould be created and evaluated</w:t>
      </w:r>
      <w:r w:rsidR="005D470D">
        <w:t>.</w:t>
      </w:r>
      <w:r w:rsidR="00E5120E">
        <w:t xml:space="preserve"> </w:t>
      </w:r>
    </w:p>
    <w:p w14:paraId="0AEC5A83" w14:textId="77777777" w:rsidR="00D03572" w:rsidRDefault="00017B62" w:rsidP="00D43054">
      <w:pPr>
        <w:spacing w:line="360" w:lineRule="auto"/>
        <w:jc w:val="both"/>
        <w:rPr>
          <w:b/>
        </w:rPr>
      </w:pPr>
      <w:r w:rsidRPr="00017B62">
        <w:t>The aims of the</w:t>
      </w:r>
      <w:r w:rsidR="00C254C8">
        <w:t xml:space="preserve"> quality improvement project</w:t>
      </w:r>
      <w:r w:rsidRPr="00017B62">
        <w:t xml:space="preserve"> </w:t>
      </w:r>
      <w:r w:rsidR="00C254C8">
        <w:t>(</w:t>
      </w:r>
      <w:r w:rsidRPr="00017B62">
        <w:t>QIP</w:t>
      </w:r>
      <w:r w:rsidR="00C254C8">
        <w:t>)</w:t>
      </w:r>
      <w:r w:rsidRPr="00017B62">
        <w:t xml:space="preserve"> were to: </w:t>
      </w:r>
      <w:proofErr w:type="spellStart"/>
      <w:r w:rsidRPr="00017B62">
        <w:t>i</w:t>
      </w:r>
      <w:proofErr w:type="spellEnd"/>
      <w:r w:rsidRPr="00017B62">
        <w:t xml:space="preserve">) </w:t>
      </w:r>
      <w:r w:rsidR="00D5680C">
        <w:t>c</w:t>
      </w:r>
      <w:r w:rsidRPr="00017B62">
        <w:t>entralise information from clinical referral</w:t>
      </w:r>
      <w:r w:rsidR="00D5680C">
        <w:t>s</w:t>
      </w:r>
      <w:r w:rsidRPr="00017B62">
        <w:t xml:space="preserve"> for advice and/or transfer from external hospitals, primary healthcare facilities, or other healthcare providers; ii) improve continuity of virtual care and advice from TIDU for people not currently inpatients within TIDU; iii) improve documentation in line with good clinical and medico-legal practice and accountability; iv) create a database for calls taken which would be useful for audit purposes</w:t>
      </w:r>
      <w:r w:rsidR="00D5680C">
        <w:t xml:space="preserve"> and</w:t>
      </w:r>
      <w:r w:rsidRPr="00017B62">
        <w:t xml:space="preserve"> </w:t>
      </w:r>
      <w:r w:rsidR="00D5680C">
        <w:t xml:space="preserve">reviewing </w:t>
      </w:r>
      <w:r w:rsidRPr="00017B62">
        <w:t>TIDU service provision</w:t>
      </w:r>
      <w:r w:rsidR="00C44C1B">
        <w:t xml:space="preserve">; and v) provide a practical description of replicable </w:t>
      </w:r>
      <w:r w:rsidR="00C44C1B">
        <w:lastRenderedPageBreak/>
        <w:t>methods useful to support other general and specialist units to implement similar systems</w:t>
      </w:r>
      <w:r w:rsidRPr="00017B62">
        <w:t>.</w:t>
      </w:r>
      <w:r w:rsidR="00C44C1B">
        <w:t xml:space="preserve"> </w:t>
      </w:r>
      <w:r w:rsidR="00833788">
        <w:t>W</w:t>
      </w:r>
      <w:r w:rsidR="00A77FBD">
        <w:t xml:space="preserve">e describe the design and implementation of </w:t>
      </w:r>
      <w:r w:rsidR="00833788">
        <w:t xml:space="preserve">this </w:t>
      </w:r>
      <w:r w:rsidR="00A77FBD">
        <w:t xml:space="preserve">advice-call recording system and present the findings from analysis </w:t>
      </w:r>
      <w:r w:rsidR="00A77FBD" w:rsidRPr="00017B62">
        <w:t xml:space="preserve">of </w:t>
      </w:r>
      <w:r w:rsidR="00833788" w:rsidRPr="00017B62">
        <w:t xml:space="preserve">data collected in </w:t>
      </w:r>
      <w:r w:rsidR="00A77FBD" w:rsidRPr="00017B62">
        <w:t>the first 14 months</w:t>
      </w:r>
      <w:r w:rsidRPr="00017B62">
        <w:t>. Finally, we use our results and experience to generate practical</w:t>
      </w:r>
      <w:r w:rsidRPr="00723B61">
        <w:t xml:space="preserve"> recommendations to </w:t>
      </w:r>
      <w:r w:rsidRPr="007D2002">
        <w:t>support</w:t>
      </w:r>
      <w:r w:rsidRPr="00017B62">
        <w:t xml:space="preserve"> </w:t>
      </w:r>
      <w:r w:rsidR="00D5680C">
        <w:t xml:space="preserve">both </w:t>
      </w:r>
      <w:r w:rsidRPr="00017B62">
        <w:t xml:space="preserve">general and specialist medical departments to set up similar, </w:t>
      </w:r>
      <w:proofErr w:type="gramStart"/>
      <w:r w:rsidRPr="00017B62">
        <w:t>locally-adapted</w:t>
      </w:r>
      <w:proofErr w:type="gramEnd"/>
      <w:r w:rsidRPr="00017B62">
        <w:t xml:space="preserve"> systems</w:t>
      </w:r>
      <w:r w:rsidR="006B7886">
        <w:t>.</w:t>
      </w:r>
    </w:p>
    <w:p w14:paraId="2858FFCD" w14:textId="77777777" w:rsidR="00E44330" w:rsidRPr="00E44330" w:rsidRDefault="00E44330" w:rsidP="00BA43F9">
      <w:pPr>
        <w:spacing w:line="360" w:lineRule="auto"/>
        <w:jc w:val="both"/>
        <w:rPr>
          <w:b/>
        </w:rPr>
      </w:pPr>
      <w:r w:rsidRPr="00E44330">
        <w:rPr>
          <w:b/>
        </w:rPr>
        <w:t>Methods</w:t>
      </w:r>
    </w:p>
    <w:p w14:paraId="795A1564" w14:textId="77777777" w:rsidR="00E55A6C" w:rsidRDefault="00E44330" w:rsidP="00BA43F9">
      <w:pPr>
        <w:spacing w:line="360" w:lineRule="auto"/>
        <w:jc w:val="both"/>
      </w:pPr>
      <w:r>
        <w:t>In May 2017, an electronic advice-call template was created</w:t>
      </w:r>
      <w:r w:rsidR="00D40504">
        <w:t xml:space="preserve"> (Box 1) </w:t>
      </w:r>
      <w:r w:rsidR="00D43054">
        <w:t>to be</w:t>
      </w:r>
      <w:r w:rsidR="00D40504">
        <w:t xml:space="preserve"> </w:t>
      </w:r>
      <w:r>
        <w:t xml:space="preserve">used by TIDU </w:t>
      </w:r>
      <w:r w:rsidR="005F0D21">
        <w:t>S</w:t>
      </w:r>
      <w:r>
        <w:t xml:space="preserve">pecialist </w:t>
      </w:r>
      <w:r w:rsidR="005F0D21">
        <w:t>T</w:t>
      </w:r>
      <w:r>
        <w:t xml:space="preserve">rainees to record complex, external calls. </w:t>
      </w:r>
      <w:r w:rsidR="00E55A6C">
        <w:t>The project was registered with the local QIP department and also with the national online QIP repository</w:t>
      </w:r>
      <w:r w:rsidR="00D5680C">
        <w:t>,</w:t>
      </w:r>
      <w:r w:rsidR="00E55A6C">
        <w:t xml:space="preserve"> “Life QI” (</w:t>
      </w:r>
      <w:hyperlink r:id="rId8" w:history="1">
        <w:r w:rsidR="00E55A6C" w:rsidRPr="00B75675">
          <w:rPr>
            <w:rStyle w:val="Hyperlink"/>
          </w:rPr>
          <w:t>https://www.lifeqisystem.com</w:t>
        </w:r>
      </w:hyperlink>
      <w:r w:rsidR="00017B62">
        <w:t>, see PDF Supplementary File</w:t>
      </w:r>
      <w:r w:rsidR="00E55A6C">
        <w:t xml:space="preserve">). </w:t>
      </w:r>
    </w:p>
    <w:p w14:paraId="0FF386D5" w14:textId="77777777" w:rsidR="00BA43F9" w:rsidRDefault="00E44330" w:rsidP="00BA43F9">
      <w:pPr>
        <w:spacing w:line="360" w:lineRule="auto"/>
        <w:jc w:val="both"/>
      </w:pPr>
      <w:r>
        <w:t xml:space="preserve">A standard operating procedure (SOP) and criteria for recording calls </w:t>
      </w:r>
      <w:r w:rsidR="00F977E2">
        <w:t xml:space="preserve">were </w:t>
      </w:r>
      <w:r>
        <w:t>developed</w:t>
      </w:r>
      <w:r w:rsidR="00D40504">
        <w:t xml:space="preserve"> and</w:t>
      </w:r>
      <w:r>
        <w:t xml:space="preserve"> agreed</w:t>
      </w:r>
      <w:r w:rsidR="00D40504">
        <w:t xml:space="preserve"> (Box 1</w:t>
      </w:r>
      <w:r w:rsidR="005F7DB1">
        <w:t>).</w:t>
      </w:r>
      <w:r>
        <w:t xml:space="preserve"> </w:t>
      </w:r>
      <w:r w:rsidR="00517C98">
        <w:t xml:space="preserve">The template was filled in as a Word document and saved in a </w:t>
      </w:r>
      <w:r w:rsidR="00D5680C">
        <w:t xml:space="preserve">shared NHS drive in a </w:t>
      </w:r>
      <w:r w:rsidR="00517C98">
        <w:t xml:space="preserve">secure folder, accessible only by TIDU healthcare professionals. Each new entry was saved in a separate subfolder with a title including the initials and DOB of the patient discussed. The entries were analysed quarterly by collating and transferring the data into an Excel spreadsheet. </w:t>
      </w:r>
      <w:r w:rsidR="00B00073">
        <w:t xml:space="preserve">In June 2017, on implementation, </w:t>
      </w:r>
      <w:r>
        <w:t xml:space="preserve">TIDU </w:t>
      </w:r>
      <w:r w:rsidR="00D43054">
        <w:t>S</w:t>
      </w:r>
      <w:r>
        <w:t xml:space="preserve">pecialist </w:t>
      </w:r>
      <w:r w:rsidR="00D43054">
        <w:t>T</w:t>
      </w:r>
      <w:r w:rsidR="00597103">
        <w:t>rainees were trained face-to-face and sent an explana</w:t>
      </w:r>
      <w:r w:rsidR="00B00073">
        <w:t>tory email about the new system. F</w:t>
      </w:r>
      <w:r w:rsidR="00597103">
        <w:t>urther email reminder</w:t>
      </w:r>
      <w:r w:rsidR="00B00073">
        <w:t>s were sent in August 2017</w:t>
      </w:r>
      <w:r w:rsidR="00597103">
        <w:t xml:space="preserve">. </w:t>
      </w:r>
      <w:r>
        <w:t xml:space="preserve"> </w:t>
      </w:r>
    </w:p>
    <w:p w14:paraId="0C884344" w14:textId="77777777" w:rsidR="00A77FBD" w:rsidRDefault="00A77FBD" w:rsidP="00A77FBD">
      <w:pPr>
        <w:pBdr>
          <w:top w:val="single" w:sz="4" w:space="1" w:color="auto"/>
          <w:left w:val="single" w:sz="4" w:space="4" w:color="auto"/>
          <w:bottom w:val="single" w:sz="4" w:space="1" w:color="auto"/>
          <w:right w:val="single" w:sz="4" w:space="4" w:color="auto"/>
        </w:pBdr>
        <w:spacing w:line="360" w:lineRule="auto"/>
        <w:jc w:val="both"/>
        <w:rPr>
          <w:b/>
        </w:rPr>
      </w:pPr>
      <w:r w:rsidRPr="00A77FBD">
        <w:rPr>
          <w:b/>
        </w:rPr>
        <w:t>Box</w:t>
      </w:r>
      <w:r w:rsidR="00CE4B33">
        <w:rPr>
          <w:b/>
        </w:rPr>
        <w:t xml:space="preserve"> 1: </w:t>
      </w:r>
      <w:r w:rsidR="00FE5023">
        <w:rPr>
          <w:b/>
        </w:rPr>
        <w:t>St</w:t>
      </w:r>
      <w:r w:rsidR="00507CBF">
        <w:rPr>
          <w:b/>
        </w:rPr>
        <w:t>andard Operating Procedure and T</w:t>
      </w:r>
      <w:r w:rsidR="00CE4B33">
        <w:rPr>
          <w:b/>
        </w:rPr>
        <w:t>emplate</w:t>
      </w:r>
      <w:r w:rsidR="00FE5023">
        <w:rPr>
          <w:b/>
        </w:rPr>
        <w:t xml:space="preserve"> for advice calls documentation</w:t>
      </w:r>
    </w:p>
    <w:p w14:paraId="62894FC8" w14:textId="77777777" w:rsidR="00FE5023" w:rsidRPr="00FE5023" w:rsidRDefault="00FE5023" w:rsidP="00FE5023">
      <w:pPr>
        <w:pBdr>
          <w:top w:val="single" w:sz="4" w:space="1" w:color="auto"/>
          <w:left w:val="single" w:sz="4" w:space="4" w:color="auto"/>
          <w:bottom w:val="single" w:sz="4" w:space="1" w:color="auto"/>
          <w:right w:val="single" w:sz="4" w:space="4" w:color="auto"/>
        </w:pBdr>
        <w:spacing w:line="360" w:lineRule="auto"/>
        <w:jc w:val="both"/>
      </w:pPr>
      <w:r w:rsidRPr="00D40504">
        <w:rPr>
          <w:b/>
        </w:rPr>
        <w:t>Eligibility criteria:</w:t>
      </w:r>
    </w:p>
    <w:p w14:paraId="48C6A1D1" w14:textId="77777777" w:rsidR="00FE5023" w:rsidRPr="00FE5023" w:rsidRDefault="00FE5023" w:rsidP="00FE5023">
      <w:pPr>
        <w:pBdr>
          <w:top w:val="single" w:sz="4" w:space="1" w:color="auto"/>
          <w:left w:val="single" w:sz="4" w:space="4" w:color="auto"/>
          <w:bottom w:val="single" w:sz="4" w:space="1" w:color="auto"/>
          <w:right w:val="single" w:sz="4" w:space="4" w:color="auto"/>
        </w:pBdr>
        <w:spacing w:after="0" w:line="360" w:lineRule="auto"/>
        <w:ind w:firstLine="720"/>
        <w:jc w:val="both"/>
        <w:rPr>
          <w:i/>
        </w:rPr>
      </w:pPr>
      <w:r w:rsidRPr="00FE5023">
        <w:rPr>
          <w:i/>
        </w:rPr>
        <w:t>1. External call (</w:t>
      </w:r>
      <w:r w:rsidR="00D43054">
        <w:rPr>
          <w:i/>
        </w:rPr>
        <w:t xml:space="preserve">NB: </w:t>
      </w:r>
      <w:r w:rsidRPr="00FE5023">
        <w:rPr>
          <w:i/>
        </w:rPr>
        <w:t>internal calls are logged on the Trust’s electronic patient notes system)</w:t>
      </w:r>
    </w:p>
    <w:p w14:paraId="073AB9ED" w14:textId="77777777" w:rsidR="00FE5023" w:rsidRPr="00FE5023" w:rsidRDefault="00FE5023" w:rsidP="00FE5023">
      <w:pPr>
        <w:pBdr>
          <w:top w:val="single" w:sz="4" w:space="1" w:color="auto"/>
          <w:left w:val="single" w:sz="4" w:space="4" w:color="auto"/>
          <w:bottom w:val="single" w:sz="4" w:space="1" w:color="auto"/>
          <w:right w:val="single" w:sz="4" w:space="4" w:color="auto"/>
        </w:pBdr>
        <w:spacing w:after="0" w:line="360" w:lineRule="auto"/>
        <w:ind w:firstLine="720"/>
        <w:jc w:val="both"/>
        <w:rPr>
          <w:i/>
        </w:rPr>
      </w:pPr>
      <w:r w:rsidRPr="00FE5023">
        <w:rPr>
          <w:i/>
        </w:rPr>
        <w:t xml:space="preserve">2. Formal diagnosis </w:t>
      </w:r>
      <w:r>
        <w:rPr>
          <w:i/>
        </w:rPr>
        <w:t xml:space="preserve">(infection or non-infection) </w:t>
      </w:r>
      <w:r w:rsidRPr="00FE5023">
        <w:rPr>
          <w:i/>
        </w:rPr>
        <w:t>not yet made</w:t>
      </w:r>
    </w:p>
    <w:p w14:paraId="72FB7B42" w14:textId="77777777" w:rsidR="00FE5023" w:rsidRPr="00FE5023" w:rsidRDefault="00FE5023" w:rsidP="00FE5023">
      <w:pPr>
        <w:pBdr>
          <w:top w:val="single" w:sz="4" w:space="1" w:color="auto"/>
          <w:left w:val="single" w:sz="4" w:space="4" w:color="auto"/>
          <w:bottom w:val="single" w:sz="4" w:space="1" w:color="auto"/>
          <w:right w:val="single" w:sz="4" w:space="4" w:color="auto"/>
        </w:pBdr>
        <w:spacing w:after="0" w:line="360" w:lineRule="auto"/>
        <w:ind w:firstLine="720"/>
        <w:jc w:val="both"/>
        <w:rPr>
          <w:i/>
        </w:rPr>
      </w:pPr>
      <w:r>
        <w:rPr>
          <w:i/>
        </w:rPr>
        <w:t>3. Clinical infection</w:t>
      </w:r>
      <w:r w:rsidRPr="00FE5023">
        <w:rPr>
          <w:i/>
        </w:rPr>
        <w:t xml:space="preserve"> advice given with follow-up / call back requested</w:t>
      </w:r>
    </w:p>
    <w:p w14:paraId="34B47BBA" w14:textId="77777777" w:rsidR="00FE5023" w:rsidRPr="00FE5023" w:rsidRDefault="00FE5023" w:rsidP="00FE5023">
      <w:pPr>
        <w:pBdr>
          <w:top w:val="single" w:sz="4" w:space="1" w:color="auto"/>
          <w:left w:val="single" w:sz="4" w:space="4" w:color="auto"/>
          <w:bottom w:val="single" w:sz="4" w:space="1" w:color="auto"/>
          <w:right w:val="single" w:sz="4" w:space="4" w:color="auto"/>
        </w:pBdr>
        <w:spacing w:after="0" w:line="360" w:lineRule="auto"/>
        <w:ind w:firstLine="720"/>
        <w:jc w:val="both"/>
        <w:rPr>
          <w:i/>
        </w:rPr>
      </w:pPr>
      <w:r w:rsidRPr="00FE5023">
        <w:rPr>
          <w:i/>
        </w:rPr>
        <w:t xml:space="preserve">4. Complex cases requiring ongoing </w:t>
      </w:r>
      <w:r w:rsidR="00D43054">
        <w:rPr>
          <w:i/>
        </w:rPr>
        <w:t>i</w:t>
      </w:r>
      <w:r>
        <w:rPr>
          <w:i/>
        </w:rPr>
        <w:t>nfection specialist</w:t>
      </w:r>
      <w:r w:rsidRPr="00FE5023">
        <w:rPr>
          <w:i/>
        </w:rPr>
        <w:t xml:space="preserve"> input</w:t>
      </w:r>
    </w:p>
    <w:p w14:paraId="0AFB6604" w14:textId="77777777" w:rsidR="00FE5023" w:rsidRPr="00FE5023" w:rsidRDefault="00FE5023" w:rsidP="00507CBF">
      <w:pPr>
        <w:pBdr>
          <w:top w:val="single" w:sz="4" w:space="1" w:color="auto"/>
          <w:left w:val="single" w:sz="4" w:space="4" w:color="auto"/>
          <w:bottom w:val="single" w:sz="4" w:space="1" w:color="auto"/>
          <w:right w:val="single" w:sz="4" w:space="4" w:color="auto"/>
        </w:pBdr>
        <w:spacing w:after="0" w:line="360" w:lineRule="auto"/>
        <w:ind w:firstLine="720"/>
        <w:jc w:val="both"/>
        <w:rPr>
          <w:i/>
        </w:rPr>
      </w:pPr>
      <w:r w:rsidRPr="00FE5023">
        <w:rPr>
          <w:i/>
        </w:rPr>
        <w:t>5. Cases being referred to TIDU clinic</w:t>
      </w:r>
      <w:r w:rsidR="00507CBF">
        <w:rPr>
          <w:i/>
        </w:rPr>
        <w:t xml:space="preserve"> or listed for transfer to TIDU</w:t>
      </w:r>
    </w:p>
    <w:p w14:paraId="698559F4" w14:textId="77777777" w:rsidR="00FE5023" w:rsidRPr="00FE5023" w:rsidRDefault="00507CBF" w:rsidP="00FE5023">
      <w:pPr>
        <w:pBdr>
          <w:top w:val="single" w:sz="4" w:space="1" w:color="auto"/>
          <w:left w:val="single" w:sz="4" w:space="4" w:color="auto"/>
          <w:bottom w:val="single" w:sz="4" w:space="1" w:color="auto"/>
          <w:right w:val="single" w:sz="4" w:space="4" w:color="auto"/>
        </w:pBdr>
        <w:spacing w:line="360" w:lineRule="auto"/>
        <w:jc w:val="both"/>
      </w:pPr>
      <w:r>
        <w:rPr>
          <w:b/>
        </w:rPr>
        <w:t>Template</w:t>
      </w:r>
      <w:r w:rsidR="00FE5023" w:rsidRPr="00D40504">
        <w:rPr>
          <w:b/>
        </w:rPr>
        <w:t>:</w:t>
      </w:r>
    </w:p>
    <w:p w14:paraId="3BD8CFD1" w14:textId="77777777" w:rsidR="00FE5023" w:rsidRPr="00A77FBD" w:rsidRDefault="00FE5023" w:rsidP="00A77FBD">
      <w:pPr>
        <w:pBdr>
          <w:top w:val="single" w:sz="4" w:space="1" w:color="auto"/>
          <w:left w:val="single" w:sz="4" w:space="4" w:color="auto"/>
          <w:bottom w:val="single" w:sz="4" w:space="1" w:color="auto"/>
          <w:right w:val="single" w:sz="4" w:space="4" w:color="auto"/>
        </w:pBdr>
        <w:spacing w:line="360" w:lineRule="auto"/>
        <w:jc w:val="both"/>
        <w:rPr>
          <w:b/>
        </w:rPr>
      </w:pPr>
      <w:r>
        <w:rPr>
          <w:b/>
          <w:noProof/>
          <w:lang w:eastAsia="en-GB"/>
        </w:rPr>
        <w:lastRenderedPageBreak/>
        <w:drawing>
          <wp:inline distT="0" distB="0" distL="0" distR="0" wp14:anchorId="4334610D" wp14:editId="4B7BF781">
            <wp:extent cx="5730875" cy="213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10495"/>
                    <a:stretch/>
                  </pic:blipFill>
                  <pic:spPr bwMode="auto">
                    <a:xfrm>
                      <a:off x="0" y="0"/>
                      <a:ext cx="5730875" cy="2133600"/>
                    </a:xfrm>
                    <a:prstGeom prst="rect">
                      <a:avLst/>
                    </a:prstGeom>
                    <a:noFill/>
                    <a:ln>
                      <a:noFill/>
                    </a:ln>
                    <a:extLst>
                      <a:ext uri="{53640926-AAD7-44D8-BBD7-CCE9431645EC}">
                        <a14:shadowObscured xmlns:a14="http://schemas.microsoft.com/office/drawing/2010/main"/>
                      </a:ext>
                    </a:extLst>
                  </pic:spPr>
                </pic:pic>
              </a:graphicData>
            </a:graphic>
          </wp:inline>
        </w:drawing>
      </w:r>
      <w:r w:rsidRPr="00A77FBD">
        <w:rPr>
          <w:b/>
        </w:rPr>
        <w:t xml:space="preserve"> </w:t>
      </w:r>
    </w:p>
    <w:p w14:paraId="07A9472B" w14:textId="77777777" w:rsidR="00154DFA" w:rsidRDefault="00E44330" w:rsidP="00BA43F9">
      <w:pPr>
        <w:spacing w:line="360" w:lineRule="auto"/>
        <w:jc w:val="both"/>
      </w:pPr>
      <w:r>
        <w:t>In November 2017</w:t>
      </w:r>
      <w:r w:rsidR="00B00073">
        <w:t xml:space="preserve"> and again in June 2018</w:t>
      </w:r>
      <w:r>
        <w:t xml:space="preserve">, data were analysed and presented to TIDU </w:t>
      </w:r>
      <w:r w:rsidR="005F0D21">
        <w:t>S</w:t>
      </w:r>
      <w:r>
        <w:t xml:space="preserve">pecialist </w:t>
      </w:r>
      <w:r w:rsidR="005F0D21">
        <w:t>T</w:t>
      </w:r>
      <w:r>
        <w:t xml:space="preserve">rainees and </w:t>
      </w:r>
      <w:r w:rsidR="005F0D21">
        <w:t>C</w:t>
      </w:r>
      <w:r>
        <w:t xml:space="preserve">onsultants at a local audit and </w:t>
      </w:r>
      <w:r w:rsidR="00D40504">
        <w:t>QIP</w:t>
      </w:r>
      <w:r w:rsidR="0018688E">
        <w:t xml:space="preserve"> meeting</w:t>
      </w:r>
      <w:r w:rsidR="00B00073">
        <w:t xml:space="preserve">, </w:t>
      </w:r>
      <w:r w:rsidR="00154DFA">
        <w:t xml:space="preserve">a satisfaction survey was sent out to </w:t>
      </w:r>
      <w:r w:rsidR="00F977E2">
        <w:t xml:space="preserve">obtain </w:t>
      </w:r>
      <w:r w:rsidR="00154DFA">
        <w:t>user feedback on the system</w:t>
      </w:r>
      <w:r w:rsidR="00B00073">
        <w:t>, and a departmental email reminder</w:t>
      </w:r>
      <w:r w:rsidR="00154DFA">
        <w:t>.</w:t>
      </w:r>
      <w:r w:rsidR="009B6E37">
        <w:fldChar w:fldCharType="begin" w:fldLock="1"/>
      </w:r>
      <w:r w:rsidR="009B6E37">
        <w:instrText>ADDIN CSL_CITATION {"citationItems":[{"id":"ITEM-1","itemData":{"author":[{"dropping-particle":"","family":"Wingfield","given":"Tom","non-dropping-particle":"","parse-names":false,"suffix":""},{"dropping-particle":"","family":"Beeching","given":"Nicholas J","non-dropping-particle":"","parse-names":false,"suffix":""},{"dropping-particle":"","family":"Beadsworth","given":"M","non-dropping-particle":"","parse-names":false,"suffix":""},{"dropping-particle":"","family":"Nsutebu","given":"E","non-dropping-particle":"","parse-names":false,"suffix":""}],"container-title":"European Conference on Clinical Microbiology and Infectious Diseases","id":"ITEM-1","issued":{"date-parts":[["2017"]]},"page":"P1297","title":"Six months of advice calls to a tropical and infectious diseases referral centre: a retrospective, descriptive analysis from Liverpool, England","type":"paper-conference"},"uris":["http://www.mendeley.com/documents/?uuid=78fa9f8a-d659-4fa9-a529-b51ae803cbf4"]}],"mendeley":{"formattedCitation":"&lt;sup&gt;1&lt;/sup&gt;","plainTextFormattedCitation":"1","previouslyFormattedCitation":"&lt;sup&gt;1&lt;/sup&gt;"},"properties":{"noteIndex":0},"schema":"https://github.com/citation-style-language/schema/raw/master/csl-citation.json"}</w:instrText>
      </w:r>
      <w:r w:rsidR="009B6E37">
        <w:fldChar w:fldCharType="separate"/>
      </w:r>
      <w:r w:rsidR="009B6E37" w:rsidRPr="009B6E37">
        <w:rPr>
          <w:noProof/>
          <w:vertAlign w:val="superscript"/>
        </w:rPr>
        <w:t>1</w:t>
      </w:r>
      <w:r w:rsidR="009B6E37">
        <w:fldChar w:fldCharType="end"/>
      </w:r>
      <w:r w:rsidR="00154DFA">
        <w:t xml:space="preserve"> In August 2017, 14 months post-implementation, a </w:t>
      </w:r>
      <w:r w:rsidR="00F977E2">
        <w:t xml:space="preserve">detailed </w:t>
      </w:r>
      <w:r w:rsidR="00154DFA">
        <w:t>analysis of all documented advice calls was made</w:t>
      </w:r>
      <w:r w:rsidR="009B6E37">
        <w:fldChar w:fldCharType="begin" w:fldLock="1"/>
      </w:r>
      <w:r w:rsidR="00D40504">
        <w:instrText>ADDIN CSL_CITATION {"citationItems":[{"id":"ITEM-1","itemData":{"author":[{"dropping-particle":"","family":"Wingfield","given":"Tom","non-dropping-particle":"","parse-names":false,"suffix":""},{"dropping-particle":"","family":"Beadsworth","given":"Mike","non-dropping-particle":"","parse-names":false,"suffix":""},{"dropping-particle":"","family":"Beeching","given":"Nicholas J","non-dropping-particle":"","parse-names":false,"suffix":""},{"dropping-particle":"","family":"Mair","given":"Luke","non-dropping-particle":"","parse-names":false,"suffix":""},{"dropping-particle":"","family":"Gould","given":"Susie","non-dropping-particle":"","parse-names":false,"suffix":""},{"dropping-particle":"","family":"Nsutebu","given":"Emmanuel","non-dropping-particle":"","parse-names":false,"suffix":""}],"container-title":"Federation of Infection Societies","id":"ITEM-1","issued":{"date-parts":[["2018"]]},"page":"P098","title":"One year of advice calls to a tropical and infectious diseases referral centre: a retrospective, descriptive analysis from Liverpool, England","type":"paper-conference"},"uris":["http://www.mendeley.com/documents/?uuid=4451815e-a0af-4ec3-923d-49702a97fdea"]}],"mendeley":{"formattedCitation":"&lt;sup&gt;2&lt;/sup&gt;","plainTextFormattedCitation":"2","previouslyFormattedCitation":"&lt;sup&gt;2&lt;/sup&gt;"},"properties":{"noteIndex":0},"schema":"https://github.com/citation-style-language/schema/raw/master/csl-citation.json"}</w:instrText>
      </w:r>
      <w:r w:rsidR="009B6E37">
        <w:fldChar w:fldCharType="separate"/>
      </w:r>
      <w:r w:rsidR="009B6E37" w:rsidRPr="009B6E37">
        <w:rPr>
          <w:noProof/>
          <w:vertAlign w:val="superscript"/>
        </w:rPr>
        <w:t>2</w:t>
      </w:r>
      <w:r w:rsidR="009B6E37">
        <w:fldChar w:fldCharType="end"/>
      </w:r>
      <w:r w:rsidR="00154DFA">
        <w:t xml:space="preserve"> </w:t>
      </w:r>
      <w:r w:rsidR="00B00073">
        <w:t>describing:</w:t>
      </w:r>
    </w:p>
    <w:p w14:paraId="041BDF9E" w14:textId="77777777" w:rsidR="00154DFA" w:rsidRDefault="00154DFA" w:rsidP="00154DFA">
      <w:pPr>
        <w:pStyle w:val="ListParagraph"/>
        <w:numPr>
          <w:ilvl w:val="0"/>
          <w:numId w:val="1"/>
        </w:numPr>
        <w:spacing w:line="360" w:lineRule="auto"/>
        <w:jc w:val="both"/>
      </w:pPr>
      <w:r w:rsidRPr="00161C8F">
        <w:rPr>
          <w:b/>
        </w:rPr>
        <w:t>Calls:</w:t>
      </w:r>
      <w:r>
        <w:t xml:space="preserve"> date of call, total number of calls, number of calls per patient, caller location, </w:t>
      </w:r>
      <w:r w:rsidR="00161C8F">
        <w:t xml:space="preserve">caller healthcare service level (e.g. primary care, secondary care, or other), </w:t>
      </w:r>
      <w:r>
        <w:t xml:space="preserve">caller grade, </w:t>
      </w:r>
      <w:r w:rsidR="00161C8F">
        <w:t xml:space="preserve">and </w:t>
      </w:r>
      <w:r>
        <w:t>caller department</w:t>
      </w:r>
      <w:r w:rsidR="00D40504">
        <w:t>.</w:t>
      </w:r>
    </w:p>
    <w:p w14:paraId="3C5E5D35" w14:textId="77777777" w:rsidR="00161C8F" w:rsidRDefault="00154DFA" w:rsidP="009E1A0B">
      <w:pPr>
        <w:pStyle w:val="ListParagraph"/>
        <w:numPr>
          <w:ilvl w:val="0"/>
          <w:numId w:val="1"/>
        </w:numPr>
        <w:spacing w:line="360" w:lineRule="auto"/>
        <w:jc w:val="both"/>
      </w:pPr>
      <w:r w:rsidRPr="00161C8F">
        <w:rPr>
          <w:b/>
        </w:rPr>
        <w:t>Patient details:</w:t>
      </w:r>
      <w:r>
        <w:t xml:space="preserve"> age, sex, comorbidities, history of foreign travel, clinical syndrome</w:t>
      </w:r>
      <w:r w:rsidR="00161C8F">
        <w:t>, whether the patient was known to TIDU (e.g. had been a previous inpatient or previous/current outpatient under TIDU care), and outcome</w:t>
      </w:r>
      <w:r w:rsidR="005F0D21">
        <w:t xml:space="preserve"> (e.g. not discussed again</w:t>
      </w:r>
      <w:r w:rsidR="007C4D11">
        <w:t xml:space="preserve">, </w:t>
      </w:r>
      <w:r w:rsidR="005F0D21">
        <w:t>reviewed by TIDU</w:t>
      </w:r>
      <w:r w:rsidR="007C4D11">
        <w:t xml:space="preserve">, or reviewed by another specialist </w:t>
      </w:r>
      <w:r w:rsidR="00037727">
        <w:t>team</w:t>
      </w:r>
      <w:r w:rsidR="005F0D21">
        <w:t>)</w:t>
      </w:r>
      <w:r w:rsidR="00161C8F">
        <w:t>.</w:t>
      </w:r>
    </w:p>
    <w:p w14:paraId="0B2A858F" w14:textId="77777777" w:rsidR="00154DFA" w:rsidRDefault="00154DFA" w:rsidP="009E1A0B">
      <w:pPr>
        <w:pStyle w:val="ListParagraph"/>
        <w:numPr>
          <w:ilvl w:val="0"/>
          <w:numId w:val="1"/>
        </w:numPr>
        <w:spacing w:line="360" w:lineRule="auto"/>
        <w:jc w:val="both"/>
      </w:pPr>
      <w:r w:rsidRPr="00161C8F">
        <w:rPr>
          <w:b/>
        </w:rPr>
        <w:t>TIDU advice details:</w:t>
      </w:r>
      <w:r>
        <w:t xml:space="preserve"> advice given concerning investigations</w:t>
      </w:r>
      <w:r w:rsidR="005F0D21">
        <w:t xml:space="preserve"> and/or</w:t>
      </w:r>
      <w:r>
        <w:t xml:space="preserve"> treatment</w:t>
      </w:r>
      <w:r w:rsidR="00161C8F">
        <w:t>, number of</w:t>
      </w:r>
      <w:r w:rsidR="00037727">
        <w:t xml:space="preserve"> TIDU Specialist T</w:t>
      </w:r>
      <w:r w:rsidR="00161C8F">
        <w:t xml:space="preserve">rainees involved per patient episode (e.g. in some circumstances, multiple calls </w:t>
      </w:r>
      <w:r w:rsidR="005F0D21">
        <w:t>meant</w:t>
      </w:r>
      <w:r w:rsidR="00161C8F">
        <w:t xml:space="preserve"> various TIDU </w:t>
      </w:r>
      <w:r w:rsidR="005F0D21">
        <w:t>S</w:t>
      </w:r>
      <w:r w:rsidR="00161C8F">
        <w:t xml:space="preserve">pecialist </w:t>
      </w:r>
      <w:r w:rsidR="005F0D21">
        <w:t>T</w:t>
      </w:r>
      <w:r w:rsidR="00161C8F">
        <w:t>rainees gave advice</w:t>
      </w:r>
      <w:r w:rsidR="00037727">
        <w:t xml:space="preserve"> for one patient episode</w:t>
      </w:r>
      <w:r w:rsidR="00161C8F">
        <w:t xml:space="preserve">), </w:t>
      </w:r>
      <w:r w:rsidR="005F0D21">
        <w:t xml:space="preserve">and </w:t>
      </w:r>
      <w:r w:rsidR="00161C8F">
        <w:t xml:space="preserve">whether a TIDU Consultant was asked to provided clinical advice about </w:t>
      </w:r>
      <w:r w:rsidR="005F0D21">
        <w:t>the</w:t>
      </w:r>
      <w:r w:rsidR="00161C8F">
        <w:t xml:space="preserve"> case.</w:t>
      </w:r>
    </w:p>
    <w:p w14:paraId="7952877A" w14:textId="77777777" w:rsidR="00AD3F37" w:rsidRDefault="00507CBF" w:rsidP="00507CBF">
      <w:pPr>
        <w:spacing w:line="360" w:lineRule="auto"/>
        <w:jc w:val="both"/>
      </w:pPr>
      <w:r w:rsidRPr="00507CBF">
        <w:rPr>
          <w:i/>
        </w:rPr>
        <w:t>A priori</w:t>
      </w:r>
      <w:r>
        <w:t xml:space="preserve">, </w:t>
      </w:r>
      <w:r w:rsidR="00B00073">
        <w:t>the most common c</w:t>
      </w:r>
      <w:r w:rsidR="00161C8F">
        <w:t>linical syndrome</w:t>
      </w:r>
      <w:r w:rsidR="00CE4B33">
        <w:t>s</w:t>
      </w:r>
      <w:r w:rsidR="00B00073">
        <w:t xml:space="preserve"> encountered</w:t>
      </w:r>
      <w:r w:rsidR="00161C8F">
        <w:t xml:space="preserve"> were </w:t>
      </w:r>
      <w:r w:rsidR="00CE4B33">
        <w:t>combined into pragmatic groups</w:t>
      </w:r>
      <w:r>
        <w:t>: fever in returned traveller; localised infection; pyrexia of unknown origin</w:t>
      </w:r>
      <w:r w:rsidR="00B00073">
        <w:t xml:space="preserve"> (PUO)</w:t>
      </w:r>
      <w:r>
        <w:t xml:space="preserve">; rash; new HIV diagnosis; post-exposure prophylaxis (PEP) for rabies; PEP for needlestick injury; PEP for sexual exposure (PEPSE); neurological syndrome; and drug reaction. Full definitions are available from the corresponding author on request. </w:t>
      </w:r>
    </w:p>
    <w:p w14:paraId="6E244CED" w14:textId="77777777" w:rsidR="00F93973" w:rsidRDefault="00B00073" w:rsidP="00BA43F9">
      <w:pPr>
        <w:spacing w:line="360" w:lineRule="auto"/>
        <w:jc w:val="both"/>
      </w:pPr>
      <w:r>
        <w:t>O</w:t>
      </w:r>
      <w:r w:rsidR="00F977E2">
        <w:t xml:space="preserve">perational </w:t>
      </w:r>
      <w:r w:rsidR="00F93973" w:rsidRPr="00F93973">
        <w:t>outcome</w:t>
      </w:r>
      <w:r w:rsidR="00F70F2F">
        <w:t>s of each advice call</w:t>
      </w:r>
      <w:r>
        <w:t xml:space="preserve"> were</w:t>
      </w:r>
      <w:r w:rsidR="00F93973" w:rsidRPr="00F93973">
        <w:t xml:space="preserve"> divided into three categories: none (e.g. no further </w:t>
      </w:r>
      <w:r w:rsidR="00AD3F37">
        <w:t xml:space="preserve">calls or clinical </w:t>
      </w:r>
      <w:r w:rsidR="00F93973" w:rsidRPr="00F93973">
        <w:t>involvement</w:t>
      </w:r>
      <w:r w:rsidR="00AD3F37">
        <w:t>,</w:t>
      </w:r>
      <w:r w:rsidR="00F93973" w:rsidRPr="00F93973">
        <w:t xml:space="preserve"> and clinical outcome not known), TIDU further involvement (e.g. TIDU specialist care through admission/transfer, </w:t>
      </w:r>
      <w:r>
        <w:t xml:space="preserve">outpatient review, or </w:t>
      </w:r>
      <w:r w:rsidR="00F977E2">
        <w:t>multi-disciplinary team [</w:t>
      </w:r>
      <w:r w:rsidR="00F93973" w:rsidRPr="00F93973">
        <w:t>MDT</w:t>
      </w:r>
      <w:r w:rsidR="00F977E2">
        <w:t>]</w:t>
      </w:r>
      <w:r w:rsidR="00F93973" w:rsidRPr="00F93973">
        <w:t xml:space="preserve"> </w:t>
      </w:r>
      <w:r w:rsidR="00F93973" w:rsidRPr="00F93973">
        <w:lastRenderedPageBreak/>
        <w:t>opinion), or other hospital/u</w:t>
      </w:r>
      <w:r>
        <w:t xml:space="preserve">nit further involvement (e.g. </w:t>
      </w:r>
      <w:r w:rsidR="00F93973" w:rsidRPr="00F93973">
        <w:t xml:space="preserve">through in-patient consultation, outpatient review, MDT, or transfer/admission).    </w:t>
      </w:r>
    </w:p>
    <w:p w14:paraId="01A818D0" w14:textId="77777777" w:rsidR="00F70F2F" w:rsidRDefault="00B00073" w:rsidP="00BA43F9">
      <w:pPr>
        <w:spacing w:line="360" w:lineRule="auto"/>
        <w:jc w:val="both"/>
      </w:pPr>
      <w:r>
        <w:t>Fourteen months of d</w:t>
      </w:r>
      <w:r w:rsidR="0018688E">
        <w:t xml:space="preserve">ata </w:t>
      </w:r>
      <w:r w:rsidR="00793211">
        <w:t xml:space="preserve">on </w:t>
      </w:r>
      <w:r>
        <w:t xml:space="preserve">consecutive </w:t>
      </w:r>
      <w:r w:rsidR="00793211">
        <w:t xml:space="preserve">patients and calls </w:t>
      </w:r>
      <w:r w:rsidR="0018688E">
        <w:t xml:space="preserve">were analysed descriptively by </w:t>
      </w:r>
      <w:r w:rsidR="00F70F2F">
        <w:t xml:space="preserve">actual </w:t>
      </w:r>
      <w:r w:rsidR="0018688E">
        <w:t xml:space="preserve">number and </w:t>
      </w:r>
      <w:proofErr w:type="gramStart"/>
      <w:r w:rsidR="0018688E">
        <w:t>percentage, and</w:t>
      </w:r>
      <w:proofErr w:type="gramEnd"/>
      <w:r w:rsidR="0018688E">
        <w:t xml:space="preserve"> summarised using mean or median averages with range or interquartile range where appropriate. Further </w:t>
      </w:r>
      <w:r w:rsidR="00F70F2F">
        <w:t xml:space="preserve">exploratory, </w:t>
      </w:r>
      <w:r w:rsidR="00793211">
        <w:t xml:space="preserve">descriptive </w:t>
      </w:r>
      <w:r w:rsidR="0018688E">
        <w:t xml:space="preserve">analysis </w:t>
      </w:r>
      <w:r>
        <w:t>using Stata Version 12 included</w:t>
      </w:r>
      <w:r w:rsidR="0018688E">
        <w:t xml:space="preserve"> the </w:t>
      </w:r>
      <w:r w:rsidR="00D82679">
        <w:t>comparison of</w:t>
      </w:r>
      <w:r w:rsidR="0018688E">
        <w:t xml:space="preserve"> </w:t>
      </w:r>
      <w:r w:rsidR="00793211">
        <w:t>the proportion of advice calls documented that concerned returned travellers in the summer v</w:t>
      </w:r>
      <w:r w:rsidR="007C4D11">
        <w:t>ersus</w:t>
      </w:r>
      <w:r w:rsidR="00793211">
        <w:t xml:space="preserve"> the winter months</w:t>
      </w:r>
      <w:r w:rsidR="0018688E">
        <w:t xml:space="preserve">. </w:t>
      </w:r>
      <w:r w:rsidR="00D82679">
        <w:t xml:space="preserve">Z test of proportions was used to identify any differences between seasons with the assumption that there would be no significant difference. </w:t>
      </w:r>
      <w:r w:rsidR="00F70F2F">
        <w:t xml:space="preserve">No sample size calculations were </w:t>
      </w:r>
      <w:proofErr w:type="gramStart"/>
      <w:r w:rsidR="00F70F2F">
        <w:t>required</w:t>
      </w:r>
      <w:proofErr w:type="gramEnd"/>
      <w:r w:rsidR="00F70F2F">
        <w:t xml:space="preserve"> and no sampling technique used</w:t>
      </w:r>
      <w:r w:rsidR="00037727">
        <w:t xml:space="preserve">. </w:t>
      </w:r>
      <w:r w:rsidR="00EE2717">
        <w:t xml:space="preserve">The SQUIRE 2.0 guidelines </w:t>
      </w:r>
      <w:r w:rsidR="00F84AE3">
        <w:t>for</w:t>
      </w:r>
      <w:r w:rsidR="00EE2717">
        <w:t xml:space="preserve"> </w:t>
      </w:r>
      <w:r w:rsidR="00F84AE3">
        <w:t>healthcare quality projects were followed</w:t>
      </w:r>
      <w:r w:rsidR="00EE2717">
        <w:t>.</w:t>
      </w:r>
    </w:p>
    <w:p w14:paraId="28CC88A7" w14:textId="77777777" w:rsidR="0018688E" w:rsidRDefault="0018688E" w:rsidP="00BA43F9">
      <w:pPr>
        <w:spacing w:line="360" w:lineRule="auto"/>
        <w:jc w:val="both"/>
      </w:pPr>
      <w:r>
        <w:t>This work was a</w:t>
      </w:r>
      <w:r w:rsidR="00F70F2F">
        <w:t xml:space="preserve"> </w:t>
      </w:r>
      <w:r w:rsidR="007C4D11">
        <w:t>QIP</w:t>
      </w:r>
      <w:r w:rsidR="00F70F2F">
        <w:t xml:space="preserve"> app</w:t>
      </w:r>
      <w:r>
        <w:t xml:space="preserve">roved by the local audit and quality improvement group at </w:t>
      </w:r>
      <w:r w:rsidR="00887E96">
        <w:t>LUFT</w:t>
      </w:r>
      <w:r>
        <w:t xml:space="preserve">. </w:t>
      </w:r>
      <w:r w:rsidR="009C2537">
        <w:t xml:space="preserve">The project was </w:t>
      </w:r>
      <w:r w:rsidR="00F70F2F">
        <w:t xml:space="preserve">also </w:t>
      </w:r>
      <w:r w:rsidR="009C2537">
        <w:t>registered with the Life QI platform</w:t>
      </w:r>
      <w:r w:rsidR="009C2537" w:rsidRPr="009C2537">
        <w:t xml:space="preserve"> </w:t>
      </w:r>
      <w:r w:rsidR="009C2537">
        <w:t>(</w:t>
      </w:r>
      <w:hyperlink r:id="rId10" w:history="1">
        <w:r w:rsidR="009C2537" w:rsidRPr="0003424B">
          <w:rPr>
            <w:rStyle w:val="Hyperlink"/>
          </w:rPr>
          <w:t>https://www.lifeqisystem.com/</w:t>
        </w:r>
      </w:hyperlink>
      <w:r w:rsidR="00642DE8">
        <w:t>)</w:t>
      </w:r>
      <w:r w:rsidR="00F70F2F">
        <w:t xml:space="preserve">. </w:t>
      </w:r>
      <w:r w:rsidR="007C4D11" w:rsidRPr="007C4D11">
        <w:t xml:space="preserve">All data were anonymised and stored on a secure, password protected TIDU server in line with Trust and national data protection and management policies. </w:t>
      </w:r>
      <w:r w:rsidR="00AD3F37">
        <w:t>N</w:t>
      </w:r>
      <w:r w:rsidR="009C2537">
        <w:t>o ethical approval was sought from other bodies.</w:t>
      </w:r>
    </w:p>
    <w:p w14:paraId="49A34523" w14:textId="77777777" w:rsidR="00793211" w:rsidRDefault="00793211" w:rsidP="00BA43F9">
      <w:pPr>
        <w:spacing w:line="360" w:lineRule="auto"/>
        <w:jc w:val="both"/>
        <w:rPr>
          <w:b/>
        </w:rPr>
      </w:pPr>
    </w:p>
    <w:p w14:paraId="17A02639" w14:textId="77777777" w:rsidR="00E44330" w:rsidRPr="00E44330" w:rsidRDefault="00E44330" w:rsidP="00BA43F9">
      <w:pPr>
        <w:spacing w:line="360" w:lineRule="auto"/>
        <w:jc w:val="both"/>
        <w:rPr>
          <w:b/>
        </w:rPr>
      </w:pPr>
      <w:r w:rsidRPr="00E44330">
        <w:rPr>
          <w:b/>
        </w:rPr>
        <w:t>Results</w:t>
      </w:r>
    </w:p>
    <w:p w14:paraId="75E7140C" w14:textId="77777777" w:rsidR="00BA43F9" w:rsidRDefault="00793211" w:rsidP="00BA43F9">
      <w:pPr>
        <w:spacing w:line="360" w:lineRule="auto"/>
        <w:jc w:val="both"/>
      </w:pPr>
      <w:r>
        <w:t>5</w:t>
      </w:r>
      <w:r w:rsidR="00E44330">
        <w:t>9</w:t>
      </w:r>
      <w:r w:rsidR="00BA43F9">
        <w:t>0</w:t>
      </w:r>
      <w:r w:rsidR="00E44330">
        <w:t xml:space="preserve"> calls concerning 362 patients were documented (</w:t>
      </w:r>
      <w:r w:rsidR="00BA43F9">
        <w:t xml:space="preserve">mean average </w:t>
      </w:r>
      <w:r w:rsidR="00E44330">
        <w:t>1.6 calls/patient, 10 calls/week).</w:t>
      </w:r>
      <w:r w:rsidR="008E7450">
        <w:t xml:space="preserve"> The </w:t>
      </w:r>
      <w:r w:rsidR="00F70F2F">
        <w:t xml:space="preserve">range </w:t>
      </w:r>
      <w:r w:rsidR="00D40E70">
        <w:t xml:space="preserve">of calls about a single patient was </w:t>
      </w:r>
      <w:r w:rsidR="00F70F2F">
        <w:t xml:space="preserve">1 to </w:t>
      </w:r>
      <w:r w:rsidR="008E7450">
        <w:t xml:space="preserve">12 and the </w:t>
      </w:r>
      <w:r w:rsidR="00F70F2F">
        <w:t>range</w:t>
      </w:r>
      <w:r w:rsidR="00D40E70">
        <w:t xml:space="preserve"> of </w:t>
      </w:r>
      <w:r w:rsidR="008E7450">
        <w:t xml:space="preserve">TIDU Specialist Trainees </w:t>
      </w:r>
      <w:r w:rsidR="00D40E70">
        <w:t xml:space="preserve">involved was </w:t>
      </w:r>
      <w:r w:rsidR="00F70F2F">
        <w:t>1 to 5</w:t>
      </w:r>
      <w:r w:rsidR="00D40E70">
        <w:t xml:space="preserve">. </w:t>
      </w:r>
      <w:r w:rsidR="00B00073">
        <w:t>To deal with e</w:t>
      </w:r>
      <w:r w:rsidR="005E01E2" w:rsidRPr="005E01E2">
        <w:t>ach call</w:t>
      </w:r>
      <w:r w:rsidR="00B00073">
        <w:t xml:space="preserve"> </w:t>
      </w:r>
      <w:r w:rsidR="005E01E2" w:rsidRPr="005E01E2">
        <w:t xml:space="preserve">was informally estimated by TIDU Specialist Trainees to </w:t>
      </w:r>
      <w:r w:rsidR="003676C7">
        <w:t xml:space="preserve">take an average of </w:t>
      </w:r>
      <w:r w:rsidR="005E01E2" w:rsidRPr="005E01E2">
        <w:t xml:space="preserve">10 minutes. </w:t>
      </w:r>
      <w:r w:rsidR="00BA43F9">
        <w:t xml:space="preserve">The number of </w:t>
      </w:r>
      <w:r w:rsidR="00D40E70">
        <w:t xml:space="preserve">documented </w:t>
      </w:r>
      <w:r w:rsidR="00F70F2F">
        <w:t xml:space="preserve">calls </w:t>
      </w:r>
      <w:r w:rsidR="0018688E">
        <w:t>appeared to increase</w:t>
      </w:r>
      <w:r w:rsidR="00BA43F9">
        <w:t xml:space="preserve"> following email reminders </w:t>
      </w:r>
      <w:r w:rsidR="0018688E">
        <w:t>and presentations in August 2017</w:t>
      </w:r>
      <w:r w:rsidR="00BA43F9">
        <w:t>, Novem</w:t>
      </w:r>
      <w:r w:rsidR="0018688E">
        <w:t xml:space="preserve">ber 2017, </w:t>
      </w:r>
      <w:r w:rsidR="00BA43F9">
        <w:t xml:space="preserve">and June 2018 </w:t>
      </w:r>
      <w:r>
        <w:t>(</w:t>
      </w:r>
      <w:r w:rsidR="0023420D">
        <w:t>Figure 1</w:t>
      </w:r>
      <w:r>
        <w:t>)</w:t>
      </w:r>
      <w:r w:rsidR="0023420D">
        <w:t>.</w:t>
      </w:r>
      <w:r>
        <w:t xml:space="preserve"> </w:t>
      </w:r>
      <w:r w:rsidR="008E7450">
        <w:t>The p</w:t>
      </w:r>
      <w:r w:rsidR="008E7450" w:rsidRPr="008E7450">
        <w:t xml:space="preserve">roportion of </w:t>
      </w:r>
      <w:r w:rsidR="00037727">
        <w:t xml:space="preserve">all </w:t>
      </w:r>
      <w:r w:rsidR="008E7450" w:rsidRPr="008E7450">
        <w:t xml:space="preserve">patients discussed who were returning travellers </w:t>
      </w:r>
      <w:r w:rsidR="008E7450">
        <w:t xml:space="preserve">was greater in </w:t>
      </w:r>
      <w:r w:rsidR="00D40E70">
        <w:t xml:space="preserve">summer and </w:t>
      </w:r>
      <w:r w:rsidR="008E7450" w:rsidRPr="008E7450">
        <w:t xml:space="preserve">autumn </w:t>
      </w:r>
      <w:r w:rsidR="00D40E70">
        <w:t>(44%, 117/265) than</w:t>
      </w:r>
      <w:r w:rsidR="008E7450">
        <w:t xml:space="preserve"> </w:t>
      </w:r>
      <w:r w:rsidR="00D40E70">
        <w:t xml:space="preserve">winter and </w:t>
      </w:r>
      <w:r w:rsidR="008E7450">
        <w:t>spring (33%, 39/125, p=0.03</w:t>
      </w:r>
      <w:r w:rsidR="004A045E">
        <w:t>, Figure 2</w:t>
      </w:r>
      <w:r w:rsidR="008E7450">
        <w:t>)</w:t>
      </w:r>
      <w:r w:rsidR="004A045E">
        <w:t>.</w:t>
      </w:r>
    </w:p>
    <w:p w14:paraId="3CF90B2B" w14:textId="77777777" w:rsidR="00D40E70" w:rsidRDefault="00D40E70" w:rsidP="00BA43F9">
      <w:pPr>
        <w:spacing w:line="360" w:lineRule="auto"/>
        <w:jc w:val="both"/>
      </w:pPr>
      <w:r>
        <w:t xml:space="preserve">Over two-thirds of </w:t>
      </w:r>
      <w:r w:rsidR="00764A43">
        <w:t>patients</w:t>
      </w:r>
      <w:r>
        <w:t xml:space="preserve"> (</w:t>
      </w:r>
      <w:r w:rsidR="00E44330">
        <w:t>69%</w:t>
      </w:r>
      <w:r>
        <w:t xml:space="preserve">, 248/360) </w:t>
      </w:r>
      <w:r w:rsidR="00E44330">
        <w:t xml:space="preserve">were </w:t>
      </w:r>
      <w:r w:rsidR="00764A43">
        <w:t xml:space="preserve">referred </w:t>
      </w:r>
      <w:r w:rsidR="00E44330">
        <w:t>from secondary healthcare</w:t>
      </w:r>
      <w:r>
        <w:t xml:space="preserve"> </w:t>
      </w:r>
      <w:r w:rsidR="005F7DB1">
        <w:t>(</w:t>
      </w:r>
      <w:r w:rsidR="00764A43">
        <w:t>Table 1)</w:t>
      </w:r>
      <w:r>
        <w:t>. O</w:t>
      </w:r>
      <w:r w:rsidR="00E44330">
        <w:t xml:space="preserve">f </w:t>
      </w:r>
      <w:r>
        <w:t>the</w:t>
      </w:r>
      <w:r w:rsidR="003676C7">
        <w:t>se</w:t>
      </w:r>
      <w:r>
        <w:t>, 49% (122/248</w:t>
      </w:r>
      <w:r w:rsidR="00E44330">
        <w:t xml:space="preserve">) were </w:t>
      </w:r>
      <w:r w:rsidR="00764A43">
        <w:t>in</w:t>
      </w:r>
      <w:r w:rsidR="00E44330">
        <w:t xml:space="preserve"> emergency</w:t>
      </w:r>
      <w:r>
        <w:t xml:space="preserve"> </w:t>
      </w:r>
      <w:r w:rsidR="003676C7">
        <w:t xml:space="preserve">or acute medicine </w:t>
      </w:r>
      <w:r w:rsidR="00E44330">
        <w:t>departments</w:t>
      </w:r>
      <w:r w:rsidR="00F70F2F">
        <w:t xml:space="preserve"> at the time </w:t>
      </w:r>
      <w:r w:rsidR="003676C7">
        <w:t>of the initial call</w:t>
      </w:r>
      <w:r w:rsidR="00E44330">
        <w:t xml:space="preserve">. </w:t>
      </w:r>
      <w:r>
        <w:t xml:space="preserve">The </w:t>
      </w:r>
      <w:r w:rsidR="00764A43">
        <w:t xml:space="preserve">initial </w:t>
      </w:r>
      <w:r>
        <w:t>caller was most commonly a</w:t>
      </w:r>
      <w:r w:rsidR="003067A0">
        <w:t xml:space="preserve">n </w:t>
      </w:r>
      <w:r w:rsidR="00D152C7">
        <w:t>i</w:t>
      </w:r>
      <w:r w:rsidR="003067A0">
        <w:t>nternal medicine trainee or equivalent.</w:t>
      </w:r>
      <w:r w:rsidR="003676C7">
        <w:t xml:space="preserve"> </w:t>
      </w:r>
      <w:r w:rsidR="00F70F2F">
        <w:t xml:space="preserve">(Table 1). </w:t>
      </w:r>
    </w:p>
    <w:p w14:paraId="392E3F5F" w14:textId="77777777" w:rsidR="004A045E" w:rsidRPr="004A045E" w:rsidRDefault="003676C7" w:rsidP="004A045E">
      <w:pPr>
        <w:spacing w:line="360" w:lineRule="auto"/>
        <w:jc w:val="both"/>
      </w:pPr>
      <w:r>
        <w:t>Table 2 shows the p</w:t>
      </w:r>
      <w:r w:rsidRPr="003676C7">
        <w:t>atient demographic data, clinical syndromes, advice given, and outcome overall and by returning traveller status</w:t>
      </w:r>
      <w:r w:rsidR="005F7DB1">
        <w:t>. L</w:t>
      </w:r>
      <w:r w:rsidR="00764A43">
        <w:t>ocalised</w:t>
      </w:r>
      <w:r w:rsidR="00E44330">
        <w:t xml:space="preserve"> infection (48%</w:t>
      </w:r>
      <w:r w:rsidR="00764A43">
        <w:t>, 171/360</w:t>
      </w:r>
      <w:r w:rsidR="00E44330">
        <w:t>)</w:t>
      </w:r>
      <w:r w:rsidR="00995548">
        <w:t xml:space="preserve"> was the most common reason for referral. 43% (156/360) of referrals concerned returning travellers, of whom 60% (92/1</w:t>
      </w:r>
      <w:r>
        <w:t xml:space="preserve">56) had undifferentiated fever and 29% (46/156) had returned from Africa, 23% (36/156) from </w:t>
      </w:r>
      <w:r w:rsidR="0054209C">
        <w:t>South East Asia and Australasia</w:t>
      </w:r>
      <w:r>
        <w:t>, 21% (32/156) from</w:t>
      </w:r>
      <w:r w:rsidR="0054209C">
        <w:t xml:space="preserve"> Central Asia and the Indian Subcontinent (21%, 32/156), and </w:t>
      </w:r>
      <w:r>
        <w:t xml:space="preserve">12% (19/156) from </w:t>
      </w:r>
      <w:r w:rsidR="0054209C">
        <w:t xml:space="preserve">South America and the </w:t>
      </w:r>
      <w:r>
        <w:t>Caribbean</w:t>
      </w:r>
      <w:r w:rsidR="0054209C">
        <w:t xml:space="preserve">. </w:t>
      </w:r>
      <w:r w:rsidR="004A045E" w:rsidRPr="004A045E">
        <w:t xml:space="preserve">Advice about patient investigations and treatment </w:t>
      </w:r>
      <w:r w:rsidR="004A045E" w:rsidRPr="004A045E">
        <w:lastRenderedPageBreak/>
        <w:t>was given to the referring team in 92% (331/360) of cases, respectively</w:t>
      </w:r>
      <w:r w:rsidR="004A045E">
        <w:t>.</w:t>
      </w:r>
      <w:r w:rsidR="004A045E" w:rsidRPr="004A045E">
        <w:t xml:space="preserve"> TIDU </w:t>
      </w:r>
      <w:r w:rsidR="00B94302">
        <w:t>S</w:t>
      </w:r>
      <w:r w:rsidR="004A045E" w:rsidRPr="004A045E">
        <w:t xml:space="preserve">pecialist </w:t>
      </w:r>
      <w:r w:rsidR="00B94302">
        <w:t>T</w:t>
      </w:r>
      <w:r w:rsidR="004A045E" w:rsidRPr="004A045E">
        <w:t xml:space="preserve">rainees involved TIDU </w:t>
      </w:r>
      <w:r w:rsidR="00995548">
        <w:t>C</w:t>
      </w:r>
      <w:r w:rsidR="004A045E" w:rsidRPr="004A045E">
        <w:t>onsultants in 51% (184/360) of cases</w:t>
      </w:r>
      <w:r w:rsidR="00482DA5">
        <w:t xml:space="preserve"> discussed</w:t>
      </w:r>
      <w:r w:rsidR="004A045E" w:rsidRPr="004A045E">
        <w:t xml:space="preserve">. 32% (116/361) of all the cases discussed were subsequently reviewed at </w:t>
      </w:r>
      <w:r w:rsidR="0054209C">
        <w:t>TIDU</w:t>
      </w:r>
      <w:r w:rsidR="004A045E" w:rsidRPr="004A045E">
        <w:t>.</w:t>
      </w:r>
    </w:p>
    <w:p w14:paraId="3E41F5AE" w14:textId="77777777" w:rsidR="004A045E" w:rsidRDefault="003676C7" w:rsidP="00BA43F9">
      <w:pPr>
        <w:spacing w:line="360" w:lineRule="auto"/>
        <w:jc w:val="both"/>
      </w:pPr>
      <w:r>
        <w:t>C</w:t>
      </w:r>
      <w:r w:rsidR="00B53C4D">
        <w:t xml:space="preserve">ompared to returning travellers, </w:t>
      </w:r>
      <w:r w:rsidR="00CE50D3">
        <w:t xml:space="preserve">patients </w:t>
      </w:r>
      <w:r w:rsidR="00482DA5">
        <w:t>with no</w:t>
      </w:r>
      <w:r w:rsidR="00B53C4D">
        <w:t xml:space="preserve"> history of foreign travel: were </w:t>
      </w:r>
      <w:r w:rsidR="00642DE8">
        <w:t>older,</w:t>
      </w:r>
      <w:r w:rsidR="00CE50D3">
        <w:t xml:space="preserve"> </w:t>
      </w:r>
      <w:r w:rsidR="00B53C4D">
        <w:t>more likely to have</w:t>
      </w:r>
      <w:r w:rsidR="00642DE8">
        <w:t xml:space="preserve"> </w:t>
      </w:r>
      <w:r w:rsidR="00CE50D3">
        <w:t>HIV</w:t>
      </w:r>
      <w:r w:rsidR="00642DE8">
        <w:t>, hepatitis B and/or C, have non-HIV-related immunosuppression</w:t>
      </w:r>
      <w:r>
        <w:t xml:space="preserve">, </w:t>
      </w:r>
      <w:r w:rsidR="00642DE8">
        <w:t>be a patient known to TIDU</w:t>
      </w:r>
      <w:r>
        <w:t>, and have either localised infection or pyrexia of unknown origin</w:t>
      </w:r>
      <w:r w:rsidR="00642DE8">
        <w:t xml:space="preserve"> </w:t>
      </w:r>
      <w:r w:rsidR="00B94302">
        <w:t>(</w:t>
      </w:r>
      <w:r w:rsidR="00642DE8">
        <w:t xml:space="preserve">Table 2). </w:t>
      </w:r>
      <w:r w:rsidR="00B53C4D">
        <w:t>R</w:t>
      </w:r>
      <w:r w:rsidR="008D7FD1">
        <w:t>eturned travellers were more likely</w:t>
      </w:r>
      <w:r w:rsidR="00B53C4D">
        <w:t xml:space="preserve"> </w:t>
      </w:r>
      <w:r w:rsidR="008D7FD1">
        <w:t xml:space="preserve">to be admitted </w:t>
      </w:r>
      <w:r w:rsidR="00507CBF">
        <w:t>or transferred to TIDU (Table 2</w:t>
      </w:r>
      <w:r w:rsidR="008D7FD1">
        <w:t>).</w:t>
      </w:r>
      <w:r w:rsidR="004A045E">
        <w:t xml:space="preserve"> </w:t>
      </w:r>
      <w:r w:rsidR="00D82679">
        <w:t xml:space="preserve">A post-hoc analysis comparing calls concerning people with HIV vs people without HIV showed no discernible differences in </w:t>
      </w:r>
      <w:r w:rsidR="00D82679" w:rsidRPr="00D82679">
        <w:t>demographic data, clinical syndrome, advice given, and patient outcome</w:t>
      </w:r>
      <w:r w:rsidR="00D82679">
        <w:t>.</w:t>
      </w:r>
    </w:p>
    <w:p w14:paraId="037AE9B5" w14:textId="77777777" w:rsidR="00E44330" w:rsidRDefault="00811CE2" w:rsidP="00BA43F9">
      <w:pPr>
        <w:spacing w:line="360" w:lineRule="auto"/>
        <w:jc w:val="both"/>
      </w:pPr>
      <w:r>
        <w:t>In terms of</w:t>
      </w:r>
      <w:r w:rsidR="003676C7">
        <w:t xml:space="preserve"> user satisfaction, </w:t>
      </w:r>
      <w:r>
        <w:t>8/11 (73%)</w:t>
      </w:r>
      <w:r w:rsidR="003676C7">
        <w:t xml:space="preserve"> TIDU Specialist Trainees </w:t>
      </w:r>
      <w:r>
        <w:t xml:space="preserve">responded to an anonymous online feedback survey. </w:t>
      </w:r>
      <w:r w:rsidR="000E012F">
        <w:t>All</w:t>
      </w:r>
      <w:r>
        <w:t xml:space="preserve"> respondents rated the </w:t>
      </w:r>
      <w:r w:rsidR="00D5680C">
        <w:t xml:space="preserve">system’s </w:t>
      </w:r>
      <w:r w:rsidR="000E012F">
        <w:t xml:space="preserve">ease of use and </w:t>
      </w:r>
      <w:r w:rsidR="00D5680C">
        <w:t xml:space="preserve">support of sound </w:t>
      </w:r>
      <w:r>
        <w:t>medico</w:t>
      </w:r>
      <w:r w:rsidR="002C4348">
        <w:t>-</w:t>
      </w:r>
      <w:r w:rsidR="000E012F">
        <w:t>legal documentation as good/excellent, reported</w:t>
      </w:r>
      <w:r>
        <w:t xml:space="preserve"> that the system was an improvement </w:t>
      </w:r>
      <w:r w:rsidR="00D5680C">
        <w:t>to</w:t>
      </w:r>
      <w:r>
        <w:t xml:space="preserve"> the previous </w:t>
      </w:r>
      <w:r w:rsidR="00D5680C">
        <w:t>standard</w:t>
      </w:r>
      <w:r>
        <w:t xml:space="preserve"> (e.g. Specialist Trainees documenting their own calls with no central, accessible database)</w:t>
      </w:r>
      <w:r w:rsidR="000E012F">
        <w:t xml:space="preserve">, and reported that they documented over half of the calls they received. </w:t>
      </w:r>
      <w:r w:rsidR="00E44330">
        <w:t xml:space="preserve"> </w:t>
      </w:r>
      <w:r w:rsidR="000E012F">
        <w:t>The reasons users gave for not documenting calls received included</w:t>
      </w:r>
      <w:r w:rsidR="002C4348">
        <w:t>: advice being given and further calls not expected; calls relating to in-patients in the same trust that can be referred online to the TIDU Consults team; lack of time; forgetting to document; out-of-hours or overnight calls; and lack of patient or caller information recorded at the time.</w:t>
      </w:r>
      <w:r w:rsidR="0036232A">
        <w:t xml:space="preserve"> Respondents made the following recommendations to improve the service: document time spent on calls; estimate admissions avoided and </w:t>
      </w:r>
      <w:r w:rsidR="0046071E">
        <w:t xml:space="preserve">money or time </w:t>
      </w:r>
      <w:r w:rsidR="0036232A">
        <w:t>saving</w:t>
      </w:r>
      <w:r w:rsidR="0046071E">
        <w:t>s</w:t>
      </w:r>
      <w:r w:rsidR="0036232A">
        <w:t xml:space="preserve"> to TIDU</w:t>
      </w:r>
      <w:r w:rsidR="0046071E">
        <w:t xml:space="preserve"> and TIDU staff</w:t>
      </w:r>
      <w:r w:rsidR="0036232A">
        <w:t>; and consider creation of a database that is available from a distance (e.g. when calls taken at home).</w:t>
      </w:r>
    </w:p>
    <w:p w14:paraId="1D6481E6" w14:textId="77777777" w:rsidR="009C2537" w:rsidRDefault="009C2537" w:rsidP="00BA43F9">
      <w:pPr>
        <w:spacing w:line="360" w:lineRule="auto"/>
        <w:jc w:val="both"/>
        <w:rPr>
          <w:b/>
        </w:rPr>
      </w:pPr>
    </w:p>
    <w:p w14:paraId="33D8106C" w14:textId="77777777" w:rsidR="00640050" w:rsidRDefault="00640050" w:rsidP="00BA43F9">
      <w:pPr>
        <w:spacing w:line="360" w:lineRule="auto"/>
        <w:jc w:val="both"/>
        <w:rPr>
          <w:b/>
        </w:rPr>
      </w:pPr>
      <w:r>
        <w:rPr>
          <w:b/>
        </w:rPr>
        <w:t>Discussion</w:t>
      </w:r>
    </w:p>
    <w:p w14:paraId="02FADE19" w14:textId="77777777" w:rsidR="00640050" w:rsidRDefault="00017B62" w:rsidP="00BA43F9">
      <w:pPr>
        <w:spacing w:line="360" w:lineRule="auto"/>
        <w:jc w:val="both"/>
      </w:pPr>
      <w:r>
        <w:t xml:space="preserve">Many secondary </w:t>
      </w:r>
      <w:r w:rsidR="0046071E">
        <w:t>care</w:t>
      </w:r>
      <w:r>
        <w:t xml:space="preserve"> departments, whether specialist or generalist,</w:t>
      </w:r>
      <w:r w:rsidR="00640050" w:rsidRPr="00640050">
        <w:t xml:space="preserve"> receive regular </w:t>
      </w:r>
      <w:r w:rsidR="003676C7">
        <w:t xml:space="preserve">advice </w:t>
      </w:r>
      <w:r w:rsidR="00640050" w:rsidRPr="00640050">
        <w:t xml:space="preserve">calls from </w:t>
      </w:r>
      <w:r w:rsidR="00B94302">
        <w:t>external</w:t>
      </w:r>
      <w:r w:rsidR="00B94302" w:rsidRPr="00640050">
        <w:t xml:space="preserve"> </w:t>
      </w:r>
      <w:r w:rsidR="00640050" w:rsidRPr="00640050">
        <w:t xml:space="preserve">primary </w:t>
      </w:r>
      <w:r w:rsidR="00713212">
        <w:t xml:space="preserve">and </w:t>
      </w:r>
      <w:r>
        <w:t xml:space="preserve">other </w:t>
      </w:r>
      <w:r w:rsidR="00713212">
        <w:t xml:space="preserve">secondary </w:t>
      </w:r>
      <w:r w:rsidR="00640050" w:rsidRPr="00640050">
        <w:t xml:space="preserve">care facilities. </w:t>
      </w:r>
      <w:proofErr w:type="gramStart"/>
      <w:r w:rsidR="00640050" w:rsidRPr="00640050">
        <w:t>In order to</w:t>
      </w:r>
      <w:proofErr w:type="gramEnd"/>
      <w:r w:rsidR="00640050" w:rsidRPr="00640050">
        <w:t xml:space="preserve"> give comprehensive advice, especially </w:t>
      </w:r>
      <w:r w:rsidR="00995548">
        <w:t>in rapidly evolving</w:t>
      </w:r>
      <w:r w:rsidR="00640050" w:rsidRPr="00640050">
        <w:t xml:space="preserve"> </w:t>
      </w:r>
      <w:r w:rsidR="00713212" w:rsidRPr="00640050">
        <w:t>clinical scenarios</w:t>
      </w:r>
      <w:r w:rsidR="00640050" w:rsidRPr="00640050">
        <w:t xml:space="preserve">, a number of calls </w:t>
      </w:r>
      <w:r w:rsidR="00713212">
        <w:t xml:space="preserve">for virtual consultation </w:t>
      </w:r>
      <w:r w:rsidR="00640050" w:rsidRPr="00640050">
        <w:t>concerni</w:t>
      </w:r>
      <w:r w:rsidR="00713212">
        <w:t>ng the same patient may be made</w:t>
      </w:r>
      <w:r w:rsidR="00891A1F">
        <w:t xml:space="preserve">. This can lead </w:t>
      </w:r>
      <w:r w:rsidR="00640050" w:rsidRPr="00640050">
        <w:t xml:space="preserve">to a significant </w:t>
      </w:r>
      <w:r w:rsidR="00995548">
        <w:t xml:space="preserve">but unquantified </w:t>
      </w:r>
      <w:r w:rsidR="00640050" w:rsidRPr="00640050">
        <w:t>burden of clinical work and time.</w:t>
      </w:r>
      <w:r w:rsidR="008E7450">
        <w:t xml:space="preserve"> </w:t>
      </w:r>
      <w:r w:rsidR="00713212">
        <w:t>In our busy TIDU referral unit, a</w:t>
      </w:r>
      <w:r w:rsidR="008E7450">
        <w:t xml:space="preserve"> simple-to-use, advice call documentation system quantified </w:t>
      </w:r>
      <w:r w:rsidR="00713212">
        <w:t>the</w:t>
      </w:r>
      <w:r w:rsidR="008E7450">
        <w:t xml:space="preserve"> previously hidden high burden </w:t>
      </w:r>
      <w:r w:rsidR="00713212">
        <w:t xml:space="preserve">of calls, demonstrated that </w:t>
      </w:r>
      <w:r w:rsidR="008E7450">
        <w:t>a significant number of calls related to returned travellers</w:t>
      </w:r>
      <w:r w:rsidR="00B94302">
        <w:t xml:space="preserve"> -</w:t>
      </w:r>
      <w:r w:rsidR="008E7450">
        <w:t xml:space="preserve"> especially during the summer months</w:t>
      </w:r>
      <w:r w:rsidR="00B94302">
        <w:t xml:space="preserve"> -</w:t>
      </w:r>
      <w:r w:rsidR="00713212">
        <w:t xml:space="preserve"> and showed that a third of calls required further TIDU input</w:t>
      </w:r>
      <w:r w:rsidR="008E7450">
        <w:t xml:space="preserve">. </w:t>
      </w:r>
      <w:r>
        <w:t xml:space="preserve">The advice calls system that we designed and implemented is easily replicable and </w:t>
      </w:r>
      <w:r>
        <w:lastRenderedPageBreak/>
        <w:t>could be adapted for use in any medical department.</w:t>
      </w:r>
      <w:r w:rsidR="00D242B3">
        <w:t xml:space="preserve"> In </w:t>
      </w:r>
      <w:r w:rsidR="00D242B3" w:rsidRPr="00D242B3">
        <w:t>Box 2</w:t>
      </w:r>
      <w:r w:rsidR="00D242B3">
        <w:t xml:space="preserve">, we </w:t>
      </w:r>
      <w:r w:rsidR="00D242B3" w:rsidRPr="00D242B3">
        <w:t xml:space="preserve">provide the key recommendations </w:t>
      </w:r>
      <w:r w:rsidR="0046071E">
        <w:t>for</w:t>
      </w:r>
      <w:r w:rsidR="00D242B3" w:rsidRPr="00D242B3">
        <w:t xml:space="preserve"> set</w:t>
      </w:r>
      <w:r w:rsidR="0046071E">
        <w:t>ting</w:t>
      </w:r>
      <w:r w:rsidR="00D242B3" w:rsidRPr="00D242B3">
        <w:t xml:space="preserve"> up and implement</w:t>
      </w:r>
      <w:r w:rsidR="0046071E">
        <w:t>ing</w:t>
      </w:r>
      <w:r w:rsidR="00D242B3" w:rsidRPr="00D242B3">
        <w:t xml:space="preserve"> a similar system.</w:t>
      </w:r>
    </w:p>
    <w:p w14:paraId="6D2716E8" w14:textId="77777777" w:rsidR="00D242B3" w:rsidRPr="00F764CE" w:rsidRDefault="00D242B3" w:rsidP="00A96E27">
      <w:pPr>
        <w:spacing w:line="360" w:lineRule="auto"/>
        <w:jc w:val="both"/>
        <w:rPr>
          <w:b/>
        </w:rPr>
      </w:pPr>
      <w:r w:rsidRPr="00F764CE">
        <w:rPr>
          <w:b/>
        </w:rPr>
        <w:t>Box 2: Recommendations for designing and implementing an advice calls system</w:t>
      </w:r>
    </w:p>
    <w:p w14:paraId="0FA6BA79" w14:textId="77777777" w:rsidR="00D242B3" w:rsidRPr="000E012F" w:rsidRDefault="000E012F" w:rsidP="007D2002">
      <w:pPr>
        <w:pStyle w:val="ListParagraph"/>
        <w:numPr>
          <w:ilvl w:val="0"/>
          <w:numId w:val="7"/>
        </w:numPr>
        <w:pBdr>
          <w:top w:val="single" w:sz="4" w:space="1" w:color="auto"/>
          <w:left w:val="single" w:sz="4" w:space="4" w:color="auto"/>
          <w:bottom w:val="single" w:sz="4" w:space="1" w:color="auto"/>
          <w:right w:val="single" w:sz="4" w:space="4" w:color="auto"/>
        </w:pBdr>
        <w:spacing w:line="360" w:lineRule="auto"/>
        <w:jc w:val="both"/>
        <w:rPr>
          <w:i/>
        </w:rPr>
      </w:pPr>
      <w:r w:rsidRPr="000E012F">
        <w:rPr>
          <w:b/>
          <w:i/>
        </w:rPr>
        <w:t>Scoping</w:t>
      </w:r>
      <w:r>
        <w:rPr>
          <w:b/>
          <w:i/>
        </w:rPr>
        <w:t xml:space="preserve"> review</w:t>
      </w:r>
      <w:r w:rsidRPr="000E012F">
        <w:rPr>
          <w:b/>
          <w:i/>
        </w:rPr>
        <w:t>:</w:t>
      </w:r>
      <w:r>
        <w:rPr>
          <w:i/>
        </w:rPr>
        <w:t xml:space="preserve"> </w:t>
      </w:r>
      <w:r w:rsidR="00D242B3" w:rsidRPr="000E012F">
        <w:rPr>
          <w:i/>
        </w:rPr>
        <w:t xml:space="preserve">Prior to design and implementation, conduct a scoping exercise and/or staff member diary to elicit </w:t>
      </w:r>
      <w:r w:rsidR="007D2002" w:rsidRPr="000E012F">
        <w:rPr>
          <w:i/>
        </w:rPr>
        <w:t xml:space="preserve">volume of calls received, </w:t>
      </w:r>
      <w:r w:rsidR="00D242B3" w:rsidRPr="000E012F">
        <w:rPr>
          <w:i/>
        </w:rPr>
        <w:t>time spent dealing with calls</w:t>
      </w:r>
      <w:r w:rsidR="007D2002" w:rsidRPr="000E012F">
        <w:rPr>
          <w:i/>
        </w:rPr>
        <w:t>, and nature of calls to your department</w:t>
      </w:r>
    </w:p>
    <w:p w14:paraId="0A4C65A3" w14:textId="77777777" w:rsidR="00D242B3" w:rsidRPr="000E012F" w:rsidRDefault="000E012F" w:rsidP="007D2002">
      <w:pPr>
        <w:pStyle w:val="ListParagraph"/>
        <w:numPr>
          <w:ilvl w:val="0"/>
          <w:numId w:val="7"/>
        </w:numPr>
        <w:pBdr>
          <w:top w:val="single" w:sz="4" w:space="1" w:color="auto"/>
          <w:left w:val="single" w:sz="4" w:space="4" w:color="auto"/>
          <w:bottom w:val="single" w:sz="4" w:space="1" w:color="auto"/>
          <w:right w:val="single" w:sz="4" w:space="4" w:color="auto"/>
        </w:pBdr>
        <w:spacing w:line="360" w:lineRule="auto"/>
        <w:jc w:val="both"/>
        <w:rPr>
          <w:i/>
        </w:rPr>
      </w:pPr>
      <w:r w:rsidRPr="000E012F">
        <w:rPr>
          <w:b/>
          <w:i/>
        </w:rPr>
        <w:t>MDT involvement:</w:t>
      </w:r>
      <w:r>
        <w:rPr>
          <w:i/>
        </w:rPr>
        <w:t xml:space="preserve"> </w:t>
      </w:r>
      <w:r w:rsidR="007D2002" w:rsidRPr="000E012F">
        <w:rPr>
          <w:i/>
        </w:rPr>
        <w:t xml:space="preserve">Involve all relevant members of the MDT who receive calls in </w:t>
      </w:r>
      <w:r w:rsidR="0046071E" w:rsidRPr="000E012F">
        <w:rPr>
          <w:i/>
        </w:rPr>
        <w:t xml:space="preserve">the </w:t>
      </w:r>
      <w:r w:rsidR="007D2002" w:rsidRPr="000E012F">
        <w:rPr>
          <w:i/>
        </w:rPr>
        <w:t xml:space="preserve">design and implementation of the system and the related SOP </w:t>
      </w:r>
    </w:p>
    <w:p w14:paraId="2FE3E21A" w14:textId="77777777" w:rsidR="007D2002" w:rsidRPr="000E012F" w:rsidRDefault="000E012F" w:rsidP="007D2002">
      <w:pPr>
        <w:pStyle w:val="ListParagraph"/>
        <w:numPr>
          <w:ilvl w:val="0"/>
          <w:numId w:val="7"/>
        </w:numPr>
        <w:pBdr>
          <w:top w:val="single" w:sz="4" w:space="1" w:color="auto"/>
          <w:left w:val="single" w:sz="4" w:space="4" w:color="auto"/>
          <w:bottom w:val="single" w:sz="4" w:space="1" w:color="auto"/>
          <w:right w:val="single" w:sz="4" w:space="4" w:color="auto"/>
        </w:pBdr>
        <w:spacing w:line="360" w:lineRule="auto"/>
        <w:jc w:val="both"/>
        <w:rPr>
          <w:i/>
        </w:rPr>
      </w:pPr>
      <w:r w:rsidRPr="000E012F">
        <w:rPr>
          <w:b/>
          <w:i/>
        </w:rPr>
        <w:t>QIP Standards:</w:t>
      </w:r>
      <w:r>
        <w:rPr>
          <w:i/>
        </w:rPr>
        <w:t xml:space="preserve"> </w:t>
      </w:r>
      <w:r w:rsidR="007D2002" w:rsidRPr="000E012F">
        <w:rPr>
          <w:i/>
        </w:rPr>
        <w:t xml:space="preserve">Register the project with </w:t>
      </w:r>
      <w:r w:rsidR="0046071E" w:rsidRPr="000E012F">
        <w:rPr>
          <w:i/>
        </w:rPr>
        <w:t xml:space="preserve">and adhere to the standards of a </w:t>
      </w:r>
      <w:r w:rsidR="007D2002" w:rsidRPr="000E012F">
        <w:rPr>
          <w:i/>
        </w:rPr>
        <w:t>local and/or national QIP platform</w:t>
      </w:r>
      <w:r w:rsidR="0046071E" w:rsidRPr="000E012F">
        <w:rPr>
          <w:i/>
        </w:rPr>
        <w:t xml:space="preserve"> </w:t>
      </w:r>
    </w:p>
    <w:p w14:paraId="5465C8A6" w14:textId="77777777" w:rsidR="00D242B3" w:rsidRPr="000E012F" w:rsidRDefault="000E012F" w:rsidP="007D2002">
      <w:pPr>
        <w:pStyle w:val="ListParagraph"/>
        <w:numPr>
          <w:ilvl w:val="0"/>
          <w:numId w:val="7"/>
        </w:numPr>
        <w:pBdr>
          <w:top w:val="single" w:sz="4" w:space="1" w:color="auto"/>
          <w:left w:val="single" w:sz="4" w:space="4" w:color="auto"/>
          <w:bottom w:val="single" w:sz="4" w:space="1" w:color="auto"/>
          <w:right w:val="single" w:sz="4" w:space="4" w:color="auto"/>
        </w:pBdr>
        <w:spacing w:line="360" w:lineRule="auto"/>
        <w:jc w:val="both"/>
        <w:rPr>
          <w:i/>
        </w:rPr>
      </w:pPr>
      <w:r w:rsidRPr="000E012F">
        <w:rPr>
          <w:b/>
          <w:i/>
        </w:rPr>
        <w:t>Practical design:</w:t>
      </w:r>
      <w:r>
        <w:rPr>
          <w:i/>
        </w:rPr>
        <w:t xml:space="preserve"> </w:t>
      </w:r>
      <w:r w:rsidR="00D242B3" w:rsidRPr="000E012F">
        <w:rPr>
          <w:i/>
        </w:rPr>
        <w:t xml:space="preserve">Keep the </w:t>
      </w:r>
      <w:r w:rsidR="007D2002" w:rsidRPr="000E012F">
        <w:rPr>
          <w:i/>
        </w:rPr>
        <w:t xml:space="preserve">system </w:t>
      </w:r>
      <w:r w:rsidR="00D242B3" w:rsidRPr="000E012F">
        <w:rPr>
          <w:i/>
        </w:rPr>
        <w:t>design</w:t>
      </w:r>
      <w:r w:rsidR="007D2002" w:rsidRPr="000E012F">
        <w:rPr>
          <w:i/>
        </w:rPr>
        <w:t xml:space="preserve"> </w:t>
      </w:r>
      <w:r w:rsidR="00D242B3" w:rsidRPr="000E012F">
        <w:rPr>
          <w:i/>
        </w:rPr>
        <w:t xml:space="preserve">simple and consider how data entered could be extracted and used for audit and QIP purposes (e.g. use of Word or Excel platforms vs </w:t>
      </w:r>
      <w:proofErr w:type="gramStart"/>
      <w:r w:rsidR="0046071E" w:rsidRPr="000E012F">
        <w:rPr>
          <w:i/>
        </w:rPr>
        <w:t>other</w:t>
      </w:r>
      <w:proofErr w:type="gramEnd"/>
      <w:r w:rsidR="0046071E" w:rsidRPr="000E012F">
        <w:rPr>
          <w:i/>
        </w:rPr>
        <w:t xml:space="preserve"> </w:t>
      </w:r>
      <w:r w:rsidR="00D242B3" w:rsidRPr="000E012F">
        <w:rPr>
          <w:i/>
        </w:rPr>
        <w:t xml:space="preserve">database </w:t>
      </w:r>
      <w:r w:rsidR="0046071E" w:rsidRPr="000E012F">
        <w:rPr>
          <w:i/>
        </w:rPr>
        <w:t xml:space="preserve">software such as </w:t>
      </w:r>
      <w:r w:rsidR="00D242B3" w:rsidRPr="000E012F">
        <w:rPr>
          <w:i/>
        </w:rPr>
        <w:t>Microsoft Access)</w:t>
      </w:r>
    </w:p>
    <w:p w14:paraId="5FCF73E6" w14:textId="77777777" w:rsidR="007D2002" w:rsidRPr="000E012F" w:rsidRDefault="000E012F" w:rsidP="007D2002">
      <w:pPr>
        <w:pStyle w:val="ListParagraph"/>
        <w:numPr>
          <w:ilvl w:val="0"/>
          <w:numId w:val="7"/>
        </w:numPr>
        <w:pBdr>
          <w:top w:val="single" w:sz="4" w:space="1" w:color="auto"/>
          <w:left w:val="single" w:sz="4" w:space="4" w:color="auto"/>
          <w:bottom w:val="single" w:sz="4" w:space="1" w:color="auto"/>
          <w:right w:val="single" w:sz="4" w:space="4" w:color="auto"/>
        </w:pBdr>
        <w:spacing w:line="360" w:lineRule="auto"/>
        <w:jc w:val="both"/>
        <w:rPr>
          <w:i/>
        </w:rPr>
      </w:pPr>
      <w:r w:rsidRPr="000E012F">
        <w:rPr>
          <w:b/>
          <w:i/>
        </w:rPr>
        <w:t>Training and updates:</w:t>
      </w:r>
      <w:r>
        <w:rPr>
          <w:i/>
        </w:rPr>
        <w:t xml:space="preserve"> </w:t>
      </w:r>
      <w:r w:rsidR="007D2002" w:rsidRPr="000E012F">
        <w:rPr>
          <w:i/>
        </w:rPr>
        <w:t>Inform and train users in the department prior to implementation through example scenarios and presentations and ensure regular updates following implementation to maintain system usage</w:t>
      </w:r>
      <w:r w:rsidR="0046071E" w:rsidRPr="000E012F">
        <w:rPr>
          <w:i/>
        </w:rPr>
        <w:t xml:space="preserve"> and fidelity</w:t>
      </w:r>
    </w:p>
    <w:p w14:paraId="349E3877" w14:textId="77777777" w:rsidR="00D242B3" w:rsidRPr="000E012F" w:rsidRDefault="000E012F" w:rsidP="007D2002">
      <w:pPr>
        <w:pStyle w:val="ListParagraph"/>
        <w:numPr>
          <w:ilvl w:val="0"/>
          <w:numId w:val="7"/>
        </w:numPr>
        <w:pBdr>
          <w:top w:val="single" w:sz="4" w:space="1" w:color="auto"/>
          <w:left w:val="single" w:sz="4" w:space="4" w:color="auto"/>
          <w:bottom w:val="single" w:sz="4" w:space="1" w:color="auto"/>
          <w:right w:val="single" w:sz="4" w:space="4" w:color="auto"/>
        </w:pBdr>
        <w:spacing w:line="360" w:lineRule="auto"/>
        <w:jc w:val="both"/>
        <w:rPr>
          <w:i/>
        </w:rPr>
      </w:pPr>
      <w:r w:rsidRPr="000E012F">
        <w:rPr>
          <w:b/>
          <w:i/>
        </w:rPr>
        <w:t>Monitoring, evaluation, and feedback:</w:t>
      </w:r>
      <w:r>
        <w:rPr>
          <w:i/>
        </w:rPr>
        <w:t xml:space="preserve"> </w:t>
      </w:r>
      <w:r w:rsidR="007D2002" w:rsidRPr="000E012F">
        <w:rPr>
          <w:i/>
        </w:rPr>
        <w:t xml:space="preserve">Perform regular monitoring and evaluation with user </w:t>
      </w:r>
      <w:r w:rsidR="0046071E" w:rsidRPr="000E012F">
        <w:rPr>
          <w:i/>
        </w:rPr>
        <w:t xml:space="preserve">- </w:t>
      </w:r>
      <w:r w:rsidR="007D2002" w:rsidRPr="000E012F">
        <w:rPr>
          <w:i/>
        </w:rPr>
        <w:t xml:space="preserve">and where possible caller </w:t>
      </w:r>
      <w:r w:rsidR="0046071E" w:rsidRPr="000E012F">
        <w:rPr>
          <w:i/>
        </w:rPr>
        <w:t xml:space="preserve">- </w:t>
      </w:r>
      <w:r w:rsidR="007D2002" w:rsidRPr="000E012F">
        <w:rPr>
          <w:i/>
        </w:rPr>
        <w:t>feedback and consider involvement of colleagues from workforce planning or cost-effectiveness departments to conduct complementary analyses of time and money saved through the call system</w:t>
      </w:r>
    </w:p>
    <w:p w14:paraId="34E8F503" w14:textId="77777777" w:rsidR="00D242B3" w:rsidRPr="000E012F" w:rsidRDefault="000E012F" w:rsidP="007D2002">
      <w:pPr>
        <w:pStyle w:val="ListParagraph"/>
        <w:numPr>
          <w:ilvl w:val="0"/>
          <w:numId w:val="7"/>
        </w:numPr>
        <w:pBdr>
          <w:top w:val="single" w:sz="4" w:space="1" w:color="auto"/>
          <w:left w:val="single" w:sz="4" w:space="4" w:color="auto"/>
          <w:bottom w:val="single" w:sz="4" w:space="1" w:color="auto"/>
          <w:right w:val="single" w:sz="4" w:space="4" w:color="auto"/>
        </w:pBdr>
        <w:spacing w:line="360" w:lineRule="auto"/>
        <w:jc w:val="both"/>
        <w:rPr>
          <w:i/>
        </w:rPr>
      </w:pPr>
      <w:r w:rsidRPr="000E012F">
        <w:rPr>
          <w:b/>
          <w:i/>
        </w:rPr>
        <w:t xml:space="preserve">Data review and audit: </w:t>
      </w:r>
      <w:r w:rsidR="007D2002" w:rsidRPr="000E012F">
        <w:rPr>
          <w:i/>
        </w:rPr>
        <w:t xml:space="preserve">Aim to systematically collect </w:t>
      </w:r>
      <w:r>
        <w:rPr>
          <w:i/>
        </w:rPr>
        <w:t xml:space="preserve">and review </w:t>
      </w:r>
      <w:r w:rsidR="007D2002" w:rsidRPr="000E012F">
        <w:rPr>
          <w:i/>
        </w:rPr>
        <w:t xml:space="preserve">data on the </w:t>
      </w:r>
      <w:r w:rsidR="0046071E" w:rsidRPr="000E012F">
        <w:rPr>
          <w:i/>
        </w:rPr>
        <w:t xml:space="preserve">progress and </w:t>
      </w:r>
      <w:r w:rsidR="007D2002" w:rsidRPr="000E012F">
        <w:rPr>
          <w:i/>
        </w:rPr>
        <w:t xml:space="preserve">outcomes of patients </w:t>
      </w:r>
      <w:r w:rsidR="0046071E" w:rsidRPr="000E012F">
        <w:rPr>
          <w:i/>
        </w:rPr>
        <w:t xml:space="preserve">discussed and </w:t>
      </w:r>
      <w:proofErr w:type="gramStart"/>
      <w:r w:rsidR="0046071E" w:rsidRPr="000E012F">
        <w:rPr>
          <w:i/>
        </w:rPr>
        <w:t>entered into</w:t>
      </w:r>
      <w:proofErr w:type="gramEnd"/>
      <w:r w:rsidR="0046071E" w:rsidRPr="000E012F">
        <w:rPr>
          <w:i/>
        </w:rPr>
        <w:t xml:space="preserve"> the </w:t>
      </w:r>
      <w:r w:rsidR="007D2002" w:rsidRPr="000E012F">
        <w:rPr>
          <w:i/>
        </w:rPr>
        <w:t>system</w:t>
      </w:r>
      <w:r w:rsidR="0046071E" w:rsidRPr="000E012F">
        <w:rPr>
          <w:i/>
        </w:rPr>
        <w:t xml:space="preserve"> database</w:t>
      </w:r>
    </w:p>
    <w:p w14:paraId="680C4E60" w14:textId="77777777" w:rsidR="007D2002" w:rsidRDefault="007D2002" w:rsidP="00A96E27">
      <w:pPr>
        <w:spacing w:line="360" w:lineRule="auto"/>
        <w:jc w:val="both"/>
      </w:pPr>
    </w:p>
    <w:p w14:paraId="3B27B45C" w14:textId="77777777" w:rsidR="00A96E27" w:rsidRDefault="00A96E27" w:rsidP="00A96E27">
      <w:pPr>
        <w:spacing w:line="360" w:lineRule="auto"/>
        <w:jc w:val="both"/>
      </w:pPr>
      <w:r>
        <w:t>Evidence relating to clinical advice services</w:t>
      </w:r>
      <w:r w:rsidR="00510335" w:rsidRPr="00510335">
        <w:t xml:space="preserve"> </w:t>
      </w:r>
      <w:r w:rsidR="00510335">
        <w:t>is scarce</w:t>
      </w:r>
      <w:r>
        <w:t>. A limited number of articles describe the</w:t>
      </w:r>
      <w:r w:rsidR="00891A1F">
        <w:t xml:space="preserve"> role of infection </w:t>
      </w:r>
      <w:r>
        <w:t xml:space="preserve">consults in </w:t>
      </w:r>
      <w:r w:rsidR="0065657E" w:rsidRPr="00510335">
        <w:rPr>
          <w:i/>
        </w:rPr>
        <w:t>S</w:t>
      </w:r>
      <w:r w:rsidRPr="00510335">
        <w:rPr>
          <w:i/>
        </w:rPr>
        <w:t>taphylococcus aureus</w:t>
      </w:r>
      <w:r>
        <w:t xml:space="preserve"> bacteraemia (SAB)</w:t>
      </w:r>
      <w:r w:rsidR="003676C7">
        <w:t xml:space="preserve"> management</w:t>
      </w:r>
      <w:r>
        <w:t>, a condition with a high case fatality rate.</w:t>
      </w:r>
      <w:r>
        <w:fldChar w:fldCharType="begin" w:fldLock="1"/>
      </w:r>
      <w:r w:rsidR="00017B62">
        <w:instrText>ADDIN CSL_CITATION {"citationItems":[{"id":"ITEM-1","itemData":{"DOI":"10.1186/s12941-016-0122-8","author":[{"dropping-particle":"","family":"Yilmaz","given":"Mesut","non-dropping-particle":"","parse-names":false,"suffix":""},{"dropping-particle":"","family":"Elaldi","given":"Nazif","non-dropping-particle":"","parse-names":false,"suffix":""},{"dropping-particle":"","family":"Balkan","given":"İlker İnanç","non-dropping-particle":"","parse-names":false,"suffix":""},{"dropping-particle":"","family":"Arslan","given":"Ferhat","non-dropping-particle":"","parse-names":false,"suffix":""},{"dropping-particle":"","family":"Batırel","given":"Ayşe Alga","non-dropping-particle":"","parse-names":false,"suffix":""},{"dropping-particle":"","family":"Bakıcı","given":"Mustafa Zahir","non-dropping-particle":"","parse-names":false,"suffix":""}],"id":"ITEM-1","issued":{"date-parts":[["2016"]]},"page":"1-10","title":"Mortality predictors of Staphylococcus aureus bacteremia : a prospective multicenter study","type":"article-journal"},"uris":["http://www.mendeley.com/documents/?uuid=ac7c829a-3644-476b-a443-5b19c8e840b1","http://www.mendeley.com/documents/?uuid=664bca03-ff15-49cb-a818-9391caac54e9"]}],"mendeley":{"formattedCitation":"&lt;sup&gt;3&lt;/sup&gt;","plainTextFormattedCitation":"3","previouslyFormattedCitation":"&lt;sup&gt;3&lt;/sup&gt;"},"properties":{"noteIndex":0},"schema":"https://github.com/citation-style-language/schema/raw/master/csl-citation.json"}</w:instrText>
      </w:r>
      <w:r>
        <w:fldChar w:fldCharType="separate"/>
      </w:r>
      <w:r w:rsidR="00017B62" w:rsidRPr="00017B62">
        <w:rPr>
          <w:noProof/>
          <w:vertAlign w:val="superscript"/>
        </w:rPr>
        <w:t>3</w:t>
      </w:r>
      <w:r>
        <w:fldChar w:fldCharType="end"/>
      </w:r>
      <w:r>
        <w:t xml:space="preserve"> Two systematic reviews of these studies showed that </w:t>
      </w:r>
      <w:r w:rsidR="00891A1F">
        <w:t>infection consults</w:t>
      </w:r>
      <w:r>
        <w:t xml:space="preserve"> improved quality of care through provision of timely</w:t>
      </w:r>
      <w:r w:rsidR="00D152C7">
        <w:t>,</w:t>
      </w:r>
      <w:r>
        <w:t xml:space="preserve"> adequate and appropriate anti-staphylococcal antibiotic therapy and also reduced 30  day mortality.</w:t>
      </w:r>
      <w:r>
        <w:fldChar w:fldCharType="begin" w:fldLock="1"/>
      </w:r>
      <w:r w:rsidR="00017B62">
        <w:instrText>ADDIN CSL_CITATION {"citationItems":[{"id":"ITEM-1","itemData":{"DOI":"10.1016/j.jinf.2015.09.037","ISBN":"1527-3296","ISSN":"15322742","PMID":"26453841","abstract":"Objective: Mortality and morbidity of Staphylococcus aureus bacteremia (SAB) still remains considerably high. We aimed to evaluate the impact of infectious disease consultation (IDC) on the management and outcomes of patients with SAB. Methods: We systematically searched 3 publication databases from inception to 31st May 2015 and reference lists of identified primary studies. Results: Our search returned 2874 reports, of which 18 fulfilled the inclusion criteria, accounting for 5337 patients. Overall 30-day mortality was 19.95% [95% CI 14.37-27.02] with a significant difference in favour of the IDC group (12.39% vs 26.07%) with a relative risk (RR) of 0.53 [95% CI 0.43-0.65]. 90-day mortality and relapse risk for SAB were also reduced significantly with RRs of 0.77 [95% CI 0.64-0.92] and 0.62 [95% CI 0.39-0.99], respectively. Both, the appropriateness of antistaphylococcal agent and treatment duration was improved by IDC (RR 1.14 [95% CI 1.08-1.20] and 1.85 [95% CI 1.39-2.46], respectively). Follow-up blood cultures and echocardiography were performed more frequently following IDC (RR 1.35 [95% CI 1.25-1.46] and 1.98 [95% CI 1.66-2.37], respectively). Conclusions: Evidence-based clinical management enforced by IDC may improve outcome of patients with SAB. Well-designed cluster-randomized controlled trials are needed to confirm this finding from observational studies.","author":[{"dropping-particle":"","family":"Vogel","given":"Monique","non-dropping-particle":"","parse-names":false,"suffix":""},{"dropping-particle":"","family":"Schmitz","given":"Roland P.H.","non-dropping-particle":"","parse-names":false,"suffix":""},{"dropping-particle":"","family":"Hagel","given":"Stefan","non-dropping-particle":"","parse-names":false,"suffix":""},{"dropping-particle":"","family":"Pletz","given":"Mathias W.","non-dropping-particle":"","parse-names":false,"suffix":""},{"dropping-particle":"","family":"Gagelmann","given":"Nico","non-dropping-particle":"","parse-names":false,"suffix":""},{"dropping-particle":"","family":"Scherag","given":"André","non-dropping-particle":"","parse-names":false,"suffix":""},{"dropping-particle":"","family":"Schlattmann","given":"Peter","non-dropping-particle":"","parse-names":false,"suffix":""},{"dropping-particle":"","family":"Brunkhorst","given":"Frank M.","non-dropping-particle":"","parse-names":false,"suffix":""}],"container-title":"Journal of Infection","id":"ITEM-1","issue":"1","issued":{"date-parts":[["2016"]]},"page":"19-28","title":"Infectious disease consultation for Staphylococcus aureus bacteremia - A systematic review and meta-analysis","type":"article-journal","volume":"72"},"uris":["http://www.mendeley.com/documents/?uuid=d97238b5-323e-4693-b1a9-ddb83d7b57a6","http://www.mendeley.com/documents/?uuid=6957ca58-8872-44dc-9d16-9461cf81bea7"]}],"mendeley":{"formattedCitation":"&lt;sup&gt;4&lt;/sup&gt;","plainTextFormattedCitation":"4","previouslyFormattedCitation":"&lt;sup&gt;4&lt;/sup&gt;"},"properties":{"noteIndex":0},"schema":"https://github.com/citation-style-language/schema/raw/master/csl-citation.json"}</w:instrText>
      </w:r>
      <w:r>
        <w:fldChar w:fldCharType="separate"/>
      </w:r>
      <w:r w:rsidR="00017B62" w:rsidRPr="00017B62">
        <w:rPr>
          <w:noProof/>
          <w:vertAlign w:val="superscript"/>
        </w:rPr>
        <w:t>4</w:t>
      </w:r>
      <w:r>
        <w:fldChar w:fldCharType="end"/>
      </w:r>
      <w:r>
        <w:t xml:space="preserve"> </w:t>
      </w:r>
      <w:r>
        <w:fldChar w:fldCharType="begin" w:fldLock="1"/>
      </w:r>
      <w:r w:rsidR="00017B62">
        <w:instrText>ADDIN CSL_CITATION {"citationItems":[{"id":"ITEM-1","itemData":{"DOI":"10.1093/ofid/ofw048","author":[{"dropping-particle":"","family":"Paulsen","given":"Julie","non-dropping-particle":"","parse-names":false,"suffix":""},{"dropping-particle":"","family":"Solligård","given":"Erik","non-dropping-particle":"","parse-names":false,"suffix":""},{"dropping-particle":"","family":"Damås","given":"Jan Kristian","non-dropping-particle":"","parse-names":false,"suffix":""},{"dropping-particle":"","family":"Dewan","given":"Andrew","non-dropping-particle":"","parse-names":false,"suffix":""},{"dropping-particle":"","family":"Åsvold","given":"Bjørn Olav","non-dropping-particle":"","parse-names":false,"suffix":""},{"dropping-particle":"","family":"Bracken","given":"Michael B","non-dropping-particle":"","parse-names":false,"suffix":""}],"id":"ITEM-1","issued":{"date-parts":[["0"]]},"page":"1-10","title":"The Impact of Infectious Disease Specialist Consultation for Staphylococcus aureus Bloodstream Infections : A Systematic Review","type":"article-journal"},"uris":["http://www.mendeley.com/documents/?uuid=c8fa2275-0d8c-4037-8adb-7c4ab8544018","http://www.mendeley.com/documents/?uuid=49ebe2eb-7998-4f6e-8d4b-db63cd669fb6"]}],"mendeley":{"formattedCitation":"&lt;sup&gt;5&lt;/sup&gt;","plainTextFormattedCitation":"5","previouslyFormattedCitation":"&lt;sup&gt;5&lt;/sup&gt;"},"properties":{"noteIndex":0},"schema":"https://github.com/citation-style-language/schema/raw/master/csl-citation.json"}</w:instrText>
      </w:r>
      <w:r>
        <w:fldChar w:fldCharType="separate"/>
      </w:r>
      <w:r w:rsidR="00017B62" w:rsidRPr="00017B62">
        <w:rPr>
          <w:noProof/>
          <w:vertAlign w:val="superscript"/>
        </w:rPr>
        <w:t>5</w:t>
      </w:r>
      <w:r>
        <w:fldChar w:fldCharType="end"/>
      </w:r>
      <w:r>
        <w:t xml:space="preserve"> </w:t>
      </w:r>
      <w:r w:rsidR="00B94302">
        <w:rPr>
          <w:rFonts w:eastAsia="Calibri" w:cstheme="minorHAnsi"/>
        </w:rPr>
        <w:t xml:space="preserve">In the case of bacteraemia and multi-drug resistant </w:t>
      </w:r>
      <w:proofErr w:type="spellStart"/>
      <w:r w:rsidR="00B94302">
        <w:rPr>
          <w:rFonts w:eastAsia="Calibri" w:cstheme="minorHAnsi"/>
        </w:rPr>
        <w:t>enterobacteriaceae</w:t>
      </w:r>
      <w:proofErr w:type="spellEnd"/>
      <w:r w:rsidR="00B94302">
        <w:rPr>
          <w:rFonts w:eastAsia="Calibri" w:cstheme="minorHAnsi"/>
        </w:rPr>
        <w:t xml:space="preserve"> bacteraemia, retrospective cohort studies have suggested that an infection review is associated with a reduced risk of mortality</w:t>
      </w:r>
      <w:r w:rsidR="00510335">
        <w:rPr>
          <w:rFonts w:eastAsia="Calibri" w:cstheme="minorHAnsi"/>
        </w:rPr>
        <w:t>.</w:t>
      </w:r>
      <w:r w:rsidR="00B94302" w:rsidRPr="00A11106">
        <w:rPr>
          <w:rFonts w:eastAsia="Calibri" w:cstheme="minorHAnsi"/>
        </w:rPr>
        <w:fldChar w:fldCharType="begin" w:fldLock="1"/>
      </w:r>
      <w:r w:rsidR="00017B62">
        <w:rPr>
          <w:rFonts w:eastAsia="Calibri" w:cstheme="minorHAnsi"/>
        </w:rPr>
        <w:instrText>ADDIN CSL_CITATION {"citationItems":[{"id":"ITEM-1","itemData":{"DOI":"10.1093/ofid/ofy026","ISSN":"2328-8957","PMID":"29577058","abstract":"Background. Multidrug-resistant organism (MDRO) infections are associated with high mortality and readmission rates. Infectious diseases (ID) consultation improves clinical outcomes for drug-resistant Staphylococcus aureus bloodstream infections. Our goal was to determine the association between ID consultation and mortality following various MDRO infections. Methods. This study was conducted with a retrospective cohort (January 1, 2006–October 1, 2015) at an academic tertiary re-ferral center. We identified patients with MDROs in a sterile site or bronchoalveolar lavage/bronchial wash culture. Mortality and readmissions within 1 year of index culture were identified, and the association of ID consultation with these outcomes was deter-mined using Cox proportional hazards models with inverse weighting by the propensity score for ID consultation. Results. A total of 4214 patients with MDRO infections were identified. ID consultation was significantly associated with reduc-tions in 30-day and 1-year mortality for resistant S. aureus (hazard ratio [HR], 0.48; 95% confidence interval [CI], 0.36–0.63; and HR, 0.73, 95% CI, 0.61–0.86) and Enterobacteriaceae (HR, 0.41; 95% CI, 0.27–0.64; and HR, 0.74; 95% CI, 0.59–0.94), and 30-day mor-tality for polymicrobial infections (HR, 0.51; 95% CI, 0.31–0.86) but not Acinetobacter or Pseudomonas. For resistant Enterococcus, ID consultation was marginally associated with decreased 30-day mortality (HR, 0.81; 95% CI, 0.62–1.06). ID consultation was associated with reduced 30-day readmission for resistant Enterobacteriaceae. Conclusions. ID consultation was associated with significant reductions in 30-day and 1-year mortality for resistant S. aureus and Enterobacteriaceae, and 30-day mortality for polymicrobial infections. There was no association between ID consultation and mortality for patients with resistant Pseudomonas, Acinetobacter, or Enterococcus, possibly due to small sample sizes. Our results suggest that ID consultation may be beneficial for patients with some MDRO infections. Multidrug-resistant organisms (MDROs) are an urgent public health threat, with increasing global incidence, progressively fewer treatment options, an association with significant health care costs, and high rates of morbidity, mortality, and readmis-sions [1–7]. With such a significant burden of disease due to MDROs, strategies are needed to reduce the morbidity, mortal-ity, and societal cost of MDRO infections. One potential inter-venti…","author":[{"dropping-particle":"","family":"Burnham","given":"Jason P","non-dropping-particle":"","parse-names":false,"suffix":""},{"dropping-particle":"","family":"Olsen","given":"Margaret A","non-dropping-particle":"","parse-names":false,"suffix":""},{"dropping-particle":"","family":"Stwalley","given":"Dustin","non-dropping-particle":"","parse-names":false,"suffix":""},{"dropping-particle":"","family":"Kwon","given":"Jennie H","non-dropping-particle":"","parse-names":false,"suffix":""},{"dropping-particle":"","family":"Babcock","given":"Hilary M","non-dropping-particle":"","parse-names":false,"suffix":""},{"dropping-particle":"","family":"Kollef","given":"Marin H","non-dropping-particle":"","parse-names":false,"suffix":""}],"container-title":"Open Forum Infectious Diseases","id":"ITEM-1","issue":"3","issued":{"date-parts":[["2018"]]},"page":"1-5","title":"Infectious Diseases Consultation Reduces 30-Day and 1-Year All-Cause Mortality for Multidrug-Resistant Organism Infections","type":"article-journal","volume":"5"},"uris":["http://www.mendeley.com/documents/?uuid=be2c629b-fef7-4270-a9f6-1b73fc25b821","http://www.mendeley.com/documents/?uuid=e80e4c19-fcda-4370-82cd-0c727b815bf8"]}],"mendeley":{"formattedCitation":"&lt;sup&gt;6&lt;/sup&gt;","plainTextFormattedCitation":"6","previouslyFormattedCitation":"&lt;sup&gt;6&lt;/sup&gt;"},"properties":{"noteIndex":0},"schema":"https://github.com/citation-style-language/schema/raw/master/csl-citation.json"}</w:instrText>
      </w:r>
      <w:r w:rsidR="00B94302" w:rsidRPr="00A11106">
        <w:rPr>
          <w:rFonts w:eastAsia="Calibri" w:cstheme="minorHAnsi"/>
        </w:rPr>
        <w:fldChar w:fldCharType="separate"/>
      </w:r>
      <w:r w:rsidR="00017B62" w:rsidRPr="00017B62">
        <w:rPr>
          <w:rFonts w:eastAsia="Calibri" w:cstheme="minorHAnsi"/>
          <w:noProof/>
          <w:vertAlign w:val="superscript"/>
        </w:rPr>
        <w:t>6</w:t>
      </w:r>
      <w:r w:rsidR="00B94302" w:rsidRPr="00A11106">
        <w:rPr>
          <w:rFonts w:eastAsia="Calibri" w:cstheme="minorHAnsi"/>
        </w:rPr>
        <w:fldChar w:fldCharType="end"/>
      </w:r>
      <w:r w:rsidR="00B94302" w:rsidRPr="000F05A4">
        <w:rPr>
          <w:rFonts w:eastAsia="Calibri" w:cstheme="minorHAnsi"/>
          <w:vertAlign w:val="superscript"/>
        </w:rPr>
        <w:t>,</w:t>
      </w:r>
      <w:r w:rsidR="00B94302" w:rsidRPr="00A11106">
        <w:rPr>
          <w:rFonts w:eastAsia="Calibri" w:cstheme="minorHAnsi"/>
        </w:rPr>
        <w:fldChar w:fldCharType="begin" w:fldLock="1"/>
      </w:r>
      <w:r w:rsidR="00017B62">
        <w:rPr>
          <w:rFonts w:eastAsia="Calibri" w:cstheme="minorHAnsi"/>
        </w:rPr>
        <w:instrText>ADDIN CSL_CITATION {"citationItems":[{"id":"ITEM-1","itemData":{"DOI":"10.1038/s41598-017-13055-2","ISBN":"2045-2322","ISSN":"20452322","PMID":"29018215","abstract":"The impact of consultation by infectious diseases (ID) physicians on management and outcomes of patients has not been determined in China. We assembled a retrospective cohort of 995 consecutive adult cases with bloodstream infections (BSI) in a major teaching hospital in China. Survival analysis was performed with Cox regression and the Kaplan-Meier curves. Among the 995 patients with BSI, 421 (42.3%) received consultation by ID physicians and 574 (57.7%) did not. ID consultation led to a significant lower hazard of death (hazard ratio [HR], 0.575; P &lt; 0.05) and more appropriate antimicrobial use (95.0% vs 67.6%, P &lt; 0.05). ID consultation was a protective factor among patients with BSI due to Gram-positive (HR, 0.551; P &lt; 0.05) or Gram-negative (HR, 0.331; P &lt; 0.05) bacteria. Multiple ID consultation was a protective factor (HR, 0.51; P &lt; 0.05), while single consultation was not. In conclusion, ID consultation led to significant lower risk for patients with BSI and improved management. Multiple rather than single ID consultations reduced the hazard of death. The consultation by infectious disease (ID) physicians has been associated with improved clinical management for a variety of infections including urinary tract infections, osteomyelitis, fungaemia due to Candida glabrata, solid organ transplant recipients admitted for infections, bacteremia and bacterial endocarditis 1–8 . However, there were discrepancies in whether ID consultation led to better outcomes such as reduced mortality or not. Some studies found that ID consultation did not significantly decrease mortality after adjusting for multiple varia-bles 2,3,9 , but some others reported more survivals associated with ID consultation 4–6,10–13 . In China, few hospitals have infectious diseases (ID) physicians who specialized in ID other than viral hep-atitis and tuberculosis 14 . Along with the national campaign for rational use of antimicrobial agents in clinical settings, the Ministry of Health, China, required all secondary or tertiary general hospitals to cultivate their ID physicians. However, the impact of the consultation of ID physicians on clinical management and outcomes of patients with ID has not been demonstrated in China. We therefore preformed a retrospective analysis on the impact of ID consultation on patients with bloodstream infections in a large teaching hospital in China. This study intended to confirm the hypothesis that ID consultation would be associated with better manag…","author":[{"dropping-particle":"","family":"Tang","given":"Guangmin","non-dropping-particle":"","parse-names":false,"suffix":""},{"dropping-particle":"","family":"Huang","given":"Liang","non-dropping-particle":"","parse-names":false,"suffix":""},{"dropping-particle":"","family":"Zong","given":"Zhiyong","non-dropping-particle":"","parse-names":false,"suffix":""}],"container-title":"Scientific Reports","id":"ITEM-1","issue":"1","issued":{"date-parts":[["2017"]]},"page":"1-7","publisher":"Springer US","title":"Impact of Infectious Disease Consultation on Clinical Management and Outcome of Patients with Bloodstream Infection: A Retrospective Cohort Study","type":"article-journal","volume":"7"},"uris":["http://www.mendeley.com/documents/?uuid=c71abbd8-5c5d-4839-9c3a-10dc488b8d43"]}],"mendeley":{"formattedCitation":"&lt;sup&gt;7&lt;/sup&gt;","plainTextFormattedCitation":"7","previouslyFormattedCitation":"&lt;sup&gt;7&lt;/sup&gt;"},"properties":{"noteIndex":0},"schema":"https://github.com/citation-style-language/schema/raw/master/csl-citation.json"}</w:instrText>
      </w:r>
      <w:r w:rsidR="00B94302" w:rsidRPr="00A11106">
        <w:rPr>
          <w:rFonts w:eastAsia="Calibri" w:cstheme="minorHAnsi"/>
        </w:rPr>
        <w:fldChar w:fldCharType="separate"/>
      </w:r>
      <w:r w:rsidR="00017B62" w:rsidRPr="00017B62">
        <w:rPr>
          <w:rFonts w:eastAsia="Calibri" w:cstheme="minorHAnsi"/>
          <w:noProof/>
          <w:vertAlign w:val="superscript"/>
        </w:rPr>
        <w:t>7</w:t>
      </w:r>
      <w:r w:rsidR="00B94302" w:rsidRPr="00A11106">
        <w:rPr>
          <w:rFonts w:eastAsia="Calibri" w:cstheme="minorHAnsi"/>
        </w:rPr>
        <w:fldChar w:fldCharType="end"/>
      </w:r>
      <w:r w:rsidR="00B94302" w:rsidRPr="00A11106">
        <w:rPr>
          <w:rFonts w:eastAsia="Calibri" w:cstheme="minorHAnsi"/>
        </w:rPr>
        <w:t xml:space="preserve"> </w:t>
      </w:r>
      <w:r w:rsidR="00B94302">
        <w:rPr>
          <w:rFonts w:eastAsia="Calibri" w:cstheme="minorHAnsi"/>
        </w:rPr>
        <w:t xml:space="preserve">There may also be </w:t>
      </w:r>
      <w:r w:rsidR="00510335">
        <w:rPr>
          <w:rFonts w:eastAsia="Calibri" w:cstheme="minorHAnsi"/>
        </w:rPr>
        <w:t xml:space="preserve">wider </w:t>
      </w:r>
      <w:r w:rsidR="00B94302">
        <w:rPr>
          <w:rFonts w:eastAsia="Calibri" w:cstheme="minorHAnsi"/>
        </w:rPr>
        <w:t xml:space="preserve">benefits to patients in terms of: </w:t>
      </w:r>
      <w:r w:rsidR="00AA79E6">
        <w:rPr>
          <w:rFonts w:eastAsia="Calibri" w:cstheme="minorHAnsi"/>
        </w:rPr>
        <w:t xml:space="preserve">related </w:t>
      </w:r>
      <w:r w:rsidR="00B94302">
        <w:rPr>
          <w:rFonts w:eastAsia="Calibri" w:cstheme="minorHAnsi"/>
        </w:rPr>
        <w:t xml:space="preserve">preventive therapies such </w:t>
      </w:r>
      <w:r w:rsidR="00510335">
        <w:rPr>
          <w:rFonts w:eastAsia="Calibri" w:cstheme="minorHAnsi"/>
        </w:rPr>
        <w:t>as</w:t>
      </w:r>
      <w:r w:rsidR="00AA79E6">
        <w:rPr>
          <w:rFonts w:eastAsia="Calibri" w:cstheme="minorHAnsi"/>
        </w:rPr>
        <w:t xml:space="preserve"> vaccinations for</w:t>
      </w:r>
      <w:r w:rsidR="00B94302" w:rsidRPr="00A11106">
        <w:rPr>
          <w:rFonts w:eastAsia="Calibri" w:cstheme="minorHAnsi"/>
        </w:rPr>
        <w:t xml:space="preserve"> transplant patients</w:t>
      </w:r>
      <w:r w:rsidR="00B94302">
        <w:rPr>
          <w:rFonts w:eastAsia="Calibri" w:cstheme="minorHAnsi"/>
        </w:rPr>
        <w:t>;</w:t>
      </w:r>
      <w:r w:rsidR="00B94302" w:rsidRPr="00A11106">
        <w:rPr>
          <w:rFonts w:eastAsia="Calibri" w:cstheme="minorHAnsi"/>
        </w:rPr>
        <w:fldChar w:fldCharType="begin" w:fldLock="1"/>
      </w:r>
      <w:r w:rsidR="00017B62">
        <w:rPr>
          <w:rFonts w:eastAsia="Calibri" w:cstheme="minorHAnsi"/>
        </w:rPr>
        <w:instrText>ADDIN CSL_CITATION {"citationItems":[{"id":"ITEM-1","itemData":{"DOI":"10.1016/j.vaccine.2018.06.058","ISBN":"0264-410x","ISSN":"18732518","PMID":"30049629","abstract":"Background: Vaccines prevent infections and avoid related complications. Low rates in immunocompromised patients are concerning due to increased morbidity. Vaccinations are less effective when administered post-transplant and should be administered prior. We describe pre-transplant vaccination rates among kidney or kidney-pancreas transplant recipients. Methods: Retrospective review including adults receiving kidney or kidney-pancreas allografts at Cleveland Clinic from October 2013 to October 2016. Pre-transplant vaccinations, serologies, and transplant data were collected. Results: 393 patients were included; median age was 53 years with most (46%) being Caucasian males. Influenza vaccination rate was 48%; receipt of at least one pneumococcal vaccine was 77%. Vaccination rates were higher among dialysis patients for pneumococcal, hepatitis B, and varicella vaccines; rates were also higher with infectious diseases consults. Conclusions: Vaccination rates at our institution for kidney or kidney-pancreas transplant candidates are consistent with previous literature. Rates were higher for candidates with infectious diseases consults or receiving dialysis.","author":[{"dropping-particle":"","family":"Kasper","given":"A. K.","non-dropping-particle":"","parse-names":false,"suffix":""},{"dropping-particle":"","family":"Pallotta","given":"A. M.","non-dropping-particle":"","parse-names":false,"suffix":""},{"dropping-particle":"","family":"Kovacs","given":"C. S.","non-dropping-particle":"","parse-names":false,"suffix":""},{"dropping-particle":"","family":"Spinner","given":"M. L.","non-dropping-particle":"","parse-names":false,"suffix":""}],"container-title":"Vaccine","id":"ITEM-1","issue":"34","issued":{"date-parts":[["2018"]]},"page":"5112-5115","title":"Infectious diseases consult improves vaccination adherence in kidney transplant candidates","type":"article-journal","volume":"36"},"uris":["http://www.mendeley.com/documents/?uuid=98ffe63e-1cd7-495f-869a-ea3f8d18f95e"]}],"mendeley":{"formattedCitation":"&lt;sup&gt;8&lt;/sup&gt;","plainTextFormattedCitation":"8","previouslyFormattedCitation":"&lt;sup&gt;8&lt;/sup&gt;"},"properties":{"noteIndex":0},"schema":"https://github.com/citation-style-language/schema/raw/master/csl-citation.json"}</w:instrText>
      </w:r>
      <w:r w:rsidR="00B94302" w:rsidRPr="00A11106">
        <w:rPr>
          <w:rFonts w:eastAsia="Calibri" w:cstheme="minorHAnsi"/>
        </w:rPr>
        <w:fldChar w:fldCharType="separate"/>
      </w:r>
      <w:r w:rsidR="00017B62" w:rsidRPr="00017B62">
        <w:rPr>
          <w:rFonts w:eastAsia="Calibri" w:cstheme="minorHAnsi"/>
          <w:noProof/>
          <w:vertAlign w:val="superscript"/>
        </w:rPr>
        <w:t>8</w:t>
      </w:r>
      <w:r w:rsidR="00B94302" w:rsidRPr="00A11106">
        <w:rPr>
          <w:rFonts w:eastAsia="Calibri" w:cstheme="minorHAnsi"/>
        </w:rPr>
        <w:fldChar w:fldCharType="end"/>
      </w:r>
      <w:r w:rsidR="00B94302">
        <w:rPr>
          <w:rFonts w:eastAsia="Calibri" w:cstheme="minorHAnsi"/>
        </w:rPr>
        <w:t xml:space="preserve"> and anti-microbial stewardship</w:t>
      </w:r>
      <w:r w:rsidR="00510335">
        <w:rPr>
          <w:rFonts w:eastAsia="Calibri" w:cstheme="minorHAnsi"/>
        </w:rPr>
        <w:t>.</w:t>
      </w:r>
      <w:r w:rsidR="00B94302" w:rsidRPr="00A11106">
        <w:rPr>
          <w:rFonts w:eastAsia="Calibri" w:cstheme="minorHAnsi"/>
        </w:rPr>
        <w:fldChar w:fldCharType="begin" w:fldLock="1"/>
      </w:r>
      <w:r w:rsidR="00017B62">
        <w:rPr>
          <w:rFonts w:eastAsia="Calibri" w:cstheme="minorHAnsi"/>
        </w:rPr>
        <w:instrText>ADDIN CSL_CITATION {"citationItems":[{"id":"ITEM-1","itemData":{"DOI":"10.1086/323760","ISBN":"1058-4838 (Print)\\r1058-4838 (Linking)","ISSN":"1058-4838","PMID":"11595982","abstract":"During a 5-year period, data from all infectious disease (ID) consultations were recorded in a computerized database, which included 9068 new and 4937 additional consultations. The purpose of these 14,005 consultations was therapy (for 58%), diagnosis (for 13%), both (for 24%), and prophylaxis (for 4%); 51% were performed at the bedside, and the remainder were by discussion (19%) or telephone (30%). Recommendations included the following: initiation, change, or discontinuation of antibiotics (in 46%); performance of diagnostic tests (in 20%) or surgical procedures (in 1%); prophylaxis (in 3%); or no change (in 29%). Analysis of new versus additional consultations revealed significant differences. A new ID consultation was given at a rate of 6.0 consultations per 100 hospitalized patients; the rate per department correlated with the expenditure on antimicrobials per patient admission. During the study period, expenditure on antimicrobials per admission steadily decreased, from $44 in 1995 to $30 in 1999, a 35% reduction. In conclusion, analysis of data from ID consultations enables the ID service to evaluate its activity and to direct efforts to departments with high rates of nosocomial infections, antimicrobial resistance, and/or antimicrobial use.","author":[{"dropping-particle":"","family":"Yinnon","given":"Amos M.","non-dropping-particle":"","parse-names":false,"suffix":""}],"container-title":"Clinical Infectious Diseases","id":"ITEM-1","issue":"10","issued":{"date-parts":[["2001"]]},"page":"1661-1667","title":"Whither Infectious Diseases Consultations? Analysis of 14,005 Consultations from a 5‐Year Period","type":"article-journal","volume":"33"},"uris":["http://www.mendeley.com/documents/?uuid=1ed352f3-777e-4080-b6bd-cd74db516b22"]}],"mendeley":{"formattedCitation":"&lt;sup&gt;9&lt;/sup&gt;","plainTextFormattedCitation":"9","previouslyFormattedCitation":"&lt;sup&gt;9&lt;/sup&gt;"},"properties":{"noteIndex":0},"schema":"https://github.com/citation-style-language/schema/raw/master/csl-citation.json"}</w:instrText>
      </w:r>
      <w:r w:rsidR="00B94302" w:rsidRPr="00A11106">
        <w:rPr>
          <w:rFonts w:eastAsia="Calibri" w:cstheme="minorHAnsi"/>
        </w:rPr>
        <w:fldChar w:fldCharType="separate"/>
      </w:r>
      <w:r w:rsidR="00017B62" w:rsidRPr="00017B62">
        <w:rPr>
          <w:rFonts w:eastAsia="Calibri" w:cstheme="minorHAnsi"/>
          <w:noProof/>
          <w:vertAlign w:val="superscript"/>
        </w:rPr>
        <w:t>9</w:t>
      </w:r>
      <w:r w:rsidR="00B94302" w:rsidRPr="00A11106">
        <w:rPr>
          <w:rFonts w:eastAsia="Calibri" w:cstheme="minorHAnsi"/>
        </w:rPr>
        <w:fldChar w:fldCharType="end"/>
      </w:r>
      <w:r w:rsidR="00B94302" w:rsidRPr="00D43054">
        <w:rPr>
          <w:rFonts w:eastAsia="Calibri" w:cstheme="minorHAnsi"/>
          <w:vertAlign w:val="superscript"/>
        </w:rPr>
        <w:t>,</w:t>
      </w:r>
      <w:r w:rsidR="00B94302" w:rsidRPr="00A11106">
        <w:rPr>
          <w:rFonts w:eastAsia="Calibri" w:cstheme="minorHAnsi"/>
        </w:rPr>
        <w:fldChar w:fldCharType="begin" w:fldLock="1"/>
      </w:r>
      <w:r w:rsidR="00017B62">
        <w:rPr>
          <w:rFonts w:eastAsia="Calibri" w:cstheme="minorHAnsi"/>
        </w:rPr>
        <w:instrText>ADDIN CSL_CITATION {"citationItems":[{"id":"ITEM-1","itemData":{"DOI":"10.1086/374245","ISBN":"1537-6591 (Electronic)\\r1058-4838 (Linking)","ISSN":"1058-4838","PMID":"12684914","abstract":"Infectious diseases (ID) specialists have played a major role in patient care, infection control, and antibiotic management for many years. With the rapidly changing nature of health care, it has become necessary for ID specialists to articulate their value to multiple audiences. This article summarizes the versatile attributes possessed by ID specialists and delineates their value to patients, hospitals, and other integral groups in the health care continuum.","author":[{"dropping-particle":"","family":"Petrak","given":"Russell M.","non-dropping-particle":"","parse-names":false,"suffix":""},{"dropping-particle":"","family":"Sexton","given":"Daniel J.","non-dropping-particle":"","parse-names":false,"suffix":""},{"dropping-particle":"","family":"Butera","given":"Michael L.","non-dropping-particle":"","parse-names":false,"suffix":""},{"dropping-particle":"","family":"Tenenbaum","given":"Marvin J.","non-dropping-particle":"","parse-names":false,"suffix":""},{"dropping-particle":"","family":"MacGregor","given":"Mary C.","non-dropping-particle":"","parse-names":false,"suffix":""},{"dropping-particle":"","family":"Schmidt","given":"Mary E.","non-dropping-particle":"","parse-names":false,"suffix":""},{"dropping-particle":"","family":"Joseph","given":"W. Patrick","non-dropping-particle":"","parse-names":false,"suffix":""},{"dropping-particle":"","family":"Kemmerly","given":"Sandra A.","non-dropping-particle":"","parse-names":false,"suffix":""},{"dropping-particle":"","family":"Dougherty","given":"Mark J.","non-dropping-particle":"","parse-names":false,"suffix":""},{"dropping-particle":"","family":"Bakken","given":"Johan S.","non-dropping-particle":"","parse-names":false,"suffix":""},{"dropping-particle":"","family":"Curfman","given":"Maria F.","non-dropping-particle":"","parse-names":false,"suffix":""},{"dropping-particle":"","family":"Martinelli","given":"Lawrence P.","non-dropping-particle":"","parse-names":false,"suffix":""},{"dropping-particle":"","family":"Gainer","given":"R. Brooks","non-dropping-particle":"","parse-names":false,"suffix":""}],"container-title":"Clinical Infectious Diseases","id":"ITEM-1","issue":"8","issued":{"date-parts":[["2003"]]},"page":"1013-1017","title":"The Value of an Infectious Diseases Specialist","type":"article-journal","volume":"36"},"uris":["http://www.mendeley.com/documents/?uuid=cd473bfd-96dd-41a4-810c-f90074c3eded"]}],"mendeley":{"formattedCitation":"&lt;sup&gt;10&lt;/sup&gt;","plainTextFormattedCitation":"10","previouslyFormattedCitation":"&lt;sup&gt;10&lt;/sup&gt;"},"properties":{"noteIndex":0},"schema":"https://github.com/citation-style-language/schema/raw/master/csl-citation.json"}</w:instrText>
      </w:r>
      <w:r w:rsidR="00B94302" w:rsidRPr="00A11106">
        <w:rPr>
          <w:rFonts w:eastAsia="Calibri" w:cstheme="minorHAnsi"/>
        </w:rPr>
        <w:fldChar w:fldCharType="separate"/>
      </w:r>
      <w:r w:rsidR="00017B62" w:rsidRPr="00017B62">
        <w:rPr>
          <w:rFonts w:eastAsia="Calibri" w:cstheme="minorHAnsi"/>
          <w:noProof/>
          <w:vertAlign w:val="superscript"/>
        </w:rPr>
        <w:t>10</w:t>
      </w:r>
      <w:r w:rsidR="00B94302" w:rsidRPr="00A11106">
        <w:rPr>
          <w:rFonts w:eastAsia="Calibri" w:cstheme="minorHAnsi"/>
        </w:rPr>
        <w:fldChar w:fldCharType="end"/>
      </w:r>
    </w:p>
    <w:p w14:paraId="7D3EEE15" w14:textId="77777777" w:rsidR="00212744" w:rsidRDefault="00B94302" w:rsidP="00212744">
      <w:pPr>
        <w:spacing w:before="100" w:beforeAutospacing="1" w:after="100" w:afterAutospacing="1" w:line="360" w:lineRule="auto"/>
        <w:jc w:val="both"/>
        <w:rPr>
          <w:rFonts w:eastAsia="Calibri" w:cstheme="minorHAnsi"/>
        </w:rPr>
      </w:pPr>
      <w:r>
        <w:rPr>
          <w:rFonts w:eastAsia="Calibri" w:cstheme="minorHAnsi"/>
        </w:rPr>
        <w:lastRenderedPageBreak/>
        <w:t>R</w:t>
      </w:r>
      <w:r w:rsidR="00A11106">
        <w:rPr>
          <w:rFonts w:eastAsia="Calibri" w:cstheme="minorHAnsi"/>
        </w:rPr>
        <w:t>ecent stud</w:t>
      </w:r>
      <w:r>
        <w:rPr>
          <w:rFonts w:eastAsia="Calibri" w:cstheme="minorHAnsi"/>
        </w:rPr>
        <w:t xml:space="preserve">ies have </w:t>
      </w:r>
      <w:r w:rsidR="00A11106">
        <w:rPr>
          <w:rFonts w:eastAsia="Calibri" w:cstheme="minorHAnsi"/>
        </w:rPr>
        <w:t xml:space="preserve">suggested that </w:t>
      </w:r>
      <w:r w:rsidR="00A11106" w:rsidRPr="00A11106">
        <w:rPr>
          <w:rFonts w:eastAsia="Calibri" w:cstheme="minorHAnsi"/>
        </w:rPr>
        <w:t xml:space="preserve">referrals </w:t>
      </w:r>
      <w:r w:rsidR="00A11106">
        <w:rPr>
          <w:rFonts w:eastAsia="Calibri" w:cstheme="minorHAnsi"/>
        </w:rPr>
        <w:t>to infecti</w:t>
      </w:r>
      <w:r w:rsidR="00891A1F">
        <w:rPr>
          <w:rFonts w:eastAsia="Calibri" w:cstheme="minorHAnsi"/>
        </w:rPr>
        <w:t xml:space="preserve">ous diseases </w:t>
      </w:r>
      <w:r w:rsidR="00A11106">
        <w:rPr>
          <w:rFonts w:eastAsia="Calibri" w:cstheme="minorHAnsi"/>
        </w:rPr>
        <w:t xml:space="preserve">specialist teams </w:t>
      </w:r>
      <w:r>
        <w:rPr>
          <w:rFonts w:eastAsia="Calibri" w:cstheme="minorHAnsi"/>
        </w:rPr>
        <w:t xml:space="preserve">have </w:t>
      </w:r>
      <w:r w:rsidR="00A11106">
        <w:rPr>
          <w:rFonts w:eastAsia="Calibri" w:cstheme="minorHAnsi"/>
        </w:rPr>
        <w:t>doubled over the previous decade</w:t>
      </w:r>
      <w:r>
        <w:rPr>
          <w:rFonts w:eastAsia="Calibri" w:cstheme="minorHAnsi"/>
        </w:rPr>
        <w:t xml:space="preserve"> in some settings and account for a substantial proportion of all acute admissions;</w:t>
      </w:r>
      <w:r w:rsidR="00A11106" w:rsidRPr="00A11106">
        <w:rPr>
          <w:rFonts w:eastAsia="Calibri" w:cstheme="minorHAnsi"/>
        </w:rPr>
        <w:fldChar w:fldCharType="begin" w:fldLock="1"/>
      </w:r>
      <w:r w:rsidR="00017B62">
        <w:rPr>
          <w:rFonts w:eastAsia="Calibri" w:cstheme="minorHAnsi"/>
        </w:rPr>
        <w:instrText>ADDIN CSL_CITATION {"citationItems":[{"id":"ITEM-1","itemData":{"DOI":"10.1016/j.mayocp.2014.04.016","ISBN":"1942-5546 (Electronic)\\r0025-6196 (Linking)","ISSN":"19425546","PMID":"24889514","abstract":"In most models of health care delivery, the bulk of services are provided in primary care and there is frequent request for the input of specialty consultants. A critical issue for current and future health care systems is the effective and efficient delivery of specialist expertise for clinicians and patients. Input on a patient's care from specialty consultants usually requires a face-to-face visit between the patient and the consultant. New and complementary models of knowledge sharing have emerged. We describe a framework assessment of a spectrum of knowledge-sharing methods in the context of a patient-centered medical home. This framework is based on our experience in the Veterans Health Administration and a purposive review of the literature. These newer modes of specialty consultation include electronic consultation, secure text messaging, telemedicine of various types, and population preemptive consults. In addition to describing these modes of consultation, our framework points to several important areas in which further research is needed to optimize effectiveness.","author":[{"dropping-particle":"","family":"Kirsh","given":"Susan R.","non-dropping-particle":"","parse-names":false,"suffix":""},{"dropping-particle":"","family":"Ho","given":"P. Michael","non-dropping-particle":"","parse-names":false,"suffix":""},{"dropping-particle":"","family":"Aron","given":"David C.","non-dropping-particle":"","parse-names":false,"suffix":""}],"container-title":"Mayo Clinic Proceedings","id":"ITEM-1","issue":"10","issued":{"date-parts":[["2014"]]},"page":"1416-1426","publisher":"Elsevier Inc","title":"Providing specialty consultant expertise to primary care: An expanding spectrum of modalities","type":"article-journal","volume":"89"},"uris":["http://www.mendeley.com/documents/?uuid=c06f2c2f-2159-4bed-92ca-dd8f9b336779"]}],"mendeley":{"formattedCitation":"&lt;sup&gt;11&lt;/sup&gt;","plainTextFormattedCitation":"11","previouslyFormattedCitation":"&lt;sup&gt;11&lt;/sup&gt;"},"properties":{"noteIndex":0},"schema":"https://github.com/citation-style-language/schema/raw/master/csl-citation.json"}</w:instrText>
      </w:r>
      <w:r w:rsidR="00A11106" w:rsidRPr="00A11106">
        <w:rPr>
          <w:rFonts w:eastAsia="Calibri" w:cstheme="minorHAnsi"/>
        </w:rPr>
        <w:fldChar w:fldCharType="separate"/>
      </w:r>
      <w:r w:rsidR="00017B62" w:rsidRPr="00017B62">
        <w:rPr>
          <w:rFonts w:eastAsia="Calibri" w:cstheme="minorHAnsi"/>
          <w:noProof/>
          <w:vertAlign w:val="superscript"/>
        </w:rPr>
        <w:t>11</w:t>
      </w:r>
      <w:r w:rsidR="00A11106" w:rsidRPr="00A11106">
        <w:rPr>
          <w:rFonts w:eastAsia="Calibri" w:cstheme="minorHAnsi"/>
        </w:rPr>
        <w:fldChar w:fldCharType="end"/>
      </w:r>
      <w:r>
        <w:rPr>
          <w:rFonts w:eastAsia="Calibri" w:cstheme="minorHAnsi"/>
          <w:vertAlign w:val="superscript"/>
        </w:rPr>
        <w:t>,</w:t>
      </w:r>
      <w:r w:rsidR="00A11106" w:rsidRPr="00A11106">
        <w:rPr>
          <w:rFonts w:eastAsia="Calibri" w:cstheme="minorHAnsi"/>
        </w:rPr>
        <w:fldChar w:fldCharType="begin" w:fldLock="1"/>
      </w:r>
      <w:r w:rsidR="00017B62">
        <w:rPr>
          <w:rFonts w:eastAsia="Calibri" w:cstheme="minorHAnsi"/>
        </w:rPr>
        <w:instrText>ADDIN CSL_CITATION {"citationItems":[{"id":"ITEM-1","itemData":{"DOI":"10.1086/323760","ISBN":"1058-4838 (Print)\\r1058-4838 (Linking)","ISSN":"1058-4838","PMID":"11595982","abstract":"During a 5-year period, data from all infectious disease (ID) consultations were recorded in a computerized database, which included 9068 new and 4937 additional consultations. The purpose of these 14,005 consultations was therapy (for 58%), diagnosis (for 13%), both (for 24%), and prophylaxis (for 4%); 51% were performed at the bedside, and the remainder were by discussion (19%) or telephone (30%). Recommendations included the following: initiation, change, or discontinuation of antibiotics (in 46%); performance of diagnostic tests (in 20%) or surgical procedures (in 1%); prophylaxis (in 3%); or no change (in 29%). Analysis of new versus additional consultations revealed significant differences. A new ID consultation was given at a rate of 6.0 consultations per 100 hospitalized patients; the rate per department correlated with the expenditure on antimicrobials per patient admission. During the study period, expenditure on antimicrobials per admission steadily decreased, from $44 in 1995 to $30 in 1999, a 35% reduction. In conclusion, analysis of data from ID consultations enables the ID service to evaluate its activity and to direct efforts to departments with high rates of nosocomial infections, antimicrobial resistance, and/or antimicrobial use.","author":[{"dropping-particle":"","family":"Yinnon","given":"Amos M.","non-dropping-particle":"","parse-names":false,"suffix":""}],"container-title":"Clinical Infectious Diseases","id":"ITEM-1","issue":"10","issued":{"date-parts":[["2001"]]},"page":"1661-1667","title":"Whither Infectious Diseases Consultations? Analysis of 14,005 Consultations from a 5‐Year Period","type":"article-journal","volume":"33"},"uris":["http://www.mendeley.com/documents/?uuid=1ed352f3-777e-4080-b6bd-cd74db516b22"]}],"mendeley":{"formattedCitation":"&lt;sup&gt;9&lt;/sup&gt;","plainTextFormattedCitation":"9","previouslyFormattedCitation":"&lt;sup&gt;9&lt;/sup&gt;"},"properties":{"noteIndex":0},"schema":"https://github.com/citation-style-language/schema/raw/master/csl-citation.json"}</w:instrText>
      </w:r>
      <w:r w:rsidR="00A11106" w:rsidRPr="00A11106">
        <w:rPr>
          <w:rFonts w:eastAsia="Calibri" w:cstheme="minorHAnsi"/>
        </w:rPr>
        <w:fldChar w:fldCharType="separate"/>
      </w:r>
      <w:r w:rsidR="00017B62" w:rsidRPr="00017B62">
        <w:rPr>
          <w:rFonts w:eastAsia="Calibri" w:cstheme="minorHAnsi"/>
          <w:noProof/>
          <w:vertAlign w:val="superscript"/>
        </w:rPr>
        <w:t>9</w:t>
      </w:r>
      <w:r w:rsidR="00A11106" w:rsidRPr="00A11106">
        <w:rPr>
          <w:rFonts w:eastAsia="Calibri" w:cstheme="minorHAnsi"/>
        </w:rPr>
        <w:fldChar w:fldCharType="end"/>
      </w:r>
      <w:r w:rsidR="00510335">
        <w:rPr>
          <w:rFonts w:eastAsia="Calibri" w:cstheme="minorHAnsi"/>
        </w:rPr>
        <w:t xml:space="preserve"> i</w:t>
      </w:r>
      <w:r w:rsidR="00A11106" w:rsidRPr="00A11106">
        <w:rPr>
          <w:rFonts w:eastAsia="Calibri" w:cstheme="minorHAnsi"/>
        </w:rPr>
        <w:t xml:space="preserve">nformal </w:t>
      </w:r>
      <w:r w:rsidR="00A11106">
        <w:rPr>
          <w:rFonts w:eastAsia="Calibri" w:cstheme="minorHAnsi"/>
        </w:rPr>
        <w:t>(“</w:t>
      </w:r>
      <w:proofErr w:type="spellStart"/>
      <w:r w:rsidR="00A11106">
        <w:rPr>
          <w:rFonts w:eastAsia="Calibri" w:cstheme="minorHAnsi"/>
        </w:rPr>
        <w:t>curbside</w:t>
      </w:r>
      <w:proofErr w:type="spellEnd"/>
      <w:r w:rsidR="00A11106">
        <w:rPr>
          <w:rFonts w:eastAsia="Calibri" w:cstheme="minorHAnsi"/>
        </w:rPr>
        <w:t xml:space="preserve">”) </w:t>
      </w:r>
      <w:r w:rsidR="00A11106" w:rsidRPr="00A11106">
        <w:rPr>
          <w:rFonts w:eastAsia="Calibri" w:cstheme="minorHAnsi"/>
        </w:rPr>
        <w:t xml:space="preserve">consultations in one American </w:t>
      </w:r>
      <w:r w:rsidR="00A11106">
        <w:rPr>
          <w:rFonts w:eastAsia="Calibri" w:cstheme="minorHAnsi"/>
        </w:rPr>
        <w:t xml:space="preserve">infectious diseases unit were estimated to </w:t>
      </w:r>
      <w:r w:rsidR="00A11106" w:rsidRPr="00A11106">
        <w:rPr>
          <w:rFonts w:eastAsia="Calibri" w:cstheme="minorHAnsi"/>
        </w:rPr>
        <w:t>constitute 17% of the total unit workload.</w:t>
      </w:r>
      <w:r w:rsidR="00A11106" w:rsidRPr="00A11106">
        <w:rPr>
          <w:rFonts w:eastAsia="Calibri" w:cstheme="minorHAnsi"/>
        </w:rPr>
        <w:fldChar w:fldCharType="begin" w:fldLock="1"/>
      </w:r>
      <w:r w:rsidR="00017B62">
        <w:rPr>
          <w:rFonts w:eastAsia="Calibri" w:cstheme="minorHAnsi"/>
        </w:rPr>
        <w:instrText>ADDIN CSL_CITATION {"citationItems":[{"id":"ITEM-1","itemData":{"DOI":"10.1086/655829","ISSN":"1058-4838","author":[{"dropping-particle":"","family":"Grace","given":"Christopher","non-dropping-particle":"","parse-names":false,"suffix":""},{"dropping-particle":"","family":"Alston","given":"W. Kemper","non-dropping-particle":"","parse-names":false,"suffix":""},{"dropping-particle":"","family":"Ramundo","given":"Mary","non-dropping-particle":"","parse-names":false,"suffix":""},{"dropping-particle":"","family":"Polish","given":"Louis","non-dropping-particle":"","parse-names":false,"suffix":""},{"dropping-particle":"","family":"Kirkpatrick","given":"Beth","non-dropping-particle":"","parse-names":false,"suffix":""},{"dropping-particle":"","family":"Huston","given":"Christopher","non-dropping-particle":"","parse-names":false,"suffix":""}],"container-title":"Clinical Infectious Diseases","id":"ITEM-1","issue":"6","issued":{"date-parts":[["2010"]]},"page":"651-655","title":"The Complexity, Relative Value, and Financial Worth of Curbside Consultations in an Academic Infectious Diseases Unit","type":"article-journal","volume":"51"},"uris":["http://www.mendeley.com/documents/?uuid=ae1d89dd-5d65-408e-95dc-d27a1e59ea12","http://www.mendeley.com/documents/?uuid=be5e6a05-3d1f-4b08-b618-3e8abd9f9ef5"]}],"mendeley":{"formattedCitation":"&lt;sup&gt;12&lt;/sup&gt;","plainTextFormattedCitation":"12","previouslyFormattedCitation":"&lt;sup&gt;12&lt;/sup&gt;"},"properties":{"noteIndex":0},"schema":"https://github.com/citation-style-language/schema/raw/master/csl-citation.json"}</w:instrText>
      </w:r>
      <w:r w:rsidR="00A11106" w:rsidRPr="00A11106">
        <w:rPr>
          <w:rFonts w:eastAsia="Calibri" w:cstheme="minorHAnsi"/>
        </w:rPr>
        <w:fldChar w:fldCharType="separate"/>
      </w:r>
      <w:r w:rsidR="00017B62" w:rsidRPr="00017B62">
        <w:rPr>
          <w:rFonts w:eastAsia="Calibri" w:cstheme="minorHAnsi"/>
          <w:noProof/>
          <w:vertAlign w:val="superscript"/>
        </w:rPr>
        <w:t>12</w:t>
      </w:r>
      <w:r w:rsidR="00A11106" w:rsidRPr="00A11106">
        <w:rPr>
          <w:rFonts w:eastAsia="Calibri" w:cstheme="minorHAnsi"/>
        </w:rPr>
        <w:fldChar w:fldCharType="end"/>
      </w:r>
      <w:r w:rsidR="00A11106" w:rsidRPr="00A11106">
        <w:rPr>
          <w:rFonts w:eastAsia="Calibri" w:cstheme="minorHAnsi"/>
        </w:rPr>
        <w:t xml:space="preserve"> </w:t>
      </w:r>
      <w:r w:rsidR="00A11106">
        <w:rPr>
          <w:rFonts w:eastAsia="Calibri" w:cstheme="minorHAnsi"/>
        </w:rPr>
        <w:t>This is important because it has been found</w:t>
      </w:r>
      <w:r w:rsidR="00A11106" w:rsidRPr="00A11106">
        <w:rPr>
          <w:rFonts w:eastAsia="Calibri" w:cstheme="minorHAnsi"/>
        </w:rPr>
        <w:t xml:space="preserve"> that 7% of </w:t>
      </w:r>
      <w:r w:rsidR="00212744">
        <w:rPr>
          <w:rFonts w:eastAsia="Calibri" w:cstheme="minorHAnsi"/>
        </w:rPr>
        <w:t>infectious diseases</w:t>
      </w:r>
      <w:r w:rsidR="00A11106" w:rsidRPr="00A11106">
        <w:rPr>
          <w:rFonts w:eastAsia="Calibri" w:cstheme="minorHAnsi"/>
        </w:rPr>
        <w:t xml:space="preserve"> diagnoses </w:t>
      </w:r>
      <w:r w:rsidR="00212744">
        <w:rPr>
          <w:rFonts w:eastAsia="Calibri" w:cstheme="minorHAnsi"/>
        </w:rPr>
        <w:t xml:space="preserve">made </w:t>
      </w:r>
      <w:r w:rsidR="00A11106" w:rsidRPr="00A11106">
        <w:rPr>
          <w:rFonts w:eastAsia="Calibri" w:cstheme="minorHAnsi"/>
        </w:rPr>
        <w:t xml:space="preserve">by referring </w:t>
      </w:r>
      <w:r w:rsidR="00212744">
        <w:rPr>
          <w:rFonts w:eastAsia="Calibri" w:cstheme="minorHAnsi"/>
        </w:rPr>
        <w:t xml:space="preserve">non-infection </w:t>
      </w:r>
      <w:r w:rsidR="00A11106" w:rsidRPr="00A11106">
        <w:rPr>
          <w:rFonts w:eastAsia="Calibri" w:cstheme="minorHAnsi"/>
        </w:rPr>
        <w:t>practitioner</w:t>
      </w:r>
      <w:r w:rsidR="00212744">
        <w:rPr>
          <w:rFonts w:eastAsia="Calibri" w:cstheme="minorHAnsi"/>
        </w:rPr>
        <w:t>s</w:t>
      </w:r>
      <w:r w:rsidR="00A11106" w:rsidRPr="00A11106">
        <w:rPr>
          <w:rFonts w:eastAsia="Calibri" w:cstheme="minorHAnsi"/>
        </w:rPr>
        <w:t xml:space="preserve"> are incorrect when reviewed by </w:t>
      </w:r>
      <w:r w:rsidR="00891A1F">
        <w:rPr>
          <w:rFonts w:eastAsia="Calibri" w:cstheme="minorHAnsi"/>
        </w:rPr>
        <w:t>infection</w:t>
      </w:r>
      <w:r w:rsidR="00A11106" w:rsidRPr="00A11106">
        <w:rPr>
          <w:rFonts w:eastAsia="Calibri" w:cstheme="minorHAnsi"/>
        </w:rPr>
        <w:t xml:space="preserve"> </w:t>
      </w:r>
      <w:r w:rsidR="00212744">
        <w:rPr>
          <w:rFonts w:eastAsia="Calibri" w:cstheme="minorHAnsi"/>
        </w:rPr>
        <w:t>physicians</w:t>
      </w:r>
      <w:r w:rsidR="00A11106" w:rsidRPr="00A11106">
        <w:rPr>
          <w:rFonts w:eastAsia="Calibri" w:cstheme="minorHAnsi"/>
        </w:rPr>
        <w:t>,</w:t>
      </w:r>
      <w:r w:rsidR="00A11106" w:rsidRPr="00A11106">
        <w:rPr>
          <w:rFonts w:eastAsia="Calibri" w:cstheme="minorHAnsi"/>
        </w:rPr>
        <w:fldChar w:fldCharType="begin" w:fldLock="1"/>
      </w:r>
      <w:r w:rsidR="00017B62">
        <w:rPr>
          <w:rFonts w:eastAsia="Calibri" w:cstheme="minorHAnsi"/>
        </w:rPr>
        <w:instrText>ADDIN CSL_CITATION {"citationItems":[{"id":"ITEM-1","itemData":{"DOI":"10.1086/374245","ISBN":"1537-6591 (Electronic)\\r1058-4838 (Linking)","ISSN":"1058-4838","PMID":"12684914","abstract":"Infectious diseases (ID) specialists have played a major role in patient care, infection control, and antibiotic management for many years. With the rapidly changing nature of health care, it has become necessary for ID specialists to articulate their value to multiple audiences. This article summarizes the versatile attributes possessed by ID specialists and delineates their value to patients, hospitals, and other integral groups in the health care continuum.","author":[{"dropping-particle":"","family":"Petrak","given":"Russell M.","non-dropping-particle":"","parse-names":false,"suffix":""},{"dropping-particle":"","family":"Sexton","given":"Daniel J.","non-dropping-particle":"","parse-names":false,"suffix":""},{"dropping-particle":"","family":"Butera","given":"Michael L.","non-dropping-particle":"","parse-names":false,"suffix":""},{"dropping-particle":"","family":"Tenenbaum","given":"Marvin J.","non-dropping-particle":"","parse-names":false,"suffix":""},{"dropping-particle":"","family":"MacGregor","given":"Mary C.","non-dropping-particle":"","parse-names":false,"suffix":""},{"dropping-particle":"","family":"Schmidt","given":"Mary E.","non-dropping-particle":"","parse-names":false,"suffix":""},{"dropping-particle":"","family":"Joseph","given":"W. Patrick","non-dropping-particle":"","parse-names":false,"suffix":""},{"dropping-particle":"","family":"Kemmerly","given":"Sandra A.","non-dropping-particle":"","parse-names":false,"suffix":""},{"dropping-particle":"","family":"Dougherty","given":"Mark J.","non-dropping-particle":"","parse-names":false,"suffix":""},{"dropping-particle":"","family":"Bakken","given":"Johan S.","non-dropping-particle":"","parse-names":false,"suffix":""},{"dropping-particle":"","family":"Curfman","given":"Maria F.","non-dropping-particle":"","parse-names":false,"suffix":""},{"dropping-particle":"","family":"Martinelli","given":"Lawrence P.","non-dropping-particle":"","parse-names":false,"suffix":""},{"dropping-particle":"","family":"Gainer","given":"R. Brooks","non-dropping-particle":"","parse-names":false,"suffix":""}],"container-title":"Clinical Infectious Diseases","id":"ITEM-1","issue":"8","issued":{"date-parts":[["2003"]]},"page":"1013-1017","title":"The Value of an Infectious Diseases Specialist","type":"article-journal","volume":"36"},"uris":["http://www.mendeley.com/documents/?uuid=cd473bfd-96dd-41a4-810c-f90074c3eded"]}],"mendeley":{"formattedCitation":"&lt;sup&gt;10&lt;/sup&gt;","plainTextFormattedCitation":"10","previouslyFormattedCitation":"&lt;sup&gt;10&lt;/sup&gt;"},"properties":{"noteIndex":0},"schema":"https://github.com/citation-style-language/schema/raw/master/csl-citation.json"}</w:instrText>
      </w:r>
      <w:r w:rsidR="00A11106" w:rsidRPr="00A11106">
        <w:rPr>
          <w:rFonts w:eastAsia="Calibri" w:cstheme="minorHAnsi"/>
        </w:rPr>
        <w:fldChar w:fldCharType="separate"/>
      </w:r>
      <w:r w:rsidR="00017B62" w:rsidRPr="00017B62">
        <w:rPr>
          <w:rFonts w:eastAsia="Calibri" w:cstheme="minorHAnsi"/>
          <w:noProof/>
          <w:vertAlign w:val="superscript"/>
        </w:rPr>
        <w:t>10</w:t>
      </w:r>
      <w:r w:rsidR="00A11106" w:rsidRPr="00A11106">
        <w:rPr>
          <w:rFonts w:eastAsia="Calibri" w:cstheme="minorHAnsi"/>
        </w:rPr>
        <w:fldChar w:fldCharType="end"/>
      </w:r>
      <w:r w:rsidR="00A11106" w:rsidRPr="00A11106">
        <w:rPr>
          <w:rFonts w:eastAsia="Calibri" w:cstheme="minorHAnsi"/>
        </w:rPr>
        <w:t xml:space="preserve"> suggesting significant value </w:t>
      </w:r>
      <w:r w:rsidR="00F977E2">
        <w:rPr>
          <w:rFonts w:eastAsia="Calibri" w:cstheme="minorHAnsi"/>
        </w:rPr>
        <w:t>of</w:t>
      </w:r>
      <w:r w:rsidR="00F977E2" w:rsidRPr="00A11106">
        <w:rPr>
          <w:rFonts w:eastAsia="Calibri" w:cstheme="minorHAnsi"/>
        </w:rPr>
        <w:t xml:space="preserve"> </w:t>
      </w:r>
      <w:r w:rsidR="00A11106" w:rsidRPr="00A11106">
        <w:rPr>
          <w:rFonts w:eastAsia="Calibri" w:cstheme="minorHAnsi"/>
        </w:rPr>
        <w:t xml:space="preserve">timely specialist </w:t>
      </w:r>
      <w:r>
        <w:rPr>
          <w:rFonts w:eastAsia="Calibri" w:cstheme="minorHAnsi"/>
        </w:rPr>
        <w:t xml:space="preserve">infection </w:t>
      </w:r>
      <w:r w:rsidR="00A11106" w:rsidRPr="00A11106">
        <w:rPr>
          <w:rFonts w:eastAsia="Calibri" w:cstheme="minorHAnsi"/>
        </w:rPr>
        <w:t xml:space="preserve">input. </w:t>
      </w:r>
      <w:r w:rsidR="00212744" w:rsidRPr="00A11106">
        <w:rPr>
          <w:rFonts w:eastAsia="Calibri" w:cstheme="minorHAnsi"/>
        </w:rPr>
        <w:t>I</w:t>
      </w:r>
      <w:r w:rsidR="00212744">
        <w:rPr>
          <w:rFonts w:eastAsia="Calibri" w:cstheme="minorHAnsi"/>
        </w:rPr>
        <w:t>ndeed, pool</w:t>
      </w:r>
      <w:r w:rsidR="00510335">
        <w:rPr>
          <w:rFonts w:eastAsia="Calibri" w:cstheme="minorHAnsi"/>
        </w:rPr>
        <w:t>ed</w:t>
      </w:r>
      <w:r w:rsidR="00212744">
        <w:rPr>
          <w:rFonts w:eastAsia="Calibri" w:cstheme="minorHAnsi"/>
        </w:rPr>
        <w:t xml:space="preserve"> evidence from three studies</w:t>
      </w:r>
      <w:r w:rsidR="00510335">
        <w:rPr>
          <w:rFonts w:eastAsia="Calibri" w:cstheme="minorHAnsi"/>
        </w:rPr>
        <w:t xml:space="preserve"> suggests that nearly</w:t>
      </w:r>
      <w:r w:rsidR="00212744">
        <w:rPr>
          <w:rFonts w:eastAsia="Calibri" w:cstheme="minorHAnsi"/>
        </w:rPr>
        <w:t xml:space="preserve"> two-thirds of </w:t>
      </w:r>
      <w:r w:rsidR="00891A1F">
        <w:rPr>
          <w:rFonts w:eastAsia="Calibri" w:cstheme="minorHAnsi"/>
        </w:rPr>
        <w:t>infection</w:t>
      </w:r>
      <w:r w:rsidR="00212744" w:rsidRPr="00A11106">
        <w:rPr>
          <w:rFonts w:eastAsia="Calibri" w:cstheme="minorHAnsi"/>
        </w:rPr>
        <w:t xml:space="preserve"> </w:t>
      </w:r>
      <w:r w:rsidR="00212744">
        <w:rPr>
          <w:rFonts w:eastAsia="Calibri" w:cstheme="minorHAnsi"/>
        </w:rPr>
        <w:t>consult</w:t>
      </w:r>
      <w:r w:rsidR="00510335">
        <w:rPr>
          <w:rFonts w:eastAsia="Calibri" w:cstheme="minorHAnsi"/>
        </w:rPr>
        <w:t>s</w:t>
      </w:r>
      <w:r w:rsidR="00212744">
        <w:rPr>
          <w:rFonts w:eastAsia="Calibri" w:cstheme="minorHAnsi"/>
        </w:rPr>
        <w:t xml:space="preserve"> result in a change to the referrer’s diagnostic and/or therapeutic management plan.</w:t>
      </w:r>
      <w:r w:rsidR="00212744" w:rsidRPr="00A11106">
        <w:rPr>
          <w:rFonts w:eastAsia="Calibri" w:cstheme="minorHAnsi"/>
        </w:rPr>
        <w:fldChar w:fldCharType="begin" w:fldLock="1"/>
      </w:r>
      <w:r w:rsidR="00017B62">
        <w:rPr>
          <w:rFonts w:eastAsia="Calibri" w:cstheme="minorHAnsi"/>
        </w:rPr>
        <w:instrText>ADDIN CSL_CITATION {"citationItems":[{"id":"ITEM-1","itemData":{"DOI":"10.1016/j.medmal.2014.01.009","ISSN":"17696690","PMID":"24612506","abstract":"Introduction: Informal consultations for advice in the infectious diseases department (IDD) induce a significant workload for physicians. Our aim was to retrospectively quantify and describe this activity in our institution. Method: The data was obtained from files documented and faxed by physicians from October 2009 to May 2012. One thousand nine hundred and seventy-two files were included. The file was faxed to the IDD specialist, analyzed, then a telephone conversation allowed making precisions, and the documented form was faxed back. Results: The requests for advice concerned 39% of female and 61% of male patients with a mean age of 64. ±. 21 years. Twenty-nine percent of requests came from surgical departments and 71% from medical departments (P&lt;. 0.01). The departments most frequently concerned were cardiology (10%), gastro-enterology (10%) and cardiovascular surgery (9.7%). The most frequent infections were urogenital (19%), osteoarticular (14%), and cardiovascular (11%). Forty-nine percent were considered as nosocomial and 25.3% were bacteremic. The requests concerned diagnostic aid in 16.2% of cases and therapeutic issues in 95.6%. The IDD specialist made therapeutic recommendation in 96.5% of cases and gave diagnostic advice in 43.7%. Treatment modification was suggested in 38.5% of cases. Twenty-two percent of consultations required a second one. Conclusion: This study documented the importance of antibiotic changes among medical and surgical units, the increasing need of these units to be helped, and also the complexity of the medical cases, all requiring the advice of an ID specialist. Our fax-phone-fax procedure seems to prevent the bias associated with informal consultations by phone, which is the most commonly used in other institutions. © 2014 Elsevier Masson SAS.","author":[{"dropping-particle":"","family":"Rameau","given":"C.","non-dropping-particle":"","parse-names":false,"suffix":""},{"dropping-particle":"","family":"Mahy","given":"S.","non-dropping-particle":"","parse-names":false,"suffix":""},{"dropping-particle":"","family":"Simonet Lamm","given":"A. L.","non-dropping-particle":"","parse-names":false,"suffix":""},{"dropping-particle":"","family":"Fillion","given":"A.","non-dropping-particle":"","parse-names":false,"suffix":""},{"dropping-particle":"","family":"Buisson","given":"M.","non-dropping-particle":"","parse-names":false,"suffix":""},{"dropping-particle":"","family":"Waldner","given":"A.","non-dropping-particle":"","parse-names":false,"suffix":""},{"dropping-particle":"","family":"Duong","given":"M.","non-dropping-particle":"","parse-names":false,"suffix":""},{"dropping-particle":"","family":"Piroth","given":"L.","non-dropping-particle":"","parse-names":false,"suffix":""},{"dropping-particle":"","family":"Chavanet","given":"P.","non-dropping-particle":"","parse-names":false,"suffix":""}],"container-title":"Medecine et Maladies Infectieuses","id":"ITEM-1","issue":"3","issued":{"date-parts":[["2014"]]},"page":"107-111","publisher":"Elsevier Masson SAS","title":"Informal consultation at a teaching hospital infectious diseases department","type":"article-journal","volume":"44"},"uris":["http://www.mendeley.com/documents/?uuid=afa7dbad-71b0-4157-94f9-fa95c177586b"]},{"id":"ITEM-2","itemData":{"DOI":"10.1093/clinids/20.2.391","ISBN":"1058-4838","ISSN":"15376591","abstract":"Infectious disease physicians in university and community practices (in North Carolina, USA) completed a standard data form following each of 1366 inpatient consultations during a 7-month period. The rate of consultation was higher in the university practice than in the community practice (3.4 vs. 1.8 per 100 discharges, respectively). Known or suspected bacterial pathogens accounted for more than half of all consultations in both practice groups. The three organ systems most commonly affected by infection were pulmonary (20% in university practice vs. 19% in community practice), skin and soft tissue (13% in university practice vs. 20% in community practice), and musculosketal (12% in university practice vs. 16% in community practice). Bloodstream infection, pneumonia, unexplained fever, osteomyelitis, urinary tract infection, and cellulitis were the six most common disease processes that led to consultation in both practice groups. The percentage of patients with noninfectious diseases and the percentage for whom a change in antimicrobial therapy was advised was nearly identical in both practice settings. Physicians in private practice performed more consultations on weekends (20% vs. 11% in university practices, P &lt;0.001) and between 6:00 P.M. and 7:00 A.M. (15% vs. 6% in university practices, P &lt;0.001). The scope and diversity of the work of consultants in community practices are nearly identical to those of their colleagues in university-based practices.","author":[{"dropping-particle":"","family":"Sexton","given":"Daniel J.","non-dropping-particle":"","parse-names":false,"suffix":""},{"dropping-particle":"","family":"Corey","given":"G. Ralph","non-dropping-particle":"","parse-names":false,"suffix":""},{"dropping-particle":"","family":"Ingram","given":"Christopher W.","non-dropping-particle":"","parse-names":false,"suffix":""},{"dropping-particle":"","family":"Morris","given":"Vickie M.","non-dropping-particle":"","parse-names":false,"suffix":""},{"dropping-particle":"","family":"Haywood","given":"Hubert B.","non-dropping-particle":"","parse-names":false,"suffix":""}],"container-title":"Clinical Infectious Diseases","id":"ITEM-2","issue":"2","issued":{"date-parts":[["1995"]]},"page":"391-393","title":"Consultation in university-based and community-based infectious disease practices: A prospective study","type":"article-journal","volume":"20"},"uris":["http://www.mendeley.com/documents/?uuid=00c36e22-abb1-4a59-8fa6-f7ddbcac5547"]},{"id":"ITEM-3","itemData":{"DOI":"10.1086/323760","ISBN":"1058-4838 (Print)\\r1058-4838 (Linking)","ISSN":"1058-4838","PMID":"11595982","abstract":"During a 5-year period, data from all infectious disease (ID) consultations were recorded in a computerized database, which included 9068 new and 4937 additional consultations. The purpose of these 14,005 consultations was therapy (for 58%), diagnosis (for 13%), both (for 24%), and prophylaxis (for 4%); 51% were performed at the bedside, and the remainder were by discussion (19%) or telephone (30%). Recommendations included the following: initiation, change, or discontinuation of antibiotics (in 46%); performance of diagnostic tests (in 20%) or surgical procedures (in 1%); prophylaxis (in 3%); or no change (in 29%). Analysis of new versus additional consultations revealed significant differences. A new ID consultation was given at a rate of 6.0 consultations per 100 hospitalized patients; the rate per department correlated with the expenditure on antimicrobials per patient admission. During the study period, expenditure on antimicrobials per admission steadily decreased, from $44 in 1995 to $30 in 1999, a 35% reduction. In conclusion, analysis of data from ID consultations enables the ID service to evaluate its activity and to direct efforts to departments with high rates of nosocomial infections, antimicrobial resistance, and/or antimicrobial use.","author":[{"dropping-particle":"","family":"Yinnon","given":"Amos M.","non-dropping-particle":"","parse-names":false,"suffix":""}],"container-title":"Clinical Infectious Diseases","id":"ITEM-3","issue":"10","issued":{"date-parts":[["2001"]]},"page":"1661-1667","title":"Whither Infectious Diseases Consultations? Analysis of 14,005 Consultations from a 5‐Year Period","type":"article-journal","volume":"33"},"uris":["http://www.mendeley.com/documents/?uuid=1ed352f3-777e-4080-b6bd-cd74db516b22"]},{"id":"ITEM-4","itemData":{"DOI":"10.1097/00006454-200110000-00010","ISBN":"0891-3668","ISSN":"08913668","PMID":"11642631","abstract":"Subspecialists are often called on to provide informal or \"curbside\" telephone consultation. There is limited documentation of the time spent on, content, nature and source of such consultations by pediatric infectious disease (PID) specialists. Nursing staff frequently assist physicians by triaging telephone calls. No previous studies have examined this aspect of their role in subspecialty practice.","author":[{"dropping-particle":"","family":"Chatterjee","given":"Archana","non-dropping-particle":"","parse-names":false,"suffix":""},{"dropping-particle":"","family":"Lackey","given":"Shellie J.","non-dropping-particle":"","parse-names":false,"suffix":""}],"container-title":"Pediatric Infectious Disease Journal","id":"ITEM-4","issue":"10","issued":{"date-parts":[["2001"]]},"page":"968-972","title":"Prospective study of telephone consultation and communication in pediatric infectious diseases","type":"article-journal","volume":"20"},"uris":["http://www.mendeley.com/documents/?uuid=72d11971-78b1-4f48-b740-23b05ea1e35e","http://www.mendeley.com/documents/?uuid=d543d839-4b80-49bc-a288-470ff7ef2e49"]}],"mendeley":{"formattedCitation":"&lt;sup&gt;9,13–15&lt;/sup&gt;","plainTextFormattedCitation":"9,13–15","previouslyFormattedCitation":"&lt;sup&gt;9,13–15&lt;/sup&gt;"},"properties":{"noteIndex":0},"schema":"https://github.com/citation-style-language/schema/raw/master/csl-citation.json"}</w:instrText>
      </w:r>
      <w:r w:rsidR="00212744" w:rsidRPr="00A11106">
        <w:rPr>
          <w:rFonts w:eastAsia="Calibri" w:cstheme="minorHAnsi"/>
        </w:rPr>
        <w:fldChar w:fldCharType="separate"/>
      </w:r>
      <w:r w:rsidR="00017B62" w:rsidRPr="00017B62">
        <w:rPr>
          <w:rFonts w:eastAsia="Calibri" w:cstheme="minorHAnsi"/>
          <w:noProof/>
          <w:vertAlign w:val="superscript"/>
        </w:rPr>
        <w:t>9,13–15</w:t>
      </w:r>
      <w:r w:rsidR="00212744" w:rsidRPr="00A11106">
        <w:rPr>
          <w:rFonts w:eastAsia="Calibri" w:cstheme="minorHAnsi"/>
        </w:rPr>
        <w:fldChar w:fldCharType="end"/>
      </w:r>
      <w:r w:rsidR="00212744" w:rsidRPr="00212744">
        <w:rPr>
          <w:rFonts w:eastAsia="Calibri" w:cstheme="minorHAnsi"/>
        </w:rPr>
        <w:t xml:space="preserve"> </w:t>
      </w:r>
    </w:p>
    <w:p w14:paraId="72409276" w14:textId="77777777" w:rsidR="00A11106" w:rsidRPr="00A11106" w:rsidRDefault="00E33639" w:rsidP="00A11106">
      <w:pPr>
        <w:spacing w:before="100" w:beforeAutospacing="1" w:after="100" w:afterAutospacing="1" w:line="360" w:lineRule="auto"/>
        <w:jc w:val="both"/>
        <w:rPr>
          <w:rFonts w:eastAsia="Calibri" w:cstheme="minorHAnsi"/>
        </w:rPr>
      </w:pPr>
      <w:r>
        <w:rPr>
          <w:rFonts w:eastAsia="Calibri" w:cstheme="minorHAnsi"/>
        </w:rPr>
        <w:t>E</w:t>
      </w:r>
      <w:r w:rsidR="00212744">
        <w:rPr>
          <w:rFonts w:eastAsia="Calibri" w:cstheme="minorHAnsi"/>
        </w:rPr>
        <w:t>vidence regarding</w:t>
      </w:r>
      <w:r w:rsidR="00212744" w:rsidRPr="00212744">
        <w:rPr>
          <w:rFonts w:eastAsia="Calibri" w:cstheme="minorHAnsi"/>
        </w:rPr>
        <w:t xml:space="preserve"> the optimal </w:t>
      </w:r>
      <w:r w:rsidR="00AA79E6">
        <w:rPr>
          <w:rFonts w:eastAsia="Calibri" w:cstheme="minorHAnsi"/>
        </w:rPr>
        <w:t>mode of</w:t>
      </w:r>
      <w:r w:rsidR="00212744" w:rsidRPr="00212744">
        <w:rPr>
          <w:rFonts w:eastAsia="Calibri" w:cstheme="minorHAnsi"/>
        </w:rPr>
        <w:t xml:space="preserve"> </w:t>
      </w:r>
      <w:r w:rsidR="00891A1F">
        <w:rPr>
          <w:rFonts w:eastAsia="Calibri" w:cstheme="minorHAnsi"/>
        </w:rPr>
        <w:t>infection</w:t>
      </w:r>
      <w:r w:rsidR="00212744" w:rsidRPr="00212744">
        <w:rPr>
          <w:rFonts w:eastAsia="Calibri" w:cstheme="minorHAnsi"/>
        </w:rPr>
        <w:t xml:space="preserve"> review</w:t>
      </w:r>
      <w:r>
        <w:rPr>
          <w:rFonts w:eastAsia="Calibri" w:cstheme="minorHAnsi"/>
        </w:rPr>
        <w:t xml:space="preserve"> is also limited</w:t>
      </w:r>
      <w:r w:rsidR="00212744" w:rsidRPr="00212744">
        <w:rPr>
          <w:rFonts w:eastAsia="Calibri" w:cstheme="minorHAnsi"/>
        </w:rPr>
        <w:t>.</w:t>
      </w:r>
      <w:r w:rsidR="00212744">
        <w:rPr>
          <w:rFonts w:eastAsia="Calibri" w:cstheme="minorHAnsi"/>
        </w:rPr>
        <w:t xml:space="preserve"> Observational studies have suggested that </w:t>
      </w:r>
      <w:r w:rsidR="00A11106" w:rsidRPr="00A11106">
        <w:rPr>
          <w:rFonts w:eastAsia="Calibri" w:cstheme="minorHAnsi"/>
        </w:rPr>
        <w:t xml:space="preserve">bedside consultation </w:t>
      </w:r>
      <w:r w:rsidR="00212744">
        <w:rPr>
          <w:rFonts w:eastAsia="Calibri" w:cstheme="minorHAnsi"/>
        </w:rPr>
        <w:t>may be</w:t>
      </w:r>
      <w:r w:rsidR="00A11106" w:rsidRPr="00A11106">
        <w:rPr>
          <w:rFonts w:eastAsia="Calibri" w:cstheme="minorHAnsi"/>
        </w:rPr>
        <w:t xml:space="preserve"> superio</w:t>
      </w:r>
      <w:r w:rsidR="00510335">
        <w:rPr>
          <w:rFonts w:eastAsia="Calibri" w:cstheme="minorHAnsi"/>
        </w:rPr>
        <w:t xml:space="preserve">r to telephone consultation </w:t>
      </w:r>
      <w:r w:rsidR="00212744">
        <w:rPr>
          <w:rFonts w:eastAsia="Calibri" w:cstheme="minorHAnsi"/>
        </w:rPr>
        <w:t>in terms of patient outcomes</w:t>
      </w:r>
      <w:r w:rsidR="00A96E27">
        <w:rPr>
          <w:rFonts w:eastAsia="Calibri" w:cstheme="minorHAnsi"/>
        </w:rPr>
        <w:t>, including SAB-related mortality</w:t>
      </w:r>
      <w:r w:rsidR="00A11106" w:rsidRPr="00A11106">
        <w:rPr>
          <w:rFonts w:eastAsia="Calibri" w:cstheme="minorHAnsi"/>
        </w:rPr>
        <w:t>.</w:t>
      </w:r>
      <w:r w:rsidR="00A11106" w:rsidRPr="00A11106">
        <w:rPr>
          <w:rFonts w:eastAsia="Calibri" w:cstheme="minorHAnsi"/>
        </w:rPr>
        <w:fldChar w:fldCharType="begin" w:fldLock="1"/>
      </w:r>
      <w:r w:rsidR="00017B62">
        <w:rPr>
          <w:rFonts w:eastAsia="Calibri" w:cstheme="minorHAnsi"/>
        </w:rPr>
        <w:instrText>ADDIN CSL_CITATION {"citationItems":[{"id":"ITEM-1","itemData":{"DOI":"10.1086/374245","ISBN":"1537-6591 (Electronic)\\r1058-4838 (Linking)","ISSN":"1058-4838","PMID":"12684914","abstract":"Infectious diseases (ID) specialists have played a major role in patient care, infection control, and antibiotic management for many years. With the rapidly changing nature of health care, it has become necessary for ID specialists to articulate their value to multiple audiences. This article summarizes the versatile attributes possessed by ID specialists and delineates their value to patients, hospitals, and other integral groups in the health care continuum.","author":[{"dropping-particle":"","family":"Petrak","given":"Russell M.","non-dropping-particle":"","parse-names":false,"suffix":""},{"dropping-particle":"","family":"Sexton","given":"Daniel J.","non-dropping-particle":"","parse-names":false,"suffix":""},{"dropping-particle":"","family":"Butera","given":"Michael L.","non-dropping-particle":"","parse-names":false,"suffix":""},{"dropping-particle":"","family":"Tenenbaum","given":"Marvin J.","non-dropping-particle":"","parse-names":false,"suffix":""},{"dropping-particle":"","family":"MacGregor","given":"Mary C.","non-dropping-particle":"","parse-names":false,"suffix":""},{"dropping-particle":"","family":"Schmidt","given":"Mary E.","non-dropping-particle":"","parse-names":false,"suffix":""},{"dropping-particle":"","family":"Joseph","given":"W. Patrick","non-dropping-particle":"","parse-names":false,"suffix":""},{"dropping-particle":"","family":"Kemmerly","given":"Sandra A.","non-dropping-particle":"","parse-names":false,"suffix":""},{"dropping-particle":"","family":"Dougherty","given":"Mark J.","non-dropping-particle":"","parse-names":false,"suffix":""},{"dropping-particle":"","family":"Bakken","given":"Johan S.","non-dropping-particle":"","parse-names":false,"suffix":""},{"dropping-particle":"","family":"Curfman","given":"Maria F.","non-dropping-particle":"","parse-names":false,"suffix":""},{"dropping-particle":"","family":"Martinelli","given":"Lawrence P.","non-dropping-particle":"","parse-names":false,"suffix":""},{"dropping-particle":"","family":"Gainer","given":"R. Brooks","non-dropping-particle":"","parse-names":false,"suffix":""}],"container-title":"Clinical Infectious Diseases","id":"ITEM-1","issue":"8","issued":{"date-parts":[["2003"]]},"page":"1013-1017","title":"The Value of an Infectious Diseases Specialist","type":"article-journal","volume":"36"},"uris":["http://www.mendeley.com/documents/?uuid=cd473bfd-96dd-41a4-810c-f90074c3eded"]},{"id":"ITEM-2","itemData":{"DOI":"10.1093/cid/cis889","author":[{"dropping-particle":"","family":"Forsblom","given":"E","non-dropping-particle":"","parse-names":false,"suffix":""},{"dropping-particle":"","family":"Ruotsalainen","given":"E","non-dropping-particle":"","parse-names":false,"suffix":""},{"dropping-particle":"","family":"Ollgren","given":"J","non-dropping-particle":"","parse-names":false,"suffix":""},{"dropping-particle":"","family":"Järvinen","given":"A","non-dropping-particle":"","parse-names":false,"suffix":""}],"id":"ITEM-2","issued":{"date-parts":[["2013"]]},"note":"Telephone vs Bedside\n\nSmall trial from Finland\nTelephone consultation suboptimal compared with bedside.\n\n\nSeem to be many confounding factors which they adjust for. Numbers are very small.\n\nNot a great trial","page":"527-535","title":"Telephone Consultation Cannot Replace Bedside Infectious Disease Consultation in the Management of Staphylococcus aureus Bacteremia","type":"article-journal","volume":"56"},"uris":["http://www.mendeley.com/documents/?uuid=99e0688b-89e3-3f2f-905c-e09c0948c81f"]}],"mendeley":{"formattedCitation":"&lt;sup&gt;10,16&lt;/sup&gt;","plainTextFormattedCitation":"10,16","previouslyFormattedCitation":"&lt;sup&gt;10,16&lt;/sup&gt;"},"properties":{"noteIndex":0},"schema":"https://github.com/citation-style-language/schema/raw/master/csl-citation.json"}</w:instrText>
      </w:r>
      <w:r w:rsidR="00A11106" w:rsidRPr="00A11106">
        <w:rPr>
          <w:rFonts w:eastAsia="Calibri" w:cstheme="minorHAnsi"/>
        </w:rPr>
        <w:fldChar w:fldCharType="separate"/>
      </w:r>
      <w:r w:rsidR="00017B62" w:rsidRPr="00017B62">
        <w:rPr>
          <w:rFonts w:eastAsia="Calibri" w:cstheme="minorHAnsi"/>
          <w:noProof/>
          <w:vertAlign w:val="superscript"/>
        </w:rPr>
        <w:t>10,16</w:t>
      </w:r>
      <w:r w:rsidR="00A11106" w:rsidRPr="00A11106">
        <w:rPr>
          <w:rFonts w:eastAsia="Calibri" w:cstheme="minorHAnsi"/>
        </w:rPr>
        <w:fldChar w:fldCharType="end"/>
      </w:r>
      <w:r w:rsidR="00A96E27" w:rsidRPr="00A96E27">
        <w:rPr>
          <w:rFonts w:eastAsia="Calibri" w:cstheme="minorHAnsi"/>
        </w:rPr>
        <w:t xml:space="preserve"> </w:t>
      </w:r>
      <w:r w:rsidR="00212744">
        <w:rPr>
          <w:rFonts w:eastAsia="Calibri" w:cstheme="minorHAnsi"/>
        </w:rPr>
        <w:t>However, t</w:t>
      </w:r>
      <w:r w:rsidR="00A11106" w:rsidRPr="00A11106">
        <w:rPr>
          <w:rFonts w:eastAsia="Calibri" w:cstheme="minorHAnsi"/>
        </w:rPr>
        <w:t xml:space="preserve">elephone or electronic consultation </w:t>
      </w:r>
      <w:r w:rsidR="00FB4D7E">
        <w:rPr>
          <w:rFonts w:eastAsia="Calibri" w:cstheme="minorHAnsi"/>
        </w:rPr>
        <w:t>can</w:t>
      </w:r>
      <w:r w:rsidR="00A11106" w:rsidRPr="00A11106">
        <w:rPr>
          <w:rFonts w:eastAsia="Calibri" w:cstheme="minorHAnsi"/>
        </w:rPr>
        <w:t xml:space="preserve"> be</w:t>
      </w:r>
      <w:r w:rsidR="00212744">
        <w:rPr>
          <w:rFonts w:eastAsia="Calibri" w:cstheme="minorHAnsi"/>
        </w:rPr>
        <w:t xml:space="preserve"> more time-efficient (with the majority of telephone consultations</w:t>
      </w:r>
      <w:r w:rsidR="00510335">
        <w:rPr>
          <w:rFonts w:eastAsia="Calibri" w:cstheme="minorHAnsi"/>
        </w:rPr>
        <w:t>, as in this study,</w:t>
      </w:r>
      <w:r w:rsidR="00212744">
        <w:rPr>
          <w:rFonts w:eastAsia="Calibri" w:cstheme="minorHAnsi"/>
        </w:rPr>
        <w:t xml:space="preserve"> </w:t>
      </w:r>
      <w:r w:rsidR="00510335">
        <w:rPr>
          <w:rFonts w:eastAsia="Calibri" w:cstheme="minorHAnsi"/>
        </w:rPr>
        <w:t>estimated to be of</w:t>
      </w:r>
      <w:r w:rsidR="00212744">
        <w:rPr>
          <w:rFonts w:eastAsia="Calibri" w:cstheme="minorHAnsi"/>
        </w:rPr>
        <w:t xml:space="preserve"> less than 15 minutes</w:t>
      </w:r>
      <w:r w:rsidR="00510335">
        <w:rPr>
          <w:rFonts w:eastAsia="Calibri" w:cstheme="minorHAnsi"/>
        </w:rPr>
        <w:t>’ duration</w:t>
      </w:r>
      <w:r w:rsidR="00212744">
        <w:rPr>
          <w:rFonts w:eastAsia="Calibri" w:cstheme="minorHAnsi"/>
        </w:rPr>
        <w:t>)</w:t>
      </w:r>
      <w:r w:rsidR="00212744" w:rsidRPr="00A11106">
        <w:rPr>
          <w:rFonts w:eastAsia="Calibri" w:cstheme="minorHAnsi"/>
        </w:rPr>
        <w:fldChar w:fldCharType="begin" w:fldLock="1"/>
      </w:r>
      <w:r w:rsidR="00017B62">
        <w:rPr>
          <w:rFonts w:eastAsia="Calibri" w:cstheme="minorHAnsi"/>
        </w:rPr>
        <w:instrText>ADDIN CSL_CITATION {"citationItems":[{"id":"ITEM-1","itemData":{"DOI":"10.1046/j.1469-0691.2003.00584.x","ISBN":"1198-743X","ISSN":"1198743X","PMID":"12925117","abstract":"Informed consultation between physicians is an important part of medical practice. The aim of the study was to evaluate the nature and frequency of such consultations in infectious diseases and clinical microbiology practice. This study was done in five university hospitals. Twenty-one infectious diseases and clinical microbiology specialists participated in informal ('curbside') consultations. In a written questionnaire, physicians were asked to report the number and nature of the informal consultations (ICs) they were asked to provide. A total three hundred and sixty-two such consultations were carried out during a three-month period. The ICs occurred most frequently in the hospital (82.3%). Most of the ICs from outside the hospital were by telephone. Most of the ICs (54.4%) were requested by fellows of specialists. 78.7% of the ICs were requested during working hours. 58.8% of consultations took less than 5 min, 18.8% took 6-10 min, 15.2% took 11-20 min, and 7.2% took over 20 min. The four most common reasons for obtaining ICs were to: help to select an appropriate treatment plan (41.4%), help to select an appropriate prophylaxis (19.3%), interpret laboratory data (10.2%), and provide information about antibiotics (10.2%). 30.1% of ICs resulted in subsequent formal consultation and only four patients (1.1%) were transferred to the consultants' clinics. Informal consultations are a frequent occurrence in the practice of infectious diseases and clinical microbiology (ID&amp;CM). Physicians use this sort of consultation to select an appropriate treatment plan and obtain medical information. This study confirms the importance of the ID&amp;CM specialists as a resource for medical personnel.","author":[{"dropping-particle":"","family":"Leblebicioglu","given":"Hakan","non-dropping-particle":"","parse-names":false,"suffix":""},{"dropping-particle":"","family":"Akbulut","given":"A.","non-dropping-particle":"","parse-names":false,"suffix":""},{"dropping-particle":"","family":"Ulusoy","given":"S.","non-dropping-particle":"","parse-names":false,"suffix":""},{"dropping-particle":"","family":"Sunbul","given":"M.","non-dropping-particle":"","parse-names":false,"suffix":""},{"dropping-particle":"","family":"Aydin","given":"K.","non-dropping-particle":"","parse-names":false,"suffix":""},{"dropping-particle":"","family":"Geyik","given":"M. F.","non-dropping-particle":"","parse-names":false,"suffix":""},{"dropping-particle":"","family":"Esen","given":"S.","non-dropping-particle":"","parse-names":false,"suffix":""},{"dropping-particle":"","family":"Eroglu","given":"C.","non-dropping-particle":"","parse-names":false,"suffix":""}],"container-title":"Clinical Microbiology and Infection","id":"ITEM-1","issue":"7","issued":{"date-parts":[["2003"]]},"page":"724-726","publisher":"European Society of Clinical Infectious Diseases","title":"Informal consultations in infectious diseases and clinical microbiology practice","type":"article-journal","volume":"9"},"uris":["http://www.mendeley.com/documents/?uuid=bdfa651a-6507-4bba-ac64-066e1605b1ab"]},{"id":"ITEM-2","itemData":{"DOI":"10.1093/ofid/ofx030","ISSN":"23288957","PMID":"28470015","abstract":"BACKGROUND Since 2010, the Champlain BASE (Building Access to Specialist Advice through eConsultation) has allowed primary care providers (PCPs) to submit clinical questions to specialists through a secure web service. The study objectives are to describe questions asked to Infectious Diseases specialists through eConsultation and assess impact on physician behaviors. METHODS eConsults completed through the Champlain BASE service from April 15, 2013 to January 29, 2015 were characterized by the type of question asked and infectious disease content. Usage data and PCP responses to a closeout survey were analyzed to determine eConsult response time, change in referral plans, and change in planned course of action. RESULTS Of the 224 infectious diseases eConsults, the most common question types were as follows: interpretation of a clinical test 18.0% (41), general management 16.5 % (37), and indications/goals of treating a particular condition 16.5% (37). The most frequently consulted infectious diseases were as follows: tuberculosis 14.3% (32), Lyme disease 14.3% (32), and parasitology 12.9% (29). Within 24 hours, 63% of cases responded to the questions, and 82% of cases took under 15 minutes to complete. In 32% of cases, a face-to-face referral was originally planned by the PCP but was no longer needed. In 8% of cases, the PCP referred the patient despite originally not planning to make a referral. In 55% of cases, the PCP either received new information or changed their course of action. CONCLUSIONS An eConsult service provides PCPs with timely access to infectious disease specialists' advice that often results in a change in plans for a face-to-face referral.","author":[{"dropping-particle":"","family":"Murthy","given":"Ruchi","non-dropping-particle":"","parse-names":false,"suffix":""},{"dropping-particle":"","family":"Rose","given":"Gregory","non-dropping-particle":"","parse-names":false,"suffix":""},{"dropping-particle":"","family":"Liddy","given":"Clare","non-dropping-particle":"","parse-names":false,"suffix":""},{"dropping-particle":"","family":"Afkham","given":"Amir","non-dropping-particle":"","parse-names":false,"suffix":""},{"dropping-particle":"","family":"Keely","given":"Erin","non-dropping-particle":"","parse-names":false,"suffix":""}],"container-title":"Open Forum Infectious Diseases","id":"ITEM-2","issue":"2","issued":{"date-parts":[["2017"]]},"page":"1-6","title":"eConsultations to infectious disease specialists: Questions asked and impact on primary care providers' behavior","type":"article-journal","volume":"4"},"uris":["http://www.mendeley.com/documents/?uuid=f3fcfef9-871d-46dc-aed5-5f6061b109f8"]}],"mendeley":{"formattedCitation":"&lt;sup&gt;17,18&lt;/sup&gt;","plainTextFormattedCitation":"17,18","previouslyFormattedCitation":"&lt;sup&gt;17,18&lt;/sup&gt;"},"properties":{"noteIndex":0},"schema":"https://github.com/citation-style-language/schema/raw/master/csl-citation.json"}</w:instrText>
      </w:r>
      <w:r w:rsidR="00212744" w:rsidRPr="00A11106">
        <w:rPr>
          <w:rFonts w:eastAsia="Calibri" w:cstheme="minorHAnsi"/>
        </w:rPr>
        <w:fldChar w:fldCharType="separate"/>
      </w:r>
      <w:r w:rsidR="00017B62" w:rsidRPr="00017B62">
        <w:rPr>
          <w:rFonts w:eastAsia="Calibri" w:cstheme="minorHAnsi"/>
          <w:noProof/>
          <w:vertAlign w:val="superscript"/>
        </w:rPr>
        <w:t>17,18</w:t>
      </w:r>
      <w:r w:rsidR="00212744" w:rsidRPr="00A11106">
        <w:rPr>
          <w:rFonts w:eastAsia="Calibri" w:cstheme="minorHAnsi"/>
        </w:rPr>
        <w:fldChar w:fldCharType="end"/>
      </w:r>
      <w:r w:rsidR="00212744" w:rsidRPr="00A11106">
        <w:rPr>
          <w:rFonts w:eastAsia="Calibri" w:cstheme="minorHAnsi"/>
        </w:rPr>
        <w:t xml:space="preserve"> </w:t>
      </w:r>
      <w:r w:rsidR="00212744">
        <w:rPr>
          <w:rFonts w:eastAsia="Calibri" w:cstheme="minorHAnsi"/>
        </w:rPr>
        <w:t>than bedside or outpatient clinic referrals</w:t>
      </w:r>
      <w:r w:rsidR="00A11106" w:rsidRPr="00A11106">
        <w:rPr>
          <w:rFonts w:eastAsia="Calibri" w:cstheme="minorHAnsi"/>
        </w:rPr>
        <w:t>.</w:t>
      </w:r>
      <w:r w:rsidR="00A11106" w:rsidRPr="00A11106">
        <w:rPr>
          <w:rFonts w:eastAsia="Calibri" w:cstheme="minorHAnsi"/>
        </w:rPr>
        <w:fldChar w:fldCharType="begin" w:fldLock="1"/>
      </w:r>
      <w:r w:rsidR="00017B62">
        <w:rPr>
          <w:rFonts w:eastAsia="Calibri" w:cstheme="minorHAnsi"/>
        </w:rPr>
        <w:instrText>ADDIN CSL_CITATION {"citationItems":[{"id":"ITEM-1","itemData":{"DOI":"10.1016/j.mayocp.2014.04.016","ISBN":"1942-5546 (Electronic)\\r0025-6196 (Linking)","ISSN":"19425546","PMID":"24889514","abstract":"In most models of health care delivery, the bulk of services are provided in primary care and there is frequent request for the input of specialty consultants. A critical issue for current and future health care systems is the effective and efficient delivery of specialist expertise for clinicians and patients. Input on a patient's care from specialty consultants usually requires a face-to-face visit between the patient and the consultant. New and complementary models of knowledge sharing have emerged. We describe a framework assessment of a spectrum of knowledge-sharing methods in the context of a patient-centered medical home. This framework is based on our experience in the Veterans Health Administration and a purposive review of the literature. These newer modes of specialty consultation include electronic consultation, secure text messaging, telemedicine of various types, and population preemptive consults. In addition to describing these modes of consultation, our framework points to several important areas in which further research is needed to optimize effectiveness.","author":[{"dropping-particle":"","family":"Kirsh","given":"Susan R.","non-dropping-particle":"","parse-names":false,"suffix":""},{"dropping-particle":"","family":"Ho","given":"P. Michael","non-dropping-particle":"","parse-names":false,"suffix":""},{"dropping-particle":"","family":"Aron","given":"David C.","non-dropping-particle":"","parse-names":false,"suffix":""}],"container-title":"Mayo Clinic Proceedings","id":"ITEM-1","issue":"10","issued":{"date-parts":[["2014"]]},"page":"1416-1426","publisher":"Elsevier Inc","title":"Providing specialty consultant expertise to primary care: An expanding spectrum of modalities","type":"article-journal","volume":"89"},"uris":["http://www.mendeley.com/documents/?uuid=c06f2c2f-2159-4bed-92ca-dd8f9b336779"]}],"mendeley":{"formattedCitation":"&lt;sup&gt;11&lt;/sup&gt;","plainTextFormattedCitation":"11","previouslyFormattedCitation":"&lt;sup&gt;11&lt;/sup&gt;"},"properties":{"noteIndex":0},"schema":"https://github.com/citation-style-language/schema/raw/master/csl-citation.json"}</w:instrText>
      </w:r>
      <w:r w:rsidR="00A11106" w:rsidRPr="00A11106">
        <w:rPr>
          <w:rFonts w:eastAsia="Calibri" w:cstheme="minorHAnsi"/>
        </w:rPr>
        <w:fldChar w:fldCharType="separate"/>
      </w:r>
      <w:r w:rsidR="00017B62" w:rsidRPr="00017B62">
        <w:rPr>
          <w:rFonts w:eastAsia="Calibri" w:cstheme="minorHAnsi"/>
          <w:noProof/>
          <w:vertAlign w:val="superscript"/>
        </w:rPr>
        <w:t>11</w:t>
      </w:r>
      <w:r w:rsidR="00A11106" w:rsidRPr="00A11106">
        <w:rPr>
          <w:rFonts w:eastAsia="Calibri" w:cstheme="minorHAnsi"/>
        </w:rPr>
        <w:fldChar w:fldCharType="end"/>
      </w:r>
      <w:r w:rsidR="00A11106" w:rsidRPr="00A11106">
        <w:rPr>
          <w:rFonts w:eastAsia="Calibri" w:cstheme="minorHAnsi"/>
        </w:rPr>
        <w:t xml:space="preserve"> </w:t>
      </w:r>
      <w:r w:rsidR="00017B62">
        <w:rPr>
          <w:rFonts w:eastAsia="Calibri" w:cstheme="minorHAnsi"/>
        </w:rPr>
        <w:t>In addition, implementation studies of telephon</w:t>
      </w:r>
      <w:r w:rsidR="000E012F">
        <w:rPr>
          <w:rFonts w:eastAsia="Calibri" w:cstheme="minorHAnsi"/>
        </w:rPr>
        <w:t>e</w:t>
      </w:r>
      <w:r w:rsidR="00017B62">
        <w:rPr>
          <w:rFonts w:eastAsia="Calibri" w:cstheme="minorHAnsi"/>
        </w:rPr>
        <w:t xml:space="preserve"> advice services for patients within the primary care and </w:t>
      </w:r>
      <w:r w:rsidR="0046071E">
        <w:rPr>
          <w:rFonts w:eastAsia="Calibri" w:cstheme="minorHAnsi"/>
        </w:rPr>
        <w:t xml:space="preserve">secondary </w:t>
      </w:r>
      <w:r w:rsidR="00017B62">
        <w:rPr>
          <w:rFonts w:eastAsia="Calibri" w:cstheme="minorHAnsi"/>
        </w:rPr>
        <w:t xml:space="preserve">general medicine </w:t>
      </w:r>
      <w:r w:rsidR="0046071E">
        <w:rPr>
          <w:rFonts w:eastAsia="Calibri" w:cstheme="minorHAnsi"/>
        </w:rPr>
        <w:t xml:space="preserve">care </w:t>
      </w:r>
      <w:r w:rsidR="00017B62">
        <w:rPr>
          <w:rFonts w:eastAsia="Calibri" w:cstheme="minorHAnsi"/>
        </w:rPr>
        <w:t>setting have shown promising results including</w:t>
      </w:r>
      <w:r w:rsidR="0046071E">
        <w:rPr>
          <w:rFonts w:eastAsia="Calibri" w:cstheme="minorHAnsi"/>
        </w:rPr>
        <w:t>:</w:t>
      </w:r>
      <w:r w:rsidR="00017B62">
        <w:rPr>
          <w:rFonts w:eastAsia="Calibri" w:cstheme="minorHAnsi"/>
        </w:rPr>
        <w:t xml:space="preserve"> optimised referral of patients to appropriate healthcare services in Sweden</w:t>
      </w:r>
      <w:r w:rsidR="0046071E">
        <w:rPr>
          <w:rFonts w:eastAsia="Calibri" w:cstheme="minorHAnsi"/>
        </w:rPr>
        <w:t>;</w:t>
      </w:r>
      <w:r w:rsidR="00017B62">
        <w:rPr>
          <w:rFonts w:eastAsia="Calibri" w:cstheme="minorHAnsi"/>
        </w:rPr>
        <w:fldChar w:fldCharType="begin" w:fldLock="1"/>
      </w:r>
      <w:r w:rsidR="00017B62">
        <w:rPr>
          <w:rFonts w:eastAsia="Calibri" w:cstheme="minorHAnsi"/>
        </w:rPr>
        <w:instrText>ADDIN CSL_CITATION {"citationItems":[{"id":"ITEM-1","itemData":{"DOI":"10.1080/02813432.2017.1288816","ISSN":"15027724","abstract":"Objective: The present study aimed to describe contact made by the elderly to Sweden’s nationwide medical helpline, Healthcare Guide 1177 by Phone (HGP). Other objectives were to study potential gender differences and the association between different HGP referral levels and acute visits to hospital-based emergency departments and acute visits to primary care centres. Design: De-identified data from recorded calls to HGP was extracted for analysis (n = 7477 for the oldest age group). Information about acute visits to emergency departments and to primary care reception was extracted from the patient administration system. Setting: Västerbotten County, Sweden. Subjects: Patients over 80 years. Main outcome measures: Calling and visiting frequencies for different age groups as well as reasons for contact and individual recommendations. Results: The utilisation rate of the telephone advice service for the oldest age group was high, with an incidence rate of 533 per 1000 person-years. Women had a 1.17 times higher incidence rate compared with men. The most common reason for contact was drug-related questions (17% of all contacts). Calls that were recommended to care by a medical specialist correlated with total emergency department visits (r = 0.30, p &lt; 0.05) and calls that were given advice correlated with acute primary healthcare visits (r = 0.38, p = 0.005). Conclusion: The high utilisation of the telephone advice service by the elderly gives the telephone advice service a unique ability to function as a gatekeeper to further healthcare. Our data suggest that with the telephone advice service’s present guidelines, a significant proportion of all calls are being directed to further medical help. The high frequency of drug-related questions raises concerns about the elderly’s medication regimens.Key points Patients over 80 years of age had a high utilisation of the telephone medical advice service compared with other age groups. Drug-related questions were the most common reason for contact. A significant proportion of all calls made resulted in further heatlhcare contacts.","author":[{"dropping-particle":"","family":"Dahlgren","given":"K.","non-dropping-particle":"","parse-names":false,"suffix":""},{"dropping-particle":"","family":"Holzmann","given":"M. J.","non-dropping-particle":"","parse-names":false,"suffix":""},{"dropping-particle":"","family":"Carlsson","given":"A. C.","non-dropping-particle":"","parse-names":false,"suffix":""},{"dropping-particle":"","family":"Wändell","given":"P.","non-dropping-particle":"","parse-names":false,"suffix":""},{"dropping-particle":"","family":"Hasselström","given":"J.","non-dropping-particle":"","parse-names":false,"suffix":""},{"dropping-particle":"","family":"Ruge","given":"T.","non-dropping-particle":"","parse-names":false,"suffix":""}],"container-title":"Scandinavian Journal of Primary Health Care","id":"ITEM-1","issue":"1","issued":{"date-parts":[["2017"]]},"page":"98-104","title":"The use of a Swedish telephone medical advice service by the elderly–a population-based study","type":"article-journal","volume":"35"},"uris":["http://www.mendeley.com/documents/?uuid=8e05b027-85d0-4565-b7c0-ca93468c4061"]}],"mendeley":{"formattedCitation":"&lt;sup&gt;19&lt;/sup&gt;","plainTextFormattedCitation":"19","previouslyFormattedCitation":"&lt;sup&gt;19&lt;/sup&gt;"},"properties":{"noteIndex":0},"schema":"https://github.com/citation-style-language/schema/raw/master/csl-citation.json"}</w:instrText>
      </w:r>
      <w:r w:rsidR="00017B62">
        <w:rPr>
          <w:rFonts w:eastAsia="Calibri" w:cstheme="minorHAnsi"/>
        </w:rPr>
        <w:fldChar w:fldCharType="separate"/>
      </w:r>
      <w:r w:rsidR="00017B62" w:rsidRPr="00017B62">
        <w:rPr>
          <w:rFonts w:eastAsia="Calibri" w:cstheme="minorHAnsi"/>
          <w:noProof/>
          <w:vertAlign w:val="superscript"/>
        </w:rPr>
        <w:t>19</w:t>
      </w:r>
      <w:r w:rsidR="00017B62">
        <w:rPr>
          <w:rFonts w:eastAsia="Calibri" w:cstheme="minorHAnsi"/>
        </w:rPr>
        <w:fldChar w:fldCharType="end"/>
      </w:r>
      <w:r w:rsidR="00017B62">
        <w:rPr>
          <w:rFonts w:eastAsia="Calibri" w:cstheme="minorHAnsi"/>
        </w:rPr>
        <w:t xml:space="preserve"> and reduced need for face-to-face medical consultation and fewer emergency department attendances in the UK.</w:t>
      </w:r>
      <w:r w:rsidR="00017B62">
        <w:rPr>
          <w:rFonts w:eastAsia="Calibri" w:cstheme="minorHAnsi"/>
        </w:rPr>
        <w:fldChar w:fldCharType="begin" w:fldLock="1"/>
      </w:r>
      <w:r w:rsidR="00017B62">
        <w:rPr>
          <w:rFonts w:eastAsia="Calibri" w:cstheme="minorHAnsi"/>
        </w:rPr>
        <w:instrText>ADDIN CSL_CITATION {"citationItems":[{"id":"ITEM-1","itemData":{"DOI":"10.1136/bmj.317.7165.1054","ISSN":"09598146","abstract":"Objective. To determine the safety and effectiveness of nurse telephone consultation in out of hours primary care by investigating adverse events and the management of calls. Design Block. randomised controlled trial over a year of 156 matched pairs of days and weekends in 26 blocks. One of each matched pair was randomised to receive the intervention. Setting. One 55 member general practice cooperative serving 97,000 registered patients in Wiltshire. Subjects. All patients contacting the out of hours service or about whom contact was made during specified times over the trial year. Intervention. A nurse telephone consultation service integrated within a general practice cooperative. The out of hours period was 6 15 pm to 11 15 pm from Monday to Friday, 11 00 am to 11 15 pm on Saturday, and 8 00 am to 11 15 pm on Sunday. Experienced and specially trained nurses received, assessed, and managed calls from patients or their carers. Management options included telephone advice; referral to the general practitioner on duly (for telephone advice, an appointment at a primary care centre, or a home visit); referral to the emergency service or advice to attend accident and emergency. Calls were managed with the help of decision support software. Main outcome measures. Deaths within seven days of a contact with the out of hours service; emergency hospital admissions within 24 hours and within three days of contact; attendance at accident and emergency within three days of a contact; number and management of calls in each arm of the trial. Results. 14,492 calls were received during the specified times in the trial year (7308 in the control arm and 7184 in the intervention arm) concerning 10,134 patients (10.4% of the registered population). There were no substantial differences in the age and sex of patients in the intervention and control groups, though male patients were underrepresented overall. Reasons for calling the service were consistent with previous studies. Nurses managed 49.8% of calls during intervention periods without referral to a general practitioner. A 69% reduction in telephone advice from a general practitioner, together with a 38% reduction in patient attendance at primary care centres and a 23% reduction in home visits was observed during intervention periods. Statistical equivalence was observed in the number of deaths within seven days, in the number of emergency hospital admissions, and in the number of attendances at accident and emergency…","author":[{"dropping-particle":"","family":"Lattimer","given":"Val","non-dropping-particle":"","parse-names":false,"suffix":""},{"dropping-particle":"","family":"George","given":"Steve","non-dropping-particle":"","parse-names":false,"suffix":""},{"dropping-particle":"","family":"Thompson","given":"Felicity","non-dropping-particle":"","parse-names":false,"suffix":""},{"dropping-particle":"","family":"Thomas","given":"Eileen","non-dropping-particle":"","parse-names":false,"suffix":""},{"dropping-particle":"","family":"Mullee","given":"Mark","non-dropping-particle":"","parse-names":false,"suffix":""},{"dropping-particle":"","family":"Turnbull","given":"Joanne","non-dropping-particle":"","parse-names":false,"suffix":""},{"dropping-particle":"","family":"Smith","given":"Helen","non-dropping-particle":"","parse-names":false,"suffix":""},{"dropping-particle":"","family":"Moore","given":"Michael","non-dropping-particle":"","parse-names":false,"suffix":""},{"dropping-particle":"","family":"Bond","given":"Hugh","non-dropping-particle":"","parse-names":false,"suffix":""},{"dropping-particle":"","family":"Glasper","given":"Alan","non-dropping-particle":"","parse-names":false,"suffix":""}],"container-title":"British Medical Journal","id":"ITEM-1","issue":"7165","issued":{"date-parts":[["1998"]]},"page":"1054-1059","title":"Safety and effectiveness of nurse telephone consultation in out of hours primary care: Randomised controlled trial","type":"article-journal","volume":"317"},"uris":["http://www.mendeley.com/documents/?uuid=bf159cc0-1d81-494d-b82b-8896c76439f4"]},{"id":"ITEM-2","itemData":{"DOI":"10.1136/bmjopen-2015-009444","ISSN":"20446055","abstract":"Objective: To determine the effect of using experienced general practitioners (GPS) to review the advice given by call handlers in NHS 111, a national service giving telephone advice to people seeking medical care. Design: Observational study following the introduction of GPS to review call handlers' decisions which had been made using decision support software. Setting: NHS 111 call centre covering Cambridgeshire and Peterborough. Intervention: When a call handler using standard NHS 111 decision support software would have advised the caller to attend the hospital accident and emergency (A&amp;E) department, the decision was reviewed by an experienced GP. Main outcome measures: Percentage of calls where an outcome other than A&amp;E attendance was recommended by the GP. Results: Of 1474 cases reviewed, the GP recommended A&amp;E attendance in 400 cases (27.1%). In the remainder of cases, the GP recommended attendance at a primary care out-of-hours centre or minor injury unit in 665 cases (45.2%) and self-management or some alternative strategy in 409 (27.8%). Conclusions: Fewer callers to NHS 111 would be sent to emergency departments if the decision was reviewed by an experienced GP. Telephone triage services need to consider whether using relatively unskilled call handlers supported by computer software is the most cost-effective way to handle requests for medical care.","author":[{"dropping-particle":"","family":"Anderson","given":"Andrew","non-dropping-particle":"","parse-names":false,"suffix":""},{"dropping-particle":"","family":"Roland","given":"Martin","non-dropping-particle":"","parse-names":false,"suffix":""}],"container-title":"BMJ Open","id":"ITEM-2","issue":"11","issued":{"date-parts":[["2015"]]},"page":"1-4","title":"Potential for advice from doctors to reduce the number of patients referred to emergency departments by NHS 111 call handlers: Observational study","type":"article-journal","volume":"5"},"uris":["http://www.mendeley.com/documents/?uuid=b83d228a-a2f9-4b76-9cc7-0e13503caac0"]}],"mendeley":{"formattedCitation":"&lt;sup&gt;20,21&lt;/sup&gt;","plainTextFormattedCitation":"20,21","previouslyFormattedCitation":"&lt;sup&gt;20,21&lt;/sup&gt;"},"properties":{"noteIndex":0},"schema":"https://github.com/citation-style-language/schema/raw/master/csl-citation.json"}</w:instrText>
      </w:r>
      <w:r w:rsidR="00017B62">
        <w:rPr>
          <w:rFonts w:eastAsia="Calibri" w:cstheme="minorHAnsi"/>
        </w:rPr>
        <w:fldChar w:fldCharType="separate"/>
      </w:r>
      <w:r w:rsidR="00017B62" w:rsidRPr="00017B62">
        <w:rPr>
          <w:rFonts w:eastAsia="Calibri" w:cstheme="minorHAnsi"/>
          <w:noProof/>
          <w:vertAlign w:val="superscript"/>
        </w:rPr>
        <w:t>20,21</w:t>
      </w:r>
      <w:r w:rsidR="00017B62">
        <w:rPr>
          <w:rFonts w:eastAsia="Calibri" w:cstheme="minorHAnsi"/>
        </w:rPr>
        <w:fldChar w:fldCharType="end"/>
      </w:r>
      <w:r w:rsidR="00017B62">
        <w:rPr>
          <w:rFonts w:eastAsia="Calibri" w:cstheme="minorHAnsi"/>
        </w:rPr>
        <w:t xml:space="preserve"> </w:t>
      </w:r>
      <w:r w:rsidR="00723B61">
        <w:rPr>
          <w:rFonts w:eastAsia="Calibri" w:cstheme="minorHAnsi"/>
        </w:rPr>
        <w:t>Finally,</w:t>
      </w:r>
      <w:r w:rsidR="00017B62">
        <w:rPr>
          <w:rFonts w:eastAsia="Calibri" w:cstheme="minorHAnsi"/>
        </w:rPr>
        <w:t xml:space="preserve"> a systematic review showed that an out-of-hours telephone advice calls service for primary care was an effective form of triage, reduced immediate medical workload, and had the potential to reduce overall healthcare costs.</w:t>
      </w:r>
      <w:r w:rsidR="00017B62">
        <w:rPr>
          <w:rFonts w:eastAsia="Calibri" w:cstheme="minorHAnsi"/>
        </w:rPr>
        <w:fldChar w:fldCharType="begin" w:fldLock="1"/>
      </w:r>
      <w:r w:rsidR="00723B61">
        <w:rPr>
          <w:rFonts w:eastAsia="Calibri" w:cstheme="minorHAnsi"/>
        </w:rPr>
        <w:instrText>ADDIN CSL_CITATION {"citationItems":[{"id":"ITEM-1","itemData":{"DOI":"10.1093/fampra/cmg313","ISSN":"02632136","abstract":"Background. The organization of after-hours primary medical care services is changing in many countries. Increasing demand, economic considerations and changes in doctors' attitudes are fuelling these changes. Information for policy makers in this field is needed. However, a comprehensive review of the international literature that compares the effects of one model of after-hours care with another is lacking. Objective. The aim of this study was to carry out a systematic review of the international literature to determine what evidence exists about the effect of different models of out-of-hours primary medical care service on outcome. Methods. Original studies and systematic reviews written since 1976 on the subject of 'after-hours primary medical care services' were identified. Databases searched were Medline/Premedline, CINAHL, HealthSTAR, Current Contents, Cochrane Reviews, DARE, EBM Reviews and EconLit. For each paper where the optimal design would have been an interventional study, the 'level' of evidence was assessed as described in the National Health and Medical Research Council Handbook. 'Comparative' studies (levels I, II, III and IV pre-/post-test studies) were included in this review. Results. Six main models of after-hours primary care services (not mutually exclusive) were identified: practice-based services, deputizing services, emergency departments, co-operatives, primary care centres, and telephone triage and advice services. Outcomes were divided into the following categories: clinical outcomes, medical workload, and patient and GP satisfaction. The results indicate that the introduction of a telephone triage and advice service for after-hours primary medical care may reduce the immediate medical workload. Deputizing services increase immediate medical workload because of the low use of telephone advice and the high home visiting rate. Co-operatives, which use telephone triage and primary care centres and have a low home visiting rate, reduce immediate medical workload. There is little evidence on the effect of different service models on subsequent medical workload apart from the finding that GPs working in emergency departments may reduce the subsequent medical workload. There was very little evidence about the advantages of one service model compared with another in relation to clinical outcome. Studies consistently showed patient dissatisfaction with telephone consultations. Conclusions. The rapid growth in telephone triage and ad…","author":[{"dropping-particle":"","family":"Leibowitz","given":"Ruth","non-dropping-particle":"","parse-names":false,"suffix":""},{"dropping-particle":"","family":"Day","given":"Susan","non-dropping-particle":"","parse-names":false,"suffix":""},{"dropping-particle":"","family":"Dunt","given":"David","non-dropping-particle":"","parse-names":false,"suffix":""}],"container-title":"Family Practice","id":"ITEM-1","issue":"3","issued":{"date-parts":[["2003"]]},"page":"311-317","title":"A systematic review of the effect of different models of after-hours primary medical care services on clinical outcome, medical workload, and patient and GP satisfaction","type":"article-journal","volume":"20"},"uris":["http://www.mendeley.com/documents/?uuid=bdccc225-d318-4bf8-8fbe-50ccd682ea14"]}],"mendeley":{"formattedCitation":"&lt;sup&gt;22&lt;/sup&gt;","plainTextFormattedCitation":"22","previouslyFormattedCitation":"&lt;sup&gt;22&lt;/sup&gt;"},"properties":{"noteIndex":0},"schema":"https://github.com/citation-style-language/schema/raw/master/csl-citation.json"}</w:instrText>
      </w:r>
      <w:r w:rsidR="00017B62">
        <w:rPr>
          <w:rFonts w:eastAsia="Calibri" w:cstheme="minorHAnsi"/>
        </w:rPr>
        <w:fldChar w:fldCharType="separate"/>
      </w:r>
      <w:r w:rsidR="00017B62" w:rsidRPr="00017B62">
        <w:rPr>
          <w:rFonts w:eastAsia="Calibri" w:cstheme="minorHAnsi"/>
          <w:noProof/>
          <w:vertAlign w:val="superscript"/>
        </w:rPr>
        <w:t>22</w:t>
      </w:r>
      <w:r w:rsidR="00017B62">
        <w:rPr>
          <w:rFonts w:eastAsia="Calibri" w:cstheme="minorHAnsi"/>
        </w:rPr>
        <w:fldChar w:fldCharType="end"/>
      </w:r>
      <w:r w:rsidR="006B3215">
        <w:rPr>
          <w:rFonts w:eastAsia="Calibri" w:cstheme="minorHAnsi"/>
        </w:rPr>
        <w:t xml:space="preserve"> </w:t>
      </w:r>
      <w:r w:rsidR="00723B61" w:rsidRPr="00A96E27">
        <w:rPr>
          <w:rFonts w:eastAsia="Calibri" w:cstheme="minorHAnsi"/>
        </w:rPr>
        <w:t>Th</w:t>
      </w:r>
      <w:r w:rsidR="00723B61">
        <w:rPr>
          <w:rFonts w:eastAsia="Calibri" w:cstheme="minorHAnsi"/>
        </w:rPr>
        <w:t xml:space="preserve">ese findings support the need for </w:t>
      </w:r>
      <w:r w:rsidR="00D152C7">
        <w:rPr>
          <w:rFonts w:eastAsia="Calibri" w:cstheme="minorHAnsi"/>
        </w:rPr>
        <w:t xml:space="preserve">well-documented </w:t>
      </w:r>
      <w:r w:rsidR="00723B61">
        <w:rPr>
          <w:rFonts w:eastAsia="Calibri" w:cstheme="minorHAnsi"/>
        </w:rPr>
        <w:t xml:space="preserve">telephone advice calls that are complemented by </w:t>
      </w:r>
      <w:r w:rsidR="00723B61" w:rsidRPr="00A96E27">
        <w:rPr>
          <w:rFonts w:eastAsia="Calibri" w:cstheme="minorHAnsi"/>
        </w:rPr>
        <w:t xml:space="preserve">formal, </w:t>
      </w:r>
      <w:r w:rsidR="00723B61">
        <w:rPr>
          <w:rFonts w:eastAsia="Calibri" w:cstheme="minorHAnsi"/>
        </w:rPr>
        <w:t xml:space="preserve">face-to-face (or </w:t>
      </w:r>
      <w:r w:rsidR="00723B61" w:rsidRPr="00A96E27">
        <w:rPr>
          <w:rFonts w:eastAsia="Calibri" w:cstheme="minorHAnsi"/>
        </w:rPr>
        <w:t>bedside</w:t>
      </w:r>
      <w:r w:rsidR="00723B61">
        <w:rPr>
          <w:rFonts w:eastAsia="Calibri" w:cstheme="minorHAnsi"/>
        </w:rPr>
        <w:t>)</w:t>
      </w:r>
      <w:r w:rsidR="00723B61" w:rsidRPr="00A96E27">
        <w:rPr>
          <w:rFonts w:eastAsia="Calibri" w:cstheme="minorHAnsi"/>
        </w:rPr>
        <w:t xml:space="preserve"> review </w:t>
      </w:r>
      <w:r w:rsidR="00723B61">
        <w:rPr>
          <w:rFonts w:eastAsia="Calibri" w:cstheme="minorHAnsi"/>
        </w:rPr>
        <w:t>where necessary</w:t>
      </w:r>
      <w:r w:rsidR="0046071E">
        <w:rPr>
          <w:rFonts w:eastAsia="Calibri" w:cstheme="minorHAnsi"/>
        </w:rPr>
        <w:t>. Indeed, our findings showed that bedside review occurred in</w:t>
      </w:r>
      <w:r w:rsidR="00723B61" w:rsidRPr="00A96E27">
        <w:rPr>
          <w:rFonts w:eastAsia="Calibri" w:cstheme="minorHAnsi"/>
        </w:rPr>
        <w:t xml:space="preserve"> more than a quarter of the cases discussed with our advice calls service.</w:t>
      </w:r>
    </w:p>
    <w:p w14:paraId="323FBC5E" w14:textId="77777777" w:rsidR="00B152D8" w:rsidRDefault="00941C86" w:rsidP="00B152D8">
      <w:pPr>
        <w:spacing w:line="360" w:lineRule="auto"/>
        <w:jc w:val="both"/>
      </w:pPr>
      <w:r>
        <w:t xml:space="preserve">Our findings demonstrate that implementation of a simple, user-friendly advice calls documentation system was feasible </w:t>
      </w:r>
      <w:r w:rsidR="00AA79E6">
        <w:t>and highly acceptable</w:t>
      </w:r>
      <w:r>
        <w:t xml:space="preserve">. Such a system could easily be implemented in other </w:t>
      </w:r>
      <w:r w:rsidR="00723B61">
        <w:t xml:space="preserve">departments </w:t>
      </w:r>
      <w:r>
        <w:t>receiving external advice calls</w:t>
      </w:r>
      <w:r w:rsidR="00723B61">
        <w:t xml:space="preserve"> whether generalist or specialist.</w:t>
      </w:r>
      <w:r w:rsidR="00C65CB8">
        <w:t xml:space="preserve"> </w:t>
      </w:r>
      <w:r w:rsidR="00723B61">
        <w:t>I</w:t>
      </w:r>
      <w:r w:rsidR="00C65CB8">
        <w:t>ndeed, poste</w:t>
      </w:r>
      <w:r w:rsidR="00510335">
        <w:t xml:space="preserve">r presentations of this work </w:t>
      </w:r>
      <w:r w:rsidR="00510335" w:rsidRPr="002C09F8">
        <w:t>have</w:t>
      </w:r>
      <w:r w:rsidR="00C65CB8" w:rsidRPr="002C09F8">
        <w:t xml:space="preserve"> </w:t>
      </w:r>
      <w:r w:rsidR="00510335" w:rsidRPr="002C09F8">
        <w:t xml:space="preserve">already </w:t>
      </w:r>
      <w:r w:rsidR="00C65CB8" w:rsidRPr="002C09F8">
        <w:t xml:space="preserve">generated interest </w:t>
      </w:r>
      <w:r w:rsidR="00510335" w:rsidRPr="002C09F8">
        <w:t xml:space="preserve">and replication of our system and methods </w:t>
      </w:r>
      <w:r w:rsidR="00AA79E6">
        <w:t>within the UK i</w:t>
      </w:r>
      <w:r w:rsidR="00C65CB8" w:rsidRPr="002C09F8">
        <w:t>nfection community</w:t>
      </w:r>
      <w:r w:rsidR="00F977E2" w:rsidRPr="002C09F8">
        <w:t>.</w:t>
      </w:r>
      <w:r w:rsidR="002C09F8" w:rsidRPr="002C09F8">
        <w:rPr>
          <w:vertAlign w:val="superscript"/>
        </w:rPr>
        <w:t>1,2</w:t>
      </w:r>
      <w:r w:rsidR="00723B61">
        <w:t xml:space="preserve"> </w:t>
      </w:r>
      <w:r w:rsidR="00AA79E6">
        <w:t>D</w:t>
      </w:r>
      <w:r>
        <w:t xml:space="preserve">ocumentation of calls </w:t>
      </w:r>
      <w:r w:rsidR="00AA79E6">
        <w:t>appeared to increase</w:t>
      </w:r>
      <w:r>
        <w:t xml:space="preserve"> following departmental presentations and emails</w:t>
      </w:r>
      <w:r w:rsidR="00B152D8">
        <w:t>. This finding did not relate to missin</w:t>
      </w:r>
      <w:r w:rsidR="0046071E">
        <w:t>g data and could suggest</w:t>
      </w:r>
      <w:r w:rsidR="00B152D8">
        <w:t xml:space="preserve"> compliance issues, lack of sustainability, </w:t>
      </w:r>
      <w:r w:rsidR="00B152D8" w:rsidRPr="00B152D8">
        <w:t xml:space="preserve">or </w:t>
      </w:r>
      <w:r w:rsidR="00887E96">
        <w:t>changing interpretation</w:t>
      </w:r>
      <w:r w:rsidR="00B152D8" w:rsidRPr="00B152D8">
        <w:t xml:space="preserve"> by </w:t>
      </w:r>
      <w:r w:rsidR="00B152D8">
        <w:t>Specialist Trainees</w:t>
      </w:r>
      <w:r w:rsidR="00B152D8" w:rsidRPr="00B152D8">
        <w:t xml:space="preserve"> as </w:t>
      </w:r>
      <w:r w:rsidR="00B152D8">
        <w:t xml:space="preserve">to </w:t>
      </w:r>
      <w:r w:rsidR="00B152D8" w:rsidRPr="00B152D8">
        <w:t>what merits documentation</w:t>
      </w:r>
      <w:r w:rsidR="00B152D8">
        <w:t xml:space="preserve">. </w:t>
      </w:r>
      <w:r w:rsidR="0046071E">
        <w:t xml:space="preserve">However, </w:t>
      </w:r>
      <w:r w:rsidR="00887E96">
        <w:t>we</w:t>
      </w:r>
      <w:r w:rsidR="00B152D8">
        <w:t xml:space="preserve"> interpret</w:t>
      </w:r>
      <w:r w:rsidR="00887E96">
        <w:t xml:space="preserve">ed these increases as highlighting </w:t>
      </w:r>
      <w:r>
        <w:t xml:space="preserve">the importance of repeated training, reminders, and ongoing </w:t>
      </w:r>
      <w:r w:rsidR="00B152D8">
        <w:t xml:space="preserve">review </w:t>
      </w:r>
      <w:r>
        <w:t>throughout the year</w:t>
      </w:r>
      <w:r w:rsidR="00887E96">
        <w:t>. Such processes are vital to</w:t>
      </w:r>
      <w:r>
        <w:t xml:space="preserve"> </w:t>
      </w:r>
      <w:r>
        <w:lastRenderedPageBreak/>
        <w:t xml:space="preserve">support the implementation, adaptation, and sustainability </w:t>
      </w:r>
      <w:r w:rsidR="00B152D8">
        <w:t xml:space="preserve">of similar systems or, indeed, any successful </w:t>
      </w:r>
      <w:proofErr w:type="gramStart"/>
      <w:r w:rsidR="00B152D8">
        <w:t>practice-changing</w:t>
      </w:r>
      <w:proofErr w:type="gramEnd"/>
      <w:r w:rsidR="00B152D8">
        <w:t xml:space="preserve"> QIP.</w:t>
      </w:r>
    </w:p>
    <w:p w14:paraId="522A3398" w14:textId="77777777" w:rsidR="00D152C7" w:rsidRDefault="00133C1A" w:rsidP="009634CC">
      <w:pPr>
        <w:spacing w:line="360" w:lineRule="auto"/>
        <w:jc w:val="both"/>
      </w:pPr>
      <w:r>
        <w:t>Th</w:t>
      </w:r>
      <w:r w:rsidR="00AA79E6">
        <w:t>e</w:t>
      </w:r>
      <w:r w:rsidR="009634CC">
        <w:t xml:space="preserve"> </w:t>
      </w:r>
      <w:r w:rsidR="00AA79E6">
        <w:t xml:space="preserve">call </w:t>
      </w:r>
      <w:r>
        <w:t xml:space="preserve">workload </w:t>
      </w:r>
      <w:r w:rsidR="00AA79E6">
        <w:t xml:space="preserve">identified </w:t>
      </w:r>
      <w:r>
        <w:t>is important</w:t>
      </w:r>
      <w:r w:rsidR="009634CC">
        <w:t xml:space="preserve"> given the need to prioritise workload and patient tasks in a busy referral unit that also deals with high consequence infectious diseases.</w:t>
      </w:r>
      <w:r w:rsidR="00383E16">
        <w:fldChar w:fldCharType="begin" w:fldLock="1"/>
      </w:r>
      <w:r w:rsidR="00723B61">
        <w:instrText>ADDIN CSL_CITATION {"citationItems":[{"id":"ITEM-1","itemData":{"DOI":"10.2807/1560-7917.ES.2018.23.38.1800509","ISSN":"15607917","abstract":"In early September 2018, two cases of monkeypox were reported in the United Kingdom (UK), diagnosed on 7 September in Cornwall (South West England) and 11 September in Blackpool (North West England). The cases were epidemiologically unconnected and had recently travelled to the UK from Nigeria, where monkeypox is currently circulating. We describe the epidemiology and the public health response for the first diagnosed cases outside the African continent since 2003.","author":[{"dropping-particle":"","family":"Vaughan","given":"Aisling","non-dropping-particle":"","parse-names":false,"suffix":""},{"dropping-particle":"","family":"Aarons","given":"Emma","non-dropping-particle":"","parse-names":false,"suffix":""},{"dropping-particle":"","family":"Astbury","given":"John","non-dropping-particle":"","parse-names":false,"suffix":""},{"dropping-particle":"","family":"Balasegaram","given":"Sooria","non-dropping-particle":"","parse-names":false,"suffix":""},{"dropping-particle":"","family":"Beadsworth","given":"Mike","non-dropping-particle":"","parse-names":false,"suffix":""},{"dropping-particle":"","family":"Beck","given":"Charles R.","non-dropping-particle":"","parse-names":false,"suffix":""},{"dropping-particle":"","family":"Chand","given":"Meera","non-dropping-particle":"","parse-names":false,"suffix":""},{"dropping-particle":"","family":"O’connor","given":"Catherine","non-dropping-particle":"","parse-names":false,"suffix":""},{"dropping-particle":"","family":"Dunning","given":"Jake","non-dropping-particle":"","parse-names":false,"suffix":""},{"dropping-particle":"","family":"Ghebrehewet","given":"Sam","non-dropping-particle":"","parse-names":false,"suffix":""},{"dropping-particle":"","family":"Harper","given":"Nick","non-dropping-particle":"","parse-names":false,"suffix":""},{"dropping-particle":"","family":"Howlett-Shipley","given":"Ruth","non-dropping-particle":"","parse-names":false,"suffix":""},{"dropping-particle":"","family":"Ihekweazu","given":"Chikwe","non-dropping-particle":"","parse-names":false,"suffix":""},{"dropping-particle":"","family":"Jacobs","given":"Michael","non-dropping-particle":"","parse-names":false,"suffix":""},{"dropping-particle":"","family":"Kaindama","given":"Lukeki","non-dropping-particle":"","parse-names":false,"suffix":""},{"dropping-particle":"","family":"Katwa","given":"Parisha","non-dropping-particle":"","parse-names":false,"suffix":""},{"dropping-particle":"","family":"Khoo","given":"Saye","non-dropping-particle":"","parse-names":false,"suffix":""},{"dropping-particle":"","family":"Lamb","given":"Lucy","non-dropping-particle":"","parse-names":false,"suffix":""},{"dropping-particle":"","family":"Mawdsley","given":"Sharon","non-dropping-particle":"","parse-names":false,"suffix":""},{"dropping-particle":"","family":"Morgan","given":"Dilys","non-dropping-particle":"","parse-names":false,"suffix":""},{"dropping-particle":"","family":"Palmer","given":"Ruth","non-dropping-particle":"","parse-names":false,"suffix":""},{"dropping-particle":"","family":"Phin","given":"Nick","non-dropping-particle":"","parse-names":false,"suffix":""},{"dropping-particle":"","family":"Russell","given":"Katherine","non-dropping-particle":"","parse-names":false,"suffix":""},{"dropping-particle":"","family":"Said","given":"Bengü","non-dropping-particle":"","parse-names":false,"suffix":""},{"dropping-particle":"","family":"Simpson","given":"Andrew","non-dropping-particle":"","parse-names":false,"suffix":""},{"dropping-particle":"","family":"Vivancos","given":"Roberto","non-dropping-particle":"","parse-names":false,"suffix":""},{"dropping-particle":"","family":"Wade","given":"Michael","non-dropping-particle":"","parse-names":false,"suffix":""},{"dropping-particle":"","family":"Walsh","given":"Amanda","non-dropping-particle":"","parse-names":false,"suffix":""},{"dropping-particle":"","family":"Wilburn","given":"Jennifer","non-dropping-particle":"","parse-names":false,"suffix":""}],"container-title":"Eurosurveillance","id":"ITEM-1","issue":"38","issued":{"date-parts":[["2018"]]},"title":"Two cases of monkeypox imported to the United Kingdom, september 2018","type":"article-journal","volume":"23"},"uris":["http://www.mendeley.com/documents/?uuid=18fccc81-e19a-4b00-b521-31ee98b58161"]},{"id":"ITEM-2","itemData":{"DOI":"10.1016/s0140-6736(14)62250-9","ISSN":"01406736","author":[{"dropping-particle":"","family":"Jacobs","given":"Michael","non-dropping-particle":"","parse-names":false,"suffix":""},{"dropping-particle":"","family":"Beadsworth","given":"Mike","non-dropping-particle":"","parse-names":false,"suffix":""},{"dropping-particle":"","family":"Schmid","given":"Matthias","non-dropping-particle":"","parse-names":false,"suffix":""},{"dropping-particle":"","family":"Tunbridge","given":"Anne","non-dropping-particle":"","parse-names":false,"suffix":""}],"container-title":"The Lancet","id":"ITEM-2","issue":"9960","issued":{"date-parts":[["2014"]]},"page":"2105-2106","publisher":"Elsevier Ltd","title":"Provision of care for Ebola","type":"article-journal","volume":"384"},"uris":["http://www.mendeley.com/documents/?uuid=b5a4c5f4-f2e3-41f4-81d9-a95797de08c4"]}],"mendeley":{"formattedCitation":"&lt;sup&gt;23,24&lt;/sup&gt;","plainTextFormattedCitation":"23,24","previouslyFormattedCitation":"&lt;sup&gt;23,24&lt;/sup&gt;"},"properties":{"noteIndex":0},"schema":"https://github.com/citation-style-language/schema/raw/master/csl-citation.json"}</w:instrText>
      </w:r>
      <w:r w:rsidR="00383E16">
        <w:fldChar w:fldCharType="separate"/>
      </w:r>
      <w:r w:rsidR="00017B62" w:rsidRPr="00017B62">
        <w:rPr>
          <w:noProof/>
          <w:vertAlign w:val="superscript"/>
        </w:rPr>
        <w:t>23,24</w:t>
      </w:r>
      <w:r w:rsidR="00383E16">
        <w:fldChar w:fldCharType="end"/>
      </w:r>
      <w:r w:rsidR="009634CC">
        <w:t xml:space="preserve"> </w:t>
      </w:r>
      <w:r w:rsidR="000C1188">
        <w:t>It must be noted that the advice calls documented are an under-representation of the total volume of calls received. This is because c</w:t>
      </w:r>
      <w:r w:rsidR="00B152D8">
        <w:t xml:space="preserve">alls made directly to other members of the MDT (e.g. Consultants, specialist nurses, specialist pharmacists, or others) were not documented and a substantial number of calls may not have met eligibility criteria for recording, such as those for telephone consultations that the Specialist Trainee felt were </w:t>
      </w:r>
      <w:r w:rsidR="00887E96">
        <w:t>resolved</w:t>
      </w:r>
      <w:r w:rsidR="00B152D8">
        <w:t xml:space="preserve"> and unlikely to lead to further calls (e.g. advice from GPs about testing for Lyme disease following tick exposure in the UK, or calls related to side effects of medications). </w:t>
      </w:r>
      <w:r w:rsidR="00510335">
        <w:t>Furthermore</w:t>
      </w:r>
      <w:r w:rsidR="009634CC">
        <w:t xml:space="preserve">, the burden of work identified did not just relate to the calls themselves: </w:t>
      </w:r>
      <w:r w:rsidR="006C4C47">
        <w:t xml:space="preserve">one third </w:t>
      </w:r>
      <w:r w:rsidR="009634CC">
        <w:t xml:space="preserve">of patients discussed </w:t>
      </w:r>
      <w:r w:rsidR="006C4C47">
        <w:t>had further follow-up</w:t>
      </w:r>
      <w:r w:rsidR="009634CC">
        <w:t xml:space="preserve"> by TIDU. </w:t>
      </w:r>
      <w:r w:rsidR="00AA79E6">
        <w:t>Our findings</w:t>
      </w:r>
      <w:r w:rsidR="006C4C47">
        <w:t xml:space="preserve"> are </w:t>
      </w:r>
      <w:r w:rsidR="009634CC">
        <w:t xml:space="preserve">currently </w:t>
      </w:r>
      <w:r w:rsidR="006C4C47">
        <w:t>being used to support rota and workforce planning</w:t>
      </w:r>
      <w:r w:rsidR="009634CC">
        <w:t>,</w:t>
      </w:r>
      <w:r w:rsidR="006C4C47">
        <w:t xml:space="preserve"> </w:t>
      </w:r>
      <w:proofErr w:type="gramStart"/>
      <w:r w:rsidR="006C4C47">
        <w:t xml:space="preserve">and </w:t>
      </w:r>
      <w:r w:rsidR="009634CC">
        <w:t>also</w:t>
      </w:r>
      <w:proofErr w:type="gramEnd"/>
      <w:r w:rsidR="009634CC">
        <w:t xml:space="preserve"> </w:t>
      </w:r>
      <w:r w:rsidR="006C4C47">
        <w:t>resource allocation</w:t>
      </w:r>
      <w:r w:rsidR="009634CC">
        <w:t xml:space="preserve">; the data </w:t>
      </w:r>
      <w:r w:rsidR="00AA79E6">
        <w:t>could</w:t>
      </w:r>
      <w:r w:rsidR="009634CC">
        <w:t xml:space="preserve"> also inform </w:t>
      </w:r>
      <w:r w:rsidR="00D152C7">
        <w:t xml:space="preserve">recommendations of </w:t>
      </w:r>
      <w:r w:rsidR="00383E16" w:rsidRPr="00383E16">
        <w:t>NHS England Specialised Commissioning</w:t>
      </w:r>
      <w:r w:rsidR="00383E16">
        <w:t>’s</w:t>
      </w:r>
      <w:r w:rsidR="0092624D">
        <w:t xml:space="preserve"> Clinical </w:t>
      </w:r>
      <w:r w:rsidR="00D152C7">
        <w:t>R</w:t>
      </w:r>
      <w:r w:rsidR="0092624D">
        <w:t>eference Group</w:t>
      </w:r>
      <w:r w:rsidR="00D152C7">
        <w:t xml:space="preserve"> with regard to infectious diseases and/or other specialties. </w:t>
      </w:r>
    </w:p>
    <w:p w14:paraId="380A3911" w14:textId="77777777" w:rsidR="009634CC" w:rsidRDefault="00133C1A" w:rsidP="009634CC">
      <w:pPr>
        <w:spacing w:line="360" w:lineRule="auto"/>
        <w:jc w:val="both"/>
      </w:pPr>
      <w:r>
        <w:t>I</w:t>
      </w:r>
      <w:r w:rsidR="009634CC">
        <w:t xml:space="preserve">n patients who were returning travellers, the burden of calls </w:t>
      </w:r>
      <w:r w:rsidR="000C1188">
        <w:t>was greatest</w:t>
      </w:r>
      <w:r w:rsidR="009634CC">
        <w:t xml:space="preserve"> in the summer and autumn months</w:t>
      </w:r>
      <w:r>
        <w:t xml:space="preserve">. </w:t>
      </w:r>
      <w:r w:rsidR="00AA79E6">
        <w:t xml:space="preserve">These patients </w:t>
      </w:r>
      <w:r w:rsidR="00C65CB8">
        <w:t xml:space="preserve">were </w:t>
      </w:r>
      <w:r w:rsidR="00AA79E6">
        <w:t xml:space="preserve">also </w:t>
      </w:r>
      <w:r w:rsidR="00C65CB8">
        <w:t xml:space="preserve">more likely to be admitted </w:t>
      </w:r>
      <w:r w:rsidR="00510335">
        <w:t>to TIDU. P</w:t>
      </w:r>
      <w:r w:rsidR="00C65CB8">
        <w:t xml:space="preserve">ossible explanations for this finding include requirement of more extensive acute investigation and management or that less unwell patients were referred to LSTM’s tropical on-call phone during work hours. </w:t>
      </w:r>
      <w:r w:rsidR="00AA79E6">
        <w:t>To improve continuity of care and advice given to this patient group</w:t>
      </w:r>
      <w:r>
        <w:t xml:space="preserve">, </w:t>
      </w:r>
      <w:r w:rsidR="00747F7F">
        <w:t xml:space="preserve">greater resources </w:t>
      </w:r>
      <w:r>
        <w:t>(e.g. person-power and/or rota time) could be allocated to deal with</w:t>
      </w:r>
      <w:r w:rsidR="00747F7F">
        <w:t xml:space="preserve"> referrals over the summer period, distinct advice streams for returned travellers or those without a history of foreign travel</w:t>
      </w:r>
      <w:r>
        <w:t xml:space="preserve"> could be developed</w:t>
      </w:r>
      <w:r w:rsidR="00747F7F">
        <w:t xml:space="preserve">, </w:t>
      </w:r>
      <w:r>
        <w:t xml:space="preserve">and </w:t>
      </w:r>
      <w:r w:rsidR="00747F7F">
        <w:t xml:space="preserve">improved regional visibility of methods of referral of patients to </w:t>
      </w:r>
      <w:r>
        <w:t>TIDU outpatient or MDT services could be implemented</w:t>
      </w:r>
      <w:r w:rsidR="00747F7F">
        <w:t xml:space="preserve">. </w:t>
      </w:r>
      <w:r w:rsidR="009634CC">
        <w:t xml:space="preserve">  </w:t>
      </w:r>
    </w:p>
    <w:p w14:paraId="7B3C1BC3" w14:textId="77777777" w:rsidR="0092624D" w:rsidRDefault="00747F7F" w:rsidP="00BA43F9">
      <w:pPr>
        <w:spacing w:line="360" w:lineRule="auto"/>
        <w:jc w:val="both"/>
      </w:pPr>
      <w:r>
        <w:t>This project has multiple limitations. First</w:t>
      </w:r>
      <w:r w:rsidR="00055548">
        <w:t>ly</w:t>
      </w:r>
      <w:r>
        <w:t xml:space="preserve">, the calls </w:t>
      </w:r>
      <w:r w:rsidR="00133C1A">
        <w:t xml:space="preserve">documented are those made to </w:t>
      </w:r>
      <w:r w:rsidR="00AA79E6">
        <w:t xml:space="preserve">TIDU </w:t>
      </w:r>
      <w:r>
        <w:t>and so cannot be generalised to other units or specialities</w:t>
      </w:r>
      <w:r w:rsidR="00133C1A">
        <w:t xml:space="preserve">. </w:t>
      </w:r>
      <w:r>
        <w:t>Nevertheless, implementation and piloting of such a simple advice call recording system could easily be achieved in different clinical settings. Second</w:t>
      </w:r>
      <w:r w:rsidR="00055548">
        <w:t>ly</w:t>
      </w:r>
      <w:r>
        <w:t>, th</w:t>
      </w:r>
      <w:r w:rsidR="00AA79E6">
        <w:t>e data presented only represent</w:t>
      </w:r>
      <w:r>
        <w:t xml:space="preserve"> </w:t>
      </w:r>
      <w:r w:rsidR="00133C1A">
        <w:t xml:space="preserve">those </w:t>
      </w:r>
      <w:r>
        <w:t xml:space="preserve">calls </w:t>
      </w:r>
      <w:r w:rsidR="00AA79E6">
        <w:t xml:space="preserve">received and documented by TIDU Specialist Trainees and </w:t>
      </w:r>
      <w:proofErr w:type="spellStart"/>
      <w:r w:rsidR="00AA79E6">
        <w:t>not</w:t>
      </w:r>
      <w:proofErr w:type="spellEnd"/>
      <w:r w:rsidR="00AA79E6">
        <w:t xml:space="preserve"> other members of the TIDU’s MDT. </w:t>
      </w:r>
      <w:r>
        <w:t xml:space="preserve">Future systems could consider </w:t>
      </w:r>
      <w:r w:rsidR="00133C1A">
        <w:t>monitoring the calls received by</w:t>
      </w:r>
      <w:r>
        <w:t xml:space="preserve"> all MDT members to gain a more accurate estimate of call burden across an entire unit. Third</w:t>
      </w:r>
      <w:r w:rsidR="00055548">
        <w:t>ly</w:t>
      </w:r>
      <w:r>
        <w:t xml:space="preserve">, the time costs and time burden incurred by such calls were not recorded accurately or prospectively. This would be a useful addition to any </w:t>
      </w:r>
      <w:r w:rsidR="00EE708A">
        <w:t xml:space="preserve">QIP </w:t>
      </w:r>
      <w:r>
        <w:t xml:space="preserve">aiming to implement a similar system in other units in the future. </w:t>
      </w:r>
      <w:r w:rsidR="008D7FD1">
        <w:t xml:space="preserve">Finally, it is not possible to infer impact on patient care. </w:t>
      </w:r>
      <w:r w:rsidR="0002418B">
        <w:t>P</w:t>
      </w:r>
      <w:r w:rsidR="0002418B" w:rsidRPr="0002418B">
        <w:t xml:space="preserve">atient and/or caller </w:t>
      </w:r>
      <w:r w:rsidR="0002418B" w:rsidRPr="0002418B">
        <w:lastRenderedPageBreak/>
        <w:t xml:space="preserve">satisfaction </w:t>
      </w:r>
      <w:r w:rsidR="0002418B">
        <w:t>and patient outcomes were</w:t>
      </w:r>
      <w:r w:rsidR="0002418B" w:rsidRPr="0002418B">
        <w:t xml:space="preserve"> not </w:t>
      </w:r>
      <w:r w:rsidR="0002418B">
        <w:t>among</w:t>
      </w:r>
      <w:r w:rsidR="0002418B" w:rsidRPr="0002418B">
        <w:t xml:space="preserve"> the primary QIP objectives. This data can be challenging to collect given that </w:t>
      </w:r>
      <w:proofErr w:type="gramStart"/>
      <w:r w:rsidR="0002418B" w:rsidRPr="0002418B">
        <w:t>the majority of</w:t>
      </w:r>
      <w:proofErr w:type="gramEnd"/>
      <w:r w:rsidR="0002418B" w:rsidRPr="0002418B">
        <w:t xml:space="preserve"> calls involve patients in primary care or external hospitals and would </w:t>
      </w:r>
      <w:r w:rsidR="00887E96">
        <w:t xml:space="preserve">therefore </w:t>
      </w:r>
      <w:r w:rsidR="0002418B" w:rsidRPr="0002418B">
        <w:t xml:space="preserve">require </w:t>
      </w:r>
      <w:r w:rsidR="00887E96">
        <w:t>concerted efforts to</w:t>
      </w:r>
      <w:r w:rsidR="0002418B" w:rsidRPr="0002418B">
        <w:t xml:space="preserve"> follow-up all callers to collate patient outcomes. </w:t>
      </w:r>
      <w:r w:rsidR="002C4348">
        <w:t xml:space="preserve">However, </w:t>
      </w:r>
      <w:r w:rsidR="002C4348" w:rsidRPr="0002418B">
        <w:t>the user feedback on the system was overwhelmingly positive</w:t>
      </w:r>
      <w:r w:rsidR="002C4348">
        <w:t xml:space="preserve"> and suggested that, in their subjective opinion, continui</w:t>
      </w:r>
      <w:r w:rsidR="00A94280">
        <w:t xml:space="preserve">ty of advice had been improved. Post-hoc review of calls concerning two complex patients at </w:t>
      </w:r>
      <w:r w:rsidR="00887E96">
        <w:t>external</w:t>
      </w:r>
      <w:r w:rsidR="00A94280">
        <w:t xml:space="preserve"> hospitals who required multiple advice </w:t>
      </w:r>
      <w:r w:rsidR="00887E96">
        <w:t>calls</w:t>
      </w:r>
      <w:r w:rsidR="00A94280">
        <w:t xml:space="preserve"> serve to reinforce this finding. </w:t>
      </w:r>
      <w:r w:rsidR="00887E96">
        <w:t>First, o</w:t>
      </w:r>
      <w:r w:rsidR="00A94280">
        <w:t xml:space="preserve">ver a period of one week, we received 11 calls to 6 members of TIDU staff (4 Specialist Trainees who liaised with 2 Consultants) about an 18 year old male with suspected hydatid lung disease who was eventually transferred to TIDU, started on treatment, and then transferred to a local specialist thoracic surgery team. His surgery and treatment were </w:t>
      </w:r>
      <w:proofErr w:type="gramStart"/>
      <w:r w:rsidR="00A94280">
        <w:t>successful</w:t>
      </w:r>
      <w:proofErr w:type="gramEnd"/>
      <w:r w:rsidR="00A94280">
        <w:t xml:space="preserve"> and he made a good recovery. </w:t>
      </w:r>
      <w:r w:rsidR="00887E96">
        <w:t xml:space="preserve">Second, over a period of 10 days, we received 9 calls to 2 Specialist Trainees about </w:t>
      </w:r>
      <w:r w:rsidR="00A94280">
        <w:t xml:space="preserve">a </w:t>
      </w:r>
      <w:proofErr w:type="gramStart"/>
      <w:r w:rsidR="00A94280">
        <w:t>50 year old</w:t>
      </w:r>
      <w:proofErr w:type="gramEnd"/>
      <w:r w:rsidR="00A94280">
        <w:t xml:space="preserve"> female </w:t>
      </w:r>
      <w:r w:rsidR="00887E96">
        <w:t>with a new diagnosis of HIV.</w:t>
      </w:r>
      <w:r w:rsidR="00A94280">
        <w:t xml:space="preserve"> She had been admitted to an external hospital’s critical care unit for severe type 1 respiratory failure due to suspected </w:t>
      </w:r>
      <w:r w:rsidR="0036232A" w:rsidRPr="0036232A">
        <w:rPr>
          <w:i/>
        </w:rPr>
        <w:t>P</w:t>
      </w:r>
      <w:r w:rsidR="00A94280" w:rsidRPr="0036232A">
        <w:rPr>
          <w:i/>
        </w:rPr>
        <w:t xml:space="preserve">neumocystis </w:t>
      </w:r>
      <w:proofErr w:type="spellStart"/>
      <w:r w:rsidR="00A94280" w:rsidRPr="0036232A">
        <w:rPr>
          <w:i/>
        </w:rPr>
        <w:t>jirovecii</w:t>
      </w:r>
      <w:proofErr w:type="spellEnd"/>
      <w:r w:rsidR="00A94280">
        <w:t xml:space="preserve"> pneumonia. She was unstable for transfer initially and had a difficult clinical course with a drug reaction to cotrimoxazole but eventually stabilised and was transferred to TIDU. She is now stable on anti-retroviral therapy and followed up with TIDU HIV services.</w:t>
      </w:r>
      <w:r w:rsidR="0092624D">
        <w:t xml:space="preserve"> </w:t>
      </w:r>
    </w:p>
    <w:p w14:paraId="4C01F8D5" w14:textId="77777777" w:rsidR="008D7FD1" w:rsidRDefault="0092624D" w:rsidP="00BA43F9">
      <w:pPr>
        <w:spacing w:line="360" w:lineRule="auto"/>
        <w:jc w:val="both"/>
      </w:pPr>
      <w:r>
        <w:t xml:space="preserve"> We</w:t>
      </w:r>
      <w:r w:rsidR="00D152C7">
        <w:t xml:space="preserve"> </w:t>
      </w:r>
      <w:r w:rsidR="0002418B" w:rsidRPr="0002418B">
        <w:t xml:space="preserve">hope to </w:t>
      </w:r>
      <w:r w:rsidR="002603EC">
        <w:t xml:space="preserve">expand routine </w:t>
      </w:r>
      <w:r w:rsidR="0002418B" w:rsidRPr="0002418B">
        <w:t>collect</w:t>
      </w:r>
      <w:r w:rsidR="002603EC">
        <w:t>ion of patient outcome</w:t>
      </w:r>
      <w:r w:rsidR="0002418B" w:rsidRPr="0002418B">
        <w:t xml:space="preserve"> data going forward and would recommend that other units aiming to implement an </w:t>
      </w:r>
      <w:proofErr w:type="gramStart"/>
      <w:r w:rsidR="0002418B" w:rsidRPr="0002418B">
        <w:t>advice call systems</w:t>
      </w:r>
      <w:proofErr w:type="gramEnd"/>
      <w:r w:rsidR="0002418B" w:rsidRPr="0002418B">
        <w:t xml:space="preserve"> do the same</w:t>
      </w:r>
      <w:r w:rsidR="0002418B">
        <w:t xml:space="preserve">. </w:t>
      </w:r>
      <w:r w:rsidR="002C4348">
        <w:t xml:space="preserve">In addition, we would suggest to general medical or other specialist teams that they collect data </w:t>
      </w:r>
      <w:r w:rsidR="00887E96">
        <w:t xml:space="preserve">not only </w:t>
      </w:r>
      <w:r w:rsidR="002C4348">
        <w:t xml:space="preserve">on calls received by </w:t>
      </w:r>
      <w:r w:rsidR="00887E96">
        <w:t xml:space="preserve">physicians but by </w:t>
      </w:r>
      <w:r w:rsidR="002C4348">
        <w:t>all member of the multi-disciplinary team in their department. be</w:t>
      </w:r>
    </w:p>
    <w:p w14:paraId="02B3D9ED" w14:textId="77777777" w:rsidR="00E44330" w:rsidRPr="00E44330" w:rsidRDefault="008D7FD1" w:rsidP="00BA43F9">
      <w:pPr>
        <w:spacing w:line="360" w:lineRule="auto"/>
        <w:jc w:val="both"/>
        <w:rPr>
          <w:b/>
        </w:rPr>
      </w:pPr>
      <w:r>
        <w:rPr>
          <w:b/>
        </w:rPr>
        <w:t>C</w:t>
      </w:r>
      <w:r w:rsidR="00E44330" w:rsidRPr="00E44330">
        <w:rPr>
          <w:b/>
        </w:rPr>
        <w:t>onclusions</w:t>
      </w:r>
    </w:p>
    <w:p w14:paraId="48BC04B5" w14:textId="77777777" w:rsidR="00E44330" w:rsidRDefault="00133C1A" w:rsidP="00BA43F9">
      <w:pPr>
        <w:spacing w:line="360" w:lineRule="auto"/>
        <w:jc w:val="both"/>
      </w:pPr>
      <w:r>
        <w:t>In a busy tropical and infectious disease unit, t</w:t>
      </w:r>
      <w:r w:rsidR="00E44330">
        <w:t xml:space="preserve">he implementation of an advice call recording system was feasible and well received. In keeping with the role of a national tropical referral centre, returned travellers constituted </w:t>
      </w:r>
      <w:proofErr w:type="gramStart"/>
      <w:r w:rsidR="00E44330">
        <w:t>the majority of</w:t>
      </w:r>
      <w:proofErr w:type="gramEnd"/>
      <w:r w:rsidR="00E44330">
        <w:t xml:space="preserve"> advice calls. The previously unquantified burden of calls was higher than anecdotally expected, indicating a substantial proportion of specialist advice for patients external to TIDU. Moreover, one third of calls </w:t>
      </w:r>
      <w:r w:rsidR="008D7FD1">
        <w:t>led</w:t>
      </w:r>
      <w:r w:rsidR="00E44330">
        <w:t xml:space="preserve"> to a direct TIDU review either on an inpatient or outpatient basis. These novel data add to the limited existing literature on advice call burden, allow an improved understanding of current resource allocation and service development needs in our unit, can contribute to </w:t>
      </w:r>
      <w:r w:rsidR="00C65CB8">
        <w:t xml:space="preserve">national </w:t>
      </w:r>
      <w:r w:rsidR="00C65CB8" w:rsidRPr="00C65CB8">
        <w:t>e-referral system</w:t>
      </w:r>
      <w:r w:rsidR="00C65CB8">
        <w:t xml:space="preserve">s to </w:t>
      </w:r>
      <w:r w:rsidR="00723B61">
        <w:t>any generalist or specialist department</w:t>
      </w:r>
      <w:r w:rsidR="00C65CB8">
        <w:t xml:space="preserve">, and potentially lead to </w:t>
      </w:r>
      <w:r w:rsidR="00E44330">
        <w:t>improved patient care.</w:t>
      </w:r>
    </w:p>
    <w:p w14:paraId="700D62A7" w14:textId="77777777" w:rsidR="00A77FBD" w:rsidRDefault="00A77FBD">
      <w:r>
        <w:br w:type="page"/>
      </w:r>
    </w:p>
    <w:p w14:paraId="4C8E9BC6" w14:textId="77777777" w:rsidR="00E44330" w:rsidRDefault="00A77FBD" w:rsidP="00BA43F9">
      <w:pPr>
        <w:spacing w:line="360" w:lineRule="auto"/>
        <w:jc w:val="both"/>
        <w:rPr>
          <w:b/>
        </w:rPr>
      </w:pPr>
      <w:r w:rsidRPr="00A77FBD">
        <w:rPr>
          <w:b/>
        </w:rPr>
        <w:lastRenderedPageBreak/>
        <w:t>References</w:t>
      </w:r>
    </w:p>
    <w:p w14:paraId="15FAE58E" w14:textId="77777777" w:rsidR="00723B61" w:rsidRPr="00723B61" w:rsidRDefault="00354528" w:rsidP="00723B61">
      <w:pPr>
        <w:widowControl w:val="0"/>
        <w:autoSpaceDE w:val="0"/>
        <w:autoSpaceDN w:val="0"/>
        <w:adjustRightInd w:val="0"/>
        <w:spacing w:line="360" w:lineRule="auto"/>
        <w:ind w:left="640" w:hanging="640"/>
        <w:rPr>
          <w:rFonts w:ascii="Calibri" w:hAnsi="Calibri" w:cs="Calibri"/>
          <w:noProof/>
          <w:szCs w:val="24"/>
        </w:rPr>
      </w:pPr>
      <w:r>
        <w:rPr>
          <w:b/>
        </w:rPr>
        <w:fldChar w:fldCharType="begin" w:fldLock="1"/>
      </w:r>
      <w:r>
        <w:rPr>
          <w:b/>
        </w:rPr>
        <w:instrText xml:space="preserve">ADDIN Mendeley Bibliography CSL_BIBLIOGRAPHY </w:instrText>
      </w:r>
      <w:r>
        <w:rPr>
          <w:b/>
        </w:rPr>
        <w:fldChar w:fldCharType="separate"/>
      </w:r>
      <w:r w:rsidR="00723B61" w:rsidRPr="00723B61">
        <w:rPr>
          <w:rFonts w:ascii="Calibri" w:hAnsi="Calibri" w:cs="Calibri"/>
          <w:noProof/>
          <w:szCs w:val="24"/>
        </w:rPr>
        <w:t>1.</w:t>
      </w:r>
      <w:r w:rsidR="00723B61" w:rsidRPr="00723B61">
        <w:rPr>
          <w:rFonts w:ascii="Calibri" w:hAnsi="Calibri" w:cs="Calibri"/>
          <w:noProof/>
          <w:szCs w:val="24"/>
        </w:rPr>
        <w:tab/>
        <w:t xml:space="preserve">Wingfield, T., Beeching, N. J., Beadsworth, M. &amp; Nsutebu, E. Six months of advice calls to a tropical and infectious diseases referral centre: a retrospective, descriptive analysis from Liverpool, England. in </w:t>
      </w:r>
      <w:r w:rsidR="00723B61" w:rsidRPr="00723B61">
        <w:rPr>
          <w:rFonts w:ascii="Calibri" w:hAnsi="Calibri" w:cs="Calibri"/>
          <w:i/>
          <w:iCs/>
          <w:noProof/>
          <w:szCs w:val="24"/>
        </w:rPr>
        <w:t>European Conference on Clinical Microbiology and Infectious Diseases</w:t>
      </w:r>
      <w:r w:rsidR="00723B61" w:rsidRPr="00723B61">
        <w:rPr>
          <w:rFonts w:ascii="Calibri" w:hAnsi="Calibri" w:cs="Calibri"/>
          <w:noProof/>
          <w:szCs w:val="24"/>
        </w:rPr>
        <w:t xml:space="preserve"> P1297 (2017).</w:t>
      </w:r>
    </w:p>
    <w:p w14:paraId="55453E45"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szCs w:val="24"/>
        </w:rPr>
      </w:pPr>
      <w:r w:rsidRPr="00723B61">
        <w:rPr>
          <w:rFonts w:ascii="Calibri" w:hAnsi="Calibri" w:cs="Calibri"/>
          <w:noProof/>
          <w:szCs w:val="24"/>
        </w:rPr>
        <w:t>2.</w:t>
      </w:r>
      <w:r w:rsidRPr="00723B61">
        <w:rPr>
          <w:rFonts w:ascii="Calibri" w:hAnsi="Calibri" w:cs="Calibri"/>
          <w:noProof/>
          <w:szCs w:val="24"/>
        </w:rPr>
        <w:tab/>
        <w:t xml:space="preserve">Wingfield, T. </w:t>
      </w:r>
      <w:r w:rsidRPr="00723B61">
        <w:rPr>
          <w:rFonts w:ascii="Calibri" w:hAnsi="Calibri" w:cs="Calibri"/>
          <w:i/>
          <w:iCs/>
          <w:noProof/>
          <w:szCs w:val="24"/>
        </w:rPr>
        <w:t>et al.</w:t>
      </w:r>
      <w:r w:rsidRPr="00723B61">
        <w:rPr>
          <w:rFonts w:ascii="Calibri" w:hAnsi="Calibri" w:cs="Calibri"/>
          <w:noProof/>
          <w:szCs w:val="24"/>
        </w:rPr>
        <w:t xml:space="preserve"> One year of advice calls to a tropical and infectious diseases referral centre: a retrospective, descriptive analysis from Liverpool, England. in </w:t>
      </w:r>
      <w:r w:rsidRPr="00723B61">
        <w:rPr>
          <w:rFonts w:ascii="Calibri" w:hAnsi="Calibri" w:cs="Calibri"/>
          <w:i/>
          <w:iCs/>
          <w:noProof/>
          <w:szCs w:val="24"/>
        </w:rPr>
        <w:t>Federation of Infection Societies</w:t>
      </w:r>
      <w:r w:rsidRPr="00723B61">
        <w:rPr>
          <w:rFonts w:ascii="Calibri" w:hAnsi="Calibri" w:cs="Calibri"/>
          <w:noProof/>
          <w:szCs w:val="24"/>
        </w:rPr>
        <w:t xml:space="preserve"> P098 (2018).</w:t>
      </w:r>
    </w:p>
    <w:p w14:paraId="5C72B40F"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szCs w:val="24"/>
        </w:rPr>
      </w:pPr>
      <w:r w:rsidRPr="00723B61">
        <w:rPr>
          <w:rFonts w:ascii="Calibri" w:hAnsi="Calibri" w:cs="Calibri"/>
          <w:noProof/>
          <w:szCs w:val="24"/>
        </w:rPr>
        <w:t>3.</w:t>
      </w:r>
      <w:r w:rsidRPr="00723B61">
        <w:rPr>
          <w:rFonts w:ascii="Calibri" w:hAnsi="Calibri" w:cs="Calibri"/>
          <w:noProof/>
          <w:szCs w:val="24"/>
        </w:rPr>
        <w:tab/>
        <w:t xml:space="preserve">Yilmaz, M. </w:t>
      </w:r>
      <w:r w:rsidRPr="00723B61">
        <w:rPr>
          <w:rFonts w:ascii="Calibri" w:hAnsi="Calibri" w:cs="Calibri"/>
          <w:i/>
          <w:iCs/>
          <w:noProof/>
          <w:szCs w:val="24"/>
        </w:rPr>
        <w:t>et al.</w:t>
      </w:r>
      <w:r w:rsidRPr="00723B61">
        <w:rPr>
          <w:rFonts w:ascii="Calibri" w:hAnsi="Calibri" w:cs="Calibri"/>
          <w:noProof/>
          <w:szCs w:val="24"/>
        </w:rPr>
        <w:t xml:space="preserve"> Mortality predictors of Staphylococcus aureus bacteremia : a prospective multicenter study. 1–10 (2016). doi:10.1186/s12941-016-0122-8</w:t>
      </w:r>
    </w:p>
    <w:p w14:paraId="377278DE"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szCs w:val="24"/>
        </w:rPr>
      </w:pPr>
      <w:r w:rsidRPr="00723B61">
        <w:rPr>
          <w:rFonts w:ascii="Calibri" w:hAnsi="Calibri" w:cs="Calibri"/>
          <w:noProof/>
          <w:szCs w:val="24"/>
        </w:rPr>
        <w:t>4.</w:t>
      </w:r>
      <w:r w:rsidRPr="00723B61">
        <w:rPr>
          <w:rFonts w:ascii="Calibri" w:hAnsi="Calibri" w:cs="Calibri"/>
          <w:noProof/>
          <w:szCs w:val="24"/>
        </w:rPr>
        <w:tab/>
        <w:t xml:space="preserve">Vogel, M. </w:t>
      </w:r>
      <w:r w:rsidRPr="00723B61">
        <w:rPr>
          <w:rFonts w:ascii="Calibri" w:hAnsi="Calibri" w:cs="Calibri"/>
          <w:i/>
          <w:iCs/>
          <w:noProof/>
          <w:szCs w:val="24"/>
        </w:rPr>
        <w:t>et al.</w:t>
      </w:r>
      <w:r w:rsidRPr="00723B61">
        <w:rPr>
          <w:rFonts w:ascii="Calibri" w:hAnsi="Calibri" w:cs="Calibri"/>
          <w:noProof/>
          <w:szCs w:val="24"/>
        </w:rPr>
        <w:t xml:space="preserve"> Infectious disease consultation for Staphylococcus aureus bacteremia - A systematic review and meta-analysis. </w:t>
      </w:r>
      <w:r w:rsidRPr="00723B61">
        <w:rPr>
          <w:rFonts w:ascii="Calibri" w:hAnsi="Calibri" w:cs="Calibri"/>
          <w:i/>
          <w:iCs/>
          <w:noProof/>
          <w:szCs w:val="24"/>
        </w:rPr>
        <w:t>J. Infect.</w:t>
      </w:r>
      <w:r w:rsidRPr="00723B61">
        <w:rPr>
          <w:rFonts w:ascii="Calibri" w:hAnsi="Calibri" w:cs="Calibri"/>
          <w:noProof/>
          <w:szCs w:val="24"/>
        </w:rPr>
        <w:t xml:space="preserve"> </w:t>
      </w:r>
      <w:r w:rsidRPr="00723B61">
        <w:rPr>
          <w:rFonts w:ascii="Calibri" w:hAnsi="Calibri" w:cs="Calibri"/>
          <w:b/>
          <w:bCs/>
          <w:noProof/>
          <w:szCs w:val="24"/>
        </w:rPr>
        <w:t>72</w:t>
      </w:r>
      <w:r w:rsidRPr="00723B61">
        <w:rPr>
          <w:rFonts w:ascii="Calibri" w:hAnsi="Calibri" w:cs="Calibri"/>
          <w:noProof/>
          <w:szCs w:val="24"/>
        </w:rPr>
        <w:t>, 19–28 (2016).</w:t>
      </w:r>
    </w:p>
    <w:p w14:paraId="3D93B92F"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szCs w:val="24"/>
        </w:rPr>
      </w:pPr>
      <w:r w:rsidRPr="00723B61">
        <w:rPr>
          <w:rFonts w:ascii="Calibri" w:hAnsi="Calibri" w:cs="Calibri"/>
          <w:noProof/>
          <w:szCs w:val="24"/>
        </w:rPr>
        <w:t>5.</w:t>
      </w:r>
      <w:r w:rsidRPr="00723B61">
        <w:rPr>
          <w:rFonts w:ascii="Calibri" w:hAnsi="Calibri" w:cs="Calibri"/>
          <w:noProof/>
          <w:szCs w:val="24"/>
        </w:rPr>
        <w:tab/>
        <w:t xml:space="preserve">Paulsen, J. </w:t>
      </w:r>
      <w:r w:rsidRPr="00723B61">
        <w:rPr>
          <w:rFonts w:ascii="Calibri" w:hAnsi="Calibri" w:cs="Calibri"/>
          <w:i/>
          <w:iCs/>
          <w:noProof/>
          <w:szCs w:val="24"/>
        </w:rPr>
        <w:t>et al.</w:t>
      </w:r>
      <w:r w:rsidRPr="00723B61">
        <w:rPr>
          <w:rFonts w:ascii="Calibri" w:hAnsi="Calibri" w:cs="Calibri"/>
          <w:noProof/>
          <w:szCs w:val="24"/>
        </w:rPr>
        <w:t xml:space="preserve"> The Impact of Infectious Disease Specialist Consultation for Staphylococcus aureus Bloodstream Infections : A Systematic Review. 1–10 doi:10.1093/ofid/ofw048</w:t>
      </w:r>
    </w:p>
    <w:p w14:paraId="6734266D"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szCs w:val="24"/>
        </w:rPr>
      </w:pPr>
      <w:r w:rsidRPr="00723B61">
        <w:rPr>
          <w:rFonts w:ascii="Calibri" w:hAnsi="Calibri" w:cs="Calibri"/>
          <w:noProof/>
          <w:szCs w:val="24"/>
        </w:rPr>
        <w:t>6.</w:t>
      </w:r>
      <w:r w:rsidRPr="00723B61">
        <w:rPr>
          <w:rFonts w:ascii="Calibri" w:hAnsi="Calibri" w:cs="Calibri"/>
          <w:noProof/>
          <w:szCs w:val="24"/>
        </w:rPr>
        <w:tab/>
        <w:t xml:space="preserve">Burnham, J. P. </w:t>
      </w:r>
      <w:r w:rsidRPr="00723B61">
        <w:rPr>
          <w:rFonts w:ascii="Calibri" w:hAnsi="Calibri" w:cs="Calibri"/>
          <w:i/>
          <w:iCs/>
          <w:noProof/>
          <w:szCs w:val="24"/>
        </w:rPr>
        <w:t>et al.</w:t>
      </w:r>
      <w:r w:rsidRPr="00723B61">
        <w:rPr>
          <w:rFonts w:ascii="Calibri" w:hAnsi="Calibri" w:cs="Calibri"/>
          <w:noProof/>
          <w:szCs w:val="24"/>
        </w:rPr>
        <w:t xml:space="preserve"> Infectious Diseases Consultation Reduces 30-Day and 1-Year All-Cause Mortality for Multidrug-Resistant Organism Infections. </w:t>
      </w:r>
      <w:r w:rsidRPr="00723B61">
        <w:rPr>
          <w:rFonts w:ascii="Calibri" w:hAnsi="Calibri" w:cs="Calibri"/>
          <w:i/>
          <w:iCs/>
          <w:noProof/>
          <w:szCs w:val="24"/>
        </w:rPr>
        <w:t>Open Forum Infect. Dis.</w:t>
      </w:r>
      <w:r w:rsidRPr="00723B61">
        <w:rPr>
          <w:rFonts w:ascii="Calibri" w:hAnsi="Calibri" w:cs="Calibri"/>
          <w:noProof/>
          <w:szCs w:val="24"/>
        </w:rPr>
        <w:t xml:space="preserve"> </w:t>
      </w:r>
      <w:r w:rsidRPr="00723B61">
        <w:rPr>
          <w:rFonts w:ascii="Calibri" w:hAnsi="Calibri" w:cs="Calibri"/>
          <w:b/>
          <w:bCs/>
          <w:noProof/>
          <w:szCs w:val="24"/>
        </w:rPr>
        <w:t>5</w:t>
      </w:r>
      <w:r w:rsidRPr="00723B61">
        <w:rPr>
          <w:rFonts w:ascii="Calibri" w:hAnsi="Calibri" w:cs="Calibri"/>
          <w:noProof/>
          <w:szCs w:val="24"/>
        </w:rPr>
        <w:t>, 1–5 (2018).</w:t>
      </w:r>
    </w:p>
    <w:p w14:paraId="56B30215"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szCs w:val="24"/>
        </w:rPr>
      </w:pPr>
      <w:r w:rsidRPr="00723B61">
        <w:rPr>
          <w:rFonts w:ascii="Calibri" w:hAnsi="Calibri" w:cs="Calibri"/>
          <w:noProof/>
          <w:szCs w:val="24"/>
        </w:rPr>
        <w:t>7.</w:t>
      </w:r>
      <w:r w:rsidRPr="00723B61">
        <w:rPr>
          <w:rFonts w:ascii="Calibri" w:hAnsi="Calibri" w:cs="Calibri"/>
          <w:noProof/>
          <w:szCs w:val="24"/>
        </w:rPr>
        <w:tab/>
        <w:t xml:space="preserve">Tang, G., Huang, L. &amp; Zong, Z. Impact of Infectious Disease Consultation on Clinical Management and Outcome of Patients with Bloodstream Infection: A Retrospective Cohort Study. </w:t>
      </w:r>
      <w:r w:rsidRPr="00723B61">
        <w:rPr>
          <w:rFonts w:ascii="Calibri" w:hAnsi="Calibri" w:cs="Calibri"/>
          <w:i/>
          <w:iCs/>
          <w:noProof/>
          <w:szCs w:val="24"/>
        </w:rPr>
        <w:t>Sci. Rep.</w:t>
      </w:r>
      <w:r w:rsidRPr="00723B61">
        <w:rPr>
          <w:rFonts w:ascii="Calibri" w:hAnsi="Calibri" w:cs="Calibri"/>
          <w:noProof/>
          <w:szCs w:val="24"/>
        </w:rPr>
        <w:t xml:space="preserve"> </w:t>
      </w:r>
      <w:r w:rsidRPr="00723B61">
        <w:rPr>
          <w:rFonts w:ascii="Calibri" w:hAnsi="Calibri" w:cs="Calibri"/>
          <w:b/>
          <w:bCs/>
          <w:noProof/>
          <w:szCs w:val="24"/>
        </w:rPr>
        <w:t>7</w:t>
      </w:r>
      <w:r w:rsidRPr="00723B61">
        <w:rPr>
          <w:rFonts w:ascii="Calibri" w:hAnsi="Calibri" w:cs="Calibri"/>
          <w:noProof/>
          <w:szCs w:val="24"/>
        </w:rPr>
        <w:t>, 1–7 (2017).</w:t>
      </w:r>
    </w:p>
    <w:p w14:paraId="2C63BB58"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szCs w:val="24"/>
        </w:rPr>
      </w:pPr>
      <w:r w:rsidRPr="00723B61">
        <w:rPr>
          <w:rFonts w:ascii="Calibri" w:hAnsi="Calibri" w:cs="Calibri"/>
          <w:noProof/>
          <w:szCs w:val="24"/>
        </w:rPr>
        <w:t>8.</w:t>
      </w:r>
      <w:r w:rsidRPr="00723B61">
        <w:rPr>
          <w:rFonts w:ascii="Calibri" w:hAnsi="Calibri" w:cs="Calibri"/>
          <w:noProof/>
          <w:szCs w:val="24"/>
        </w:rPr>
        <w:tab/>
        <w:t xml:space="preserve">Kasper, A. K., Pallotta, A. M., Kovacs, C. S. &amp; Spinner, M. L. Infectious diseases consult improves vaccination adherence in kidney transplant candidates. </w:t>
      </w:r>
      <w:r w:rsidRPr="00723B61">
        <w:rPr>
          <w:rFonts w:ascii="Calibri" w:hAnsi="Calibri" w:cs="Calibri"/>
          <w:i/>
          <w:iCs/>
          <w:noProof/>
          <w:szCs w:val="24"/>
        </w:rPr>
        <w:t>Vaccine</w:t>
      </w:r>
      <w:r w:rsidRPr="00723B61">
        <w:rPr>
          <w:rFonts w:ascii="Calibri" w:hAnsi="Calibri" w:cs="Calibri"/>
          <w:noProof/>
          <w:szCs w:val="24"/>
        </w:rPr>
        <w:t xml:space="preserve"> </w:t>
      </w:r>
      <w:r w:rsidRPr="00723B61">
        <w:rPr>
          <w:rFonts w:ascii="Calibri" w:hAnsi="Calibri" w:cs="Calibri"/>
          <w:b/>
          <w:bCs/>
          <w:noProof/>
          <w:szCs w:val="24"/>
        </w:rPr>
        <w:t>36</w:t>
      </w:r>
      <w:r w:rsidRPr="00723B61">
        <w:rPr>
          <w:rFonts w:ascii="Calibri" w:hAnsi="Calibri" w:cs="Calibri"/>
          <w:noProof/>
          <w:szCs w:val="24"/>
        </w:rPr>
        <w:t>, 5112–5115 (2018).</w:t>
      </w:r>
    </w:p>
    <w:p w14:paraId="0916DF09"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szCs w:val="24"/>
        </w:rPr>
      </w:pPr>
      <w:r w:rsidRPr="00723B61">
        <w:rPr>
          <w:rFonts w:ascii="Calibri" w:hAnsi="Calibri" w:cs="Calibri"/>
          <w:noProof/>
          <w:szCs w:val="24"/>
        </w:rPr>
        <w:t>9.</w:t>
      </w:r>
      <w:r w:rsidRPr="00723B61">
        <w:rPr>
          <w:rFonts w:ascii="Calibri" w:hAnsi="Calibri" w:cs="Calibri"/>
          <w:noProof/>
          <w:szCs w:val="24"/>
        </w:rPr>
        <w:tab/>
        <w:t xml:space="preserve">Yinnon, A. M. Whither Infectious Diseases Consultations? Analysis of 14,005 Consultations from a 5‐Year Period. </w:t>
      </w:r>
      <w:r w:rsidRPr="00723B61">
        <w:rPr>
          <w:rFonts w:ascii="Calibri" w:hAnsi="Calibri" w:cs="Calibri"/>
          <w:i/>
          <w:iCs/>
          <w:noProof/>
          <w:szCs w:val="24"/>
        </w:rPr>
        <w:t>Clin. Infect. Dis.</w:t>
      </w:r>
      <w:r w:rsidRPr="00723B61">
        <w:rPr>
          <w:rFonts w:ascii="Calibri" w:hAnsi="Calibri" w:cs="Calibri"/>
          <w:noProof/>
          <w:szCs w:val="24"/>
        </w:rPr>
        <w:t xml:space="preserve"> </w:t>
      </w:r>
      <w:r w:rsidRPr="00723B61">
        <w:rPr>
          <w:rFonts w:ascii="Calibri" w:hAnsi="Calibri" w:cs="Calibri"/>
          <w:b/>
          <w:bCs/>
          <w:noProof/>
          <w:szCs w:val="24"/>
        </w:rPr>
        <w:t>33</w:t>
      </w:r>
      <w:r w:rsidRPr="00723B61">
        <w:rPr>
          <w:rFonts w:ascii="Calibri" w:hAnsi="Calibri" w:cs="Calibri"/>
          <w:noProof/>
          <w:szCs w:val="24"/>
        </w:rPr>
        <w:t>, 1661–1667 (2001).</w:t>
      </w:r>
    </w:p>
    <w:p w14:paraId="4D771B5C"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szCs w:val="24"/>
        </w:rPr>
      </w:pPr>
      <w:r w:rsidRPr="00723B61">
        <w:rPr>
          <w:rFonts w:ascii="Calibri" w:hAnsi="Calibri" w:cs="Calibri"/>
          <w:noProof/>
          <w:szCs w:val="24"/>
        </w:rPr>
        <w:t>10.</w:t>
      </w:r>
      <w:r w:rsidRPr="00723B61">
        <w:rPr>
          <w:rFonts w:ascii="Calibri" w:hAnsi="Calibri" w:cs="Calibri"/>
          <w:noProof/>
          <w:szCs w:val="24"/>
        </w:rPr>
        <w:tab/>
        <w:t xml:space="preserve">Petrak, R. M. </w:t>
      </w:r>
      <w:r w:rsidRPr="00723B61">
        <w:rPr>
          <w:rFonts w:ascii="Calibri" w:hAnsi="Calibri" w:cs="Calibri"/>
          <w:i/>
          <w:iCs/>
          <w:noProof/>
          <w:szCs w:val="24"/>
        </w:rPr>
        <w:t>et al.</w:t>
      </w:r>
      <w:r w:rsidRPr="00723B61">
        <w:rPr>
          <w:rFonts w:ascii="Calibri" w:hAnsi="Calibri" w:cs="Calibri"/>
          <w:noProof/>
          <w:szCs w:val="24"/>
        </w:rPr>
        <w:t xml:space="preserve"> The Value of an Infectious Diseases Specialist. </w:t>
      </w:r>
      <w:r w:rsidRPr="00723B61">
        <w:rPr>
          <w:rFonts w:ascii="Calibri" w:hAnsi="Calibri" w:cs="Calibri"/>
          <w:i/>
          <w:iCs/>
          <w:noProof/>
          <w:szCs w:val="24"/>
        </w:rPr>
        <w:t>Clin. Infect. Dis.</w:t>
      </w:r>
      <w:r w:rsidRPr="00723B61">
        <w:rPr>
          <w:rFonts w:ascii="Calibri" w:hAnsi="Calibri" w:cs="Calibri"/>
          <w:noProof/>
          <w:szCs w:val="24"/>
        </w:rPr>
        <w:t xml:space="preserve"> </w:t>
      </w:r>
      <w:r w:rsidRPr="00723B61">
        <w:rPr>
          <w:rFonts w:ascii="Calibri" w:hAnsi="Calibri" w:cs="Calibri"/>
          <w:b/>
          <w:bCs/>
          <w:noProof/>
          <w:szCs w:val="24"/>
        </w:rPr>
        <w:t>36</w:t>
      </w:r>
      <w:r w:rsidRPr="00723B61">
        <w:rPr>
          <w:rFonts w:ascii="Calibri" w:hAnsi="Calibri" w:cs="Calibri"/>
          <w:noProof/>
          <w:szCs w:val="24"/>
        </w:rPr>
        <w:t>, 1013–1017 (2003).</w:t>
      </w:r>
    </w:p>
    <w:p w14:paraId="6D617003"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szCs w:val="24"/>
        </w:rPr>
      </w:pPr>
      <w:r w:rsidRPr="00723B61">
        <w:rPr>
          <w:rFonts w:ascii="Calibri" w:hAnsi="Calibri" w:cs="Calibri"/>
          <w:noProof/>
          <w:szCs w:val="24"/>
        </w:rPr>
        <w:t>11.</w:t>
      </w:r>
      <w:r w:rsidRPr="00723B61">
        <w:rPr>
          <w:rFonts w:ascii="Calibri" w:hAnsi="Calibri" w:cs="Calibri"/>
          <w:noProof/>
          <w:szCs w:val="24"/>
        </w:rPr>
        <w:tab/>
        <w:t xml:space="preserve">Kirsh, S. R., Ho, P. M. &amp; Aron, D. C. Providing specialty consultant expertise to primary care: An expanding spectrum of modalities. </w:t>
      </w:r>
      <w:r w:rsidRPr="00723B61">
        <w:rPr>
          <w:rFonts w:ascii="Calibri" w:hAnsi="Calibri" w:cs="Calibri"/>
          <w:i/>
          <w:iCs/>
          <w:noProof/>
          <w:szCs w:val="24"/>
        </w:rPr>
        <w:t>Mayo Clin. Proc.</w:t>
      </w:r>
      <w:r w:rsidRPr="00723B61">
        <w:rPr>
          <w:rFonts w:ascii="Calibri" w:hAnsi="Calibri" w:cs="Calibri"/>
          <w:noProof/>
          <w:szCs w:val="24"/>
        </w:rPr>
        <w:t xml:space="preserve"> </w:t>
      </w:r>
      <w:r w:rsidRPr="00723B61">
        <w:rPr>
          <w:rFonts w:ascii="Calibri" w:hAnsi="Calibri" w:cs="Calibri"/>
          <w:b/>
          <w:bCs/>
          <w:noProof/>
          <w:szCs w:val="24"/>
        </w:rPr>
        <w:t>89</w:t>
      </w:r>
      <w:r w:rsidRPr="00723B61">
        <w:rPr>
          <w:rFonts w:ascii="Calibri" w:hAnsi="Calibri" w:cs="Calibri"/>
          <w:noProof/>
          <w:szCs w:val="24"/>
        </w:rPr>
        <w:t>, 1416–1426 (2014).</w:t>
      </w:r>
    </w:p>
    <w:p w14:paraId="4E1309E4"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szCs w:val="24"/>
        </w:rPr>
      </w:pPr>
      <w:r w:rsidRPr="00723B61">
        <w:rPr>
          <w:rFonts w:ascii="Calibri" w:hAnsi="Calibri" w:cs="Calibri"/>
          <w:noProof/>
          <w:szCs w:val="24"/>
        </w:rPr>
        <w:t>12.</w:t>
      </w:r>
      <w:r w:rsidRPr="00723B61">
        <w:rPr>
          <w:rFonts w:ascii="Calibri" w:hAnsi="Calibri" w:cs="Calibri"/>
          <w:noProof/>
          <w:szCs w:val="24"/>
        </w:rPr>
        <w:tab/>
        <w:t xml:space="preserve">Grace, C. </w:t>
      </w:r>
      <w:r w:rsidRPr="00723B61">
        <w:rPr>
          <w:rFonts w:ascii="Calibri" w:hAnsi="Calibri" w:cs="Calibri"/>
          <w:i/>
          <w:iCs/>
          <w:noProof/>
          <w:szCs w:val="24"/>
        </w:rPr>
        <w:t>et al.</w:t>
      </w:r>
      <w:r w:rsidRPr="00723B61">
        <w:rPr>
          <w:rFonts w:ascii="Calibri" w:hAnsi="Calibri" w:cs="Calibri"/>
          <w:noProof/>
          <w:szCs w:val="24"/>
        </w:rPr>
        <w:t xml:space="preserve"> The Complexity, Relative Value, and Financial Worth of Curbside Consultations in an Academic Infectious Diseases Unit. </w:t>
      </w:r>
      <w:r w:rsidRPr="00723B61">
        <w:rPr>
          <w:rFonts w:ascii="Calibri" w:hAnsi="Calibri" w:cs="Calibri"/>
          <w:i/>
          <w:iCs/>
          <w:noProof/>
          <w:szCs w:val="24"/>
        </w:rPr>
        <w:t>Clin. Infect. Dis.</w:t>
      </w:r>
      <w:r w:rsidRPr="00723B61">
        <w:rPr>
          <w:rFonts w:ascii="Calibri" w:hAnsi="Calibri" w:cs="Calibri"/>
          <w:noProof/>
          <w:szCs w:val="24"/>
        </w:rPr>
        <w:t xml:space="preserve"> </w:t>
      </w:r>
      <w:r w:rsidRPr="00723B61">
        <w:rPr>
          <w:rFonts w:ascii="Calibri" w:hAnsi="Calibri" w:cs="Calibri"/>
          <w:b/>
          <w:bCs/>
          <w:noProof/>
          <w:szCs w:val="24"/>
        </w:rPr>
        <w:t>51</w:t>
      </w:r>
      <w:r w:rsidRPr="00723B61">
        <w:rPr>
          <w:rFonts w:ascii="Calibri" w:hAnsi="Calibri" w:cs="Calibri"/>
          <w:noProof/>
          <w:szCs w:val="24"/>
        </w:rPr>
        <w:t>, 651–655 (2010).</w:t>
      </w:r>
    </w:p>
    <w:p w14:paraId="4B6F51C2"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szCs w:val="24"/>
        </w:rPr>
      </w:pPr>
      <w:r w:rsidRPr="00723B61">
        <w:rPr>
          <w:rFonts w:ascii="Calibri" w:hAnsi="Calibri" w:cs="Calibri"/>
          <w:noProof/>
          <w:szCs w:val="24"/>
        </w:rPr>
        <w:lastRenderedPageBreak/>
        <w:t>13.</w:t>
      </w:r>
      <w:r w:rsidRPr="00723B61">
        <w:rPr>
          <w:rFonts w:ascii="Calibri" w:hAnsi="Calibri" w:cs="Calibri"/>
          <w:noProof/>
          <w:szCs w:val="24"/>
        </w:rPr>
        <w:tab/>
        <w:t xml:space="preserve">Rameau, C. </w:t>
      </w:r>
      <w:r w:rsidRPr="00723B61">
        <w:rPr>
          <w:rFonts w:ascii="Calibri" w:hAnsi="Calibri" w:cs="Calibri"/>
          <w:i/>
          <w:iCs/>
          <w:noProof/>
          <w:szCs w:val="24"/>
        </w:rPr>
        <w:t>et al.</w:t>
      </w:r>
      <w:r w:rsidRPr="00723B61">
        <w:rPr>
          <w:rFonts w:ascii="Calibri" w:hAnsi="Calibri" w:cs="Calibri"/>
          <w:noProof/>
          <w:szCs w:val="24"/>
        </w:rPr>
        <w:t xml:space="preserve"> Informal consultation at a teaching hospital infectious diseases department. </w:t>
      </w:r>
      <w:r w:rsidRPr="00723B61">
        <w:rPr>
          <w:rFonts w:ascii="Calibri" w:hAnsi="Calibri" w:cs="Calibri"/>
          <w:i/>
          <w:iCs/>
          <w:noProof/>
          <w:szCs w:val="24"/>
        </w:rPr>
        <w:t>Med. Mal. Infect.</w:t>
      </w:r>
      <w:r w:rsidRPr="00723B61">
        <w:rPr>
          <w:rFonts w:ascii="Calibri" w:hAnsi="Calibri" w:cs="Calibri"/>
          <w:noProof/>
          <w:szCs w:val="24"/>
        </w:rPr>
        <w:t xml:space="preserve"> </w:t>
      </w:r>
      <w:r w:rsidRPr="00723B61">
        <w:rPr>
          <w:rFonts w:ascii="Calibri" w:hAnsi="Calibri" w:cs="Calibri"/>
          <w:b/>
          <w:bCs/>
          <w:noProof/>
          <w:szCs w:val="24"/>
        </w:rPr>
        <w:t>44</w:t>
      </w:r>
      <w:r w:rsidRPr="00723B61">
        <w:rPr>
          <w:rFonts w:ascii="Calibri" w:hAnsi="Calibri" w:cs="Calibri"/>
          <w:noProof/>
          <w:szCs w:val="24"/>
        </w:rPr>
        <w:t>, 107–111 (2014).</w:t>
      </w:r>
    </w:p>
    <w:p w14:paraId="08A068D4"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szCs w:val="24"/>
        </w:rPr>
      </w:pPr>
      <w:r w:rsidRPr="00723B61">
        <w:rPr>
          <w:rFonts w:ascii="Calibri" w:hAnsi="Calibri" w:cs="Calibri"/>
          <w:noProof/>
          <w:szCs w:val="24"/>
        </w:rPr>
        <w:t>14.</w:t>
      </w:r>
      <w:r w:rsidRPr="00723B61">
        <w:rPr>
          <w:rFonts w:ascii="Calibri" w:hAnsi="Calibri" w:cs="Calibri"/>
          <w:noProof/>
          <w:szCs w:val="24"/>
        </w:rPr>
        <w:tab/>
        <w:t xml:space="preserve">Sexton, D. J., Corey, G. R., Ingram, C. W., Morris, V. M. &amp; Haywood, H. B. Consultation in university-based and community-based infectious disease practices: A prospective study. </w:t>
      </w:r>
      <w:r w:rsidRPr="00723B61">
        <w:rPr>
          <w:rFonts w:ascii="Calibri" w:hAnsi="Calibri" w:cs="Calibri"/>
          <w:i/>
          <w:iCs/>
          <w:noProof/>
          <w:szCs w:val="24"/>
        </w:rPr>
        <w:t>Clin. Infect. Dis.</w:t>
      </w:r>
      <w:r w:rsidRPr="00723B61">
        <w:rPr>
          <w:rFonts w:ascii="Calibri" w:hAnsi="Calibri" w:cs="Calibri"/>
          <w:noProof/>
          <w:szCs w:val="24"/>
        </w:rPr>
        <w:t xml:space="preserve"> </w:t>
      </w:r>
      <w:r w:rsidRPr="00723B61">
        <w:rPr>
          <w:rFonts w:ascii="Calibri" w:hAnsi="Calibri" w:cs="Calibri"/>
          <w:b/>
          <w:bCs/>
          <w:noProof/>
          <w:szCs w:val="24"/>
        </w:rPr>
        <w:t>20</w:t>
      </w:r>
      <w:r w:rsidRPr="00723B61">
        <w:rPr>
          <w:rFonts w:ascii="Calibri" w:hAnsi="Calibri" w:cs="Calibri"/>
          <w:noProof/>
          <w:szCs w:val="24"/>
        </w:rPr>
        <w:t>, 391–393 (1995).</w:t>
      </w:r>
    </w:p>
    <w:p w14:paraId="0CE24F55"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szCs w:val="24"/>
        </w:rPr>
      </w:pPr>
      <w:r w:rsidRPr="00723B61">
        <w:rPr>
          <w:rFonts w:ascii="Calibri" w:hAnsi="Calibri" w:cs="Calibri"/>
          <w:noProof/>
          <w:szCs w:val="24"/>
        </w:rPr>
        <w:t>15.</w:t>
      </w:r>
      <w:r w:rsidRPr="00723B61">
        <w:rPr>
          <w:rFonts w:ascii="Calibri" w:hAnsi="Calibri" w:cs="Calibri"/>
          <w:noProof/>
          <w:szCs w:val="24"/>
        </w:rPr>
        <w:tab/>
        <w:t xml:space="preserve">Chatterjee, A. &amp; Lackey, S. J. Prospective study of telephone consultation and communication in pediatric infectious diseases. </w:t>
      </w:r>
      <w:r w:rsidRPr="00723B61">
        <w:rPr>
          <w:rFonts w:ascii="Calibri" w:hAnsi="Calibri" w:cs="Calibri"/>
          <w:i/>
          <w:iCs/>
          <w:noProof/>
          <w:szCs w:val="24"/>
        </w:rPr>
        <w:t>Pediatr. Infect. Dis. J.</w:t>
      </w:r>
      <w:r w:rsidRPr="00723B61">
        <w:rPr>
          <w:rFonts w:ascii="Calibri" w:hAnsi="Calibri" w:cs="Calibri"/>
          <w:noProof/>
          <w:szCs w:val="24"/>
        </w:rPr>
        <w:t xml:space="preserve"> </w:t>
      </w:r>
      <w:r w:rsidRPr="00723B61">
        <w:rPr>
          <w:rFonts w:ascii="Calibri" w:hAnsi="Calibri" w:cs="Calibri"/>
          <w:b/>
          <w:bCs/>
          <w:noProof/>
          <w:szCs w:val="24"/>
        </w:rPr>
        <w:t>20</w:t>
      </w:r>
      <w:r w:rsidRPr="00723B61">
        <w:rPr>
          <w:rFonts w:ascii="Calibri" w:hAnsi="Calibri" w:cs="Calibri"/>
          <w:noProof/>
          <w:szCs w:val="24"/>
        </w:rPr>
        <w:t>, 968–972 (2001).</w:t>
      </w:r>
    </w:p>
    <w:p w14:paraId="610A19D6"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szCs w:val="24"/>
        </w:rPr>
      </w:pPr>
      <w:r w:rsidRPr="00723B61">
        <w:rPr>
          <w:rFonts w:ascii="Calibri" w:hAnsi="Calibri" w:cs="Calibri"/>
          <w:noProof/>
          <w:szCs w:val="24"/>
        </w:rPr>
        <w:t>16.</w:t>
      </w:r>
      <w:r w:rsidRPr="00723B61">
        <w:rPr>
          <w:rFonts w:ascii="Calibri" w:hAnsi="Calibri" w:cs="Calibri"/>
          <w:noProof/>
          <w:szCs w:val="24"/>
        </w:rPr>
        <w:tab/>
        <w:t xml:space="preserve">Forsblom, E., Ruotsalainen, E., Ollgren, J. &amp; Järvinen, A. Telephone Consultation Cannot Replace Bedside Infectious Disease Consultation in the Management of Staphylococcus aureus Bacteremia. </w:t>
      </w:r>
      <w:r w:rsidRPr="00723B61">
        <w:rPr>
          <w:rFonts w:ascii="Calibri" w:hAnsi="Calibri" w:cs="Calibri"/>
          <w:b/>
          <w:bCs/>
          <w:noProof/>
          <w:szCs w:val="24"/>
        </w:rPr>
        <w:t>56</w:t>
      </w:r>
      <w:r w:rsidRPr="00723B61">
        <w:rPr>
          <w:rFonts w:ascii="Calibri" w:hAnsi="Calibri" w:cs="Calibri"/>
          <w:noProof/>
          <w:szCs w:val="24"/>
        </w:rPr>
        <w:t>, 527–535 (2013).</w:t>
      </w:r>
    </w:p>
    <w:p w14:paraId="5B8E1C27"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szCs w:val="24"/>
        </w:rPr>
      </w:pPr>
      <w:r w:rsidRPr="00723B61">
        <w:rPr>
          <w:rFonts w:ascii="Calibri" w:hAnsi="Calibri" w:cs="Calibri"/>
          <w:noProof/>
          <w:szCs w:val="24"/>
        </w:rPr>
        <w:t>17.</w:t>
      </w:r>
      <w:r w:rsidRPr="00723B61">
        <w:rPr>
          <w:rFonts w:ascii="Calibri" w:hAnsi="Calibri" w:cs="Calibri"/>
          <w:noProof/>
          <w:szCs w:val="24"/>
        </w:rPr>
        <w:tab/>
        <w:t xml:space="preserve">Leblebicioglu, H. </w:t>
      </w:r>
      <w:r w:rsidRPr="00723B61">
        <w:rPr>
          <w:rFonts w:ascii="Calibri" w:hAnsi="Calibri" w:cs="Calibri"/>
          <w:i/>
          <w:iCs/>
          <w:noProof/>
          <w:szCs w:val="24"/>
        </w:rPr>
        <w:t>et al.</w:t>
      </w:r>
      <w:r w:rsidRPr="00723B61">
        <w:rPr>
          <w:rFonts w:ascii="Calibri" w:hAnsi="Calibri" w:cs="Calibri"/>
          <w:noProof/>
          <w:szCs w:val="24"/>
        </w:rPr>
        <w:t xml:space="preserve"> Informal consultations in infectious diseases and clinical microbiology practice. </w:t>
      </w:r>
      <w:r w:rsidRPr="00723B61">
        <w:rPr>
          <w:rFonts w:ascii="Calibri" w:hAnsi="Calibri" w:cs="Calibri"/>
          <w:i/>
          <w:iCs/>
          <w:noProof/>
          <w:szCs w:val="24"/>
        </w:rPr>
        <w:t>Clin. Microbiol. Infect.</w:t>
      </w:r>
      <w:r w:rsidRPr="00723B61">
        <w:rPr>
          <w:rFonts w:ascii="Calibri" w:hAnsi="Calibri" w:cs="Calibri"/>
          <w:noProof/>
          <w:szCs w:val="24"/>
        </w:rPr>
        <w:t xml:space="preserve"> </w:t>
      </w:r>
      <w:r w:rsidRPr="00723B61">
        <w:rPr>
          <w:rFonts w:ascii="Calibri" w:hAnsi="Calibri" w:cs="Calibri"/>
          <w:b/>
          <w:bCs/>
          <w:noProof/>
          <w:szCs w:val="24"/>
        </w:rPr>
        <w:t>9</w:t>
      </w:r>
      <w:r w:rsidRPr="00723B61">
        <w:rPr>
          <w:rFonts w:ascii="Calibri" w:hAnsi="Calibri" w:cs="Calibri"/>
          <w:noProof/>
          <w:szCs w:val="24"/>
        </w:rPr>
        <w:t>, 724–726 (2003).</w:t>
      </w:r>
    </w:p>
    <w:p w14:paraId="75DAF635"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szCs w:val="24"/>
        </w:rPr>
      </w:pPr>
      <w:r w:rsidRPr="00723B61">
        <w:rPr>
          <w:rFonts w:ascii="Calibri" w:hAnsi="Calibri" w:cs="Calibri"/>
          <w:noProof/>
          <w:szCs w:val="24"/>
        </w:rPr>
        <w:t>18.</w:t>
      </w:r>
      <w:r w:rsidRPr="00723B61">
        <w:rPr>
          <w:rFonts w:ascii="Calibri" w:hAnsi="Calibri" w:cs="Calibri"/>
          <w:noProof/>
          <w:szCs w:val="24"/>
        </w:rPr>
        <w:tab/>
        <w:t xml:space="preserve">Murthy, R., Rose, G., Liddy, C., Afkham, A. &amp; Keely, E. eConsultations to infectious disease specialists: Questions asked and impact on primary care providers’ behavior. </w:t>
      </w:r>
      <w:r w:rsidRPr="00723B61">
        <w:rPr>
          <w:rFonts w:ascii="Calibri" w:hAnsi="Calibri" w:cs="Calibri"/>
          <w:i/>
          <w:iCs/>
          <w:noProof/>
          <w:szCs w:val="24"/>
        </w:rPr>
        <w:t>Open Forum Infect. Dis.</w:t>
      </w:r>
      <w:r w:rsidRPr="00723B61">
        <w:rPr>
          <w:rFonts w:ascii="Calibri" w:hAnsi="Calibri" w:cs="Calibri"/>
          <w:noProof/>
          <w:szCs w:val="24"/>
        </w:rPr>
        <w:t xml:space="preserve"> </w:t>
      </w:r>
      <w:r w:rsidRPr="00723B61">
        <w:rPr>
          <w:rFonts w:ascii="Calibri" w:hAnsi="Calibri" w:cs="Calibri"/>
          <w:b/>
          <w:bCs/>
          <w:noProof/>
          <w:szCs w:val="24"/>
        </w:rPr>
        <w:t>4</w:t>
      </w:r>
      <w:r w:rsidRPr="00723B61">
        <w:rPr>
          <w:rFonts w:ascii="Calibri" w:hAnsi="Calibri" w:cs="Calibri"/>
          <w:noProof/>
          <w:szCs w:val="24"/>
        </w:rPr>
        <w:t>, 1–6 (2017).</w:t>
      </w:r>
    </w:p>
    <w:p w14:paraId="6C243AA0"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szCs w:val="24"/>
        </w:rPr>
      </w:pPr>
      <w:r w:rsidRPr="00723B61">
        <w:rPr>
          <w:rFonts w:ascii="Calibri" w:hAnsi="Calibri" w:cs="Calibri"/>
          <w:noProof/>
          <w:szCs w:val="24"/>
        </w:rPr>
        <w:t>19.</w:t>
      </w:r>
      <w:r w:rsidRPr="00723B61">
        <w:rPr>
          <w:rFonts w:ascii="Calibri" w:hAnsi="Calibri" w:cs="Calibri"/>
          <w:noProof/>
          <w:szCs w:val="24"/>
        </w:rPr>
        <w:tab/>
        <w:t xml:space="preserve">Dahlgren, K. </w:t>
      </w:r>
      <w:r w:rsidRPr="00723B61">
        <w:rPr>
          <w:rFonts w:ascii="Calibri" w:hAnsi="Calibri" w:cs="Calibri"/>
          <w:i/>
          <w:iCs/>
          <w:noProof/>
          <w:szCs w:val="24"/>
        </w:rPr>
        <w:t>et al.</w:t>
      </w:r>
      <w:r w:rsidRPr="00723B61">
        <w:rPr>
          <w:rFonts w:ascii="Calibri" w:hAnsi="Calibri" w:cs="Calibri"/>
          <w:noProof/>
          <w:szCs w:val="24"/>
        </w:rPr>
        <w:t xml:space="preserve"> The use of a Swedish telephone medical advice service by the elderly–a population-based study. </w:t>
      </w:r>
      <w:r w:rsidRPr="00723B61">
        <w:rPr>
          <w:rFonts w:ascii="Calibri" w:hAnsi="Calibri" w:cs="Calibri"/>
          <w:i/>
          <w:iCs/>
          <w:noProof/>
          <w:szCs w:val="24"/>
        </w:rPr>
        <w:t>Scand. J. Prim. Health Care</w:t>
      </w:r>
      <w:r w:rsidRPr="00723B61">
        <w:rPr>
          <w:rFonts w:ascii="Calibri" w:hAnsi="Calibri" w:cs="Calibri"/>
          <w:noProof/>
          <w:szCs w:val="24"/>
        </w:rPr>
        <w:t xml:space="preserve"> </w:t>
      </w:r>
      <w:r w:rsidRPr="00723B61">
        <w:rPr>
          <w:rFonts w:ascii="Calibri" w:hAnsi="Calibri" w:cs="Calibri"/>
          <w:b/>
          <w:bCs/>
          <w:noProof/>
          <w:szCs w:val="24"/>
        </w:rPr>
        <w:t>35</w:t>
      </w:r>
      <w:r w:rsidRPr="00723B61">
        <w:rPr>
          <w:rFonts w:ascii="Calibri" w:hAnsi="Calibri" w:cs="Calibri"/>
          <w:noProof/>
          <w:szCs w:val="24"/>
        </w:rPr>
        <w:t>, 98–104 (2017).</w:t>
      </w:r>
    </w:p>
    <w:p w14:paraId="44E9F134"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szCs w:val="24"/>
        </w:rPr>
      </w:pPr>
      <w:r w:rsidRPr="00723B61">
        <w:rPr>
          <w:rFonts w:ascii="Calibri" w:hAnsi="Calibri" w:cs="Calibri"/>
          <w:noProof/>
          <w:szCs w:val="24"/>
        </w:rPr>
        <w:t>20.</w:t>
      </w:r>
      <w:r w:rsidRPr="00723B61">
        <w:rPr>
          <w:rFonts w:ascii="Calibri" w:hAnsi="Calibri" w:cs="Calibri"/>
          <w:noProof/>
          <w:szCs w:val="24"/>
        </w:rPr>
        <w:tab/>
        <w:t xml:space="preserve">Lattimer, V. </w:t>
      </w:r>
      <w:r w:rsidRPr="00723B61">
        <w:rPr>
          <w:rFonts w:ascii="Calibri" w:hAnsi="Calibri" w:cs="Calibri"/>
          <w:i/>
          <w:iCs/>
          <w:noProof/>
          <w:szCs w:val="24"/>
        </w:rPr>
        <w:t>et al.</w:t>
      </w:r>
      <w:r w:rsidRPr="00723B61">
        <w:rPr>
          <w:rFonts w:ascii="Calibri" w:hAnsi="Calibri" w:cs="Calibri"/>
          <w:noProof/>
          <w:szCs w:val="24"/>
        </w:rPr>
        <w:t xml:space="preserve"> Safety and effectiveness of nurse telephone consultation in out of hours primary care: Randomised controlled trial. </w:t>
      </w:r>
      <w:r w:rsidRPr="00723B61">
        <w:rPr>
          <w:rFonts w:ascii="Calibri" w:hAnsi="Calibri" w:cs="Calibri"/>
          <w:i/>
          <w:iCs/>
          <w:noProof/>
          <w:szCs w:val="24"/>
        </w:rPr>
        <w:t>Br. Med. J.</w:t>
      </w:r>
      <w:r w:rsidRPr="00723B61">
        <w:rPr>
          <w:rFonts w:ascii="Calibri" w:hAnsi="Calibri" w:cs="Calibri"/>
          <w:noProof/>
          <w:szCs w:val="24"/>
        </w:rPr>
        <w:t xml:space="preserve"> </w:t>
      </w:r>
      <w:r w:rsidRPr="00723B61">
        <w:rPr>
          <w:rFonts w:ascii="Calibri" w:hAnsi="Calibri" w:cs="Calibri"/>
          <w:b/>
          <w:bCs/>
          <w:noProof/>
          <w:szCs w:val="24"/>
        </w:rPr>
        <w:t>317</w:t>
      </w:r>
      <w:r w:rsidRPr="00723B61">
        <w:rPr>
          <w:rFonts w:ascii="Calibri" w:hAnsi="Calibri" w:cs="Calibri"/>
          <w:noProof/>
          <w:szCs w:val="24"/>
        </w:rPr>
        <w:t>, 1054–1059 (1998).</w:t>
      </w:r>
    </w:p>
    <w:p w14:paraId="5DD73314"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szCs w:val="24"/>
        </w:rPr>
      </w:pPr>
      <w:r w:rsidRPr="00723B61">
        <w:rPr>
          <w:rFonts w:ascii="Calibri" w:hAnsi="Calibri" w:cs="Calibri"/>
          <w:noProof/>
          <w:szCs w:val="24"/>
        </w:rPr>
        <w:t>21.</w:t>
      </w:r>
      <w:r w:rsidRPr="00723B61">
        <w:rPr>
          <w:rFonts w:ascii="Calibri" w:hAnsi="Calibri" w:cs="Calibri"/>
          <w:noProof/>
          <w:szCs w:val="24"/>
        </w:rPr>
        <w:tab/>
        <w:t xml:space="preserve">Anderson, A. &amp; Roland, M. Potential for advice from doctors to reduce the number of patients referred to emergency departments by NHS 111 call handlers: Observational study. </w:t>
      </w:r>
      <w:r w:rsidRPr="00723B61">
        <w:rPr>
          <w:rFonts w:ascii="Calibri" w:hAnsi="Calibri" w:cs="Calibri"/>
          <w:i/>
          <w:iCs/>
          <w:noProof/>
          <w:szCs w:val="24"/>
        </w:rPr>
        <w:t>BMJ Open</w:t>
      </w:r>
      <w:r w:rsidRPr="00723B61">
        <w:rPr>
          <w:rFonts w:ascii="Calibri" w:hAnsi="Calibri" w:cs="Calibri"/>
          <w:noProof/>
          <w:szCs w:val="24"/>
        </w:rPr>
        <w:t xml:space="preserve"> </w:t>
      </w:r>
      <w:r w:rsidRPr="00723B61">
        <w:rPr>
          <w:rFonts w:ascii="Calibri" w:hAnsi="Calibri" w:cs="Calibri"/>
          <w:b/>
          <w:bCs/>
          <w:noProof/>
          <w:szCs w:val="24"/>
        </w:rPr>
        <w:t>5</w:t>
      </w:r>
      <w:r w:rsidRPr="00723B61">
        <w:rPr>
          <w:rFonts w:ascii="Calibri" w:hAnsi="Calibri" w:cs="Calibri"/>
          <w:noProof/>
          <w:szCs w:val="24"/>
        </w:rPr>
        <w:t>, 1–4 (2015).</w:t>
      </w:r>
    </w:p>
    <w:p w14:paraId="23CF6248"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szCs w:val="24"/>
        </w:rPr>
      </w:pPr>
      <w:r w:rsidRPr="00723B61">
        <w:rPr>
          <w:rFonts w:ascii="Calibri" w:hAnsi="Calibri" w:cs="Calibri"/>
          <w:noProof/>
          <w:szCs w:val="24"/>
        </w:rPr>
        <w:t>22.</w:t>
      </w:r>
      <w:r w:rsidRPr="00723B61">
        <w:rPr>
          <w:rFonts w:ascii="Calibri" w:hAnsi="Calibri" w:cs="Calibri"/>
          <w:noProof/>
          <w:szCs w:val="24"/>
        </w:rPr>
        <w:tab/>
        <w:t xml:space="preserve">Leibowitz, R., Day, S. &amp; Dunt, D. A systematic review of the effect of different models of after-hours primary medical care services on clinical outcome, medical workload, and patient and GP satisfaction. </w:t>
      </w:r>
      <w:r w:rsidRPr="00723B61">
        <w:rPr>
          <w:rFonts w:ascii="Calibri" w:hAnsi="Calibri" w:cs="Calibri"/>
          <w:i/>
          <w:iCs/>
          <w:noProof/>
          <w:szCs w:val="24"/>
        </w:rPr>
        <w:t>Fam. Pract.</w:t>
      </w:r>
      <w:r w:rsidRPr="00723B61">
        <w:rPr>
          <w:rFonts w:ascii="Calibri" w:hAnsi="Calibri" w:cs="Calibri"/>
          <w:noProof/>
          <w:szCs w:val="24"/>
        </w:rPr>
        <w:t xml:space="preserve"> </w:t>
      </w:r>
      <w:r w:rsidRPr="00723B61">
        <w:rPr>
          <w:rFonts w:ascii="Calibri" w:hAnsi="Calibri" w:cs="Calibri"/>
          <w:b/>
          <w:bCs/>
          <w:noProof/>
          <w:szCs w:val="24"/>
        </w:rPr>
        <w:t>20</w:t>
      </w:r>
      <w:r w:rsidRPr="00723B61">
        <w:rPr>
          <w:rFonts w:ascii="Calibri" w:hAnsi="Calibri" w:cs="Calibri"/>
          <w:noProof/>
          <w:szCs w:val="24"/>
        </w:rPr>
        <w:t>, 311–317 (2003).</w:t>
      </w:r>
    </w:p>
    <w:p w14:paraId="65FA19BA"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szCs w:val="24"/>
        </w:rPr>
      </w:pPr>
      <w:r w:rsidRPr="00723B61">
        <w:rPr>
          <w:rFonts w:ascii="Calibri" w:hAnsi="Calibri" w:cs="Calibri"/>
          <w:noProof/>
          <w:szCs w:val="24"/>
        </w:rPr>
        <w:t>23.</w:t>
      </w:r>
      <w:r w:rsidRPr="00723B61">
        <w:rPr>
          <w:rFonts w:ascii="Calibri" w:hAnsi="Calibri" w:cs="Calibri"/>
          <w:noProof/>
          <w:szCs w:val="24"/>
        </w:rPr>
        <w:tab/>
        <w:t xml:space="preserve">Vaughan, A. </w:t>
      </w:r>
      <w:r w:rsidRPr="00723B61">
        <w:rPr>
          <w:rFonts w:ascii="Calibri" w:hAnsi="Calibri" w:cs="Calibri"/>
          <w:i/>
          <w:iCs/>
          <w:noProof/>
          <w:szCs w:val="24"/>
        </w:rPr>
        <w:t>et al.</w:t>
      </w:r>
      <w:r w:rsidRPr="00723B61">
        <w:rPr>
          <w:rFonts w:ascii="Calibri" w:hAnsi="Calibri" w:cs="Calibri"/>
          <w:noProof/>
          <w:szCs w:val="24"/>
        </w:rPr>
        <w:t xml:space="preserve"> Two cases of monkeypox imported to the United Kingdom, september 2018. </w:t>
      </w:r>
      <w:r w:rsidRPr="00723B61">
        <w:rPr>
          <w:rFonts w:ascii="Calibri" w:hAnsi="Calibri" w:cs="Calibri"/>
          <w:i/>
          <w:iCs/>
          <w:noProof/>
          <w:szCs w:val="24"/>
        </w:rPr>
        <w:t>Eurosurveillance</w:t>
      </w:r>
      <w:r w:rsidRPr="00723B61">
        <w:rPr>
          <w:rFonts w:ascii="Calibri" w:hAnsi="Calibri" w:cs="Calibri"/>
          <w:noProof/>
          <w:szCs w:val="24"/>
        </w:rPr>
        <w:t xml:space="preserve"> </w:t>
      </w:r>
      <w:r w:rsidRPr="00723B61">
        <w:rPr>
          <w:rFonts w:ascii="Calibri" w:hAnsi="Calibri" w:cs="Calibri"/>
          <w:b/>
          <w:bCs/>
          <w:noProof/>
          <w:szCs w:val="24"/>
        </w:rPr>
        <w:t>23</w:t>
      </w:r>
      <w:r w:rsidRPr="00723B61">
        <w:rPr>
          <w:rFonts w:ascii="Calibri" w:hAnsi="Calibri" w:cs="Calibri"/>
          <w:noProof/>
          <w:szCs w:val="24"/>
        </w:rPr>
        <w:t>, (2018).</w:t>
      </w:r>
    </w:p>
    <w:p w14:paraId="46B9EFE7" w14:textId="77777777" w:rsidR="00723B61" w:rsidRPr="00723B61" w:rsidRDefault="00723B61" w:rsidP="00723B61">
      <w:pPr>
        <w:widowControl w:val="0"/>
        <w:autoSpaceDE w:val="0"/>
        <w:autoSpaceDN w:val="0"/>
        <w:adjustRightInd w:val="0"/>
        <w:spacing w:line="360" w:lineRule="auto"/>
        <w:ind w:left="640" w:hanging="640"/>
        <w:rPr>
          <w:rFonts w:ascii="Calibri" w:hAnsi="Calibri" w:cs="Calibri"/>
          <w:noProof/>
        </w:rPr>
      </w:pPr>
      <w:r w:rsidRPr="00723B61">
        <w:rPr>
          <w:rFonts w:ascii="Calibri" w:hAnsi="Calibri" w:cs="Calibri"/>
          <w:noProof/>
          <w:szCs w:val="24"/>
        </w:rPr>
        <w:t>24.</w:t>
      </w:r>
      <w:r w:rsidRPr="00723B61">
        <w:rPr>
          <w:rFonts w:ascii="Calibri" w:hAnsi="Calibri" w:cs="Calibri"/>
          <w:noProof/>
          <w:szCs w:val="24"/>
        </w:rPr>
        <w:tab/>
        <w:t xml:space="preserve">Jacobs, M., Beadsworth, M., Schmid, M. &amp; Tunbridge, A. Provision of care for Ebola. </w:t>
      </w:r>
      <w:r w:rsidRPr="00723B61">
        <w:rPr>
          <w:rFonts w:ascii="Calibri" w:hAnsi="Calibri" w:cs="Calibri"/>
          <w:i/>
          <w:iCs/>
          <w:noProof/>
          <w:szCs w:val="24"/>
        </w:rPr>
        <w:t>Lancet</w:t>
      </w:r>
      <w:r w:rsidRPr="00723B61">
        <w:rPr>
          <w:rFonts w:ascii="Calibri" w:hAnsi="Calibri" w:cs="Calibri"/>
          <w:noProof/>
          <w:szCs w:val="24"/>
        </w:rPr>
        <w:t xml:space="preserve"> </w:t>
      </w:r>
      <w:r w:rsidRPr="00723B61">
        <w:rPr>
          <w:rFonts w:ascii="Calibri" w:hAnsi="Calibri" w:cs="Calibri"/>
          <w:b/>
          <w:bCs/>
          <w:noProof/>
          <w:szCs w:val="24"/>
        </w:rPr>
        <w:t>384</w:t>
      </w:r>
      <w:r w:rsidRPr="00723B61">
        <w:rPr>
          <w:rFonts w:ascii="Calibri" w:hAnsi="Calibri" w:cs="Calibri"/>
          <w:noProof/>
          <w:szCs w:val="24"/>
        </w:rPr>
        <w:t>, 2105–2106 (2014).</w:t>
      </w:r>
    </w:p>
    <w:p w14:paraId="66354A01" w14:textId="77777777" w:rsidR="00A77FBD" w:rsidRDefault="00354528" w:rsidP="007D2002">
      <w:pPr>
        <w:spacing w:line="360" w:lineRule="auto"/>
        <w:jc w:val="both"/>
      </w:pPr>
      <w:r>
        <w:rPr>
          <w:b/>
        </w:rPr>
        <w:fldChar w:fldCharType="end"/>
      </w:r>
    </w:p>
    <w:p w14:paraId="25650772" w14:textId="77777777" w:rsidR="0049245E" w:rsidRDefault="0049245E">
      <w:pPr>
        <w:rPr>
          <w:b/>
        </w:rPr>
      </w:pPr>
      <w:r>
        <w:rPr>
          <w:b/>
        </w:rPr>
        <w:lastRenderedPageBreak/>
        <w:t>Table 1: Calls received by referrer location, grade, and department</w:t>
      </w:r>
      <w:r w:rsidR="002553FB">
        <w:rPr>
          <w:b/>
        </w:rPr>
        <w:t xml:space="preserve"> over 14 months</w:t>
      </w:r>
      <w:r>
        <w:rPr>
          <w:b/>
        </w:rPr>
        <w:t xml:space="preserve"> </w:t>
      </w:r>
    </w:p>
    <w:p w14:paraId="2FDB564A" w14:textId="77777777" w:rsidR="006C4C47" w:rsidRDefault="002553FB">
      <w:pPr>
        <w:rPr>
          <w:b/>
        </w:rPr>
      </w:pPr>
      <w:r w:rsidRPr="002553FB">
        <w:rPr>
          <w:noProof/>
          <w:lang w:eastAsia="en-GB"/>
        </w:rPr>
        <w:drawing>
          <wp:inline distT="0" distB="0" distL="0" distR="0" wp14:anchorId="6DD2EA26" wp14:editId="4F6DAF49">
            <wp:extent cx="4038600" cy="7112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945" b="2265"/>
                    <a:stretch/>
                  </pic:blipFill>
                  <pic:spPr bwMode="auto">
                    <a:xfrm>
                      <a:off x="0" y="0"/>
                      <a:ext cx="4040036" cy="7115184"/>
                    </a:xfrm>
                    <a:prstGeom prst="rect">
                      <a:avLst/>
                    </a:prstGeom>
                    <a:noFill/>
                    <a:ln>
                      <a:noFill/>
                    </a:ln>
                    <a:extLst>
                      <a:ext uri="{53640926-AAD7-44D8-BBD7-CCE9431645EC}">
                        <a14:shadowObscured xmlns:a14="http://schemas.microsoft.com/office/drawing/2010/main"/>
                      </a:ext>
                    </a:extLst>
                  </pic:spPr>
                </pic:pic>
              </a:graphicData>
            </a:graphic>
          </wp:inline>
        </w:drawing>
      </w:r>
    </w:p>
    <w:p w14:paraId="0C8A1F5D" w14:textId="77777777" w:rsidR="0049245E" w:rsidRPr="003F0225" w:rsidRDefault="006C4C47" w:rsidP="005F4F82">
      <w:pPr>
        <w:jc w:val="both"/>
      </w:pPr>
      <w:r w:rsidRPr="003F0225">
        <w:t xml:space="preserve">Legend: </w:t>
      </w:r>
      <w:r w:rsidR="002553FB">
        <w:t xml:space="preserve">Abbreviations: IQR = interquartile range. </w:t>
      </w:r>
      <w:r w:rsidR="005F4F82">
        <w:t>*This does not include those calls received in June 2017 because the project was implemented mid-way through the month on June 19</w:t>
      </w:r>
      <w:r w:rsidR="005F4F82" w:rsidRPr="005F4F82">
        <w:rPr>
          <w:vertAlign w:val="superscript"/>
        </w:rPr>
        <w:t>th</w:t>
      </w:r>
      <w:r w:rsidR="005F4F82">
        <w:t xml:space="preserve"> 2017 </w:t>
      </w:r>
      <w:r w:rsidRPr="003F0225">
        <w:t>*</w:t>
      </w:r>
      <w:r w:rsidR="00133C1A">
        <w:t>*</w:t>
      </w:r>
      <w:r w:rsidRPr="003F0225">
        <w:t>Hospital includes any secondary care facility, GP includes</w:t>
      </w:r>
      <w:r w:rsidR="003F0225" w:rsidRPr="003F0225">
        <w:t xml:space="preserve"> walk-in primary care centres, “O</w:t>
      </w:r>
      <w:r w:rsidRPr="003F0225">
        <w:t>ther</w:t>
      </w:r>
      <w:r w:rsidR="003F0225" w:rsidRPr="003F0225">
        <w:t>”</w:t>
      </w:r>
      <w:r w:rsidRPr="003F0225">
        <w:t xml:space="preserve"> constituted Liverpool Football Club (n=1), Community TB </w:t>
      </w:r>
      <w:r w:rsidR="005F4F82">
        <w:t xml:space="preserve">team (n=1), and Prison (n=1). </w:t>
      </w:r>
      <w:r w:rsidRPr="003F0225">
        <w:t xml:space="preserve">"Other" Hospital Grade includes pharmacist (n=1), physiotherapist (n=1), and patient self-referrals (n=3). “Other” </w:t>
      </w:r>
      <w:r w:rsidR="003F0225" w:rsidRPr="003F0225">
        <w:t>department of staff calling from hospitals included the National Aspergillosis Centre (n=1), pharmacy (n=1), physiotherapy (n=1), and dentistry (n=1).</w:t>
      </w:r>
      <w:r w:rsidR="0049245E" w:rsidRPr="003F0225">
        <w:br w:type="page"/>
      </w:r>
    </w:p>
    <w:p w14:paraId="29E1FB64" w14:textId="77777777" w:rsidR="0049245E" w:rsidRDefault="0049245E">
      <w:r>
        <w:rPr>
          <w:b/>
        </w:rPr>
        <w:lastRenderedPageBreak/>
        <w:t>Table 2: Patient demographic data, clinical syndromes, advice given, and outcome overall and by returning traveller status.</w:t>
      </w:r>
    </w:p>
    <w:p w14:paraId="5D76058A" w14:textId="77777777" w:rsidR="003F0225" w:rsidRDefault="00184509">
      <w:pPr>
        <w:rPr>
          <w:b/>
        </w:rPr>
      </w:pPr>
      <w:r w:rsidRPr="00184509">
        <w:rPr>
          <w:noProof/>
          <w:lang w:eastAsia="en-GB"/>
        </w:rPr>
        <w:drawing>
          <wp:inline distT="0" distB="0" distL="0" distR="0" wp14:anchorId="3DEA6A8C" wp14:editId="65064D55">
            <wp:extent cx="4953000" cy="6438554"/>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3103" r="15972" b="2041"/>
                    <a:stretch/>
                  </pic:blipFill>
                  <pic:spPr bwMode="auto">
                    <a:xfrm>
                      <a:off x="0" y="0"/>
                      <a:ext cx="4956787" cy="6443477"/>
                    </a:xfrm>
                    <a:prstGeom prst="rect">
                      <a:avLst/>
                    </a:prstGeom>
                    <a:noFill/>
                    <a:ln>
                      <a:noFill/>
                    </a:ln>
                    <a:extLst>
                      <a:ext uri="{53640926-AAD7-44D8-BBD7-CCE9431645EC}">
                        <a14:shadowObscured xmlns:a14="http://schemas.microsoft.com/office/drawing/2010/main"/>
                      </a:ext>
                    </a:extLst>
                  </pic:spPr>
                </pic:pic>
              </a:graphicData>
            </a:graphic>
          </wp:inline>
        </w:drawing>
      </w:r>
      <w:r w:rsidRPr="00184509" w:rsidDel="00184509">
        <w:t xml:space="preserve"> </w:t>
      </w:r>
    </w:p>
    <w:p w14:paraId="13BF73A6" w14:textId="77777777" w:rsidR="0049245E" w:rsidRPr="003F0225" w:rsidRDefault="003F0225" w:rsidP="003F0225">
      <w:pPr>
        <w:jc w:val="both"/>
      </w:pPr>
      <w:r w:rsidRPr="003F0225">
        <w:t xml:space="preserve">Legend: </w:t>
      </w:r>
      <w:r w:rsidR="005F4F82">
        <w:t xml:space="preserve">*362 patients were discussed but the documentation for two patients did not include any sociodemographic or clinical information, or document by whom the call was received. Therefore, for the purposes of analysis of sociodemographic and clinical features, n=360 </w:t>
      </w:r>
      <w:r w:rsidRPr="003F0225">
        <w:t>*</w:t>
      </w:r>
      <w:r w:rsidR="005F4F82">
        <w:t>*</w:t>
      </w:r>
      <w:r w:rsidRPr="003F0225">
        <w:t xml:space="preserve">Known to TIDU indicates a patient who was previously under TIDU as an inpatient and/or previously/currently under the care of TIDU as an outpatient. Predominantly, these patients were those known to TIDU because they had accessed care for HIV or viral </w:t>
      </w:r>
      <w:r w:rsidR="005106C8">
        <w:t>hepatitis</w:t>
      </w:r>
      <w:r w:rsidRPr="003F0225">
        <w:t>.</w:t>
      </w:r>
      <w:r w:rsidR="005F4F82" w:rsidRPr="005F4F82">
        <w:t xml:space="preserve"> </w:t>
      </w:r>
      <w:r w:rsidR="005F4F82" w:rsidRPr="003F0225">
        <w:t xml:space="preserve">Of the nine patients with chronic hepatitis, one had chronic hepatitis B and eight had chronic hepatitis C. </w:t>
      </w:r>
      <w:r w:rsidR="0049245E" w:rsidRPr="003F0225">
        <w:br w:type="page"/>
      </w:r>
    </w:p>
    <w:p w14:paraId="32C46C17" w14:textId="77777777" w:rsidR="00A77FBD" w:rsidRDefault="00A77FBD">
      <w:pPr>
        <w:spacing w:line="360" w:lineRule="auto"/>
        <w:jc w:val="both"/>
      </w:pPr>
      <w:r w:rsidRPr="00A77FBD">
        <w:rPr>
          <w:b/>
        </w:rPr>
        <w:lastRenderedPageBreak/>
        <w:t>Figure 1: Number of advice calls and patients discussed</w:t>
      </w:r>
      <w:r>
        <w:rPr>
          <w:b/>
        </w:rPr>
        <w:t xml:space="preserve"> by month since implementation of advice-calls system</w:t>
      </w:r>
      <w:r w:rsidR="005F4F82">
        <w:rPr>
          <w:b/>
        </w:rPr>
        <w:t xml:space="preserve">. </w:t>
      </w:r>
      <w:r w:rsidR="005F4F82" w:rsidRPr="005F4F82">
        <w:t>Abbreviation: 12m = 12 months.</w:t>
      </w:r>
    </w:p>
    <w:p w14:paraId="34737E74" w14:textId="77777777" w:rsidR="007C4D11" w:rsidRPr="005F4F82" w:rsidRDefault="007C4D11">
      <w:pPr>
        <w:spacing w:line="360" w:lineRule="auto"/>
        <w:jc w:val="both"/>
      </w:pPr>
    </w:p>
    <w:p w14:paraId="4DC708A6" w14:textId="77777777" w:rsidR="00A77FBD" w:rsidRDefault="00A77FBD" w:rsidP="00BA43F9">
      <w:pPr>
        <w:spacing w:line="360" w:lineRule="auto"/>
        <w:jc w:val="both"/>
      </w:pPr>
      <w:r>
        <w:rPr>
          <w:noProof/>
          <w:lang w:eastAsia="en-GB"/>
        </w:rPr>
        <w:drawing>
          <wp:inline distT="0" distB="0" distL="0" distR="0" wp14:anchorId="3DD192DE" wp14:editId="2BFC1216">
            <wp:extent cx="5539535" cy="485140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5599" cy="4856711"/>
                    </a:xfrm>
                    <a:prstGeom prst="rect">
                      <a:avLst/>
                    </a:prstGeom>
                    <a:noFill/>
                  </pic:spPr>
                </pic:pic>
              </a:graphicData>
            </a:graphic>
          </wp:inline>
        </w:drawing>
      </w:r>
    </w:p>
    <w:p w14:paraId="67A3A058" w14:textId="77777777" w:rsidR="00A77FBD" w:rsidRDefault="00A77FBD">
      <w:r>
        <w:br w:type="page"/>
      </w:r>
    </w:p>
    <w:p w14:paraId="0B4B3A38" w14:textId="77777777" w:rsidR="00A77FBD" w:rsidRPr="00A77FBD" w:rsidRDefault="00A77FBD" w:rsidP="00BA43F9">
      <w:pPr>
        <w:spacing w:line="360" w:lineRule="auto"/>
        <w:jc w:val="both"/>
      </w:pPr>
      <w:r w:rsidRPr="00A77FBD">
        <w:rPr>
          <w:b/>
        </w:rPr>
        <w:lastRenderedPageBreak/>
        <w:t>Figure 2: Proportion of patients discussed who were returning travellers by season</w:t>
      </w:r>
      <w:r>
        <w:rPr>
          <w:b/>
        </w:rPr>
        <w:t xml:space="preserve">. </w:t>
      </w:r>
      <w:r w:rsidR="0049245E">
        <w:t>The P value represents the difference between the proportion of patients discussed who were returning travellers in summer/autumn (44%, 117/265) versus winter/spring (33%, 39/125) calculated by the Z test of proportions.</w:t>
      </w:r>
      <w:r w:rsidR="00037727">
        <w:t xml:space="preserve"> Given data from June 2017 to August 2018 was analysed, the proportion of patients discussed who were returning travellers in Summer was a composite of the months of June, July, and August in both 2017 and 2018.</w:t>
      </w:r>
    </w:p>
    <w:p w14:paraId="60053F8C" w14:textId="77777777" w:rsidR="0049245E" w:rsidRDefault="00A77FBD" w:rsidP="00BA43F9">
      <w:pPr>
        <w:spacing w:line="360" w:lineRule="auto"/>
        <w:jc w:val="both"/>
      </w:pPr>
      <w:r>
        <w:rPr>
          <w:noProof/>
          <w:lang w:eastAsia="en-GB"/>
        </w:rPr>
        <w:drawing>
          <wp:inline distT="0" distB="0" distL="0" distR="0" wp14:anchorId="004E9BC1" wp14:editId="62B9F2B5">
            <wp:extent cx="5638165" cy="388810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47879" cy="3894802"/>
                    </a:xfrm>
                    <a:prstGeom prst="rect">
                      <a:avLst/>
                    </a:prstGeom>
                    <a:noFill/>
                  </pic:spPr>
                </pic:pic>
              </a:graphicData>
            </a:graphic>
          </wp:inline>
        </w:drawing>
      </w:r>
    </w:p>
    <w:p w14:paraId="4463C975" w14:textId="77777777" w:rsidR="0049245E" w:rsidRPr="0049245E" w:rsidRDefault="0049245E" w:rsidP="00507CBF"/>
    <w:sectPr w:rsidR="0049245E" w:rsidRPr="0049245E" w:rsidSect="00E44330">
      <w:foot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970A3" w14:textId="77777777" w:rsidR="00E61516" w:rsidRDefault="00E61516" w:rsidP="00E44330">
      <w:pPr>
        <w:spacing w:after="0" w:line="240" w:lineRule="auto"/>
      </w:pPr>
      <w:r>
        <w:separator/>
      </w:r>
    </w:p>
  </w:endnote>
  <w:endnote w:type="continuationSeparator" w:id="0">
    <w:p w14:paraId="22F732A3" w14:textId="77777777" w:rsidR="00E61516" w:rsidRDefault="00E61516" w:rsidP="00E4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581232"/>
      <w:docPartObj>
        <w:docPartGallery w:val="Page Numbers (Bottom of Page)"/>
        <w:docPartUnique/>
      </w:docPartObj>
    </w:sdtPr>
    <w:sdtEndPr>
      <w:rPr>
        <w:noProof/>
      </w:rPr>
    </w:sdtEndPr>
    <w:sdtContent>
      <w:p w14:paraId="29D71ABB" w14:textId="77777777" w:rsidR="009E1A0B" w:rsidRDefault="009E1A0B">
        <w:pPr>
          <w:pStyle w:val="Footer"/>
          <w:jc w:val="right"/>
        </w:pPr>
        <w:r>
          <w:fldChar w:fldCharType="begin"/>
        </w:r>
        <w:r>
          <w:instrText xml:space="preserve"> PAGE   \* MERGEFORMAT </w:instrText>
        </w:r>
        <w:r>
          <w:fldChar w:fldCharType="separate"/>
        </w:r>
        <w:r w:rsidR="00203D9B">
          <w:rPr>
            <w:noProof/>
          </w:rPr>
          <w:t>1</w:t>
        </w:r>
        <w:r>
          <w:rPr>
            <w:noProof/>
          </w:rPr>
          <w:fldChar w:fldCharType="end"/>
        </w:r>
      </w:p>
    </w:sdtContent>
  </w:sdt>
  <w:p w14:paraId="3C295179" w14:textId="77777777" w:rsidR="009E1A0B" w:rsidRDefault="009E1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66240" w14:textId="77777777" w:rsidR="00E61516" w:rsidRDefault="00E61516" w:rsidP="00E44330">
      <w:pPr>
        <w:spacing w:after="0" w:line="240" w:lineRule="auto"/>
      </w:pPr>
      <w:r>
        <w:separator/>
      </w:r>
    </w:p>
  </w:footnote>
  <w:footnote w:type="continuationSeparator" w:id="0">
    <w:p w14:paraId="46BB527D" w14:textId="77777777" w:rsidR="00E61516" w:rsidRDefault="00E61516" w:rsidP="00E44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6F53"/>
    <w:multiLevelType w:val="hybridMultilevel"/>
    <w:tmpl w:val="F2741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B2D8C"/>
    <w:multiLevelType w:val="hybridMultilevel"/>
    <w:tmpl w:val="0EA0728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BBA0C53"/>
    <w:multiLevelType w:val="hybridMultilevel"/>
    <w:tmpl w:val="D6C0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86C95"/>
    <w:multiLevelType w:val="hybridMultilevel"/>
    <w:tmpl w:val="A518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1665E"/>
    <w:multiLevelType w:val="hybridMultilevel"/>
    <w:tmpl w:val="38D235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1A3702"/>
    <w:multiLevelType w:val="hybridMultilevel"/>
    <w:tmpl w:val="8A5EC3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483018"/>
    <w:multiLevelType w:val="hybridMultilevel"/>
    <w:tmpl w:val="FFAC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284"/>
    <w:rsid w:val="00017B62"/>
    <w:rsid w:val="0002389F"/>
    <w:rsid w:val="0002418B"/>
    <w:rsid w:val="000303F1"/>
    <w:rsid w:val="00037727"/>
    <w:rsid w:val="000403D9"/>
    <w:rsid w:val="0005205D"/>
    <w:rsid w:val="00055548"/>
    <w:rsid w:val="000C0439"/>
    <w:rsid w:val="000C1188"/>
    <w:rsid w:val="000E012F"/>
    <w:rsid w:val="00133C1A"/>
    <w:rsid w:val="00152CAA"/>
    <w:rsid w:val="00154DFA"/>
    <w:rsid w:val="00161C8F"/>
    <w:rsid w:val="00184509"/>
    <w:rsid w:val="0018688E"/>
    <w:rsid w:val="001963D4"/>
    <w:rsid w:val="001C263A"/>
    <w:rsid w:val="001D0E66"/>
    <w:rsid w:val="001E6F8E"/>
    <w:rsid w:val="001F35EE"/>
    <w:rsid w:val="00203D9B"/>
    <w:rsid w:val="00212744"/>
    <w:rsid w:val="002244D3"/>
    <w:rsid w:val="0023420D"/>
    <w:rsid w:val="00236357"/>
    <w:rsid w:val="00250247"/>
    <w:rsid w:val="00251EE3"/>
    <w:rsid w:val="002553FB"/>
    <w:rsid w:val="002603EC"/>
    <w:rsid w:val="00267505"/>
    <w:rsid w:val="00283420"/>
    <w:rsid w:val="00285ABC"/>
    <w:rsid w:val="00292C3C"/>
    <w:rsid w:val="002A135A"/>
    <w:rsid w:val="002B4575"/>
    <w:rsid w:val="002C09F8"/>
    <w:rsid w:val="002C4348"/>
    <w:rsid w:val="003067A0"/>
    <w:rsid w:val="00331338"/>
    <w:rsid w:val="003429C2"/>
    <w:rsid w:val="00353F7C"/>
    <w:rsid w:val="00354528"/>
    <w:rsid w:val="0036232A"/>
    <w:rsid w:val="003651B6"/>
    <w:rsid w:val="003676C7"/>
    <w:rsid w:val="0037777A"/>
    <w:rsid w:val="00383E16"/>
    <w:rsid w:val="003870D7"/>
    <w:rsid w:val="003A169C"/>
    <w:rsid w:val="003B1ABA"/>
    <w:rsid w:val="003E5051"/>
    <w:rsid w:val="003F0225"/>
    <w:rsid w:val="00442B1E"/>
    <w:rsid w:val="0046071E"/>
    <w:rsid w:val="00475B82"/>
    <w:rsid w:val="00480DF6"/>
    <w:rsid w:val="00482DA5"/>
    <w:rsid w:val="00484A2D"/>
    <w:rsid w:val="0049245E"/>
    <w:rsid w:val="004A045E"/>
    <w:rsid w:val="004C1967"/>
    <w:rsid w:val="004D5284"/>
    <w:rsid w:val="004E0AD6"/>
    <w:rsid w:val="004F09AA"/>
    <w:rsid w:val="005046A5"/>
    <w:rsid w:val="00507CBF"/>
    <w:rsid w:val="00510335"/>
    <w:rsid w:val="005106C8"/>
    <w:rsid w:val="00517C98"/>
    <w:rsid w:val="005341FC"/>
    <w:rsid w:val="0054209C"/>
    <w:rsid w:val="00574F0E"/>
    <w:rsid w:val="00576E15"/>
    <w:rsid w:val="00582853"/>
    <w:rsid w:val="00583703"/>
    <w:rsid w:val="00597103"/>
    <w:rsid w:val="005D470D"/>
    <w:rsid w:val="005E01E2"/>
    <w:rsid w:val="005F0D21"/>
    <w:rsid w:val="005F4F82"/>
    <w:rsid w:val="005F7934"/>
    <w:rsid w:val="005F7DB1"/>
    <w:rsid w:val="00626103"/>
    <w:rsid w:val="00630F58"/>
    <w:rsid w:val="006318B4"/>
    <w:rsid w:val="00640050"/>
    <w:rsid w:val="00642A74"/>
    <w:rsid w:val="00642DE8"/>
    <w:rsid w:val="0065414D"/>
    <w:rsid w:val="006542E7"/>
    <w:rsid w:val="0065657E"/>
    <w:rsid w:val="0068577D"/>
    <w:rsid w:val="006A3597"/>
    <w:rsid w:val="006B0FB2"/>
    <w:rsid w:val="006B3215"/>
    <w:rsid w:val="006B7886"/>
    <w:rsid w:val="006C4C47"/>
    <w:rsid w:val="00713212"/>
    <w:rsid w:val="00723B61"/>
    <w:rsid w:val="00747F7F"/>
    <w:rsid w:val="00764A43"/>
    <w:rsid w:val="00793211"/>
    <w:rsid w:val="007C4D11"/>
    <w:rsid w:val="007D2002"/>
    <w:rsid w:val="007D5349"/>
    <w:rsid w:val="007E154E"/>
    <w:rsid w:val="00811CE2"/>
    <w:rsid w:val="00814D45"/>
    <w:rsid w:val="0081590F"/>
    <w:rsid w:val="00833788"/>
    <w:rsid w:val="00840D11"/>
    <w:rsid w:val="00861744"/>
    <w:rsid w:val="00880A03"/>
    <w:rsid w:val="008815C9"/>
    <w:rsid w:val="00887E96"/>
    <w:rsid w:val="00891A1F"/>
    <w:rsid w:val="008D7FD1"/>
    <w:rsid w:val="008E7450"/>
    <w:rsid w:val="009105A2"/>
    <w:rsid w:val="009242A3"/>
    <w:rsid w:val="0092624D"/>
    <w:rsid w:val="00941C86"/>
    <w:rsid w:val="00953966"/>
    <w:rsid w:val="009634CC"/>
    <w:rsid w:val="00995548"/>
    <w:rsid w:val="009B0397"/>
    <w:rsid w:val="009B2F12"/>
    <w:rsid w:val="009B6E37"/>
    <w:rsid w:val="009C2537"/>
    <w:rsid w:val="009E1A0B"/>
    <w:rsid w:val="00A11106"/>
    <w:rsid w:val="00A76BD4"/>
    <w:rsid w:val="00A77FBD"/>
    <w:rsid w:val="00A94280"/>
    <w:rsid w:val="00A96E27"/>
    <w:rsid w:val="00AA79E6"/>
    <w:rsid w:val="00AD3F37"/>
    <w:rsid w:val="00B00073"/>
    <w:rsid w:val="00B152D8"/>
    <w:rsid w:val="00B45961"/>
    <w:rsid w:val="00B53C4D"/>
    <w:rsid w:val="00B76D34"/>
    <w:rsid w:val="00B85E1D"/>
    <w:rsid w:val="00B907A9"/>
    <w:rsid w:val="00B94302"/>
    <w:rsid w:val="00BA29EE"/>
    <w:rsid w:val="00BA43F9"/>
    <w:rsid w:val="00BE0F13"/>
    <w:rsid w:val="00C070FC"/>
    <w:rsid w:val="00C254C8"/>
    <w:rsid w:val="00C43A37"/>
    <w:rsid w:val="00C44C1B"/>
    <w:rsid w:val="00C53072"/>
    <w:rsid w:val="00C65CB8"/>
    <w:rsid w:val="00C806D9"/>
    <w:rsid w:val="00C861A1"/>
    <w:rsid w:val="00C93F36"/>
    <w:rsid w:val="00CE4B33"/>
    <w:rsid w:val="00CE50D3"/>
    <w:rsid w:val="00D03572"/>
    <w:rsid w:val="00D152C7"/>
    <w:rsid w:val="00D230CA"/>
    <w:rsid w:val="00D242B3"/>
    <w:rsid w:val="00D40504"/>
    <w:rsid w:val="00D40E70"/>
    <w:rsid w:val="00D43054"/>
    <w:rsid w:val="00D43491"/>
    <w:rsid w:val="00D5680C"/>
    <w:rsid w:val="00D61C3D"/>
    <w:rsid w:val="00D65BCD"/>
    <w:rsid w:val="00D66F13"/>
    <w:rsid w:val="00D82679"/>
    <w:rsid w:val="00DA4048"/>
    <w:rsid w:val="00DA55EC"/>
    <w:rsid w:val="00DB1781"/>
    <w:rsid w:val="00DC435B"/>
    <w:rsid w:val="00DC6086"/>
    <w:rsid w:val="00E076BA"/>
    <w:rsid w:val="00E16B47"/>
    <w:rsid w:val="00E33639"/>
    <w:rsid w:val="00E44330"/>
    <w:rsid w:val="00E5120E"/>
    <w:rsid w:val="00E55A6C"/>
    <w:rsid w:val="00E61516"/>
    <w:rsid w:val="00E61CB2"/>
    <w:rsid w:val="00E727DF"/>
    <w:rsid w:val="00E92FCD"/>
    <w:rsid w:val="00EE2717"/>
    <w:rsid w:val="00EE708A"/>
    <w:rsid w:val="00F3183C"/>
    <w:rsid w:val="00F66F37"/>
    <w:rsid w:val="00F70F2F"/>
    <w:rsid w:val="00F764CE"/>
    <w:rsid w:val="00F82143"/>
    <w:rsid w:val="00F84AE3"/>
    <w:rsid w:val="00F90DF0"/>
    <w:rsid w:val="00F93973"/>
    <w:rsid w:val="00F977E2"/>
    <w:rsid w:val="00FB4D7E"/>
    <w:rsid w:val="00FD57D1"/>
    <w:rsid w:val="00FE5023"/>
    <w:rsid w:val="00FF5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35DDE"/>
  <w15:docId w15:val="{8B5AF8A6-332E-4FA1-B48B-586595E1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B47"/>
    <w:rPr>
      <w:color w:val="0563C1" w:themeColor="hyperlink"/>
      <w:u w:val="single"/>
    </w:rPr>
  </w:style>
  <w:style w:type="paragraph" w:styleId="Header">
    <w:name w:val="header"/>
    <w:basedOn w:val="Normal"/>
    <w:link w:val="HeaderChar"/>
    <w:uiPriority w:val="99"/>
    <w:unhideWhenUsed/>
    <w:rsid w:val="00E44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330"/>
  </w:style>
  <w:style w:type="paragraph" w:styleId="Footer">
    <w:name w:val="footer"/>
    <w:basedOn w:val="Normal"/>
    <w:link w:val="FooterChar"/>
    <w:uiPriority w:val="99"/>
    <w:unhideWhenUsed/>
    <w:rsid w:val="00E44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330"/>
  </w:style>
  <w:style w:type="character" w:styleId="LineNumber">
    <w:name w:val="line number"/>
    <w:basedOn w:val="DefaultParagraphFont"/>
    <w:uiPriority w:val="99"/>
    <w:semiHidden/>
    <w:unhideWhenUsed/>
    <w:rsid w:val="00E44330"/>
  </w:style>
  <w:style w:type="paragraph" w:styleId="ListParagraph">
    <w:name w:val="List Paragraph"/>
    <w:basedOn w:val="Normal"/>
    <w:uiPriority w:val="34"/>
    <w:qFormat/>
    <w:rsid w:val="00154DFA"/>
    <w:pPr>
      <w:ind w:left="720"/>
      <w:contextualSpacing/>
    </w:pPr>
  </w:style>
  <w:style w:type="table" w:styleId="TableGrid">
    <w:name w:val="Table Grid"/>
    <w:basedOn w:val="TableNormal"/>
    <w:uiPriority w:val="39"/>
    <w:rsid w:val="00FE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5ABC"/>
    <w:rPr>
      <w:sz w:val="16"/>
      <w:szCs w:val="16"/>
    </w:rPr>
  </w:style>
  <w:style w:type="paragraph" w:styleId="CommentText">
    <w:name w:val="annotation text"/>
    <w:basedOn w:val="Normal"/>
    <w:link w:val="CommentTextChar"/>
    <w:uiPriority w:val="99"/>
    <w:semiHidden/>
    <w:unhideWhenUsed/>
    <w:rsid w:val="00285ABC"/>
    <w:pPr>
      <w:spacing w:line="240" w:lineRule="auto"/>
    </w:pPr>
    <w:rPr>
      <w:sz w:val="20"/>
      <w:szCs w:val="20"/>
    </w:rPr>
  </w:style>
  <w:style w:type="character" w:customStyle="1" w:styleId="CommentTextChar">
    <w:name w:val="Comment Text Char"/>
    <w:basedOn w:val="DefaultParagraphFont"/>
    <w:link w:val="CommentText"/>
    <w:uiPriority w:val="99"/>
    <w:semiHidden/>
    <w:rsid w:val="00285ABC"/>
    <w:rPr>
      <w:sz w:val="20"/>
      <w:szCs w:val="20"/>
    </w:rPr>
  </w:style>
  <w:style w:type="paragraph" w:styleId="CommentSubject">
    <w:name w:val="annotation subject"/>
    <w:basedOn w:val="CommentText"/>
    <w:next w:val="CommentText"/>
    <w:link w:val="CommentSubjectChar"/>
    <w:uiPriority w:val="99"/>
    <w:semiHidden/>
    <w:unhideWhenUsed/>
    <w:rsid w:val="00285ABC"/>
    <w:rPr>
      <w:b/>
      <w:bCs/>
    </w:rPr>
  </w:style>
  <w:style w:type="character" w:customStyle="1" w:styleId="CommentSubjectChar">
    <w:name w:val="Comment Subject Char"/>
    <w:basedOn w:val="CommentTextChar"/>
    <w:link w:val="CommentSubject"/>
    <w:uiPriority w:val="99"/>
    <w:semiHidden/>
    <w:rsid w:val="00285ABC"/>
    <w:rPr>
      <w:b/>
      <w:bCs/>
      <w:sz w:val="20"/>
      <w:szCs w:val="20"/>
    </w:rPr>
  </w:style>
  <w:style w:type="paragraph" w:styleId="BalloonText">
    <w:name w:val="Balloon Text"/>
    <w:basedOn w:val="Normal"/>
    <w:link w:val="BalloonTextChar"/>
    <w:uiPriority w:val="99"/>
    <w:semiHidden/>
    <w:unhideWhenUsed/>
    <w:rsid w:val="00285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qisystem.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ifeqisystem.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3AABB-C5CB-4174-A790-E3382304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15627</Words>
  <Characters>89080</Characters>
  <Application>Microsoft Office Word</Application>
  <DocSecurity>4</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Wingfield, Thomas</dc:creator>
  <cp:lastModifiedBy>Julie Franco</cp:lastModifiedBy>
  <cp:revision>2</cp:revision>
  <dcterms:created xsi:type="dcterms:W3CDTF">2020-07-27T11:55:00Z</dcterms:created>
  <dcterms:modified xsi:type="dcterms:W3CDTF">2020-07-27T11:55:00Z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b301ea32-4ab6-3567-b3aa-f8e763e3736e</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