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1111F" w14:textId="77777777" w:rsidR="00C472E0" w:rsidRDefault="00C472E0" w:rsidP="00C472E0">
      <w:pPr>
        <w:spacing w:after="0" w:line="480" w:lineRule="auto"/>
        <w:rPr>
          <w:b/>
          <w:sz w:val="24"/>
        </w:rPr>
      </w:pPr>
      <w:r>
        <w:rPr>
          <w:b/>
          <w:sz w:val="24"/>
        </w:rPr>
        <w:t xml:space="preserve">Title: </w:t>
      </w:r>
      <w:r>
        <w:rPr>
          <w:sz w:val="24"/>
        </w:rPr>
        <w:t>I</w:t>
      </w:r>
      <w:r w:rsidRPr="00202504">
        <w:rPr>
          <w:sz w:val="24"/>
        </w:rPr>
        <w:t xml:space="preserve">ntrapulmonary </w:t>
      </w:r>
      <w:r>
        <w:rPr>
          <w:sz w:val="24"/>
        </w:rPr>
        <w:t>pharmacokinetics of first-line anti-</w:t>
      </w:r>
      <w:r w:rsidRPr="00202504">
        <w:rPr>
          <w:sz w:val="24"/>
        </w:rPr>
        <w:t>TB drugs</w:t>
      </w:r>
      <w:r>
        <w:rPr>
          <w:sz w:val="24"/>
        </w:rPr>
        <w:t xml:space="preserve"> in Malawian tuberculosis patients</w:t>
      </w:r>
      <w:r w:rsidRPr="00202504">
        <w:rPr>
          <w:sz w:val="24"/>
        </w:rPr>
        <w:t xml:space="preserve"> </w:t>
      </w:r>
    </w:p>
    <w:p w14:paraId="621AD024" w14:textId="77777777" w:rsidR="00C472E0" w:rsidRDefault="00C472E0" w:rsidP="00C472E0">
      <w:pPr>
        <w:spacing w:after="0" w:line="480" w:lineRule="auto"/>
        <w:rPr>
          <w:b/>
          <w:sz w:val="24"/>
        </w:rPr>
      </w:pPr>
    </w:p>
    <w:p w14:paraId="39AFD4EA" w14:textId="77777777" w:rsidR="00C472E0" w:rsidRPr="00601828" w:rsidRDefault="00C472E0" w:rsidP="00C472E0">
      <w:pPr>
        <w:spacing w:after="0" w:line="480" w:lineRule="auto"/>
        <w:rPr>
          <w:sz w:val="24"/>
          <w:vertAlign w:val="superscript"/>
        </w:rPr>
      </w:pPr>
      <w:r>
        <w:rPr>
          <w:b/>
          <w:sz w:val="24"/>
        </w:rPr>
        <w:t xml:space="preserve">Authors: </w:t>
      </w:r>
      <w:r>
        <w:rPr>
          <w:sz w:val="24"/>
        </w:rPr>
        <w:t xml:space="preserve">Andrew D McCallum </w:t>
      </w:r>
      <w:r>
        <w:rPr>
          <w:sz w:val="24"/>
          <w:vertAlign w:val="superscript"/>
        </w:rPr>
        <w:t>1,2,3</w:t>
      </w:r>
      <w:r>
        <w:rPr>
          <w:sz w:val="24"/>
        </w:rPr>
        <w:t xml:space="preserve">, Henry E </w:t>
      </w:r>
      <w:proofErr w:type="spellStart"/>
      <w:r>
        <w:rPr>
          <w:sz w:val="24"/>
        </w:rPr>
        <w:t>Pertinez</w:t>
      </w:r>
      <w:proofErr w:type="spellEnd"/>
      <w:r>
        <w:rPr>
          <w:sz w:val="24"/>
        </w:rPr>
        <w:t xml:space="preserve"> </w:t>
      </w:r>
      <w:r>
        <w:rPr>
          <w:sz w:val="24"/>
          <w:vertAlign w:val="superscript"/>
        </w:rPr>
        <w:t>3</w:t>
      </w:r>
      <w:r>
        <w:rPr>
          <w:sz w:val="24"/>
        </w:rPr>
        <w:t xml:space="preserve">, Laura J Else </w:t>
      </w:r>
      <w:r>
        <w:rPr>
          <w:sz w:val="24"/>
          <w:vertAlign w:val="superscript"/>
        </w:rPr>
        <w:t>3</w:t>
      </w:r>
      <w:r>
        <w:rPr>
          <w:sz w:val="24"/>
        </w:rPr>
        <w:t xml:space="preserve">, </w:t>
      </w:r>
      <w:proofErr w:type="spellStart"/>
      <w:r>
        <w:rPr>
          <w:sz w:val="24"/>
        </w:rPr>
        <w:t>Sujan</w:t>
      </w:r>
      <w:proofErr w:type="spellEnd"/>
      <w:r>
        <w:rPr>
          <w:sz w:val="24"/>
        </w:rPr>
        <w:t xml:space="preserve"> Dilly-</w:t>
      </w:r>
      <w:proofErr w:type="spellStart"/>
      <w:r>
        <w:rPr>
          <w:sz w:val="24"/>
        </w:rPr>
        <w:t>Penchala</w:t>
      </w:r>
      <w:proofErr w:type="spellEnd"/>
      <w:r>
        <w:rPr>
          <w:sz w:val="24"/>
        </w:rPr>
        <w:t xml:space="preserve"> </w:t>
      </w:r>
      <w:r>
        <w:rPr>
          <w:sz w:val="24"/>
          <w:vertAlign w:val="superscript"/>
        </w:rPr>
        <w:t>3</w:t>
      </w:r>
      <w:r>
        <w:rPr>
          <w:sz w:val="24"/>
        </w:rPr>
        <w:t xml:space="preserve">, Aaron P </w:t>
      </w:r>
      <w:proofErr w:type="spellStart"/>
      <w:r>
        <w:rPr>
          <w:sz w:val="24"/>
        </w:rPr>
        <w:t>Chirambo</w:t>
      </w:r>
      <w:proofErr w:type="spellEnd"/>
      <w:r>
        <w:rPr>
          <w:sz w:val="24"/>
        </w:rPr>
        <w:t xml:space="preserve"> </w:t>
      </w:r>
      <w:r>
        <w:rPr>
          <w:sz w:val="24"/>
          <w:vertAlign w:val="superscript"/>
        </w:rPr>
        <w:t>1</w:t>
      </w:r>
      <w:r>
        <w:rPr>
          <w:sz w:val="24"/>
        </w:rPr>
        <w:t xml:space="preserve">, Irene </w:t>
      </w:r>
      <w:proofErr w:type="spellStart"/>
      <w:r>
        <w:rPr>
          <w:sz w:val="24"/>
        </w:rPr>
        <w:t>Sheha</w:t>
      </w:r>
      <w:proofErr w:type="spellEnd"/>
      <w:r>
        <w:rPr>
          <w:sz w:val="24"/>
        </w:rPr>
        <w:t xml:space="preserve"> </w:t>
      </w:r>
      <w:r>
        <w:rPr>
          <w:sz w:val="24"/>
          <w:vertAlign w:val="superscript"/>
        </w:rPr>
        <w:t>1</w:t>
      </w:r>
      <w:r>
        <w:rPr>
          <w:sz w:val="24"/>
        </w:rPr>
        <w:t xml:space="preserve">, </w:t>
      </w:r>
      <w:proofErr w:type="spellStart"/>
      <w:r>
        <w:rPr>
          <w:sz w:val="24"/>
        </w:rPr>
        <w:t>Madalitso</w:t>
      </w:r>
      <w:proofErr w:type="spellEnd"/>
      <w:r>
        <w:rPr>
          <w:sz w:val="24"/>
        </w:rPr>
        <w:t xml:space="preserve"> </w:t>
      </w:r>
      <w:proofErr w:type="spellStart"/>
      <w:r>
        <w:rPr>
          <w:sz w:val="24"/>
        </w:rPr>
        <w:t>Chasweka</w:t>
      </w:r>
      <w:proofErr w:type="spellEnd"/>
      <w:r>
        <w:rPr>
          <w:sz w:val="24"/>
        </w:rPr>
        <w:t xml:space="preserve"> </w:t>
      </w:r>
      <w:r>
        <w:rPr>
          <w:sz w:val="24"/>
          <w:vertAlign w:val="superscript"/>
        </w:rPr>
        <w:t>1</w:t>
      </w:r>
      <w:r>
        <w:rPr>
          <w:sz w:val="24"/>
        </w:rPr>
        <w:t xml:space="preserve">, Alex </w:t>
      </w:r>
      <w:proofErr w:type="spellStart"/>
      <w:r>
        <w:rPr>
          <w:sz w:val="24"/>
        </w:rPr>
        <w:t>Chitani</w:t>
      </w:r>
      <w:proofErr w:type="spellEnd"/>
      <w:r>
        <w:rPr>
          <w:sz w:val="24"/>
        </w:rPr>
        <w:t xml:space="preserve"> </w:t>
      </w:r>
      <w:r>
        <w:rPr>
          <w:sz w:val="24"/>
          <w:vertAlign w:val="superscript"/>
        </w:rPr>
        <w:t>1</w:t>
      </w:r>
      <w:r>
        <w:rPr>
          <w:sz w:val="24"/>
        </w:rPr>
        <w:t xml:space="preserve">, Rose D </w:t>
      </w:r>
      <w:proofErr w:type="spellStart"/>
      <w:r>
        <w:rPr>
          <w:sz w:val="24"/>
        </w:rPr>
        <w:t>Malamba</w:t>
      </w:r>
      <w:proofErr w:type="spellEnd"/>
      <w:r>
        <w:rPr>
          <w:sz w:val="24"/>
        </w:rPr>
        <w:t xml:space="preserve"> </w:t>
      </w:r>
      <w:r>
        <w:rPr>
          <w:sz w:val="24"/>
          <w:vertAlign w:val="superscript"/>
        </w:rPr>
        <w:t>1</w:t>
      </w:r>
      <w:r>
        <w:rPr>
          <w:sz w:val="24"/>
        </w:rPr>
        <w:t xml:space="preserve">, Jamilah Z Meghji </w:t>
      </w:r>
      <w:r>
        <w:rPr>
          <w:sz w:val="24"/>
          <w:vertAlign w:val="superscript"/>
        </w:rPr>
        <w:t>1,2</w:t>
      </w:r>
      <w:r>
        <w:rPr>
          <w:sz w:val="24"/>
        </w:rPr>
        <w:t xml:space="preserve">, Stephen B Gordon </w:t>
      </w:r>
      <w:r>
        <w:rPr>
          <w:sz w:val="24"/>
          <w:vertAlign w:val="superscript"/>
        </w:rPr>
        <w:t>1,2</w:t>
      </w:r>
      <w:r>
        <w:rPr>
          <w:sz w:val="24"/>
        </w:rPr>
        <w:t xml:space="preserve">, Geraint R Davies </w:t>
      </w:r>
      <w:r>
        <w:rPr>
          <w:sz w:val="24"/>
          <w:vertAlign w:val="superscript"/>
        </w:rPr>
        <w:t>3</w:t>
      </w:r>
      <w:r>
        <w:rPr>
          <w:sz w:val="24"/>
        </w:rPr>
        <w:t xml:space="preserve">, Saye H Khoo </w:t>
      </w:r>
      <w:r>
        <w:rPr>
          <w:sz w:val="24"/>
          <w:vertAlign w:val="superscript"/>
        </w:rPr>
        <w:t>3</w:t>
      </w:r>
      <w:r>
        <w:rPr>
          <w:sz w:val="24"/>
        </w:rPr>
        <w:t xml:space="preserve">, Derek J Sloan </w:t>
      </w:r>
      <w:r>
        <w:rPr>
          <w:sz w:val="24"/>
          <w:vertAlign w:val="superscript"/>
        </w:rPr>
        <w:t>4,</w:t>
      </w:r>
      <w:r w:rsidRPr="00A61DAD">
        <w:rPr>
          <w:sz w:val="24"/>
          <w:vertAlign w:val="superscript"/>
        </w:rPr>
        <w:t>*</w:t>
      </w:r>
      <w:r>
        <w:rPr>
          <w:sz w:val="24"/>
        </w:rPr>
        <w:t xml:space="preserve">, Henry C Mwandumba </w:t>
      </w:r>
      <w:r>
        <w:rPr>
          <w:sz w:val="24"/>
          <w:vertAlign w:val="superscript"/>
        </w:rPr>
        <w:t>1,2,*</w:t>
      </w:r>
    </w:p>
    <w:p w14:paraId="2987D4B3" w14:textId="77777777" w:rsidR="00C472E0" w:rsidRPr="00A61DAD" w:rsidRDefault="00C472E0" w:rsidP="00C472E0">
      <w:pPr>
        <w:spacing w:after="0" w:line="480" w:lineRule="auto"/>
        <w:rPr>
          <w:sz w:val="24"/>
        </w:rPr>
      </w:pPr>
      <w:r w:rsidRPr="00A61DAD">
        <w:rPr>
          <w:sz w:val="24"/>
          <w:vertAlign w:val="superscript"/>
        </w:rPr>
        <w:t xml:space="preserve">* </w:t>
      </w:r>
      <w:r w:rsidRPr="00A61DAD">
        <w:rPr>
          <w:sz w:val="24"/>
        </w:rPr>
        <w:t>Con</w:t>
      </w:r>
      <w:r>
        <w:rPr>
          <w:sz w:val="24"/>
        </w:rPr>
        <w:t>tributed equally as senior authors</w:t>
      </w:r>
    </w:p>
    <w:p w14:paraId="5AF799A3" w14:textId="77777777" w:rsidR="00C472E0" w:rsidRDefault="00C472E0" w:rsidP="00C472E0">
      <w:pPr>
        <w:spacing w:after="0" w:line="480" w:lineRule="auto"/>
        <w:rPr>
          <w:b/>
          <w:sz w:val="24"/>
        </w:rPr>
      </w:pPr>
    </w:p>
    <w:p w14:paraId="67CDEE69" w14:textId="77777777" w:rsidR="00C472E0" w:rsidRDefault="00C472E0" w:rsidP="00C472E0">
      <w:pPr>
        <w:spacing w:after="0" w:line="480" w:lineRule="auto"/>
        <w:rPr>
          <w:b/>
          <w:sz w:val="24"/>
        </w:rPr>
      </w:pPr>
      <w:r>
        <w:rPr>
          <w:b/>
          <w:sz w:val="24"/>
        </w:rPr>
        <w:t>Affiliations:</w:t>
      </w:r>
    </w:p>
    <w:p w14:paraId="62401712" w14:textId="77777777" w:rsidR="00C472E0" w:rsidRDefault="00C472E0" w:rsidP="00C472E0">
      <w:pPr>
        <w:pStyle w:val="ListParagraph"/>
        <w:numPr>
          <w:ilvl w:val="0"/>
          <w:numId w:val="1"/>
        </w:numPr>
        <w:spacing w:after="0" w:line="480" w:lineRule="auto"/>
        <w:rPr>
          <w:sz w:val="24"/>
        </w:rPr>
      </w:pPr>
      <w:r w:rsidRPr="00601828">
        <w:rPr>
          <w:sz w:val="24"/>
        </w:rPr>
        <w:t>Malawi-Liverpool-</w:t>
      </w:r>
      <w:proofErr w:type="spellStart"/>
      <w:r w:rsidRPr="00601828">
        <w:rPr>
          <w:sz w:val="24"/>
        </w:rPr>
        <w:t>Wellcome</w:t>
      </w:r>
      <w:proofErr w:type="spellEnd"/>
      <w:r w:rsidRPr="00601828">
        <w:rPr>
          <w:sz w:val="24"/>
        </w:rPr>
        <w:t xml:space="preserve"> Clinical Research Programme,</w:t>
      </w:r>
      <w:r>
        <w:rPr>
          <w:sz w:val="24"/>
        </w:rPr>
        <w:t xml:space="preserve"> University of Malawi College of Medicine,</w:t>
      </w:r>
      <w:r w:rsidRPr="00601828">
        <w:rPr>
          <w:sz w:val="24"/>
        </w:rPr>
        <w:t xml:space="preserve"> Blantyre, Malawi</w:t>
      </w:r>
    </w:p>
    <w:p w14:paraId="4FC20114" w14:textId="77777777" w:rsidR="00C472E0" w:rsidRPr="00601828" w:rsidRDefault="00C472E0" w:rsidP="00C472E0">
      <w:pPr>
        <w:pStyle w:val="ListParagraph"/>
        <w:numPr>
          <w:ilvl w:val="0"/>
          <w:numId w:val="1"/>
        </w:numPr>
        <w:spacing w:after="0" w:line="480" w:lineRule="auto"/>
        <w:rPr>
          <w:sz w:val="24"/>
        </w:rPr>
      </w:pPr>
      <w:r>
        <w:rPr>
          <w:sz w:val="24"/>
        </w:rPr>
        <w:t xml:space="preserve">Department of Clinical Sciences, </w:t>
      </w:r>
      <w:r w:rsidRPr="00601828">
        <w:rPr>
          <w:sz w:val="24"/>
        </w:rPr>
        <w:t>Liverpool School of Tropical Medicine, Pembroke Place, Liverpool, UK</w:t>
      </w:r>
    </w:p>
    <w:p w14:paraId="60B0398D" w14:textId="77777777" w:rsidR="00C472E0" w:rsidRDefault="00C472E0" w:rsidP="00C472E0">
      <w:pPr>
        <w:pStyle w:val="ListParagraph"/>
        <w:numPr>
          <w:ilvl w:val="0"/>
          <w:numId w:val="1"/>
        </w:numPr>
        <w:spacing w:after="0" w:line="480" w:lineRule="auto"/>
        <w:rPr>
          <w:sz w:val="24"/>
        </w:rPr>
      </w:pPr>
      <w:r>
        <w:rPr>
          <w:sz w:val="24"/>
        </w:rPr>
        <w:t>Institute of Translational Medicine, University of Liverpool, Liverpool, UK</w:t>
      </w:r>
    </w:p>
    <w:p w14:paraId="639CB588" w14:textId="77777777" w:rsidR="00C472E0" w:rsidRDefault="00C472E0" w:rsidP="00C472E0">
      <w:pPr>
        <w:pStyle w:val="ListParagraph"/>
        <w:numPr>
          <w:ilvl w:val="0"/>
          <w:numId w:val="1"/>
        </w:numPr>
        <w:spacing w:after="0" w:line="480" w:lineRule="auto"/>
        <w:rPr>
          <w:sz w:val="24"/>
        </w:rPr>
      </w:pPr>
      <w:r>
        <w:rPr>
          <w:sz w:val="24"/>
        </w:rPr>
        <w:t xml:space="preserve">School of Medicine, </w:t>
      </w:r>
      <w:r w:rsidRPr="00601828">
        <w:rPr>
          <w:sz w:val="24"/>
        </w:rPr>
        <w:t xml:space="preserve">University of St Andrews, St Andrews, </w:t>
      </w:r>
      <w:r>
        <w:rPr>
          <w:sz w:val="24"/>
        </w:rPr>
        <w:t>UK</w:t>
      </w:r>
    </w:p>
    <w:p w14:paraId="0DECFE0C" w14:textId="77777777" w:rsidR="00C472E0" w:rsidRPr="00741B33" w:rsidRDefault="00C472E0" w:rsidP="00C472E0">
      <w:pPr>
        <w:spacing w:after="0" w:line="480" w:lineRule="auto"/>
        <w:rPr>
          <w:sz w:val="24"/>
        </w:rPr>
      </w:pPr>
    </w:p>
    <w:p w14:paraId="6BF3E5B2" w14:textId="77777777" w:rsidR="00C472E0" w:rsidRDefault="00C472E0" w:rsidP="00C472E0">
      <w:pPr>
        <w:spacing w:after="0" w:line="480" w:lineRule="auto"/>
        <w:rPr>
          <w:sz w:val="24"/>
        </w:rPr>
      </w:pPr>
      <w:r>
        <w:rPr>
          <w:b/>
          <w:bCs/>
          <w:sz w:val="24"/>
        </w:rPr>
        <w:t xml:space="preserve">Keywords: </w:t>
      </w:r>
      <w:r>
        <w:rPr>
          <w:sz w:val="24"/>
        </w:rPr>
        <w:t>tuberculosis, pulmonary; pharmacokinetics; pharmacodynamics; antibiotics, antitubercular</w:t>
      </w:r>
    </w:p>
    <w:p w14:paraId="06BFC7FE" w14:textId="77777777" w:rsidR="00C472E0" w:rsidRDefault="00C472E0" w:rsidP="00C472E0">
      <w:pPr>
        <w:spacing w:after="0" w:line="480" w:lineRule="auto"/>
        <w:rPr>
          <w:sz w:val="24"/>
        </w:rPr>
      </w:pPr>
    </w:p>
    <w:p w14:paraId="0668052A" w14:textId="174D72AA" w:rsidR="00C472E0" w:rsidRDefault="00C472E0" w:rsidP="00C472E0">
      <w:pPr>
        <w:spacing w:after="0" w:line="480" w:lineRule="auto"/>
        <w:rPr>
          <w:sz w:val="24"/>
        </w:rPr>
      </w:pPr>
      <w:r>
        <w:rPr>
          <w:b/>
          <w:bCs/>
          <w:sz w:val="24"/>
        </w:rPr>
        <w:t xml:space="preserve">Running title: </w:t>
      </w:r>
      <w:r w:rsidR="005B0E82">
        <w:rPr>
          <w:sz w:val="24"/>
        </w:rPr>
        <w:t xml:space="preserve">Intrapulmonary PK </w:t>
      </w:r>
      <w:r>
        <w:rPr>
          <w:sz w:val="24"/>
        </w:rPr>
        <w:t>of anti-TB drugs</w:t>
      </w:r>
    </w:p>
    <w:p w14:paraId="543D7FC1" w14:textId="77777777" w:rsidR="00EA5ED2" w:rsidRPr="00D66420" w:rsidRDefault="00EA5ED2" w:rsidP="00C472E0">
      <w:pPr>
        <w:spacing w:after="0" w:line="480" w:lineRule="auto"/>
        <w:rPr>
          <w:sz w:val="24"/>
        </w:rPr>
      </w:pPr>
    </w:p>
    <w:p w14:paraId="1BEDF402" w14:textId="0710A6CC" w:rsidR="00EA5ED2" w:rsidRDefault="00EA5ED2" w:rsidP="00EA5ED2">
      <w:pPr>
        <w:spacing w:after="0" w:line="480" w:lineRule="auto"/>
        <w:rPr>
          <w:sz w:val="24"/>
        </w:rPr>
      </w:pPr>
      <w:r>
        <w:rPr>
          <w:b/>
          <w:sz w:val="24"/>
        </w:rPr>
        <w:lastRenderedPageBreak/>
        <w:t xml:space="preserve">Corresponding author’s details: </w:t>
      </w:r>
      <w:r>
        <w:rPr>
          <w:sz w:val="24"/>
        </w:rPr>
        <w:t>Dr Andrew D McCallum, C/O Department of Infection,</w:t>
      </w:r>
      <w:r>
        <w:rPr>
          <w:i/>
          <w:iCs/>
          <w:sz w:val="24"/>
        </w:rPr>
        <w:t xml:space="preserve"> </w:t>
      </w:r>
      <w:r>
        <w:rPr>
          <w:sz w:val="24"/>
        </w:rPr>
        <w:t xml:space="preserve">Imperial College Healthcare NHS Trust, The Bays, South Wharf Road, St Mary’s Hospital, London W2 1NY, UK, Tel: </w:t>
      </w:r>
      <w:r w:rsidRPr="004D3D61">
        <w:rPr>
          <w:sz w:val="24"/>
        </w:rPr>
        <w:t>+44 (0)</w:t>
      </w:r>
      <w:r>
        <w:rPr>
          <w:sz w:val="24"/>
        </w:rPr>
        <w:t xml:space="preserve">20 3311 3311, E-mail: </w:t>
      </w:r>
      <w:r w:rsidRPr="006D7F54">
        <w:rPr>
          <w:sz w:val="24"/>
        </w:rPr>
        <w:t>andrew.mccallum@nhs.net</w:t>
      </w:r>
    </w:p>
    <w:p w14:paraId="12B6B6F0" w14:textId="77777777" w:rsidR="00EA5ED2" w:rsidRDefault="00EA5ED2" w:rsidP="00EA5ED2">
      <w:pPr>
        <w:spacing w:after="0" w:line="480" w:lineRule="auto"/>
        <w:rPr>
          <w:sz w:val="24"/>
        </w:rPr>
      </w:pPr>
    </w:p>
    <w:p w14:paraId="212D9785" w14:textId="3C6626AA" w:rsidR="004F5A99" w:rsidRDefault="00EA5ED2" w:rsidP="009C400C">
      <w:pPr>
        <w:spacing w:after="0" w:line="480" w:lineRule="auto"/>
        <w:rPr>
          <w:bCs/>
          <w:sz w:val="24"/>
        </w:rPr>
      </w:pPr>
      <w:r>
        <w:rPr>
          <w:b/>
          <w:sz w:val="24"/>
        </w:rPr>
        <w:t xml:space="preserve">Alternate </w:t>
      </w:r>
      <w:r w:rsidR="00183FC9">
        <w:rPr>
          <w:b/>
          <w:sz w:val="24"/>
        </w:rPr>
        <w:t>c</w:t>
      </w:r>
      <w:r>
        <w:rPr>
          <w:b/>
          <w:sz w:val="24"/>
        </w:rPr>
        <w:t xml:space="preserve">orresponding author’s details: </w:t>
      </w:r>
      <w:r w:rsidR="00F60E7B">
        <w:rPr>
          <w:bCs/>
          <w:sz w:val="24"/>
        </w:rPr>
        <w:t>Prof</w:t>
      </w:r>
      <w:r w:rsidR="004F5A99">
        <w:rPr>
          <w:bCs/>
          <w:sz w:val="24"/>
        </w:rPr>
        <w:t xml:space="preserve"> Henry Mwandumba,</w:t>
      </w:r>
      <w:r w:rsidR="006403E9">
        <w:rPr>
          <w:bCs/>
          <w:sz w:val="24"/>
        </w:rPr>
        <w:t xml:space="preserve"> C/O</w:t>
      </w:r>
      <w:r w:rsidR="004F5A99">
        <w:rPr>
          <w:bCs/>
          <w:sz w:val="24"/>
        </w:rPr>
        <w:t xml:space="preserve"> Liverpool School of Tropical M</w:t>
      </w:r>
      <w:r w:rsidR="006403E9">
        <w:rPr>
          <w:bCs/>
          <w:sz w:val="24"/>
        </w:rPr>
        <w:t>edicine, Pembroke Place</w:t>
      </w:r>
      <w:r w:rsidR="00BC5021">
        <w:rPr>
          <w:bCs/>
          <w:sz w:val="24"/>
        </w:rPr>
        <w:t xml:space="preserve">, Liverpool L3 5QA, UK, Tel: </w:t>
      </w:r>
      <w:r w:rsidR="00640DE5" w:rsidRPr="00640DE5">
        <w:rPr>
          <w:bCs/>
          <w:sz w:val="24"/>
        </w:rPr>
        <w:t>+265 881 073 822</w:t>
      </w:r>
      <w:r w:rsidR="00640DE5">
        <w:rPr>
          <w:bCs/>
          <w:sz w:val="24"/>
        </w:rPr>
        <w:t>, E-mail</w:t>
      </w:r>
      <w:r w:rsidR="003608A0">
        <w:rPr>
          <w:bCs/>
          <w:sz w:val="24"/>
        </w:rPr>
        <w:t xml:space="preserve">: </w:t>
      </w:r>
      <w:r w:rsidR="003608A0" w:rsidRPr="003608A0">
        <w:rPr>
          <w:bCs/>
          <w:sz w:val="24"/>
        </w:rPr>
        <w:t>Henry.Mwandumba@lstmed.ac.uk</w:t>
      </w:r>
    </w:p>
    <w:p w14:paraId="5F9ABDF9" w14:textId="77777777" w:rsidR="00C472E0" w:rsidRPr="00877672" w:rsidRDefault="00C472E0" w:rsidP="00C472E0">
      <w:pPr>
        <w:spacing w:after="0" w:line="480" w:lineRule="auto"/>
        <w:rPr>
          <w:b/>
          <w:bCs/>
          <w:sz w:val="24"/>
        </w:rPr>
      </w:pPr>
    </w:p>
    <w:p w14:paraId="4E76EF9E" w14:textId="77777777" w:rsidR="00C472E0" w:rsidRDefault="00C472E0" w:rsidP="00C472E0">
      <w:pPr>
        <w:spacing w:after="0" w:line="480" w:lineRule="auto"/>
        <w:rPr>
          <w:b/>
          <w:bCs/>
          <w:sz w:val="24"/>
        </w:rPr>
      </w:pPr>
      <w:r>
        <w:rPr>
          <w:b/>
          <w:bCs/>
          <w:sz w:val="24"/>
        </w:rPr>
        <w:t>Summary:</w:t>
      </w:r>
    </w:p>
    <w:p w14:paraId="43D36B65" w14:textId="4A359704" w:rsidR="00C472E0" w:rsidRDefault="00C472E0" w:rsidP="00C472E0">
      <w:pPr>
        <w:spacing w:after="0" w:line="480" w:lineRule="auto"/>
        <w:rPr>
          <w:sz w:val="24"/>
        </w:rPr>
      </w:pPr>
      <w:r w:rsidRPr="00A324BF">
        <w:rPr>
          <w:sz w:val="24"/>
        </w:rPr>
        <w:t>First-line anti-tuberculosis drugs achieve higher concentrations in the lung than</w:t>
      </w:r>
      <w:r>
        <w:rPr>
          <w:sz w:val="24"/>
        </w:rPr>
        <w:t xml:space="preserve"> in </w:t>
      </w:r>
      <w:r w:rsidRPr="00A324BF">
        <w:rPr>
          <w:sz w:val="24"/>
        </w:rPr>
        <w:t xml:space="preserve">plasma in patients on treatment. Despite standard weight-based dosing, rifampicin concentrations </w:t>
      </w:r>
      <w:r w:rsidR="00C3772F">
        <w:rPr>
          <w:sz w:val="24"/>
        </w:rPr>
        <w:t>are</w:t>
      </w:r>
      <w:r w:rsidRPr="00A324BF">
        <w:rPr>
          <w:sz w:val="24"/>
        </w:rPr>
        <w:t xml:space="preserve"> particularly low in plasma, epithelial lining fluid and alveolar cells</w:t>
      </w:r>
      <w:r w:rsidR="00D01125">
        <w:rPr>
          <w:sz w:val="24"/>
        </w:rPr>
        <w:t>. D</w:t>
      </w:r>
      <w:r>
        <w:rPr>
          <w:sz w:val="24"/>
        </w:rPr>
        <w:t>ose refinement may be required</w:t>
      </w:r>
      <w:r w:rsidRPr="00A324BF">
        <w:rPr>
          <w:sz w:val="24"/>
        </w:rPr>
        <w:t xml:space="preserve">. </w:t>
      </w:r>
    </w:p>
    <w:p w14:paraId="20CBEA38" w14:textId="77777777" w:rsidR="00C472E0" w:rsidRDefault="00C472E0" w:rsidP="00C472E0">
      <w:pPr>
        <w:spacing w:line="480" w:lineRule="auto"/>
        <w:rPr>
          <w:sz w:val="24"/>
        </w:rPr>
      </w:pPr>
      <w:r>
        <w:rPr>
          <w:sz w:val="24"/>
        </w:rPr>
        <w:br w:type="page"/>
      </w:r>
    </w:p>
    <w:p w14:paraId="77586539" w14:textId="77777777" w:rsidR="00C472E0" w:rsidRDefault="00C472E0" w:rsidP="00C472E0">
      <w:pPr>
        <w:spacing w:after="0" w:line="480" w:lineRule="auto"/>
        <w:rPr>
          <w:b/>
          <w:sz w:val="24"/>
        </w:rPr>
      </w:pPr>
      <w:r>
        <w:rPr>
          <w:b/>
          <w:sz w:val="24"/>
        </w:rPr>
        <w:lastRenderedPageBreak/>
        <w:t>Abstract</w:t>
      </w:r>
    </w:p>
    <w:p w14:paraId="15302D00" w14:textId="763EC31E" w:rsidR="00C472E0" w:rsidRDefault="00C472E0" w:rsidP="00C472E0">
      <w:pPr>
        <w:spacing w:after="0" w:line="480" w:lineRule="auto"/>
        <w:rPr>
          <w:sz w:val="24"/>
        </w:rPr>
      </w:pPr>
      <w:r w:rsidRPr="000D1691">
        <w:rPr>
          <w:b/>
          <w:bCs/>
          <w:sz w:val="24"/>
        </w:rPr>
        <w:t>BACKGROUND:</w:t>
      </w:r>
      <w:r>
        <w:rPr>
          <w:sz w:val="24"/>
        </w:rPr>
        <w:t xml:space="preserve"> </w:t>
      </w:r>
      <w:r w:rsidR="00A32CF2">
        <w:rPr>
          <w:rFonts w:cstheme="minorHAnsi"/>
          <w:sz w:val="24"/>
          <w:szCs w:val="24"/>
        </w:rPr>
        <w:t>Further work is required to understand the intrapulmonary</w:t>
      </w:r>
      <w:r w:rsidR="00A32CF2" w:rsidRPr="008B3B5C">
        <w:rPr>
          <w:rFonts w:cstheme="minorHAnsi"/>
          <w:sz w:val="24"/>
          <w:szCs w:val="24"/>
        </w:rPr>
        <w:t xml:space="preserve"> </w:t>
      </w:r>
      <w:r w:rsidR="00A32CF2" w:rsidRPr="006E6764">
        <w:rPr>
          <w:rFonts w:cstheme="minorHAnsi"/>
          <w:sz w:val="24"/>
          <w:szCs w:val="24"/>
        </w:rPr>
        <w:t>pharmacokinetics of first-line anti-tuberculosis drugs</w:t>
      </w:r>
      <w:r>
        <w:rPr>
          <w:sz w:val="24"/>
        </w:rPr>
        <w:t>. This study aimed to describe the plasma and intrapulmonary pharmacokinetics of rifampicin, isoniazid, pyrazinamide, and ethambutol, and explore relationships with</w:t>
      </w:r>
      <w:r w:rsidRPr="00CE5A8A">
        <w:rPr>
          <w:sz w:val="24"/>
        </w:rPr>
        <w:t xml:space="preserve"> clinical treatment outcomes </w:t>
      </w:r>
      <w:r>
        <w:rPr>
          <w:sz w:val="24"/>
        </w:rPr>
        <w:t>in</w:t>
      </w:r>
      <w:r w:rsidRPr="00CE5A8A">
        <w:rPr>
          <w:sz w:val="24"/>
        </w:rPr>
        <w:t xml:space="preserve"> patients with pulmonary </w:t>
      </w:r>
      <w:r>
        <w:rPr>
          <w:sz w:val="24"/>
        </w:rPr>
        <w:t>tuberculosis.</w:t>
      </w:r>
    </w:p>
    <w:p w14:paraId="743B250D" w14:textId="77777777" w:rsidR="00C472E0" w:rsidRDefault="00C472E0" w:rsidP="00C472E0">
      <w:pPr>
        <w:spacing w:after="0" w:line="480" w:lineRule="auto"/>
        <w:rPr>
          <w:sz w:val="24"/>
        </w:rPr>
      </w:pPr>
    </w:p>
    <w:p w14:paraId="1C094B93" w14:textId="1B5B921F" w:rsidR="00C472E0" w:rsidRDefault="00C472E0" w:rsidP="00C472E0">
      <w:pPr>
        <w:spacing w:after="0" w:line="480" w:lineRule="auto"/>
        <w:rPr>
          <w:sz w:val="24"/>
        </w:rPr>
      </w:pPr>
      <w:r w:rsidRPr="000D1691">
        <w:rPr>
          <w:b/>
          <w:bCs/>
          <w:sz w:val="24"/>
        </w:rPr>
        <w:t>METHODS:</w:t>
      </w:r>
      <w:r>
        <w:rPr>
          <w:sz w:val="24"/>
        </w:rPr>
        <w:t xml:space="preserve"> Malawian a</w:t>
      </w:r>
      <w:r w:rsidRPr="00F95981">
        <w:rPr>
          <w:sz w:val="24"/>
        </w:rPr>
        <w:t xml:space="preserve">dults with </w:t>
      </w:r>
      <w:r>
        <w:rPr>
          <w:sz w:val="24"/>
        </w:rPr>
        <w:t xml:space="preserve">a first presentation of </w:t>
      </w:r>
      <w:proofErr w:type="gramStart"/>
      <w:r w:rsidRPr="00F95981">
        <w:rPr>
          <w:sz w:val="24"/>
        </w:rPr>
        <w:t>microbiologically-confirmed</w:t>
      </w:r>
      <w:proofErr w:type="gramEnd"/>
      <w:r w:rsidRPr="00F95981">
        <w:rPr>
          <w:sz w:val="24"/>
        </w:rPr>
        <w:t xml:space="preserve"> pulmonary </w:t>
      </w:r>
      <w:r>
        <w:rPr>
          <w:sz w:val="24"/>
        </w:rPr>
        <w:t>tuberculosis</w:t>
      </w:r>
      <w:r w:rsidRPr="00F95981">
        <w:rPr>
          <w:sz w:val="24"/>
        </w:rPr>
        <w:t xml:space="preserve"> </w:t>
      </w:r>
      <w:r>
        <w:rPr>
          <w:sz w:val="24"/>
        </w:rPr>
        <w:t>r</w:t>
      </w:r>
      <w:r w:rsidRPr="00F95981">
        <w:rPr>
          <w:sz w:val="24"/>
        </w:rPr>
        <w:t xml:space="preserve">eceived standard </w:t>
      </w:r>
      <w:r>
        <w:rPr>
          <w:sz w:val="24"/>
        </w:rPr>
        <w:t xml:space="preserve">6-month </w:t>
      </w:r>
      <w:r w:rsidRPr="00F95981">
        <w:rPr>
          <w:sz w:val="24"/>
        </w:rPr>
        <w:t>first-line</w:t>
      </w:r>
      <w:r>
        <w:rPr>
          <w:sz w:val="24"/>
        </w:rPr>
        <w:t xml:space="preserve"> </w:t>
      </w:r>
      <w:r w:rsidRPr="00F95981">
        <w:rPr>
          <w:sz w:val="24"/>
        </w:rPr>
        <w:t>therapy</w:t>
      </w:r>
      <w:r>
        <w:rPr>
          <w:sz w:val="24"/>
        </w:rPr>
        <w:t xml:space="preserve">. </w:t>
      </w:r>
      <w:r w:rsidRPr="00F95981">
        <w:rPr>
          <w:sz w:val="24"/>
        </w:rPr>
        <w:t>Plasma and intrapulmonary samples were collected 8 and 16 weeks into treatment and drug concentrations measured</w:t>
      </w:r>
      <w:r>
        <w:rPr>
          <w:sz w:val="24"/>
        </w:rPr>
        <w:t xml:space="preserve"> </w:t>
      </w:r>
      <w:r w:rsidRPr="00F95981">
        <w:rPr>
          <w:sz w:val="24"/>
        </w:rPr>
        <w:t xml:space="preserve">in plasma, </w:t>
      </w:r>
      <w:r w:rsidR="001B3B64">
        <w:rPr>
          <w:sz w:val="24"/>
        </w:rPr>
        <w:t>lung</w:t>
      </w:r>
      <w:r w:rsidR="006520AE">
        <w:rPr>
          <w:sz w:val="24"/>
        </w:rPr>
        <w:t>/airway</w:t>
      </w:r>
      <w:r w:rsidR="001B3B64">
        <w:rPr>
          <w:sz w:val="24"/>
        </w:rPr>
        <w:t xml:space="preserve"> </w:t>
      </w:r>
      <w:r w:rsidRPr="00F95981">
        <w:rPr>
          <w:sz w:val="24"/>
        </w:rPr>
        <w:t>epithelial lining fluid, and alveolar cells</w:t>
      </w:r>
      <w:r>
        <w:rPr>
          <w:sz w:val="24"/>
        </w:rPr>
        <w:t xml:space="preserve">. </w:t>
      </w:r>
      <w:r w:rsidRPr="00F95981">
        <w:rPr>
          <w:sz w:val="24"/>
        </w:rPr>
        <w:t xml:space="preserve">Population </w:t>
      </w:r>
      <w:r>
        <w:rPr>
          <w:sz w:val="24"/>
        </w:rPr>
        <w:t xml:space="preserve">pharmacokinetic </w:t>
      </w:r>
      <w:r w:rsidRPr="00F95981">
        <w:rPr>
          <w:sz w:val="24"/>
        </w:rPr>
        <w:t xml:space="preserve">modelling generated estimates of drug exposure </w:t>
      </w:r>
      <w:r>
        <w:rPr>
          <w:sz w:val="24"/>
        </w:rPr>
        <w:t>(</w:t>
      </w:r>
      <w:proofErr w:type="spellStart"/>
      <w:r w:rsidRPr="00B650B7">
        <w:rPr>
          <w:sz w:val="24"/>
        </w:rPr>
        <w:t>C</w:t>
      </w:r>
      <w:r w:rsidRPr="00B650B7">
        <w:rPr>
          <w:sz w:val="24"/>
          <w:vertAlign w:val="subscript"/>
        </w:rPr>
        <w:t>max</w:t>
      </w:r>
      <w:proofErr w:type="spellEnd"/>
      <w:r w:rsidRPr="00B650B7">
        <w:rPr>
          <w:sz w:val="24"/>
          <w:vertAlign w:val="subscript"/>
        </w:rPr>
        <w:t xml:space="preserve"> </w:t>
      </w:r>
      <w:r>
        <w:rPr>
          <w:sz w:val="24"/>
        </w:rPr>
        <w:t xml:space="preserve">and </w:t>
      </w:r>
      <w:r w:rsidRPr="00B650B7">
        <w:rPr>
          <w:sz w:val="24"/>
        </w:rPr>
        <w:t>AUC</w:t>
      </w:r>
      <w:r>
        <w:rPr>
          <w:sz w:val="24"/>
        </w:rPr>
        <w:t xml:space="preserve">) from </w:t>
      </w:r>
      <w:r w:rsidRPr="00F95981">
        <w:rPr>
          <w:sz w:val="24"/>
        </w:rPr>
        <w:t xml:space="preserve">individual-level post-hoc Bayesian estimates of plasma and intrapulmonary </w:t>
      </w:r>
      <w:r>
        <w:rPr>
          <w:sz w:val="24"/>
        </w:rPr>
        <w:t>pharmacokinetics</w:t>
      </w:r>
      <w:r w:rsidRPr="00F95981">
        <w:rPr>
          <w:sz w:val="24"/>
        </w:rPr>
        <w:t xml:space="preserve">. </w:t>
      </w:r>
    </w:p>
    <w:p w14:paraId="2BA516F4" w14:textId="77777777" w:rsidR="00C472E0" w:rsidRPr="000D1691" w:rsidRDefault="00C472E0" w:rsidP="00C472E0">
      <w:pPr>
        <w:spacing w:after="0" w:line="480" w:lineRule="auto"/>
        <w:rPr>
          <w:b/>
          <w:bCs/>
          <w:sz w:val="24"/>
        </w:rPr>
      </w:pPr>
    </w:p>
    <w:p w14:paraId="776E4C3B" w14:textId="77777777" w:rsidR="00C472E0" w:rsidRDefault="00C472E0" w:rsidP="00C472E0">
      <w:pPr>
        <w:spacing w:after="0" w:line="480" w:lineRule="auto"/>
        <w:rPr>
          <w:sz w:val="24"/>
        </w:rPr>
      </w:pPr>
      <w:r w:rsidRPr="000D1691">
        <w:rPr>
          <w:b/>
          <w:bCs/>
          <w:sz w:val="24"/>
        </w:rPr>
        <w:t>RESULTS:</w:t>
      </w:r>
      <w:r>
        <w:rPr>
          <w:sz w:val="24"/>
        </w:rPr>
        <w:t xml:space="preserve"> One-hundred-and-fifty-seven patients (58% HIV co-infected) participated. </w:t>
      </w:r>
      <w:r w:rsidRPr="00981793">
        <w:rPr>
          <w:sz w:val="24"/>
        </w:rPr>
        <w:t xml:space="preserve">Despite </w:t>
      </w:r>
      <w:r>
        <w:rPr>
          <w:sz w:val="24"/>
        </w:rPr>
        <w:t xml:space="preserve">standard </w:t>
      </w:r>
      <w:r w:rsidRPr="00981793">
        <w:rPr>
          <w:sz w:val="24"/>
        </w:rPr>
        <w:t xml:space="preserve">weight-based dosing, peak plasma concentrations of first-line drugs were </w:t>
      </w:r>
      <w:r>
        <w:rPr>
          <w:sz w:val="24"/>
        </w:rPr>
        <w:t>be</w:t>
      </w:r>
      <w:r w:rsidRPr="00981793">
        <w:rPr>
          <w:sz w:val="24"/>
        </w:rPr>
        <w:t xml:space="preserve">low therapeutic drug monitoring targets. </w:t>
      </w:r>
      <w:r>
        <w:rPr>
          <w:sz w:val="24"/>
        </w:rPr>
        <w:t>R</w:t>
      </w:r>
      <w:r w:rsidRPr="00B931EF">
        <w:rPr>
          <w:sz w:val="24"/>
        </w:rPr>
        <w:t xml:space="preserve">ifampicin </w:t>
      </w:r>
      <w:r>
        <w:rPr>
          <w:sz w:val="24"/>
        </w:rPr>
        <w:t>concentrations</w:t>
      </w:r>
      <w:r w:rsidRPr="00B931EF">
        <w:rPr>
          <w:sz w:val="24"/>
        </w:rPr>
        <w:t xml:space="preserve"> were low</w:t>
      </w:r>
      <w:r>
        <w:rPr>
          <w:sz w:val="24"/>
        </w:rPr>
        <w:t xml:space="preserve"> in all three compartments. Isoniazid, pyrazinamide, and ethambutol </w:t>
      </w:r>
      <w:r w:rsidRPr="00981793">
        <w:rPr>
          <w:sz w:val="24"/>
        </w:rPr>
        <w:t xml:space="preserve">achieved higher concentrations in </w:t>
      </w:r>
      <w:r>
        <w:rPr>
          <w:sz w:val="24"/>
        </w:rPr>
        <w:t>epithelial lining fluid</w:t>
      </w:r>
      <w:r w:rsidRPr="00981793">
        <w:rPr>
          <w:sz w:val="24"/>
        </w:rPr>
        <w:t xml:space="preserve"> and </w:t>
      </w:r>
      <w:r>
        <w:rPr>
          <w:sz w:val="24"/>
        </w:rPr>
        <w:t>alveolar cells than plasma.</w:t>
      </w:r>
      <w:r w:rsidRPr="00981793">
        <w:rPr>
          <w:sz w:val="24"/>
        </w:rPr>
        <w:t xml:space="preserve"> </w:t>
      </w:r>
      <w:r>
        <w:rPr>
          <w:sz w:val="24"/>
        </w:rPr>
        <w:t>I</w:t>
      </w:r>
      <w:r w:rsidRPr="00981793">
        <w:rPr>
          <w:sz w:val="24"/>
        </w:rPr>
        <w:t>soniazid and pyrazinamide</w:t>
      </w:r>
      <w:r>
        <w:rPr>
          <w:sz w:val="24"/>
        </w:rPr>
        <w:t xml:space="preserve"> concentrations</w:t>
      </w:r>
      <w:r w:rsidRPr="00981793">
        <w:rPr>
          <w:sz w:val="24"/>
        </w:rPr>
        <w:t xml:space="preserve"> </w:t>
      </w:r>
      <w:r>
        <w:rPr>
          <w:sz w:val="24"/>
        </w:rPr>
        <w:t>were 14.6 (95% CI: 11.2-18.0)</w:t>
      </w:r>
      <w:r w:rsidRPr="00981793">
        <w:rPr>
          <w:sz w:val="24"/>
        </w:rPr>
        <w:t xml:space="preserve"> and </w:t>
      </w:r>
      <w:r>
        <w:rPr>
          <w:sz w:val="24"/>
        </w:rPr>
        <w:t>49.8</w:t>
      </w:r>
      <w:r w:rsidRPr="00981793">
        <w:rPr>
          <w:sz w:val="24"/>
        </w:rPr>
        <w:t>-fold</w:t>
      </w:r>
      <w:r>
        <w:rPr>
          <w:sz w:val="24"/>
        </w:rPr>
        <w:t xml:space="preserve"> (95% CI: 34.2-65.3)</w:t>
      </w:r>
      <w:r w:rsidRPr="00981793">
        <w:rPr>
          <w:sz w:val="24"/>
        </w:rPr>
        <w:t xml:space="preserve"> higher in </w:t>
      </w:r>
      <w:r>
        <w:rPr>
          <w:sz w:val="24"/>
        </w:rPr>
        <w:t>lining fluid</w:t>
      </w:r>
      <w:r w:rsidRPr="00981793">
        <w:rPr>
          <w:sz w:val="24"/>
        </w:rPr>
        <w:t xml:space="preserve"> than plasma respectively</w:t>
      </w:r>
      <w:r>
        <w:rPr>
          <w:sz w:val="24"/>
        </w:rPr>
        <w:t>. E</w:t>
      </w:r>
      <w:r w:rsidRPr="00981793">
        <w:rPr>
          <w:sz w:val="24"/>
        </w:rPr>
        <w:t>thambutol concentrations were highest in alveolar cells</w:t>
      </w:r>
      <w:r>
        <w:rPr>
          <w:sz w:val="24"/>
        </w:rPr>
        <w:t xml:space="preserve"> (alveolar </w:t>
      </w:r>
      <w:proofErr w:type="spellStart"/>
      <w:r>
        <w:rPr>
          <w:sz w:val="24"/>
        </w:rPr>
        <w:t>cells:plasma</w:t>
      </w:r>
      <w:proofErr w:type="spellEnd"/>
      <w:r>
        <w:rPr>
          <w:sz w:val="24"/>
        </w:rPr>
        <w:t xml:space="preserve"> ratio 15.0, 95% CI 11.4-18.6)</w:t>
      </w:r>
      <w:r w:rsidRPr="00981793">
        <w:rPr>
          <w:sz w:val="24"/>
        </w:rPr>
        <w:t>.</w:t>
      </w:r>
      <w:r>
        <w:rPr>
          <w:sz w:val="24"/>
        </w:rPr>
        <w:t xml:space="preserve"> Plasma or intrapulmonary pharmacokinetics did not predict clinical treatment response.</w:t>
      </w:r>
    </w:p>
    <w:p w14:paraId="5D6F591C" w14:textId="77777777" w:rsidR="00C472E0" w:rsidRDefault="00C472E0" w:rsidP="00C472E0">
      <w:pPr>
        <w:spacing w:after="0" w:line="480" w:lineRule="auto"/>
        <w:rPr>
          <w:sz w:val="24"/>
        </w:rPr>
      </w:pPr>
    </w:p>
    <w:p w14:paraId="13BA73BF" w14:textId="77777777" w:rsidR="00C472E0" w:rsidRDefault="00C472E0" w:rsidP="00C472E0">
      <w:pPr>
        <w:spacing w:after="0" w:line="480" w:lineRule="auto"/>
        <w:rPr>
          <w:sz w:val="24"/>
        </w:rPr>
      </w:pPr>
      <w:r w:rsidRPr="000D1691">
        <w:rPr>
          <w:b/>
          <w:bCs/>
          <w:sz w:val="24"/>
        </w:rPr>
        <w:t>CONCLUSIONS:</w:t>
      </w:r>
      <w:r>
        <w:rPr>
          <w:sz w:val="24"/>
        </w:rPr>
        <w:t xml:space="preserve"> We report differential drug concentrations between plasma and the lung. </w:t>
      </w:r>
      <w:r w:rsidRPr="00117732">
        <w:rPr>
          <w:sz w:val="24"/>
        </w:rPr>
        <w:t xml:space="preserve">While plasma concentrations were below </w:t>
      </w:r>
      <w:r>
        <w:rPr>
          <w:sz w:val="24"/>
        </w:rPr>
        <w:t xml:space="preserve">therapeutic </w:t>
      </w:r>
      <w:r w:rsidRPr="00117732">
        <w:rPr>
          <w:sz w:val="24"/>
        </w:rPr>
        <w:t>monitoring targets, accumulation of drug</w:t>
      </w:r>
      <w:r>
        <w:rPr>
          <w:sz w:val="24"/>
        </w:rPr>
        <w:t>s</w:t>
      </w:r>
      <w:r w:rsidRPr="00117732">
        <w:rPr>
          <w:sz w:val="24"/>
        </w:rPr>
        <w:t xml:space="preserve"> </w:t>
      </w:r>
      <w:r>
        <w:rPr>
          <w:sz w:val="24"/>
        </w:rPr>
        <w:t>at the site of disease</w:t>
      </w:r>
      <w:r w:rsidRPr="00117732">
        <w:rPr>
          <w:sz w:val="24"/>
        </w:rPr>
        <w:t xml:space="preserve"> may explain the success of the first</w:t>
      </w:r>
      <w:r>
        <w:rPr>
          <w:sz w:val="24"/>
        </w:rPr>
        <w:t>-</w:t>
      </w:r>
      <w:r w:rsidRPr="00117732">
        <w:rPr>
          <w:sz w:val="24"/>
        </w:rPr>
        <w:t xml:space="preserve">line </w:t>
      </w:r>
      <w:r>
        <w:rPr>
          <w:sz w:val="24"/>
        </w:rPr>
        <w:t>regimen</w:t>
      </w:r>
      <w:r w:rsidRPr="00117732">
        <w:rPr>
          <w:sz w:val="24"/>
        </w:rPr>
        <w:t>.</w:t>
      </w:r>
      <w:r>
        <w:rPr>
          <w:sz w:val="24"/>
        </w:rPr>
        <w:t xml:space="preserve"> The low rifampicin concentrations observed in all compartments lend strong support for ongoing clinical trials of high-dose rifampicin regimens. </w:t>
      </w:r>
    </w:p>
    <w:p w14:paraId="72F7216D" w14:textId="77777777" w:rsidR="00C472E0" w:rsidRDefault="00C472E0" w:rsidP="00C472E0">
      <w:pPr>
        <w:spacing w:after="0" w:line="480" w:lineRule="auto"/>
        <w:rPr>
          <w:sz w:val="24"/>
        </w:rPr>
      </w:pPr>
    </w:p>
    <w:p w14:paraId="0DCA57E6" w14:textId="77777777" w:rsidR="00C472E0" w:rsidRDefault="00C472E0" w:rsidP="00C472E0">
      <w:pPr>
        <w:spacing w:after="0" w:line="480" w:lineRule="auto"/>
        <w:rPr>
          <w:b/>
          <w:sz w:val="24"/>
        </w:rPr>
      </w:pPr>
      <w:r>
        <w:rPr>
          <w:b/>
          <w:sz w:val="24"/>
        </w:rPr>
        <w:br w:type="page"/>
      </w:r>
    </w:p>
    <w:p w14:paraId="269ACB6D" w14:textId="77777777" w:rsidR="00C472E0" w:rsidRDefault="00C472E0" w:rsidP="00C472E0">
      <w:pPr>
        <w:spacing w:after="0" w:line="480" w:lineRule="auto"/>
        <w:rPr>
          <w:b/>
          <w:sz w:val="24"/>
        </w:rPr>
      </w:pPr>
      <w:r>
        <w:rPr>
          <w:b/>
          <w:sz w:val="24"/>
        </w:rPr>
        <w:lastRenderedPageBreak/>
        <w:t>Introduction</w:t>
      </w:r>
    </w:p>
    <w:p w14:paraId="38E8EC7A" w14:textId="5F9AAB7F" w:rsidR="00C47DF1" w:rsidRDefault="00C472E0" w:rsidP="00C472E0">
      <w:pPr>
        <w:spacing w:line="480" w:lineRule="auto"/>
        <w:rPr>
          <w:sz w:val="24"/>
          <w:szCs w:val="24"/>
        </w:rPr>
      </w:pPr>
      <w:r>
        <w:rPr>
          <w:sz w:val="24"/>
          <w:szCs w:val="24"/>
        </w:rPr>
        <w:t>Whilst effective antibiotics for tuberculosis (TB) have been widely available for several decades, cure rates in high burden countries remain</w:t>
      </w:r>
      <w:r w:rsidRPr="00BF58AF">
        <w:rPr>
          <w:sz w:val="24"/>
          <w:szCs w:val="24"/>
        </w:rPr>
        <w:t xml:space="preserve"> </w:t>
      </w:r>
      <w:r>
        <w:rPr>
          <w:sz w:val="24"/>
          <w:szCs w:val="24"/>
        </w:rPr>
        <w:t xml:space="preserve">variable </w:t>
      </w:r>
      <w:r>
        <w:rPr>
          <w:sz w:val="24"/>
          <w:szCs w:val="24"/>
        </w:rPr>
        <w:fldChar w:fldCharType="begin" w:fldLock="1"/>
      </w:r>
      <w:r w:rsidR="00706EA0">
        <w:rPr>
          <w:sz w:val="24"/>
          <w:szCs w:val="24"/>
        </w:rPr>
        <w:instrText>ADDIN CSL_CITATION {"citationItems":[{"id":"ITEM-1","itemData":{"author":[{"dropping-particle":"","family":"World Health Organization","given":"","non-dropping-particle":"","parse-names":false,"suffix":""}],"id":"ITEM-1","issued":{"date-parts":[["2019"]]},"publisher":"WHO","publisher-place":"Geneva","title":"Global Tuberculosis Report 2019","type":"article"},"uris":["http://www.mendeley.com/documents/?uuid=a4d8016e-0488-4da0-8787-ca13f034c3b1"]}],"mendeley":{"formattedCitation":"[1]","plainTextFormattedCitation":"[1]","previouslyFormattedCitation":"[1]"},"properties":{"noteIndex":0},"schema":"https://github.com/citation-style-language/schema/raw/master/csl-citation.json"}</w:instrText>
      </w:r>
      <w:r>
        <w:rPr>
          <w:sz w:val="24"/>
          <w:szCs w:val="24"/>
        </w:rPr>
        <w:fldChar w:fldCharType="separate"/>
      </w:r>
      <w:r w:rsidRPr="00C472E0">
        <w:rPr>
          <w:noProof/>
          <w:sz w:val="24"/>
          <w:szCs w:val="24"/>
        </w:rPr>
        <w:t>[1]</w:t>
      </w:r>
      <w:r>
        <w:rPr>
          <w:sz w:val="24"/>
          <w:szCs w:val="24"/>
        </w:rPr>
        <w:fldChar w:fldCharType="end"/>
      </w:r>
      <w:r w:rsidR="00706EA0">
        <w:rPr>
          <w:sz w:val="24"/>
          <w:szCs w:val="24"/>
        </w:rPr>
        <w:t xml:space="preserve">. </w:t>
      </w:r>
      <w:r w:rsidR="008C3AC3" w:rsidRPr="00D71DD7">
        <w:rPr>
          <w:sz w:val="24"/>
          <w:szCs w:val="24"/>
          <w:lang w:eastAsia="en-GB"/>
        </w:rPr>
        <w:t>R</w:t>
      </w:r>
      <w:r w:rsidR="008C3AC3">
        <w:rPr>
          <w:sz w:val="24"/>
          <w:szCs w:val="24"/>
        </w:rPr>
        <w:t xml:space="preserve">evisiting the </w:t>
      </w:r>
      <w:r w:rsidR="008C3AC3">
        <w:rPr>
          <w:sz w:val="24"/>
          <w:szCs w:val="24"/>
          <w:lang w:eastAsia="en-GB"/>
        </w:rPr>
        <w:t>pharmacokinetics-pharmacodynamics</w:t>
      </w:r>
      <w:r w:rsidR="008C3AC3">
        <w:rPr>
          <w:sz w:val="24"/>
          <w:szCs w:val="24"/>
        </w:rPr>
        <w:t xml:space="preserve"> of first-line agents, in patients with active pulmonary disease, may identify opportunities to optimise or abbreviate anti-TB treatment.</w:t>
      </w:r>
    </w:p>
    <w:p w14:paraId="4BB210C9" w14:textId="77777777" w:rsidR="002F05FF" w:rsidRDefault="002F05FF" w:rsidP="00C472E0">
      <w:pPr>
        <w:spacing w:line="480" w:lineRule="auto"/>
        <w:rPr>
          <w:sz w:val="24"/>
          <w:szCs w:val="24"/>
        </w:rPr>
      </w:pPr>
    </w:p>
    <w:p w14:paraId="1555959F" w14:textId="67CA5AEC" w:rsidR="000343C0" w:rsidRDefault="002F05FF" w:rsidP="00C472E0">
      <w:pPr>
        <w:spacing w:line="480" w:lineRule="auto"/>
        <w:rPr>
          <w:sz w:val="24"/>
          <w:szCs w:val="24"/>
        </w:rPr>
      </w:pPr>
      <w:r w:rsidRPr="000343C0">
        <w:rPr>
          <w:sz w:val="24"/>
          <w:szCs w:val="24"/>
        </w:rPr>
        <w:t>Plasma pharmacokinetic indices for first-line anti-TB drugs vary by up to 10-fold between individuals</w:t>
      </w:r>
      <w:r>
        <w:rPr>
          <w:sz w:val="24"/>
          <w:szCs w:val="24"/>
        </w:rPr>
        <w:t xml:space="preserve"> </w:t>
      </w:r>
      <w:r>
        <w:rPr>
          <w:sz w:val="24"/>
          <w:szCs w:val="24"/>
        </w:rPr>
        <w:fldChar w:fldCharType="begin" w:fldLock="1"/>
      </w:r>
      <w:r>
        <w:rPr>
          <w:sz w:val="24"/>
          <w:szCs w:val="24"/>
        </w:rPr>
        <w:instrText>ADDIN CSL_CITATION {"citationItems":[{"id":"ITEM-1","itemData":{"DOI":"10.1111/j.1365-2125.2011.03940.x","ISBN":"1365-2125 (Electronic)\r0306-5251 (Linking)","PMID":"21320152","abstract":"AIM: This study was designed to characterize the population pharmacokinetics of isoniazid in South African pulmonary tuberculosis patients. METHODS: Concentration-time measurements obtained from 235 patients receiving oral doses of isoniazid as part of routine tuberculosis chemotherapy in two clinical studies were pooled and subjected to nonlinear mixed-effects analysis. RESULTS: A two-compartmental model, including first-order absorption and elimination with allometric scaling, was found to describe the observed dose-exposure relationship for oral isoniazid adequately. A mixture model was used to characterize dual rates of isoniazid elimination. Estimates of apparent clearance in slow and fast eliminators were 9.70 and 21.6 l h(-1) , respectively. The proportion of fast eliminators in the population was estimated to be 13.2%. Central volume of distribution was estimated to be 10% smaller in female patients and clearance was found to be 17% lower in patients with HIV. Variability in absorption rate (90%) was completely interoccasional in nature, whereas in relative bioavailability, interoccasional variability (8.4%) was lower than interindividual variability (26%). Oral doses, given once daily according to dosing policies at the time, were sufficient to reach therapeutic concentrations in the majority of the studied population, regardless of eliminator phenotype. Simulations suggested that current treatment guidelines (5 mg kg(-1) ) may be suboptimal in fast eliminators with low body weight. CONCLUSIONS: A population pharmacokinetic model was developed to characterize the highly variable pharmacokinetics of isoniazid in a South African pulmonary tuberculosis patient population. Current treatment guidelines may lead to underexposure in rapid isoniazid eliminators.","author":[{"dropping-particle":"","family":"Wilkins","given":"J J","non-dropping-particle":"","parse-names":false,"suffix":""},{"dropping-particle":"","family":"Langdon","given":"G","non-dropping-particle":"","parse-names":false,"suffix":""},{"dropping-particle":"","family":"McIlleron","given":"H","non-dropping-particle":"","parse-names":false,"suffix":""},{"dropping-particle":"","family":"Pillai","given":"G","non-dropping-particle":"","parse-names":false,"suffix":""},{"dropping-particle":"","family":"Smith","given":"P J","non-dropping-particle":"","parse-names":false,"suffix":""},{"dropping-particle":"","family":"Simonsson","given":"U S","non-dropping-particle":"","parse-names":false,"suffix":""}],"container-title":"Br J Clin Pharmacol","id":"ITEM-1","issue":"1","issued":{"date-parts":[["2011"]]},"note":"Wilkins, Justin J\nLangdon, Grant\nMcIlleron, Helen\nPillai, Goonaseelan\nSmith, Peter J\nSimonsson, Ulrika S H\neng\nResearch Support, Non-U.S. Gov't\nEngland\n2011/02/16 06:00\nBr J Clin Pharmacol. 2011 Jul;72(1):51-62. doi: 10.1111/j.1365-2125.2011.03940.x.","page":"51-62","title":"Variability in the population pharmacokinetics of isoniazid in South African tuberculosis patients","type":"article-journal","volume":"72"},"uris":["http://www.mendeley.com/documents/?uuid=f9a599be-45ab-41c4-95ce-a2540bc29ddf"]},{"id":"ITEM-2","itemData":{"DOI":"10.1128/AAC.00274-11","ISBN":"1098-6596 (Electronic)\r0066-4804 (Linking)","PMID":"21690284","abstract":"Ethambutol, one of four drugs in the first-line antitubercular regimen, is used to protect against rifampin resistance in the event of preexisting resistance to isoniazid. The population pharmacokinetics of ethambutol in South African patients with pulmonary tuberculosis were characterized using nonlinear mixed-effects modeling. Patients from 2 centers were treated with ethambutol (800 to 1,500 mg daily) combined with standard antitubercular medication. Plasma concentrations of ethambutol were measured following multiple doses at steady state and were determined using a validated high-pressure liquid chromatography-tandem mass spectrometric method. The data comprised 189 patients (54% male, 12% HIV positive) weighing 47 kg, on average (range, 29 to 86 kg), and having a mean age of 36 years (range, 16 to 72 years). The estimated creatinine clearance was 79 ml/min (range, 23 to 150 ml/min). A two-compartment model with one transit compartment prior to first-order absorption and allometric scaling by body weight on clearance and volume terms was selected. HIV infection was associated with a 15% reduction in bioavailability. Renal function was not related to ethambutol clearance in this cohort. Interoccasion variability exceeded interindividual variability for oral clearance (coefficient of variation, 36 versus 20%). Typical oral clearance in this analysis (39.9 liters/h for a 50-kg individual) was lower than that previously reported, a finding partly explained by the differences in body weight between the studied populations. In summary, a population model describing the pharmacokinetics of ethambutol in South African tuberculosis patients was developed, but additional studies are needed to characterize the effects of renal function.","author":[{"dropping-particle":"","family":"Jonsson","given":"S","non-dropping-particle":"","parse-names":false,"suffix":""},{"dropping-particle":"","family":"Davidse","given":"A","non-dropping-particle":"","parse-names":false,"suffix":""},{"dropping-particle":"","family":"Wilkins","given":"J","non-dropping-particle":"","parse-names":false,"suffix":""},{"dropping-particle":"","family":"Walt","given":"J S","non-dropping-particle":"Van der","parse-names":false,"suffix":""},{"dropping-particle":"","family":"Simonsson","given":"U S","non-dropping-particle":"","parse-names":false,"suffix":""},{"dropping-particle":"","family":"Karlsson","given":"M O","non-dropping-particle":"","parse-names":false,"suffix":""},{"dropping-particle":"","family":"Smith","given":"P","non-dropping-particle":"","parse-names":false,"suffix":""},{"dropping-particle":"","family":"McIlleron","given":"H","non-dropping-particle":"","parse-names":false,"suffix":""}],"container-title":"Antimicrob Agents Chemother","id":"ITEM-2","issue":"9","issued":{"date-parts":[["2011"]]},"note":"Jonsson, Siv\nDavidse, Alistair\nWilkins, Justin\nVan der Walt, Jan-Stefan\nSimonsson, Ulrika S H\nKarlsson, Mats O\nSmith, Peter\nMcIlleron, Helen\neng\nU2R TW007370/TW/FIC NIH HHS/\nU2R TW007373/TW/FIC NIH HHS/\n5U2RTW007373/PHS HHS/\nU2RTW007370/3/PHS HHS/\nResearch Support, N.I.H., Extramural\nResearch Support, Non-U.S. Gov't\n2011/06/22 06:00\nAntimicrob Agents Chemother. 2011 Sep;55(9):4230-7. doi: 10.1128/AAC.00274-11. Epub 2011 Jun 20.","page":"4230-4237","title":"Population pharmacokinetics of ethambutol in South African tuberculosis patients","type":"article-journal","volume":"55"},"uris":["http://www.mendeley.com/documents/?uuid=651d1b38-cf55-4303-b4b0-da089bd31745"]},{"id":"ITEM-3","itemData":{"DOI":"10.1128/AAC.00461-07","ISBN":"1098-6596 (Electronic)\r0066-4804 (Linking)","PMID":"18391026","abstract":"This article describes the population pharmacokinetics of rifampin in South African pulmonary tuberculosis patients. Three datasets containing 2,913 rifampin plasma concentration-time data points, collected from 261 South African pulmonary tuberculosis patients aged 18 to 72 years and weighing 28.5 to 85.5 kg and receiving regular daily treatment that included administration of rifampin (450 to 600 mg) for at least 10 days, were pooled. A compartmental pharmacokinetic model was developed using nonlinear mixed-effects modeling. Variability in the shape of the absorption curve was described using a flexible transit compartment model, in which a delay in the onset of absorption and a gradually changing absorption rate were modeled as the passage of drug through a chain of hypothetical compartments, ultimately reaching the absorption compartment. A previously described implementation was extended to allow its application to multiple-dosing data. The typical population estimate of oral clearance was 19.2 liters x h(-1), while the volume of distribution was estimated to be 53.2 liters. Interindividual variability was estimated to be 52.8% for clearance and 43.4% for volume of distribution. Interoccasional variability was estimated for CL/F (22.5%) and mean transit time during absorption (67.9%). The use of single-drug formulations was found to increase both the mean transit time (by 104%) and clearance (by 23.6%) relative to fixed-dose-combination use. A strong correlation between clearance and volume of distribution suggested substantial variability in bioavailability, which could have clinical implications, given the dependence of treatment effectiveness on exposure. The final model successfully described rifampin pharmacokinetics in the population studied and is suitable for simulation in this context.","author":[{"dropping-particle":"","family":"Wilkins","given":"J J","non-dropping-particle":"","parse-names":false,"suffix":""},{"dropping-particle":"","family":"Savic","given":"R M","non-dropping-particle":"","parse-names":false,"suffix":""},{"dropping-particle":"","family":"Karlsson","given":"M O","non-dropping-particle":"","parse-names":false,"suffix":""},{"dropping-particle":"","family":"Langdon","given":"G","non-dropping-particle":"","parse-names":false,"suffix":""},{"dropping-particle":"","family":"McIlleron","given":"H","non-dropping-particle":"","parse-names":false,"suffix":""},{"dropping-particle":"","family":"Pillai","given":"G","non-dropping-particle":"","parse-names":false,"suffix":""},{"dropping-particle":"","family":"Smith","given":"P J","non-dropping-particle":"","parse-names":false,"suffix":""},{"dropping-particle":"","family":"Simonsson","given":"U S","non-dropping-particle":"","parse-names":false,"suffix":""}],"container-title":"Antimicrob Agents Chemother","id":"ITEM-3","issue":"6","issued":{"date-parts":[["2008"]]},"note":"Wilkins, Justin J\nSavic, Radojka M\nKarlsson, Mats O\nLangdon, Grant\nMcIlleron, Helen\nPillai, Goonaseelan\nSmith, Peter J\nSimonsson, Ulrika S H\neng\nResearch Support, Non-U.S. Gov't\n2008/04/09 09:00\nAntimicrob Agents Chemother. 2008 Jun;52(6):2138-48. doi: 10.1128/AAC.00461-07. Epub 2008 Apr 7.","page":"2138-2148","title":"Population pharmacokinetics of rifampin in pulmonary tuberculosis patients, including a semimechanistic model to describe variable absorption","type":"article-journal","volume":"52"},"uris":["http://www.mendeley.com/documents/?uuid=463e9a13-7079-42bf-ad44-28a135fa35e4"]},{"id":"ITEM-4","itemData":{"DOI":"10.1007/s00228-006-0141-z","ISBN":"0031-6970 (Print)\r0031-6970 (Linking)","PMID":"16685561","abstract":"OBJECTIVE: This study was designed to characterize the population pharmacokinetics of pyrazinamide in South African pulmonary tuberculosis patients, with special reference to interindividual and interoccasional variability (IIV and IOV, respectively). METHODS: Concentration-time measurements obtained from 227 patients receiving oral doses of pyrazinamide were pooled to create a dataset containing 3,092 data points spanning multiple dosing occasions. The software program NONMEM was used to analyze the data. RESULTS: A one-compartment model with first-order absorption, including a zero-order component describing release from formulation, and first-order elimination best described the data. The absorption rate constant was estimated to be bimodally distributed between two distinct subgroups, fast and slow, in approximately even proportion. Absorption rate was threefold greater in fast absorbers (3.56 h(-1)) in comparison to slow absorbers (1.25 h(-1)). Typical values of oral clearance and apparent volume of distribution were estimated as 3.42 L h(-1) and 29.2 l, respectively. IOV was supported in oral clearance (0.0238, variance) and absorption rate (0.623, variance). The duration of zero-order absorption was estimated as 0.290 h, and was quite variable between patients (0.957, variance). CONCLUSION: The absorption of pyrazinamide in the studied population was highly variable and two separate subpopulations were identified. IOV accounted for a proportion of the variability in clearance and the absorption rate constant.","author":[{"dropping-particle":"","family":"Wilkins","given":"J J","non-dropping-particle":"","parse-names":false,"suffix":""},{"dropping-particle":"","family":"Langdon","given":"G","non-dropping-particle":"","parse-names":false,"suffix":""},{"dropping-particle":"","family":"McIlleron","given":"H","non-dropping-particle":"","parse-names":false,"suffix":""},{"dropping-particle":"","family":"Pillai","given":"G C","non-dropping-particle":"","parse-names":false,"suffix":""},{"dropping-particle":"","family":"Smith","given":"P J","non-dropping-particle":"","parse-names":false,"suffix":""},{"dropping-particle":"","family":"Simonsson","given":"U S","non-dropping-particle":"","parse-names":false,"suffix":""}],"container-title":"Eur J Clin Pharmacol","id":"ITEM-4","issue":"9","issued":{"date-parts":[["2006"]]},"note":"Wilkins, Justin J\nLangdon, Grant\nMcIlleron, Helen\nPillai, Goonaseelan Colin\nSmith, Peter J\nSimonsson, Ulrika S H\neng\nResearch Support, Non-U.S. Gov't\nGermany\n2006/05/11 09:00\nEur J Clin Pharmacol. 2006 Sep;62(9):727-35. Epub 2006 May 10.","page":"727-735","title":"Variability in the population pharmacokinetics of pyrazinamide in South African tuberculosis patients","type":"article-journal","volume":"62"},"uris":["http://www.mendeley.com/documents/?uuid=aebe8b19-9dc1-4b5c-bddc-d0f9e947dc49"]}],"mendeley":{"formattedCitation":"[2–5]","plainTextFormattedCitation":"[2–5]","previouslyFormattedCitation":"[2–5]"},"properties":{"noteIndex":0},"schema":"https://github.com/citation-style-language/schema/raw/master/csl-citation.json"}</w:instrText>
      </w:r>
      <w:r>
        <w:rPr>
          <w:sz w:val="24"/>
          <w:szCs w:val="24"/>
        </w:rPr>
        <w:fldChar w:fldCharType="separate"/>
      </w:r>
      <w:r w:rsidRPr="00D24036">
        <w:rPr>
          <w:noProof/>
          <w:sz w:val="24"/>
          <w:szCs w:val="24"/>
        </w:rPr>
        <w:t>[2–5]</w:t>
      </w:r>
      <w:r>
        <w:rPr>
          <w:sz w:val="24"/>
          <w:szCs w:val="24"/>
        </w:rPr>
        <w:fldChar w:fldCharType="end"/>
      </w:r>
      <w:r w:rsidRPr="000343C0">
        <w:rPr>
          <w:sz w:val="24"/>
          <w:szCs w:val="24"/>
        </w:rPr>
        <w:t xml:space="preserve"> and</w:t>
      </w:r>
      <w:r w:rsidR="00CC7FCA" w:rsidRPr="00CC7FCA">
        <w:rPr>
          <w:sz w:val="24"/>
          <w:szCs w:val="24"/>
        </w:rPr>
        <w:t xml:space="preserve"> </w:t>
      </w:r>
      <w:r w:rsidR="00CC7FCA">
        <w:rPr>
          <w:sz w:val="24"/>
          <w:szCs w:val="24"/>
        </w:rPr>
        <w:t>their relationship with treatment response has varied across studies using differing methodologies</w:t>
      </w:r>
      <w:r w:rsidR="00DE300B">
        <w:rPr>
          <w:sz w:val="24"/>
          <w:szCs w:val="24"/>
        </w:rPr>
        <w:t xml:space="preserve"> </w:t>
      </w:r>
      <w:r w:rsidR="00DE300B">
        <w:rPr>
          <w:rFonts w:cstheme="minorHAnsi"/>
          <w:sz w:val="24"/>
          <w:szCs w:val="24"/>
        </w:rPr>
        <w:fldChar w:fldCharType="begin" w:fldLock="1"/>
      </w:r>
      <w:r w:rsidR="00DE300B">
        <w:rPr>
          <w:rFonts w:cstheme="minorHAnsi"/>
          <w:sz w:val="24"/>
          <w:szCs w:val="24"/>
        </w:rPr>
        <w:instrText>ADDIN CSL_CITATION {"citationItems":[{"id":"ITEM-1","itemData":{"DOI":"10.1093/cid/ciw471","ISBN":"1537-6591 (Electronic)\r1058-4838 (Linking)","PMID":"27742636","abstract":"BACKGROUND: The role of drug concentrations in clinical outcomes in children with tuberculosis is unclear. Target concentrations for dose optimization are unknown. METHODS: Plasma drug concentrations measured in Indian children with tuberculosis were modeled using compartmental pharmacokinetic analyses. The children were followed until end of therapy to ascertain therapy failure or death. An ensemble of artificial intelligence algorithms, including random forests, was used to identify predictors of clinical outcome from among 30 clinical, laboratory, and pharmacokinetic variables. RESULTS: Among the 143 children with known outcomes, there was high between-child variability of isoniazid, rifampin, and pyrazinamide concentrations: 110 (77%) completed therapy, 24 (17%) failed therapy, and 9 (6%) died. The main predictors of therapy failure or death were a pyrazinamide peak concentration &lt;38.10 mg/L and rifampin peak concentration &lt;3.01 mg/L. The relative risk of these poor outcomes below these peak concentration thresholds was 3.64 (95% confidence interval [CI], 2.28-5.83). Isoniazid had concentration-dependent antagonism with rifampin and pyrazinamide, with an adjusted odds ratio for therapy failure of 3.00 (95% CI, 2.08-4.33) in antagonism concentration range. In regard to death alone as an outcome, the same drug concentrations, plus z scores (indicators of malnutrition), and age &lt;3 years, were highly ranked predictors. In children &lt;3 years old, isoniazid 0- to 24-hour area under the concentration-time curve &lt;11.95 mg/L x hour and/or rifampin peak &lt;3.10 mg/L were the best predictors of therapy failure, with relative risk of 3.43 (95% CI, .99-11.82). CONCLUSIONS: We have identified new antibiotic target concentrations, which are potential biomarkers associated with treatment failure and death in children with tuberculosis.","author":[{"dropping-particle":"","family":"Swaminathan","given":"S","non-dropping-particle":"","parse-names":false,"suffix":""},{"dropping-particle":"","family":"Pasipanodya","given":"J G","non-dropping-particle":"","parse-names":false,"suffix":""},{"dropping-particle":"","family":"Ramachandran","given":"G","non-dropping-particle":"","parse-names":false,"suffix":""},{"dropping-particle":"","family":"Hemanth Kumar","given":"A K","non-dropping-particle":"","parse-names":false,"suffix":""},{"dropping-particle":"","family":"Srivastava","given":"S","non-dropping-particle":"","parse-names":false,"suffix":""},{"dropping-particle":"","family":"Deshpande","given":"D","non-dropping-particle":"","parse-names":false,"suffix":""},{"dropping-particle":"","family":"Nuermberger","given":"E","non-dropping-particle":"","parse-names":false,"suffix":""},{"dropping-particle":"","family":"Gumbo","given":"T","non-dropping-particle":"","parse-names":false,"suffix":""}],"container-title":"Clin Infect Dis","edition":"2016/10/16","id":"ITEM-1","issue":"suppl 3","issued":{"date-parts":[["2016"]]},"language":"Eng","note":"Swaminathan, Soumya\nPasipanodya, Jotam G\nRamachandran, Geetha\nHemanth Kumar, A K\nSrivastava, Shashikant\nDeshpande, Devyani\nNuermberger, Eric\nGumbo, Tawanda\neng\nR56 AI111985/AI/NIAID NIH HHS/\n2016/10/16 06:00\nClin Infect Dis. 2016 Nov 1;63(suppl 3):S63-S74.","page":"S63-S74","title":"Drug concentration thresholds predictive of therapy failure and death in children with tuberculosis: bread crumb trails in random forests","type":"article-journal","volume":"63"},"uris":["http://www.mendeley.com/documents/?uuid=0b6acdca-4547-4664-97c0-a7b534e05333"]},{"id":"ITEM-2","itemData":{"DOI":"10.1093/infdis/jit352","ISBN":"1537-6613 (Electronic)\r0022-1899 (Linking)","PMID":"23901086","abstract":"BACKGROUND: Based on a hollow-fiber system model of tuberculosis, we hypothesize that microbiologic failure and acquired drug resistance are primarily driven by low drug concentrations that result from pharmacokinetic variability. METHODS: Clinical and pharmacokinetic data were prospectively collected from 142 tuberculosis patients in Western Cape, South Africa. Compartmental pharmacokinetic parameters of isoniazid, rifampin, and pyrazinamide were identified for each patient. Patients were then followed for up to 2 years. Classification and regression tree analysis was used to identify and rank clinical predictors of poor long-term outcome such as microbiologic failure or death, or relapse. RESULTS: Drug concentrations and pharmacokinetics varied widely between patients. Poor long-term outcomes were encountered in 35 (25%) patients. The 3 top predictors of poor long-term outcome, by rank of importance, were a pyrazinamide 24-hour area under the concentration-time curve (AUC) &lt;/= 363 mg.h/L, rifampin AUC &lt;/= 13 mg.h/L, and isoniazid AUC &lt;/= 52 mg.h/L. Poor outcomes were encountered in 32/78 patients with the AUC of at least 1 drug below the identified threshold vs 3/64 without (odds ratio = 14.14; 95% confidence interval, 4.08-49.08). Low rifampin and isoniazid peak and AUC concentrations preceded all cases of acquired drug resistance. CONCLUSIONS: Low drug AUCs are predictive of clinical outcomes in tuberculosis patients.","author":[{"dropping-particle":"","family":"Pasipanodya","given":"J G","non-dropping-particle":"","parse-names":false,"suffix":""},{"dropping-particle":"","family":"McIlleron","given":"H","non-dropping-particle":"","parse-names":false,"suffix":""},{"dropping-particle":"","family":"Burger","given":"A","non-dropping-particle":"","parse-names":false,"suffix":""},{"dropping-particle":"","family":"Wash","given":"P A","non-dropping-particle":"","parse-names":false,"suffix":""},{"dropping-particle":"","family":"Smith","given":"P","non-dropping-particle":"","parse-names":false,"suffix":""},{"dropping-particle":"","family":"Gumbo","given":"T","non-dropping-particle":"","parse-names":false,"suffix":""}],"container-title":"J Infect Dis","id":"ITEM-2","issue":"9","issued":{"date-parts":[["2013"]]},"note":"Pasipanodya, Jotam G\nMcIlleron, Helen\nBurger, Andre\nWash, Peter A\nSmith, Peter\nGumbo, Tawanda\neng\nDP2 OD001886/OD/NIH HHS/\nR01 AI079497/AI/NIAID NIH HHS/\nR01AI079497/AI/NIAID NIH HHS/\nResearch Support, N.I.H., Extramural\n2013/08/01 06:00\nJ Infect Dis. 2013 Nov 1;208(9):1464-73. doi: 10.1093/infdis/jit352. Epub 2013 Jul 29.","page":"1464-1473","title":"Serum drug concentrations predictive of pulmonary tuberculosis outcomes","type":"article-journal","volume":"208"},"uris":["http://www.mendeley.com/documents/?uuid=d74ac3a1-07c5-49d6-9e5e-7bcc5929ef3b"]},{"id":"ITEM-3","itemData":{"DOI":"10.1128/AAC.03931-14","ISBN":"1098-6596 (Electronic)\r0066-4804 (Linking)","PMID":"25313213","abstract":"The relationships between antituberculosis drug exposure and treatment effects on humans receiving multidrug therapy are complex and nonlinear. In patients on treatment, an analysis of the rate of decline in the sputum bacillary burden reveals two slopes. The first is the alpha-slope, which is thought to reflect bactericidal effect, followed by a beta-slope, which is thought to reflect sterilizing activity. We sought to characterize the effects of standard first-line treatment on sterilizing activity. Fifty-four patients receiving combination therapy for pulmonary tuberculosis in a clinical trial had drug concentrations measured and Mycobacterium tuberculosis isolates available for MIC identification. Sputum sample cultures were performed at baseline and weekly for 8 weeks. A time-to-event model based on the days to positivity in the liquid cultures was used to estimate the beta-slope. The pharmacokinetic parameters of rifampin, isoniazid, ethambutol, and pyrazinamide were determined for each patient. Multivariate adaptive regression splines analyses, which simultaneously perform linear and nonlinear analyses, were used to identify the relationships between the predictors and the beta-slope. The potential predictors examined included HIV status, lung cavitation, 24-h area under the concentration-time curve (AUC), peak drug concentration (Cmax), AUC/MIC ratio, Cmax/MIC ratio, and the time that that concentration persisted above MIC. A rifampin Cmax of &gt;8.2 mg/liter and a pyrazinamide AUC/MIC of &gt;11.3 were key predictors of the beta-slope and interacted positively to increase the beta-slope. In patients with a rifampin AUC of &lt;35.4 mg . h/liter, an increase in the pyrazinamide AUC/MIC and/or ethambutol Cmax/MIC increased the beta-slope, while increasing isoniazid Cmax decreased it, suggesting isoniazid antagonism. Antibiotic concentrations and MICs interact in a nonlinear fashion as the main drivers of a sterilizing effect. The results suggest that faster speeds of sterilizing effect might be achieved by omitting isoniazid and by increasing rifampin, pyrazinamide, and ethambutol exposures. However, isoniazid and ethambutol exposures may only be of importance when rifampin exposure is low. These findings need confirmation in larger studies. (This study has been registered at controlled-trials.com under registration no. ISRCTN80852505.).","author":[{"dropping-particle":"","family":"Chigutsa","given":"E","non-dropping-particle":"","parse-names":false,"suffix":""},{"dropping-particle":"","family":"Pasipanodya","given":"J G","non-dropping-particle":"","parse-names":false,"suffix":""},{"dropping-particle":"","family":"Visser","given":"M E","non-dropping-particle":"","parse-names":false,"suffix":""},{"dropping-particle":"","family":"Helden","given":"P D","non-dropping-particle":"van","parse-names":false,"suffix":""},{"dropping-particle":"","family":"Smith","given":"P J","non-dropping-particle":"","parse-names":false,"suffix":""},{"dropping-particle":"","family":"Sirgel","given":"F A","non-dropping-particle":"","parse-names":false,"suffix":""},{"dropping-particle":"","family":"Gumbo","given":"T","non-dropping-particle":"","parse-names":false,"suffix":""},{"dropping-particle":"","family":"McIlleron","given":"H","non-dropping-particle":"","parse-names":false,"suffix":""}],"container-title":"Antimicrob Agents Chemother","id":"ITEM-3","issue":"1","issued":{"date-parts":[["2015"]]},"note":"Chigutsa, Emmanuel\nPasipanodya, Jotam G\nVisser, Marianne E\nvan Helden, Paul D\nSmith, Peter J\nSirgel, Frederick A\nGumbo, Tawanda\nMcIlleron, Helen\neng\nR01 AI079497/AI/NIAID NIH HHS/\n412164/Wellcome Trust/United Kingdom\nR01AI079497/AI/NIAID NIH HHS/\nRandomized Controlled Trial\nResearch Support, N.I.H., Extramural\nResearch Support, Non-U.S. Gov't\n2014/10/15 06:00\nAntimicrob Agents Chemother. 2015 Jan;59(1):38-45. doi: 10.1128/AAC.03931-14. Epub 2014 Oct 13.","page":"38-45","title":"Impact of nonlinear interactions of pharmacokinetics and MICs on sputum bacillary kill rates as a marker of sterilizing effect in tuberculosis","type":"article-journal","volume":"59"},"uris":["http://www.mendeley.com/documents/?uuid=e88e7c5e-8407-49f2-bb16-6c10a7bbda30"]},{"id":"ITEM-4","itemData":{"DOI":"10.1093/cid/cix158","ISBN":"1058-4838","PMID":"28205671","abstract":"Background: There is scant evidence to support target drug exposures for optimal tuberculosis outcomes. We therefore assessed whether pharmacokinetic/pharmacodynamic (PK/PD) parameters could predict 2-month culture conversion. Methods: One hundred patients with pulmonary tuberculosis (65% human immunodeficiency virus coinfected) were intensively sampled to determine rifampicin, isoniazid, and pyrazinamide plasma concentrations after 7-8 weeks of therapy, and PK parameters determined using nonlinear mixed-effects models. Detailed clinical data and sputum for culture were collected at baseline, 2 months, and 5-6 months. Minimum inhibitory concentrations (MICs) were determined on baseline isolates. Multivariate logistic regression and the assumption-free multivariate adaptive regression splines (MARS) were used to identify clinical and PK/PD predictors of 2-month culture conversion. Potential PK/PD predictors included 0- to 24-hour area under the curve (AUC0-24), maximum concentration (Cmax), AUC0-24/MIC, Cmax/MIC, and percentage of time that concentrations persisted above the MIC (%TMIC). Results: Twenty-six percent of patients had Cmax of rifampicin &lt;8 mg/L, pyrazinamide &lt;35 mg/L, and isoniazid &lt;3 mg/L. No relationship was found between PK exposures and 2-month culture conversion using multivariate logistic regression after adjusting for MIC. However, MARS identified negative interactions between isoniazid Cmax and rifampicin Cmax/MIC ratio on 2-month culture conversion. If isoniazid Cmax was &lt;4.6 mg/L and rifampicin Cmax/MIC &lt;28, the isoniazid concentration had an antagonistic effect on culture conversion. For patients with isoniazid Cmax &gt;4.6 mg/L, higher isoniazid exposures were associated with improved rates of culture conversion. Conclusions: PK/PD analyses using MARS identified isoniazid Cmax and rifampicin Cmax/MIC thresholds below which there is concentration-dependent antagonism that reduces 2-month sputum culture conversion.","author":[{"dropping-particle":"","family":"Rockwood","given":"N","non-dropping-particle":"","parse-names":false,"suffix":""},{"dropping-particle":"","family":"Pasipanodya","given":"J G","non-dropping-particle":"","parse-names":false,"suffix":""},{"dropping-particle":"","family":"Denti","given":"P","non-dropping-particle":"","parse-names":false,"suffix":""},{"dropping-particle":"","family":"Sirgel","given":"F","non-dropping-particle":"","parse-names":false,"suffix":""},{"dropping-particle":"","family":"Lesosky","given":"M","non-dropping-particle":"","parse-names":false,"suffix":""},{"dropping-particle":"","family":"Gumbo","given":"T","non-dropping-particle":"","parse-names":false,"suffix":""},{"dropping-particle":"","family":"Meintjes","given":"G","non-dropping-particle":"","parse-names":false,"suffix":""},{"dropping-particle":"","family":"McIlleron","given":"H","non-dropping-particle":"","parse-names":false,"suffix":""},{"dropping-particle":"","family":"Wilkinson","given":"R J","non-dropping-particle":"","parse-names":false,"suffix":""}],"container-title":"Clin Infect Dis","edition":"2017/02/17","id":"ITEM-4","issue":"10","issued":{"date-parts":[["2017"]]},"language":"eng","note":"1537-6591\nRockwood, Neesha\nPasipanodya, Jotam G\nDenti, Paolo\nSirgel, Frederick\nLesosky, Maia\nGumbo, Tawanda\nMeintjes, Graeme\nMcIlleron, Helen\nWilkinson, Robert J\nJournal Article\nUnited States\nClin Infect Dis. 2017 May 15;64(10):1350-1359. doi: 10.1093/cid/cix158.","page":"1350-1359","title":"Concentration-dependent antagonism and culture conversion in pulmonary tuberculosis","type":"article-journal","volume":"64"},"uris":["http://www.mendeley.com/documents/?uuid=7e7d07d5-336f-4ded-9da1-b9c014cbee82"]},{"id":"ITEM-5","itemData":{"DOI":"10.4155/ipk-2017-0004","ISSN":"2053-0846","abstract":"Tuberculosis remains a major infectious cause of morbidity and mortality worldwide. Current antibiotic regimens, constructed prior to the development of modern pharmacokinetic-pharmacodynamic (PK–P...","author":[{"dropping-particle":"","family":"McCallum","given":"Andrew D","non-dropping-particle":"","parse-names":false,"suffix":""},{"dropping-particle":"","family":"Sloan","given":"Derek J","non-dropping-particle":"","parse-names":false,"suffix":""}],"container-title":"International Journal of Pharmacokinetics","id":"ITEM-5","issue":"3","issued":{"date-parts":[["2017"]]},"page":"195-212","title":"The importance of clinical pharmacokinetic–pharmacodynamic studies in unraveling the determinants of early and late tuberculosis outcomes","type":"article-journal","volume":"2"},"uris":["http://www.mendeley.com/documents/?uuid=8fe11458-6e4d-35f8-90d4-5cd57d8bcb02"]}],"mendeley":{"formattedCitation":"[6–10]","plainTextFormattedCitation":"[6–10]","previouslyFormattedCitation":"[5–9]"},"properties":{"noteIndex":0},"schema":"https://github.com/citation-style-language/schema/raw/master/csl-citation.json"}</w:instrText>
      </w:r>
      <w:r w:rsidR="00DE300B">
        <w:rPr>
          <w:rFonts w:cstheme="minorHAnsi"/>
          <w:sz w:val="24"/>
          <w:szCs w:val="24"/>
        </w:rPr>
        <w:fldChar w:fldCharType="separate"/>
      </w:r>
      <w:r w:rsidR="00DE300B" w:rsidRPr="00DE300B">
        <w:rPr>
          <w:rFonts w:cstheme="minorHAnsi"/>
          <w:noProof/>
          <w:sz w:val="24"/>
          <w:szCs w:val="24"/>
        </w:rPr>
        <w:t>[6–10]</w:t>
      </w:r>
      <w:r w:rsidR="00DE300B">
        <w:rPr>
          <w:rFonts w:cstheme="minorHAnsi"/>
          <w:sz w:val="24"/>
          <w:szCs w:val="24"/>
        </w:rPr>
        <w:fldChar w:fldCharType="end"/>
      </w:r>
      <w:r w:rsidR="00DE300B">
        <w:rPr>
          <w:sz w:val="24"/>
          <w:szCs w:val="24"/>
        </w:rPr>
        <w:t>.</w:t>
      </w:r>
      <w:r w:rsidR="005E0DDD">
        <w:rPr>
          <w:sz w:val="24"/>
          <w:szCs w:val="24"/>
        </w:rPr>
        <w:t xml:space="preserve"> </w:t>
      </w:r>
      <w:r w:rsidR="00F71516" w:rsidRPr="000343C0">
        <w:rPr>
          <w:sz w:val="24"/>
          <w:szCs w:val="24"/>
        </w:rPr>
        <w:t>We hypothesised that intrapulmonary pharmacokinetics will vary between individuals and may explain drug exposure-response relationships.</w:t>
      </w:r>
      <w:r w:rsidR="009D1F77">
        <w:rPr>
          <w:sz w:val="24"/>
          <w:szCs w:val="24"/>
        </w:rPr>
        <w:t xml:space="preserve"> </w:t>
      </w:r>
      <w:r w:rsidR="00FB69B1" w:rsidRPr="000343C0">
        <w:rPr>
          <w:sz w:val="24"/>
          <w:szCs w:val="24"/>
        </w:rPr>
        <w:t xml:space="preserve">Novel work using lung explants </w:t>
      </w:r>
      <w:r w:rsidR="00FB69B1">
        <w:rPr>
          <w:sz w:val="24"/>
          <w:szCs w:val="24"/>
        </w:rPr>
        <w:t>and</w:t>
      </w:r>
      <w:r w:rsidR="00FB69B1" w:rsidRPr="000343C0">
        <w:rPr>
          <w:sz w:val="24"/>
          <w:szCs w:val="24"/>
        </w:rPr>
        <w:t xml:space="preserve"> spatial mass spectrometry</w:t>
      </w:r>
      <w:r w:rsidR="00CC08C0">
        <w:rPr>
          <w:sz w:val="24"/>
          <w:szCs w:val="24"/>
        </w:rPr>
        <w:t xml:space="preserve"> has </w:t>
      </w:r>
      <w:r w:rsidR="00FB69B1" w:rsidRPr="000343C0">
        <w:rPr>
          <w:sz w:val="24"/>
          <w:szCs w:val="24"/>
        </w:rPr>
        <w:t>demonstrat</w:t>
      </w:r>
      <w:r w:rsidR="00CC08C0">
        <w:rPr>
          <w:sz w:val="24"/>
          <w:szCs w:val="24"/>
        </w:rPr>
        <w:t>ed</w:t>
      </w:r>
      <w:r w:rsidR="00FB69B1" w:rsidRPr="000343C0">
        <w:rPr>
          <w:sz w:val="24"/>
          <w:szCs w:val="24"/>
        </w:rPr>
        <w:t xml:space="preserve"> gradients of both drug exposure and </w:t>
      </w:r>
      <w:r w:rsidR="00FB69B1" w:rsidRPr="00ED3B8D">
        <w:rPr>
          <w:i/>
          <w:iCs/>
          <w:sz w:val="24"/>
          <w:szCs w:val="24"/>
        </w:rPr>
        <w:t>Mycobacterium tuberculosis</w:t>
      </w:r>
      <w:r w:rsidR="00FB69B1" w:rsidRPr="000343C0">
        <w:rPr>
          <w:sz w:val="24"/>
          <w:szCs w:val="24"/>
        </w:rPr>
        <w:t xml:space="preserve"> drug-sensitivity in granulomas and cavities </w:t>
      </w:r>
      <w:r w:rsidR="002841FC">
        <w:rPr>
          <w:sz w:val="24"/>
          <w:szCs w:val="24"/>
        </w:rPr>
        <w:fldChar w:fldCharType="begin" w:fldLock="1"/>
      </w:r>
      <w:r w:rsidR="00DE300B">
        <w:rPr>
          <w:sz w:val="24"/>
          <w:szCs w:val="24"/>
        </w:rPr>
        <w:instrText>ADDIN CSL_CITATION {"citationItems":[{"id":"ITEM-1","itemData":{"DOI":"10.1038/nm.3937","ISBN":"1546-170X (Electronic)\r1078-8956 (Linking)","PMID":"26343800","abstract":"Finding new treatment-shortening antibiotics to improve cure rates and curb the alarming emergence of drug resistance is the major objective of tuberculosis (TB) drug development. Using a matrix-assisted laser desorption/ionization (MALDI) mass spectrometry imaging suite in a biosafety containment facility, we show that the key sterilizing drugs rifampicin and pyrazinamide efficiently penetrate the sites of TB infection in lung lesions. Rifampicin even accumulates in necrotic caseum, a critical lesion site where persisting tubercle bacilli reside. In contrast, moxifloxacin, which is active in vitro against a subpopulation of Mycobacterium tuberculosis that persists in specific niches under drug pressure and has achieved treatment shortening in mice, does not diffuse well in caseum, concordant with its failure to shorten therapy in recent clinical trials. We suggest that such differential spatial distribution and kinetics of accumulation in lesions may create temporal and spatial windows of monotherapy in specific niches, allowing the gradual development of multidrug-resistant TB. We propose an alternative working model to prioritize new antibiotic regimens based on quantitative and spatial distribution of TB drugs in the major lesion types found in human lungs. The finding that lesion penetration may contribute to treatment outcome has wide implications for TB.","author":[{"dropping-particle":"","family":"Prideaux","given":"B","non-dropping-particle":"","parse-names":false,"suffix":""},{"dropping-particle":"","family":"Via","given":"L E","non-dropping-particle":"","parse-names":false,"suffix":""},{"dropping-particle":"","family":"Zimmerman","given":"M D","non-dropping-particle":"","parse-names":false,"suffix":""},{"dropping-particle":"","family":"Eum","given":"S","non-dropping-particle":"","parse-names":false,"suffix":""},{"dropping-particle":"","family":"Sarathy","given":"J","non-dropping-particle":"","parse-names":false,"suffix":""},{"dropping-particle":"","family":"O'Brien","given":"P","non-dropping-particle":"","parse-names":false,"suffix":""},{"dropping-particle":"","family":"Chen","given":"C","non-dropping-particle":"","parse-names":false,"suffix":""},{"dropping-particle":"","family":"Kaya","given":"F","non-dropping-particle":"","parse-names":false,"suffix":""},{"dropping-particle":"","family":"Weiner","given":"D M","non-dropping-particle":"","parse-names":false,"suffix":""},{"dropping-particle":"","family":"Chen","given":"P Y","non-dropping-particle":"","parse-names":false,"suffix":""},{"dropping-particle":"","family":"Song","given":"T","non-dropping-particle":"","parse-names":false,"suffix":""},{"dropping-particle":"","family":"Lee","given":"M","non-dropping-particle":"","parse-names":false,"suffix":""},{"dropping-particle":"","family":"Shim","given":"T S","non-dropping-particle":"","parse-names":false,"suffix":""},{"dropping-particle":"","family":"Cho","given":"J S","non-dropping-particle":"","parse-names":false,"suffix":""},{"dropping-particle":"","family":"Kim","given":"W","non-dropping-particle":"","parse-names":false,"suffix":""},{"dropping-particle":"","family":"Cho","given":"S N","non-dropping-particle":"","parse-names":false,"suffix":""},{"dropping-particle":"","family":"Olivier","given":"K N","non-dropping-particle":"","parse-names":false,"suffix":""},{"dropping-particle":"","family":"Barry  3rd","given":"C E","non-dropping-particle":"","parse-names":false,"suffix":""},{"dropping-particle":"","family":"Dartois","given":"V","non-dropping-particle":"","parse-names":false,"suffix":""}],"container-title":"Nat Med","edition":"2015/09/08","id":"ITEM-1","issue":"10","issued":{"date-parts":[["2015"]]},"language":"Eng","note":"Prideaux, Brendan\nVia, Laura E\nZimmerman, Matthew D\nEum, Seokyong\nSarathy, Jansy\nO'Brien, Paul\nChen, Chao\nKaya, Firat\nWeiner, Danielle M\nChen, Pei-Yu\nSong, Taeksun\nLee, Myungsun\nShim, Tae Sun\nCho, Jeong Su\nKim, Wooshik\nCho, Sang Nae\nOlivier, Kenneth N\nBarry, Clifton E 3rd\nDartois, Veronique\neng\nS10 OD018072/OD/NIH HHS/\n1R01AI106398-01/AI/NIAID NIH HHS/\nR01 AI111967/AI/NIAID NIH HHS/\nIntramural NIH HHS/\nR01 AI106398/AI/NIAID NIH HHS/\nResearch Support, N.I.H., Extramural\nResearch Support, N.I.H., Intramural\nResearch Support, Non-U.S. Gov't\n2015/09/08 06:00\nNat Med. 2015 Oct;21(10):1223-7. doi: 10.1038/nm.3937. Epub 2015 Sep 7.","page":"1223-1227","title":"The association between sterilizing activity and drug distribution into tuberculosis lesions","type":"article-journal","volume":"21"},"uris":["http://www.mendeley.com/documents/?uuid=a774aee3-4c5c-4ae5-8f4a-9559269349aa"]},{"id":"ITEM-2","itemData":{"DOI":"10.1164/rccm.201711-2333OC","ISBN":"1073-449x","PMID":"29877726","abstract":"RATIONALE: Acquired resistance is an important driver of multidrug-resistant tuberculosis (TB), even with good treatment adherence. However, exactly what initiates the resistance and how it arises remain poorly understood. OBJECTIVES: To identify the relationship between drug concentrations and drug susceptibility readouts (minimum inhibitory concentrations [MICs]) in the TB cavity. METHODS: We recruited patients with medically incurable TB who were undergoing therapeutic lung resection while on treatment with a cocktail of second-line anti-TB drugs. On the day of surgery, antibiotic concentrations were measured in the blood and at seven prespecified biopsy sites within each cavity. Mycobacterium tuberculosis was grown from each biopsy site, MICs of each drug identified, and whole-genome sequencing performed. Spearman correlation coefficients between drug concentration and MIC were calculated. MEASUREMENTS AND MAIN RESULTS: Fourteen patients treated for a median of 13 months (range, 5-31 mo) were recruited. MICs and drug resistance-associated single-nucleotide variants differed between the different geospatial locations within each cavity, and with pretreatment and serial sputum isolates, consistent with ongoing acquisition of resistance. However, pretreatment sputum MIC had an accuracy of only 49.48% in predicting cavitary MICs. There were large concentration-distance gradients for each antibiotic. The location-specific concentrations inversely correlated with MICs (P &lt; 0.05) and therefore acquired resistance. Moreover, pharmacokinetic/pharmacodynamic exposures known to amplify drug-resistant subpopulations were encountered in all positions. CONCLUSIONS: These data inform interventional strategies relevant to drug delivery, dosing, and diagnostics to prevent the development of acquired resistance. The role of high intracavitary penetration as a biomarker of antibiotic efficacy, when assessing new regimens, requires clarification.","author":[{"dropping-particle":"","family":"Dheda","given":"K","non-dropping-particle":"","parse-names":false,"suffix":""},{"dropping-particle":"","family":"Lenders","given":"L","non-dropping-particle":"","parse-names":false,"suffix":""},{"dropping-particle":"","family":"Magombedze","given":"G","non-dropping-particle":"","parse-names":false,"suffix":""},{"dropping-particle":"","family":"Srivastava","given":"S","non-dropping-particle":"","parse-names":false,"suffix":""},{"dropping-particle":"","family":"Raj","given":"P","non-dropping-particle":"","parse-names":false,"suffix":""},{"dropping-particle":"","family":"Arning","given":"E","non-dropping-particle":"","parse-names":false,"suffix":""},{"dropping-particle":"","family":"Ashcraft","given":"P","non-dropping-particle":"","parse-names":false,"suffix":""},{"dropping-particle":"","family":"Bottiglieri","given":"T","non-dropping-particle":"","parse-names":false,"suffix":""},{"dropping-particle":"","family":"Wainwright","given":"H","non-dropping-particle":"","parse-names":false,"suffix":""},{"dropping-particle":"","family":"Pennel","given":"T","non-dropping-particle":"","parse-names":false,"suffix":""},{"dropping-particle":"","family":"Linegar","given":"A","non-dropping-particle":"","parse-names":false,"suffix":""},{"dropping-particle":"","family":"Moodley","given":"L","non-dropping-particle":"","parse-names":false,"suffix":""},{"dropping-particle":"","family":"Pooran","given":"A","non-dropping-particle":"","parse-names":false,"suffix":""},{"dropping-particle":"","family":"Pasipanodya","given":"J G","non-dropping-particle":"","parse-names":false,"suffix":""},{"dropping-particle":"","family":"Sirgel","given":"F A","non-dropping-particle":"","parse-names":false,"suffix":""},{"dropping-particle":"","family":"Helden","given":"P D","non-dropping-particle":"van","parse-names":false,"suffix":""},{"dropping-particle":"","family":"Wakeland","given":"E","non-dropping-particle":"","parse-names":false,"suffix":""},{"dropping-particle":"","family":"Warren","given":"R M","non-dropping-particle":"","parse-names":false,"suffix":""},{"dropping-particle":"","family":"Gumbo","given":"T","non-dropping-particle":"","parse-names":false,"suffix":""}],"container-title":"Am J Respir Crit Care Med","edition":"2018/06/08","id":"ITEM-2","issue":"9","issued":{"date-parts":[["2018"]]},"language":"eng","note":"1535-4970\nDheda, Keertan\nLenders, Laura\nMagombedze, Gesham\nSrivastava, Shashikant\nRaj, Prithvi\nArning, Erland\nAshcraft, Paula\nBottiglieri, Teodoro\nWainwright, Helen\nPennel, Timothy\nLinegar, Anthony\nMoodley, Loven\nPooran, Anil\nPasipanodya, Jotam G\nSirgel, Frederick A\nvan Helden, Paul D\nWakeland, Edward\nWarren, Robin M\nGumbo, Tawanda\nORCID: http://orcid.org/0000-0001-7592-8012\nJournal Article\nUnited States\nAm J Respir Crit Care Med. 2018 Nov 1;198(9):1208-1219. doi: 10.1164/rccm.201711-2333OC.","page":"1208-1219","title":"Drug-Penetration Gradients Associated with Acquired Drug Resistance in Patients with Tuberculosis","type":"article-journal","volume":"198"},"uris":["http://www.mendeley.com/documents/?uuid=128baa12-6a01-40bf-81db-8a85086a9c25"]}],"mendeley":{"formattedCitation":"[11,12]","plainTextFormattedCitation":"[11,12]","previouslyFormattedCitation":"[7,8]"},"properties":{"noteIndex":0},"schema":"https://github.com/citation-style-language/schema/raw/master/csl-citation.json"}</w:instrText>
      </w:r>
      <w:r w:rsidR="002841FC">
        <w:rPr>
          <w:sz w:val="24"/>
          <w:szCs w:val="24"/>
        </w:rPr>
        <w:fldChar w:fldCharType="separate"/>
      </w:r>
      <w:r w:rsidR="00DE300B" w:rsidRPr="00DE300B">
        <w:rPr>
          <w:noProof/>
          <w:sz w:val="24"/>
          <w:szCs w:val="24"/>
        </w:rPr>
        <w:t>[11,12]</w:t>
      </w:r>
      <w:r w:rsidR="002841FC">
        <w:rPr>
          <w:sz w:val="24"/>
          <w:szCs w:val="24"/>
        </w:rPr>
        <w:fldChar w:fldCharType="end"/>
      </w:r>
      <w:r w:rsidR="00F82C20">
        <w:rPr>
          <w:sz w:val="24"/>
          <w:szCs w:val="24"/>
        </w:rPr>
        <w:t xml:space="preserve">, but can only be </w:t>
      </w:r>
      <w:r w:rsidR="00C410B0">
        <w:rPr>
          <w:sz w:val="24"/>
          <w:szCs w:val="24"/>
        </w:rPr>
        <w:t xml:space="preserve">performed </w:t>
      </w:r>
      <w:r w:rsidR="00C410B0" w:rsidRPr="000343C0">
        <w:rPr>
          <w:sz w:val="24"/>
          <w:szCs w:val="24"/>
        </w:rPr>
        <w:t>in a small subset of patients with advanced disease</w:t>
      </w:r>
      <w:r w:rsidR="00C410B0">
        <w:rPr>
          <w:sz w:val="24"/>
          <w:szCs w:val="24"/>
        </w:rPr>
        <w:t xml:space="preserve">. </w:t>
      </w:r>
    </w:p>
    <w:p w14:paraId="557997BB" w14:textId="77777777" w:rsidR="00075396" w:rsidRDefault="00075396" w:rsidP="000343C0">
      <w:pPr>
        <w:spacing w:line="480" w:lineRule="auto"/>
        <w:rPr>
          <w:sz w:val="24"/>
          <w:szCs w:val="24"/>
        </w:rPr>
      </w:pPr>
    </w:p>
    <w:p w14:paraId="330F624A" w14:textId="757C404F" w:rsidR="00273186" w:rsidRPr="000343C0" w:rsidRDefault="000343C0" w:rsidP="00273186">
      <w:pPr>
        <w:spacing w:line="480" w:lineRule="auto"/>
        <w:rPr>
          <w:sz w:val="24"/>
          <w:szCs w:val="24"/>
        </w:rPr>
      </w:pPr>
      <w:r w:rsidRPr="000343C0">
        <w:rPr>
          <w:sz w:val="24"/>
          <w:szCs w:val="24"/>
        </w:rPr>
        <w:t xml:space="preserve">In this study, drug concentrations in </w:t>
      </w:r>
      <w:r w:rsidR="009D010B">
        <w:rPr>
          <w:sz w:val="24"/>
          <w:szCs w:val="24"/>
        </w:rPr>
        <w:t xml:space="preserve">lung </w:t>
      </w:r>
      <w:r w:rsidRPr="000343C0">
        <w:rPr>
          <w:sz w:val="24"/>
          <w:szCs w:val="24"/>
        </w:rPr>
        <w:t xml:space="preserve">epithelial lining fluid and alveolar cells were used to assess intrapulmonary penetration, as expressed by epithelial lining </w:t>
      </w:r>
      <w:proofErr w:type="spellStart"/>
      <w:proofErr w:type="gramStart"/>
      <w:r w:rsidRPr="000343C0">
        <w:rPr>
          <w:sz w:val="24"/>
          <w:szCs w:val="24"/>
        </w:rPr>
        <w:t>fluid:plasma</w:t>
      </w:r>
      <w:proofErr w:type="spellEnd"/>
      <w:proofErr w:type="gramEnd"/>
      <w:r w:rsidRPr="000343C0">
        <w:rPr>
          <w:sz w:val="24"/>
          <w:szCs w:val="24"/>
        </w:rPr>
        <w:t xml:space="preserve"> or alveolar </w:t>
      </w:r>
      <w:proofErr w:type="spellStart"/>
      <w:r w:rsidRPr="000343C0">
        <w:rPr>
          <w:sz w:val="24"/>
          <w:szCs w:val="24"/>
        </w:rPr>
        <w:t>cells:plasma</w:t>
      </w:r>
      <w:proofErr w:type="spellEnd"/>
      <w:r w:rsidRPr="000343C0">
        <w:rPr>
          <w:sz w:val="24"/>
          <w:szCs w:val="24"/>
        </w:rPr>
        <w:t xml:space="preserve"> concentration ratios. These ratios, described for a wide range of antimicrobials </w:t>
      </w:r>
      <w:r w:rsidR="009E70FF">
        <w:rPr>
          <w:sz w:val="24"/>
          <w:szCs w:val="24"/>
        </w:rPr>
        <w:fldChar w:fldCharType="begin" w:fldLock="1"/>
      </w:r>
      <w:r w:rsidR="00DE300B">
        <w:rPr>
          <w:sz w:val="24"/>
          <w:szCs w:val="24"/>
        </w:rPr>
        <w:instrText>ADDIN CSL_CITATION {"citationItems":[{"id":"ITEM-1","itemData":{"DOI":"10.2165/11592900-000000000-00000","ISBN":"1179-1926 (Electronic)\r0312-5963 (Linking)","PMID":"21973267","abstract":"Epithelial lining fluid (ELF) is often considered to be the site of extracellular pulmonary infections. During the past 25 years, a limited number of studies have evaluated the intrapulmonary penetration of antifungal, antitubercular, antiparasitic and antiviral agents. For antifungal agents, differences in drug concentrations in ELF or bronchoalveolar lavage (BAL) fluid were observed among various formulations or routes of administration, and between agents within the same class. Aerosolized doses of deoxycholate amphotericin B, liposomal amphotericin B and amphotericin B lipid complex resulted in higher concentrations in ELF or BAL fluid than after intravenous administration. The mean concentrations in ELF following intravenous administration of both anidulafungin and micafungin ranged between 0.04 and 1.38 mug/mL, and the ELF to plasma concentration ratios (based on the area under the concentration-time curve for total drug concentrations) were between 0.18 and 0.22 during the first 3 days of therapy. Among the azole agents, intravenous administration of voriconazole resulted in the highest mean ELF concentrations (range 10.1-48.3 mug/mL) and ratio of penetration (7.1). The range of mean ELF concentrations of itraconazole and posaconazole following oral administration was 0.2-1.9 mug/mL, and the ELF to plasma concentration ratios were &lt;1. A series of studies have evaluated the intrapulmonary penetration of first- and second-line oral antitubercular agents in healthy adult subjects and patients with AIDS. The ELF to plasma concentration ratio was &gt;1 for isoniazid, ethambutol, pyrazinamide and ethionamide. For rifampicin (rifampin) and rifapentine, the ELF to plasma concentration ratio ranged between 0.2 and 0.32, but in alveolar macrophages the concentration of rifampicin was much higher (145-738 mug/mL compared with 3.3-7.5 mug/mL in ELF). No intrapulmonary studies have been conducted for rifabutin. Sex, AIDS status or smoking history had no significant effects on the magnitude of ELF concentrations of antitubercular agents. Subjects who were slow acetylators had higher plasma and ELF concentrations of isoniazid than those who were fast acetylators. Penetration of dapsone into ELF was very good, with the range of mean ELF to plasma concentration ratios being 0.65-2.91 at individual sampling times over 48 hours. Once-daily dosing of aerosolized pentamidine resulted in higher concentrations in BAL fluid than after intravenous administration. The mean B…","author":[{"dropping-particle":"","family":"Rodvold","given":"K A","non-dropping-particle":"","parse-names":false,"suffix":""},{"dropping-particle":"","family":"Yoo","given":"L","non-dropping-particle":"","parse-names":false,"suffix":""},{"dropping-particle":"","family":"George","given":"J M","non-dropping-particle":"","parse-names":false,"suffix":""}],"container-title":"Clin Pharmacokinet","id":"ITEM-1","issue":"11","issued":{"date-parts":[["2011"]]},"note":"Rodvold, Keith A\nYoo, Liz\nGeorge, Jomy M\neng\nReview\nSwitzerland\n2011/10/07 06:00\nClin Pharmacokinet. 2011 Nov 1;50(11):689-704. doi: 10.2165/11592900-000000000-00000.","page":"689-704","title":"Penetration of anti-infective agents into pulmonary epithelial lining fluid: focus on antifungal, antitubercular and miscellaneous anti-infective agents","type":"article-journal","volume":"50"},"uris":["http://www.mendeley.com/documents/?uuid=4de2e25d-c35e-432c-8652-83be117d272f"]},{"id":"ITEM-2","itemData":{"DOI":"10.2165/11594090-000000000-00000","ISBN":"1179-1926 (Electronic)\r0312-5963 (Linking)","PMID":"21895037","abstract":"The exposure-response relationship of anti-infective agents at the site of infection is currently being re-examined. Epithelial lining fluid (ELF) has been suggested as the site (compartment) of antimicrobial activity against lung infections caused by extracellular pathogens. There have been an extensive number of studies conducted during the past 20 years to determine drug penetration into ELF and to compare plasma and ELF concentrations of anti-infective agents. The majority of these studies estimated ELF drug concentrations by the method of urea dilution and involved either healthy adult subjects or patients undergoing diagnostic bronchoscopy. Antibacterial agents such as macrolides, ketolides, newer fluoroquinolones and oxazolidinones have ELF to plasma concentration ratios of &gt;1. In comparison, beta-lactams, aminoglycosides and glycopeptides have ELF to plasma concentration ratios of &lt;/=1. Potential explanations (e.g. drug transporters, overestimation of the ELF volume, lysis of cells) for why these differences in ELF penetration occur among antibacterial classes need further investigation. The relationship between ELF concentrations and clinical outcomes has been under-studied. In vitro pharmacodynamic models, using simulated ELF and plasma concentrations, have been used to examine the eradication rates of resistant and susceptible pathogens and to explain why selected anti-infective agents (e.g. those with ELF to plasma concentration ratios of &gt;1) are less likely to be associated with clinical treatment failures. Population pharmacokinetic modelling and Monte Carlo simulations have recently been used and permit ELF and plasma concentrations to be evaluated with regard to achievement of target attainment rates. These mathematical modelling techniques have also allowed further examination of drug doses and differences in the time courses of ELF and plasma concentrations as potential explanations for clinical and microbiological effects seen in clinical trials. Further studies are warranted in patients with lower respiratory tract infections to confirm and explore the relationships between ELF concentrations, clinical and microbiological outcomes, and pharmacodynamic parameters.","author":[{"dropping-particle":"","family":"Rodvold","given":"K A","non-dropping-particle":"","parse-names":false,"suffix":""},{"dropping-particle":"","family":"George","given":"J M","non-dropping-particle":"","parse-names":false,"suffix":""},{"dropping-particle":"","family":"Yoo","given":"L","non-dropping-particle":"","parse-names":false,"suffix":""}],"container-title":"Clin Pharmacokinet","id":"ITEM-2","issue":"10","issued":{"date-parts":[["2011"]]},"note":"Rodvold, Keith A\nGeorge, Jomy M\nYoo, Liz\neng\nReview\nSwitzerland\n2011/09/08 06:00\nClin Pharmacokinet. 2011 Oct;50(10):637-64. doi: 10.2165/11594090-000000000-00000.","page":"637-664","title":"Penetration of anti-infective agents into pulmonary epithelial lining fluid: focus on antibacterial agents","type":"article-journal","volume":"50"},"uris":["http://www.mendeley.com/documents/?uuid=6eaff247-2de1-48a8-b8f1-3dcd1737b765"]}],"mendeley":{"formattedCitation":"[13,14]","plainTextFormattedCitation":"[13,14]","previouslyFormattedCitation":"[9,10]"},"properties":{"noteIndex":0},"schema":"https://github.com/citation-style-language/schema/raw/master/csl-citation.json"}</w:instrText>
      </w:r>
      <w:r w:rsidR="009E70FF">
        <w:rPr>
          <w:sz w:val="24"/>
          <w:szCs w:val="24"/>
        </w:rPr>
        <w:fldChar w:fldCharType="separate"/>
      </w:r>
      <w:r w:rsidR="00DE300B" w:rsidRPr="00DE300B">
        <w:rPr>
          <w:noProof/>
          <w:sz w:val="24"/>
          <w:szCs w:val="24"/>
        </w:rPr>
        <w:t>[13,14]</w:t>
      </w:r>
      <w:r w:rsidR="009E70FF">
        <w:rPr>
          <w:sz w:val="24"/>
          <w:szCs w:val="24"/>
        </w:rPr>
        <w:fldChar w:fldCharType="end"/>
      </w:r>
      <w:r w:rsidRPr="000343C0">
        <w:rPr>
          <w:sz w:val="24"/>
          <w:szCs w:val="24"/>
        </w:rPr>
        <w:t xml:space="preserve">, may inform an assessment of whether penetration is sufficient when related to the minimum inhibitory concentration for the infecting organism </w:t>
      </w:r>
      <w:r w:rsidR="00C35C40">
        <w:rPr>
          <w:sz w:val="24"/>
          <w:szCs w:val="24"/>
        </w:rPr>
        <w:fldChar w:fldCharType="begin" w:fldLock="1"/>
      </w:r>
      <w:r w:rsidR="00DE300B">
        <w:rPr>
          <w:sz w:val="24"/>
          <w:szCs w:val="24"/>
        </w:rPr>
        <w:instrText>ADDIN CSL_CITATION {"citationItems":[{"id":"ITEM-1","itemData":{"DOI":"10.1128/AAC.00712-11","ISBN":"1098-6596\r0066-4804","PMID":"21911567","abstract":"Although vancomycin is often regarded as an agent that concentrates poorly in the lower respiratory tract, as determined from concentrations in epithelial lining fluid (ELF), few data are available. This study sought to determine the profile of vancomycin exposure in the ELF relative to plasma. Population modeling and Monte Carlo simulation were employed to estimate the penetration of vancomycin into ELF. Plasma and ELF pharmacokinetic (PK) data were obtained from 10 healthy volunteers. Concentration-time profiles in plasma and ELF were simultaneously modeled using a three-compartment model with zero-order infusion and first-order elimination and transfer using the big nonparametric adaptive grid (BigNPAG) program. Monte Carlo simulation with 9,999 subjects was performed to calculate the ELF/plasma penetration ratios by estimating the area under the concentration-time curve (AUC) in ELF (AUC(ELF)) and plasma (AUC(plasma)) after a single simulated 1,000-mg dose. The mean (standard deviation) AUC(ELF)/AUC(plasma) penetration ratio was 0.675 (0.677), and the 25th, 50th, and 75th percentile penetration ratios were 0.265, 0.474, and 0.842, respectively. Our results indicate that vancomycin penetrates ELF at approximately 50% of plasma levels. To properly judge the adequacy of current doses and schedules employed in practice, future studies are needed to delineate the PK/PD (pharmacodynamics) target for vancomycin in ELF. If the PK/PD target in ELF is found to be consistent with the currently proposed target of an AUC/MIC of ≥400, suboptimal probability of target attainment would be expected when vancomycin is utilized for pneumonias due to MRSA (methicillin-resistant Staphylococcus aureus) with MICs in excess of 1 mg/liter.","author":[{"dropping-particle":"","family":"Lodise","given":"Thomas P","non-dropping-particle":"","parse-names":false,"suffix":""},{"dropping-particle":"","family":"Drusano","given":"George L","non-dropping-particle":"","parse-names":false,"suffix":""},{"dropping-particle":"","family":"Butterfield","given":"Jill M","non-dropping-particle":"","parse-names":false,"suffix":""},{"dropping-particle":"","family":"Scoville","given":"Joshua","non-dropping-particle":"","parse-names":false,"suffix":""},{"dropping-particle":"","family":"Gotfried","given":"Mark","non-dropping-particle":"","parse-names":false,"suffix":""},{"dropping-particle":"","family":"Rodvold","given":"Keith A","non-dropping-particle":"","parse-names":false,"suffix":""}],"container-title":"Antimicrob Agents Chemother","edition":"2011/09/12","id":"ITEM-1","issue":"12","issued":{"date-parts":[["2011"]]},"language":"eng","note":"21911567[pmid]\nPMC3232765[pmcid]\nAAC.00712-11[PII]","page":"5507-5511","publisher":"American Society for Microbiology","title":"Penetration of vancomycin into epithelial lining fluid in healthy volunteers","type":"article-journal","volume":"55"},"uris":["http://www.mendeley.com/documents/?uuid=9170a729-2596-40eb-b5a1-37b7d90da84e"]},{"id":"ITEM-2","itemData":{"DOI":"10.1097/01.ccm.0000168206.59873.80","ISBN":"0090-3493 (Print)\r0090-3493","PMID":"16003058","abstract":"OBJECTIVE: To determine the steady-state plasma pharmacokinetic variables and epithelial lining fluid concentrations of linezolid administered to critically ill patients with ventilator-associated pneumonia. DESIGN: Prospective, open-label study. SETTING: An intensive care unit and research ward in a university hospital. PATIENTS: Sixteen critically ill adult patients with ventilator-associated pneumonia. INTERVENTIONS: All subjects received 1-hr intravenous infusions of linezolid 600 mg twice daily. After 2 days of therapy, the steady-state plasma pharmacokinetic variables and epithelial lining fluid concentrations of linezolid were determined by high-performance liquid chromatography. MEASUREMENTS AND MAIN RESULTS: The mean +/- sd linezolid peak and trough concentrations were 17.7 +/- 4.0 mg/L and 2.4 +/- 1.2 mg/L in plasma and 14.4 +/- 5.6 mg/L and 2.6 +/- 1.7 mg/L in epithelial lining fluid, respectively, showing a mean linezolid percentage penetration in epithelial lining fluid of approximately 100%. The mean +/- sd area under concentration-time curve during the observational period (AUC0-12) was 77.3 +/- 23.7 mg x hr/L, corresponding to a mean AUC0-24 of 154.6 mg x hr/L. CONCLUSIONS: Our study shows satisfactory results, with linezolid concentrations exceeding the susceptibility breakpoint for Gram-positive bacteria in both plasma and epithelial lining fluid. This suggests that a dosage of 600 mg administered intravenously twice daily to critically ill patients with Gram-positive ventilator-associated pneumonia would achieve success against organisms with minimum inhibitory concentrations as high as 2-4 mg/L in both plasma and epithelial lining fluid.","author":[{"dropping-particle":"","family":"Boselli","given":"E","non-dropping-particle":"","parse-names":false,"suffix":""},{"dropping-particle":"","family":"Breilh","given":"D","non-dropping-particle":"","parse-names":false,"suffix":""},{"dropping-particle":"","family":"Rimmele","given":"T","non-dropping-particle":"","parse-names":false,"suffix":""},{"dropping-particle":"","family":"Djabarouti","given":"S","non-dropping-particle":"","parse-names":false,"suffix":""},{"dropping-particle":"","family":"Toutain","given":"J","non-dropping-particle":"","parse-names":false,"suffix":""},{"dropping-particle":"","family":"Chassard","given":"D","non-dropping-particle":"","parse-names":false,"suffix":""},{"dropping-particle":"","family":"Saux","given":"M C","non-dropping-particle":"","parse-names":false,"suffix":""},{"dropping-particle":"","family":"Allaouchiche","given":"B","non-dropping-particle":"","parse-names":false,"suffix":""}],"container-title":"Crit Care Med","edition":"2005/07/09","id":"ITEM-2","issue":"7","issued":{"date-parts":[["2005"]]},"language":"eng","note":"Boselli, Emmanuel\nBreilh, Dominique\nRimmele, Thomas\nDjabarouti, Sarah\nToutain, Jerome\nChassard, Dominique\nSaux, Marie-Claude\nAllaouchiche, Bernard\nJournal Article\nResearch Support, Non-U.S. Gov't\nUnited States\nCrit Care Med. 2005 Jul;33(7):1529-33. doi: 10.1097/01.ccm.0000168206.59873.80.","page":"1529-1533","title":"Pharmacokinetics and intrapulmonary concentrations of linezolid administered to critically ill patients with ventilator-associated pneumonia","type":"article-journal","volume":"33"},"uris":["http://www.mendeley.com/documents/?uuid=5263f4e8-e401-4511-824c-0167b5bf9c89"]}],"mendeley":{"formattedCitation":"[15,16]","plainTextFormattedCitation":"[15,16]","previouslyFormattedCitation":"[11,12]"},"properties":{"noteIndex":0},"schema":"https://github.com/citation-style-language/schema/raw/master/csl-citation.json"}</w:instrText>
      </w:r>
      <w:r w:rsidR="00C35C40">
        <w:rPr>
          <w:sz w:val="24"/>
          <w:szCs w:val="24"/>
        </w:rPr>
        <w:fldChar w:fldCharType="separate"/>
      </w:r>
      <w:r w:rsidR="00DE300B" w:rsidRPr="00DE300B">
        <w:rPr>
          <w:noProof/>
          <w:sz w:val="24"/>
          <w:szCs w:val="24"/>
        </w:rPr>
        <w:t>[15,16]</w:t>
      </w:r>
      <w:r w:rsidR="00C35C40">
        <w:rPr>
          <w:sz w:val="24"/>
          <w:szCs w:val="24"/>
        </w:rPr>
        <w:fldChar w:fldCharType="end"/>
      </w:r>
      <w:r w:rsidRPr="000343C0">
        <w:rPr>
          <w:sz w:val="24"/>
          <w:szCs w:val="24"/>
        </w:rPr>
        <w:t xml:space="preserve">. </w:t>
      </w:r>
      <w:r w:rsidR="00273186" w:rsidRPr="000343C0">
        <w:rPr>
          <w:sz w:val="24"/>
          <w:szCs w:val="24"/>
        </w:rPr>
        <w:t>Few existing healthy volunteer-based data suggest extensive variability in the pulmonary penetration of first-line anti-TB drugs, with</w:t>
      </w:r>
      <w:r w:rsidR="003636D6">
        <w:rPr>
          <w:sz w:val="24"/>
          <w:szCs w:val="24"/>
        </w:rPr>
        <w:t xml:space="preserve"> potentially sub-therapeutic concentrations of rifampicin and</w:t>
      </w:r>
      <w:r w:rsidR="00273186" w:rsidRPr="000343C0">
        <w:rPr>
          <w:sz w:val="24"/>
          <w:szCs w:val="24"/>
        </w:rPr>
        <w:t xml:space="preserve"> isoniazid in epithelial lining fluid </w:t>
      </w:r>
      <w:r w:rsidR="00670C39">
        <w:rPr>
          <w:sz w:val="24"/>
          <w:szCs w:val="24"/>
        </w:rPr>
        <w:t>in a proportion of subjects</w:t>
      </w:r>
      <w:r w:rsidR="008A04DA">
        <w:rPr>
          <w:sz w:val="24"/>
          <w:szCs w:val="24"/>
        </w:rPr>
        <w:t xml:space="preserve"> </w:t>
      </w:r>
      <w:r w:rsidR="007A3A70">
        <w:rPr>
          <w:sz w:val="24"/>
          <w:szCs w:val="24"/>
        </w:rPr>
        <w:fldChar w:fldCharType="begin" w:fldLock="1"/>
      </w:r>
      <w:r w:rsidR="00DE300B">
        <w:rPr>
          <w:sz w:val="24"/>
          <w:szCs w:val="24"/>
        </w:rPr>
        <w:instrText>ADDIN CSL_CITATION {"citationItems":[{"id":"ITEM-1","itemData":{"ISBN":"0312-5963 (Print)\r0312-5963 (Linking)","PMID":"15086276","abstract":"OBJECTIVE: To compare the steady-state plasma and intrapulmonary concentrations of oral rifampicin (rifampin) in men and women with and without AIDS. DESIGN: Prospective nonblinded pharmacokinetic study. PARTICIPANTS: Ten men with AIDS, ten men without AIDS, ten women with AIDS, and ten women without AIDS. METHODS: Rifampicin 600 mg was administered orally once daily for 5 days to 40 adult volunteers. Blood was obtained 2 hours after the last dose and at the time of bronchoalveolar lavage (BAL) performed 4 hours after the last dose. Rifampicin was measured in plasma, epithelial lining fluid (ELF) and alveolar cells. Standardised BAL was performed without systemic sedation. The volume of ELF was calculated by the urea dilution method, and alveolar cells were recovered by a standardised centrifugation technique. The volume of alveolar cells was calculated from the cell count and differential performed on the BAL fluid. Rifampicin was measured by high-performance liquid chromatography. RESULTS: Sex or AIDS status had no effect on plasma concentrations of rifampicin at 2 hours, 4 hours, or in ELF. Plasma concentrations (mean +/- SD) of rifampicin at 2 hours (9.15 +/- 5.4 mg/L) were not significantly different (p &gt; 0.05) from those at 4 hours (9.10 +/- 5.6 mg/L) following the last dose. The ELF concentration was 2.0 +/- 1.6 mg/L with a range of 0-7.3 mg/L and the ELF/plasma ratio at 4 hours was 0.2 +/- 0.2. Rifampicin was not detectable in ELF in eight subjects (three with AIDS and five without AIDS) or in alveolar cells in three subjects without AIDS. There was no significant effect of AIDS on alveolar cell concentrations of rifampicin. Alveolar cell concentrations of rifampicin were significantly greater in women (13.9 +/- 6.7 mg/L) than in men (6.6 +/- 4.1 mg/L) [p = 0.0003]. Alveolar cell rifampicin concentrations were 78% greater in smoking women (17.8 +/- 7.0 mg/L) than in nonsmoking women (10.0 +/- 2.4 mg/L), but the difference was not significant (p &gt; 0.05). CD4+ cell counts in the AIDS subjects were not correlated with the concentrations of rifampicin in plasma, ELF or alveolar cells. CONCLUSIONS: The absorption of oral rifampicin was not affected by sex or AIDS. Plasma and alveolar cell concentrations were not significantly different, were both greater than ELF concentrations, and were adequate to inhibit Mycobacterium tuberculosis. Considerable interpatient variability was detected despite witnessed drug administration. The clinical significance o…","author":[{"dropping-particle":"","family":"Conte","given":"J E","non-dropping-particle":"","parse-names":false,"suffix":""},{"dropping-particle":"","family":"Golden","given":"J A","non-dropping-particle":"","parse-names":false,"suffix":""},{"dropping-particle":"","family":"Kipps","given":"J E","non-dropping-particle":"","parse-names":false,"suffix":""},{"dropping-particle":"","family":"Lin","given":"E T","non-dropping-particle":"","parse-names":false,"suffix":""},{"dropping-particle":"","family":"Zurlinden","given":"E","non-dropping-particle":"","parse-names":false,"suffix":""}],"container-title":"Clin Pharmacokinet","id":"ITEM-1","issue":"6","issued":{"date-parts":[["2004"]]},"note":"Conte, John E\nGolden, Jeffrey A\nKipps, Juliana E\nLin, Emil T\nZurlinden, Elisabeth\neng\nAI36054/AI/NIAID NIH HHS/\nM01RR00079/RR/NCRR NIH HHS/\nClinical Trial\nComparative Study\nResearch Support, U.S. Gov't, P.H.S.\nSwitzerland\n2004/04/17 05:00\nClin Pharmacokinet. 2004;43(6):395-404.","page":"395-404","title":"Effect of sex and AIDS status on the plasma and intrapulmonary pharmacokinetics of rifampicin","type":"article-journal","volume":"43"},"uris":["http://www.mendeley.com/documents/?uuid=396f57e1-75c5-4a3a-9035-51fba2252247"]},{"id":"ITEM-2","itemData":{"DOI":"10.1128/aac.46.8.2358-2364.2002","ISBN":"0066-4804 (Print)\r0066-4804 (Linking)","PMID":"12121905","abstract":"The objective of the present study was to evaluate the effects of gender, AIDS, and acetylator status on the steady-state concentrations of orally administered isoniazid in plasma and lungs. Isoniazid was administered at 300 mg once daily for 5 days to 80 adult volunteers. Subjects were assigned to eight blocks according to gender, presence or absence of AIDS, and acetylator status. Blood was obtained prior to administration of the first dose, 1 h after administration of the last dose, and at the completion of bronchoscopy and bronchoalveolar lavage (BAL), which was performed 4 h after administration of the last dose. The metabolism of caffeine was used to determine acetylator status. Standardized bronchoscopy was performed without systemic sedation. The volume of epithelial lining fluid (ELF) recovered was calculated by the urea dilution method. Isoniazid concentrations in plasma, BAL fluid, and alveolar cells (ACs) were measured by high-performance liquid chromatography. AIDS status or gender had no significant effect on the concentrations of isoniazid in plasma at 1 or 4 h. Concentrations in plasma at 4 h and concentrations in ELF were greater in slow acetylators than fast acetylators. The concentration in plasma (1.85 +/- 1.60 microg/ml [mean +/- standard deviation; n = 80]) at 1 h following administration of the last dose was not significantly different from that in ELF (2.25 +/- 3.50 microg/ml) or ACs (2.61 +/- 5.01 microg/ml). For the entire study group, concentrations in plasma at 1 h were less than 1.0, 2.0, and 3.0 microg/ml for 34.7, 60, and 82.7% of the subjects, respectively; concentrations in ELF were less than 1.0, 2.0, and 3.0 microg/ml in 30 (37.5%), 53 (66.0%), and 58 (72.5%) of the subjects, respectively; and concentrations in ACs were less than 1.0, 2.0, and 3.0 microg/ml in 43 (53.8%), 59 (73.8%), and 65 (81.3%) of the subjects, respectively. The concentrations of orally administered isoniazid in plasma were not affected by gender or the presence of AIDS. The concentrations in plasma at 4 h and the concentrations in ELF, but not the concentrations in ACs, were significantly greater in slow acetylators than fast acetylators. Concentrations in plasma and lungs were low compared to recommended therapeutic concentrations in plasma and published MICs of isoniazid for Mycobacterium tuberculosis. The optimal concentrations of isoniazid in ACs and ELF are unknown, but these data suggest that the drug enters these compartments by passive dif…","author":[{"dropping-particle":"","family":"Conte  Jr.","given":"J E","non-dropping-particle":"","parse-names":false,"suffix":""},{"dropping-particle":"","family":"Golden","given":"J A","non-dropping-particle":"","parse-names":false,"suffix":""},{"dropping-particle":"","family":"McQuitty","given":"M","non-dropping-particle":"","parse-names":false,"suffix":""},{"dropping-particle":"","family":"Kipps","given":"J","non-dropping-particle":"","parse-names":false,"suffix":""},{"dropping-particle":"","family":"Duncan","given":"S","non-dropping-particle":"","parse-names":false,"suffix":""},{"dropping-particle":"","family":"McKenna","given":"E","non-dropping-particle":"","parse-names":false,"suffix":""},{"dropping-particle":"","family":"Zurlinden","given":"E","non-dropping-particle":"","parse-names":false,"suffix":""}],"container-title":"Antimicrob Agents Chemother","id":"ITEM-2","issue":"8","issued":{"date-parts":[["2002"]]},"note":"Conte, John E Jr\nGolden, Jeffrey A\nMcQuitty, Mari\nKipps, Juliana\nDuncan, Sheila\nMcKenna, Elaine\nZurlinden, Elisabeth\neng\nM01 RR000079/RR/NCRR NIH HHS/\nAI 36054/AI/NIAID NIH HHS/\nM01 RR 00079/RR/NCRR NIH HHS/\nClinical Trial\nComparative Study\nResearch Support, Non-U.S. Gov't\nResearch Support, U.S. Gov't, P.H.S.\n2002/07/18 10:00\nAntimicrob Agents Chemother. 2002 Aug;46(8):2358-64.","page":"2358-2364","title":"Effects of gender, AIDS, and acetylator status on intrapulmonary concentrations of isoniazid","type":"article-journal","volume":"46"},"uris":["http://www.mendeley.com/documents/?uuid=03ddd8ac-816b-41c6-b79a-7fff39ef7c4d"]},{"id":"ITEM-3","itemData":{"ISBN":"0066-4804 (Print)\r0066-4804 (Linking)","PMID":"10348747","abstract":"The objective of this study was to compare the steady-state plasma and intrapulmonary concentrations of orally administered pyrazinamide in normal volunteers and subjects with AIDS. Pyrazinamide was administered at 1 g once daily for 5 days to 40 adult volunteers (10 men with AIDS, 10 normal men, 10 women with AIDS, and 10 normal women). Subjects with AIDS and with more than four stools per day were excluded. Blood was obtained prior to administration of the first dose, 2 h after the last dose, and at the completion of bronchoscopy and bronchoalveolar lavage, which were performed 4 h after the last dose. Standardized bronchoscopy was performed without systemic sedation. The volume of epithelial lining fluid (ELF) recovered was calculated by the urea dilution method. The total number of alveolar cells (AC) was counted in a hemocytometer, and differential cell counting was performed after cytocentrifugation. Pyrazinamide was measured by high-performance liquid chromatography. The presence of AIDS or gender had no significant effect on the concentrations of pyrazinamide in plasma. The concentrations of pyrazinamide in ELF and AC were lower in the subjects with AIDS than in the subjects without AIDS, but the difference was not significant. The concentrations in plasma (mean +/- standard deviation) were 25.1 +/- 7.6 and 21.1 +/- 6.8 microg/ml at 2 and 4 h after the last dose, respectively, and were not significantly different from the concentration (17.4 +/- 16.9 microg/ml) in AC. The concentration of pyrazinamide in ELF was high (431 +/- 220 microg/ml) and was approximately 4 to 40 times the reported MIC for pyrazinamide-susceptible strains of Mycobacterium tuberculosis. The high concentration of pyrazinamide in ELF may contribute in part to the effectiveness of the drug in treating pulmonary tuberculosis.","author":[{"dropping-particle":"","family":"Conte  Jr.","given":"J E","non-dropping-particle":"","parse-names":false,"suffix":""},{"dropping-particle":"","family":"Golden","given":"J A","non-dropping-particle":"","parse-names":false,"suffix":""},{"dropping-particle":"","family":"Duncan","given":"S","non-dropping-particle":"","parse-names":false,"suffix":""},{"dropping-particle":"","family":"McKenna","given":"E","non-dropping-particle":"","parse-names":false,"suffix":""},{"dropping-particle":"","family":"Zurlinden","given":"E","non-dropping-particle":"","parse-names":false,"suffix":""}],"container-title":"Antimicrob Agents Chemother","id":"ITEM-3","issue":"6","issued":{"date-parts":[["1999"]]},"note":"Conte, J E Jr\nGolden, J A\nDuncan, S\nMcKenna, E\nZurlinden, E\neng\nM01 RR000079/RR/NCRR NIH HHS/\nAI36054/AI/NIAID NIH HHS/\nMO1RR00079/RR/NCRR NIH HHS/\nComparative Study\nResearch Support, U.S. Gov't, P.H.S.\n1999/05/29 10:00\nAntimicrob Agents Chemother. 1999 Jun;43(6):1329-33.","page":"1329-1333","title":"Intrapulmonary concentrations of pyrazinamide","type":"article-journal","volume":"43"},"uris":["http://www.mendeley.com/documents/?uuid=9da61f07-8efe-45b5-9fc6-7ddb8ec5d36a"]},{"id":"ITEM-4","itemData":{"DOI":"10.1128/AAC.45.10.2891-2896.2001","ISBN":"0066-4804 (Print)\r0066-4804 (Linking)","PMID":"11557486","abstract":"Our objective was to study the steady-state plasma and intrapulmonary orally administered ethambutol concentrations in healthy volunteers and subjects with AIDS. Ethambutol (15 mg/kg of body weight) was administered orally once daily to 10 men with AIDS, 10 healthy men, 10 women with AIDS, and 10 healthy women. The mean (+/-standard deviation [SD]) CD4 cell count for the 20 subjects with AIDS was (350 +/- 169) x 10(6) cells per liter. Blood was obtained for drug assay 2 h after the last dose and at the completion of bronchoalveolar lavage, performed 4 h after the last dose. Standardized bronchoscopy was performed without systemic sedation. The volume of epithelial lining fluid (ELF) was calculated by the urea dilution method. The total number of alveolar cells (AC) was counted in a hemocytometer, and differential cell counting was performed after cytocentrifugation. Ethambutol was measured by a new, sensitive and specific liquid chromotography-mass spectrometry method. The presence of AIDS, as defined in this study, or gender was without significant effect on the concentrations of ethambutol in plasma at 2 or 4 h or in ELF at 4 h following the last dose. Plasma drug concentrations (mean +/- SD) at 2 and 4 h were 2.1 +/- 1.2 and 2.1 +/- 0.8 microg/ml, respectively, and both values were not significantly different from the concentration of ethambutol in ELF at 4 h (2.2 +/- 1.1 microg/ml). The concentration of ethambutol was significantly greater in AC in all four groups (range, 44.5 +/- 15.6 to 82.0 +/- 39.4 microg/ml) than in ELF or plasma and was approximately 30 to 240 times the reported MIC for ethambutol-susceptible strains of Mycobacterium tuberculosis. The AC ethambutol concentration (mean +/- SD) in the smoking women (97.2 +/- 32.1 microg/ml) was more than twice the concentration in all other nonsmoking subjects (45.2 +/- 16.8 microg/ml) combined (P &lt; 0.05). Two- and 4-h concentrations of ethambutol in plasma were not affected by AIDS status or gender. The high AC/plasma and AC/ELF concentration ratios suggest that substantial antimycobacterial activity resides in these cells. The data confirm earlier observations of active transport ex vivo of ethambutol into pulmonary macrophages.","author":[{"dropping-particle":"","family":"Conte  Jr.","given":"J E","non-dropping-particle":"","parse-names":false,"suffix":""},{"dropping-particle":"","family":"Golden","given":"J A","non-dropping-particle":"","parse-names":false,"suffix":""},{"dropping-particle":"","family":"Kipps","given":"J","non-dropping-particle":"","parse-names":false,"suffix":""},{"dropping-particle":"","family":"Lin","given":"E T","non-dropping-particle":"","parse-names":false,"suffix":""},{"dropping-particle":"","family":"Zurlinden","given":"E","non-dropping-particle":"","parse-names":false,"suffix":""}],"container-title":"Antimicrob Agents Chemother","id":"ITEM-4","issue":"10","issued":{"date-parts":[["2001"]]},"note":"Conte, J E Jr\nGolden, J A\nKipps, J\nLin, E T\nZurlinden, E\neng\nM01 RR000079/RR/NCRR NIH HHS/\nAI 36054/AI/NIAID NIH HHS/\nMO1 RR 00079/RR/NCRR NIH HHS/\nClinical Trial\nControlled Clinical Trial\nResearch Support, U.S. Gov't, P.H.S.\n2001/09/15 10:00\nAntimicrob Agents Chemother. 2001 Oct;45(10):2891-6.","page":"2891-2896","title":"Effects of AIDS and gender on steady-state plasma and intrapulmonary ethambutol concentrations","type":"article-journal","volume":"45"},"uris":["http://www.mendeley.com/documents/?uuid=f7be3c9c-6ff3-4c14-92a9-8c9e80d86bae"]},{"id":"ITEM-5","itemData":{"DOI":"10.1093/jac/dkf214","ISBN":"14602091","PMID":"12461025","abstract":"The concentrations of rifampicin in epithelial lining fluid (ELF), human alveolar macrophages (AM), bronchial mucosal biopsies and serum were measured after a single oral dose of 600 mg rifampicin from 15 patients undergoing fibre-optic bronchoscopy. The samples of ELF, AM, the bronchial mucosal biopsies and serum were obtained approximately 2-5 h after dosing. The mean concentrations (mean +/- standard error) were 5.25 mg/L (+/-0.67) in ELF, 7.93 mg/kg (+/-1.61) in bronchial biopsies, 15.48 mg/L (+/-1.41) in serum and 251.8 mg/L (+/-65.92) in alveolar macrophages. These site concentrations exceeded the MIC90 for common respiratory pathogens including Mycobacterium tuberculosis and support the observed clinical efficacy of rifampicin in the treatment of a wide range of respiratory tract infections.","author":[{"dropping-particle":"","family":"Ziglam","given":"H M","non-dropping-particle":"","parse-names":false,"suffix":""},{"dropping-particle":"","family":"Baldwin","given":"D R","non-dropping-particle":"","parse-names":false,"suffix":""},{"dropping-particle":"","family":"Daniels","given":"I","non-dropping-particle":"","parse-names":false,"suffix":""},{"dropping-particle":"","family":"Andrew","given":"J M","non-dropping-particle":"","parse-names":false,"suffix":""},{"dropping-particle":"","family":"Finch","given":"R G","non-dropping-particle":"","parse-names":false,"suffix":""}],"container-title":"Journal of Antimicrobial Chemotherapy","id":"ITEM-5","issue":"6","issued":{"date-parts":[["2002"]]},"note":"From Duplicate 1 (Rifampicin concentrations in bronchial mucosa, epithelial lining fluid, alveolar macrophages and serum following a single 600 mg oral dose in patients undergoing fibre-optic bronchoscopy - Ziglam, H M; Baldwin, D R; Daniels, I; Andrew, J M; Finch, R G)\n\nZiglam, Hisham M\nBaldwin, David R\nDaniels, Ian\nAndrew, Jenny M\nFinch, Roger G\neng\nEngland\n2002/12/04 04:00\nJ Antimicrob Chemother. 2002 Dec;50(6):1011-5.","page":"1011-1015","title":"Rifampicin concentrations in bronchial mucosa, epithelial lining fluid, alveolar macrophages and serum following a single 600 mg oral dose in patients undergoing fibre-optic bronchoscopy","type":"article-journal","volume":"50"},"uris":["http://www.mendeley.com/documents/?uuid=3cba3966-a13b-47c2-9dac-23b0ed9938a5"]},{"id":"ITEM-6","itemData":{"DOI":"10.1016/j.jtbi.2011.05.013","ISBN":"1095-8541 (Electronic)\r0022-5193 (Linking)","PMID":"21605569","abstract":"There is a critical need for improved and shorter tuberculosis (TB) treatment. Current in vitro models of TB, while valuable, are poor predictors of the antibacterial effect of drugs in vivo. Mathematical models may be useful to overcome the limitations of traditional approaches in TB research. The objective of this study was to set up a prototype mathematical model of TB treatment by rifampin, based on pharmacokinetic, pharmacodynamic and disease submodels. The full mathematical model can simulate the time-course of tuberculous disease from the first day of infection to the last day of therapy. Therapeutic simulations were performed with the full model to study the antibacterial effect of various dosage regimens of rifampin in lungs. The model reproduced some qualitative and quantitative properties of the bactericidal activity of rifampin observed in clinical data. The kill curves simulated with the model showed a typical biphasic decline in the number of extracellular bacteria consistent with observations in TB patients. Simulations performed with more simple pharmacokinetic/pharmacodynamic models indicated a possible role of a protected intracellular bacterial compartment in such a biphasic decline. This modeling effort strongly suggests that current dosage regimens of RIF may be further optimized. In addition, it suggests a new hypothesis for bacterial persistence during TB treatment.","author":[{"dropping-particle":"","family":"Goutelle","given":"S","non-dropping-particle":"","parse-names":false,"suffix":""},{"dropping-particle":"","family":"Bourguignon","given":"L","non-dropping-particle":"","parse-names":false,"suffix":""},{"dropping-particle":"","family":"Jelliffe","given":"R W","non-dropping-particle":"","parse-names":false,"suffix":""},{"dropping-particle":"","family":"Conte  Jr.","given":"J E","non-dropping-particle":"","parse-names":false,"suffix":""},{"dropping-particle":"","family":"Maire","given":"P","non-dropping-particle":"","parse-names":false,"suffix":""}],"container-title":"J Theor Biol","id":"ITEM-6","issue":"1","issued":{"date-parts":[["2011"]]},"note":"Goutelle, Sylvain\nBourguignon, Laurent\nJelliffe, Roger W\nConte, John E Jr\nMaire, Pascal\neng\nEngland\n2011/05/25 06:00\nJ Theor Biol. 2011 Aug 7;282(1):80-92. doi: 10.1016/j.jtbi.2011.05.013. Epub 2011 May 18.","page":"80-92","title":"Mathematical modeling of pulmonary tuberculosis therapy: Insights from a prototype model with rifampin","type":"article-journal","volume":"282"},"uris":["http://www.mendeley.com/documents/?uuid=8b28b461-b4c4-4843-a91a-28132ed28dd8"]}],"mendeley":{"formattedCitation":"[17–22]","plainTextFormattedCitation":"[17–22]","previouslyFormattedCitation":"[13–18]"},"properties":{"noteIndex":0},"schema":"https://github.com/citation-style-language/schema/raw/master/csl-citation.json"}</w:instrText>
      </w:r>
      <w:r w:rsidR="007A3A70">
        <w:rPr>
          <w:sz w:val="24"/>
          <w:szCs w:val="24"/>
        </w:rPr>
        <w:fldChar w:fldCharType="separate"/>
      </w:r>
      <w:r w:rsidR="00DE300B" w:rsidRPr="00DE300B">
        <w:rPr>
          <w:noProof/>
          <w:sz w:val="24"/>
          <w:szCs w:val="24"/>
        </w:rPr>
        <w:t>[17–22]</w:t>
      </w:r>
      <w:r w:rsidR="007A3A70">
        <w:rPr>
          <w:sz w:val="24"/>
          <w:szCs w:val="24"/>
        </w:rPr>
        <w:fldChar w:fldCharType="end"/>
      </w:r>
      <w:r w:rsidR="007A3A70">
        <w:rPr>
          <w:sz w:val="24"/>
          <w:szCs w:val="24"/>
        </w:rPr>
        <w:t xml:space="preserve">. </w:t>
      </w:r>
      <w:r w:rsidR="00883DFE">
        <w:rPr>
          <w:sz w:val="24"/>
          <w:szCs w:val="24"/>
        </w:rPr>
        <w:t>T</w:t>
      </w:r>
      <w:r w:rsidR="00273186" w:rsidRPr="000343C0">
        <w:rPr>
          <w:sz w:val="24"/>
          <w:szCs w:val="24"/>
        </w:rPr>
        <w:t xml:space="preserve">hese </w:t>
      </w:r>
      <w:r w:rsidR="00273186" w:rsidRPr="000343C0">
        <w:rPr>
          <w:sz w:val="24"/>
          <w:szCs w:val="24"/>
        </w:rPr>
        <w:lastRenderedPageBreak/>
        <w:t xml:space="preserve">studies have limitations, however, as no patients with TB participated, drugs were given individually rather than in clinically relevant combinations, and sampling was limited to single fixed time-points. </w:t>
      </w:r>
    </w:p>
    <w:p w14:paraId="14356DEC" w14:textId="60C6C0E9" w:rsidR="00075396" w:rsidRDefault="00075396" w:rsidP="000343C0">
      <w:pPr>
        <w:spacing w:line="480" w:lineRule="auto"/>
        <w:rPr>
          <w:sz w:val="24"/>
          <w:szCs w:val="24"/>
        </w:rPr>
      </w:pPr>
    </w:p>
    <w:p w14:paraId="213B04C7" w14:textId="01ADBF08" w:rsidR="008C3AC3" w:rsidRDefault="000343C0" w:rsidP="000343C0">
      <w:pPr>
        <w:spacing w:line="480" w:lineRule="auto"/>
        <w:rPr>
          <w:sz w:val="24"/>
          <w:szCs w:val="24"/>
        </w:rPr>
      </w:pPr>
      <w:r w:rsidRPr="000343C0">
        <w:rPr>
          <w:sz w:val="24"/>
          <w:szCs w:val="24"/>
        </w:rPr>
        <w:t>To address these limitations, we used bronchoalveolar lavage coupled with population pharmacokinetic modelling to assess site of disease pharmacokinetics in a cohort of adult pulmonary TB patients receiving first-line anti-TB treatment.</w:t>
      </w:r>
    </w:p>
    <w:p w14:paraId="72B55D6B" w14:textId="3B8B98BF" w:rsidR="00FF5BB3" w:rsidRDefault="00FF5BB3">
      <w:pPr>
        <w:spacing w:line="259" w:lineRule="auto"/>
        <w:rPr>
          <w:sz w:val="24"/>
          <w:szCs w:val="24"/>
        </w:rPr>
      </w:pPr>
      <w:r>
        <w:rPr>
          <w:sz w:val="24"/>
          <w:szCs w:val="24"/>
        </w:rPr>
        <w:br w:type="page"/>
      </w:r>
    </w:p>
    <w:p w14:paraId="756FB126" w14:textId="0CB40443" w:rsidR="008C3AC3" w:rsidRDefault="00FF5BB3" w:rsidP="00C472E0">
      <w:pPr>
        <w:spacing w:line="480" w:lineRule="auto"/>
        <w:rPr>
          <w:b/>
          <w:bCs/>
          <w:sz w:val="24"/>
          <w:szCs w:val="24"/>
        </w:rPr>
      </w:pPr>
      <w:r>
        <w:rPr>
          <w:b/>
          <w:bCs/>
          <w:sz w:val="24"/>
          <w:szCs w:val="24"/>
        </w:rPr>
        <w:lastRenderedPageBreak/>
        <w:t>Methods</w:t>
      </w:r>
    </w:p>
    <w:p w14:paraId="39332948" w14:textId="77777777" w:rsidR="007C1803" w:rsidRDefault="007C1803" w:rsidP="007C1803">
      <w:pPr>
        <w:spacing w:after="0" w:line="480" w:lineRule="auto"/>
        <w:rPr>
          <w:i/>
          <w:sz w:val="24"/>
        </w:rPr>
      </w:pPr>
      <w:r>
        <w:rPr>
          <w:i/>
          <w:sz w:val="24"/>
        </w:rPr>
        <w:t>Study design</w:t>
      </w:r>
    </w:p>
    <w:p w14:paraId="7AC37DD4" w14:textId="70916546" w:rsidR="007C1803" w:rsidRDefault="007C1803" w:rsidP="007C1803">
      <w:pPr>
        <w:spacing w:after="0" w:line="480" w:lineRule="auto"/>
        <w:rPr>
          <w:sz w:val="24"/>
        </w:rPr>
      </w:pPr>
      <w:r>
        <w:rPr>
          <w:sz w:val="24"/>
        </w:rPr>
        <w:t xml:space="preserve">This was a </w:t>
      </w:r>
      <w:r w:rsidRPr="00F77BD7">
        <w:rPr>
          <w:sz w:val="24"/>
        </w:rPr>
        <w:t>prospective</w:t>
      </w:r>
      <w:r>
        <w:rPr>
          <w:sz w:val="24"/>
        </w:rPr>
        <w:t>,</w:t>
      </w:r>
      <w:r w:rsidRPr="00F77BD7">
        <w:rPr>
          <w:sz w:val="24"/>
        </w:rPr>
        <w:t xml:space="preserve"> </w:t>
      </w:r>
      <w:r>
        <w:rPr>
          <w:sz w:val="24"/>
        </w:rPr>
        <w:t>single-centre, pharmacokinetic-pharmacodynamic study. Participants were sequentially assigned to two study arms – a plasma arm and an intrapulmonary arm - at a 2:1 allocation ratio.</w:t>
      </w:r>
    </w:p>
    <w:p w14:paraId="38BF2394" w14:textId="77777777" w:rsidR="007C1803" w:rsidRDefault="007C1803" w:rsidP="007C1803">
      <w:pPr>
        <w:spacing w:after="0" w:line="480" w:lineRule="auto"/>
        <w:rPr>
          <w:sz w:val="24"/>
        </w:rPr>
      </w:pPr>
    </w:p>
    <w:p w14:paraId="71142E71" w14:textId="32EDE249" w:rsidR="00FF5BB3" w:rsidRPr="00FF5BB3" w:rsidRDefault="007C1803" w:rsidP="007C1803">
      <w:pPr>
        <w:spacing w:line="480" w:lineRule="auto"/>
        <w:rPr>
          <w:b/>
          <w:bCs/>
          <w:sz w:val="24"/>
          <w:szCs w:val="24"/>
        </w:rPr>
      </w:pPr>
      <w:r>
        <w:rPr>
          <w:sz w:val="24"/>
        </w:rPr>
        <w:t>The primary objective was to describe the pharmacokinetics (</w:t>
      </w:r>
      <w:r>
        <w:rPr>
          <w:rFonts w:cstheme="minorHAnsi"/>
          <w:sz w:val="24"/>
        </w:rPr>
        <w:t>area-under-the-concentration-time-curve [</w:t>
      </w:r>
      <w:r w:rsidRPr="00581500">
        <w:rPr>
          <w:rFonts w:cstheme="minorHAnsi"/>
          <w:sz w:val="24"/>
        </w:rPr>
        <w:t>AUC</w:t>
      </w:r>
      <w:r>
        <w:rPr>
          <w:rFonts w:cstheme="minorHAnsi"/>
          <w:sz w:val="24"/>
        </w:rPr>
        <w:t>] and peak concentration [</w:t>
      </w:r>
      <w:proofErr w:type="spellStart"/>
      <w:r w:rsidRPr="00581500">
        <w:rPr>
          <w:rFonts w:cstheme="minorHAnsi"/>
          <w:sz w:val="24"/>
        </w:rPr>
        <w:t>C</w:t>
      </w:r>
      <w:r w:rsidRPr="00581500">
        <w:rPr>
          <w:rFonts w:cstheme="minorHAnsi"/>
          <w:sz w:val="24"/>
          <w:vertAlign w:val="subscript"/>
        </w:rPr>
        <w:t>max</w:t>
      </w:r>
      <w:proofErr w:type="spellEnd"/>
      <w:r>
        <w:rPr>
          <w:sz w:val="24"/>
        </w:rPr>
        <w:t xml:space="preserve">]) of rifampicin, isoniazid, pyrazinamide, and ethambutol in plasma, </w:t>
      </w:r>
      <w:r w:rsidR="009D010B">
        <w:rPr>
          <w:sz w:val="24"/>
        </w:rPr>
        <w:t xml:space="preserve">lung </w:t>
      </w:r>
      <w:r>
        <w:rPr>
          <w:sz w:val="24"/>
        </w:rPr>
        <w:t>epithelial lining fluid, and alveolar cells. The secondary objective was to relate the pharmacokinetic indices to clinical treatment response.</w:t>
      </w:r>
    </w:p>
    <w:p w14:paraId="6D7565DC" w14:textId="14E722A5" w:rsidR="00706EA0" w:rsidRDefault="00706EA0" w:rsidP="00C472E0">
      <w:pPr>
        <w:spacing w:line="480" w:lineRule="auto"/>
        <w:rPr>
          <w:sz w:val="24"/>
          <w:szCs w:val="24"/>
        </w:rPr>
      </w:pPr>
    </w:p>
    <w:p w14:paraId="0228E34B" w14:textId="14CAF82A" w:rsidR="0044204D" w:rsidRDefault="0044204D" w:rsidP="00C472E0">
      <w:pPr>
        <w:spacing w:line="480" w:lineRule="auto"/>
        <w:rPr>
          <w:i/>
          <w:iCs/>
          <w:sz w:val="24"/>
          <w:szCs w:val="24"/>
        </w:rPr>
      </w:pPr>
      <w:r>
        <w:rPr>
          <w:i/>
          <w:iCs/>
          <w:sz w:val="24"/>
          <w:szCs w:val="24"/>
        </w:rPr>
        <w:t>Study participants</w:t>
      </w:r>
    </w:p>
    <w:p w14:paraId="499F25DE" w14:textId="22EE96AF" w:rsidR="00596408" w:rsidRDefault="00A81298" w:rsidP="00C472E0">
      <w:pPr>
        <w:spacing w:line="480" w:lineRule="auto"/>
        <w:rPr>
          <w:sz w:val="24"/>
        </w:rPr>
      </w:pPr>
      <w:r>
        <w:rPr>
          <w:sz w:val="24"/>
        </w:rPr>
        <w:t xml:space="preserve">The study </w:t>
      </w:r>
      <w:r w:rsidRPr="00F77BD7">
        <w:rPr>
          <w:sz w:val="24"/>
        </w:rPr>
        <w:t>was conducted at Queen Elizabeth Central Hospital in Blantyre, Malawi</w:t>
      </w:r>
      <w:r w:rsidR="00C3772F">
        <w:rPr>
          <w:sz w:val="24"/>
        </w:rPr>
        <w:t>,</w:t>
      </w:r>
      <w:r w:rsidRPr="00F77BD7">
        <w:rPr>
          <w:sz w:val="24"/>
        </w:rPr>
        <w:t xml:space="preserve"> </w:t>
      </w:r>
      <w:r>
        <w:rPr>
          <w:sz w:val="24"/>
        </w:rPr>
        <w:t>between</w:t>
      </w:r>
      <w:r w:rsidRPr="00F77BD7">
        <w:rPr>
          <w:sz w:val="24"/>
        </w:rPr>
        <w:t xml:space="preserve"> </w:t>
      </w:r>
      <w:r>
        <w:rPr>
          <w:sz w:val="24"/>
        </w:rPr>
        <w:t xml:space="preserve">January </w:t>
      </w:r>
      <w:r w:rsidRPr="00F77BD7">
        <w:rPr>
          <w:sz w:val="24"/>
        </w:rPr>
        <w:t>201</w:t>
      </w:r>
      <w:r>
        <w:rPr>
          <w:sz w:val="24"/>
        </w:rPr>
        <w:t xml:space="preserve">6 and October </w:t>
      </w:r>
      <w:r w:rsidRPr="00F77BD7">
        <w:rPr>
          <w:sz w:val="24"/>
        </w:rPr>
        <w:t>201</w:t>
      </w:r>
      <w:r>
        <w:rPr>
          <w:sz w:val="24"/>
        </w:rPr>
        <w:t>8</w:t>
      </w:r>
      <w:r w:rsidRPr="00F77BD7">
        <w:rPr>
          <w:sz w:val="24"/>
        </w:rPr>
        <w:t>.</w:t>
      </w:r>
      <w:r w:rsidRPr="004B4059">
        <w:rPr>
          <w:sz w:val="24"/>
        </w:rPr>
        <w:t xml:space="preserve"> </w:t>
      </w:r>
      <w:r w:rsidRPr="00F77BD7">
        <w:rPr>
          <w:sz w:val="24"/>
        </w:rPr>
        <w:t xml:space="preserve">Patients registering for </w:t>
      </w:r>
      <w:r>
        <w:rPr>
          <w:sz w:val="24"/>
        </w:rPr>
        <w:t xml:space="preserve">first-line </w:t>
      </w:r>
      <w:r w:rsidRPr="00F77BD7">
        <w:rPr>
          <w:sz w:val="24"/>
        </w:rPr>
        <w:t>treatment</w:t>
      </w:r>
      <w:r>
        <w:rPr>
          <w:sz w:val="24"/>
        </w:rPr>
        <w:t xml:space="preserve"> for TB</w:t>
      </w:r>
      <w:r w:rsidRPr="00F77BD7">
        <w:rPr>
          <w:sz w:val="24"/>
        </w:rPr>
        <w:t xml:space="preserve"> at </w:t>
      </w:r>
      <w:r>
        <w:rPr>
          <w:sz w:val="24"/>
        </w:rPr>
        <w:t>the hospital</w:t>
      </w:r>
      <w:r w:rsidRPr="00F77BD7">
        <w:rPr>
          <w:sz w:val="24"/>
        </w:rPr>
        <w:t>, or at health centres in urban Blantyre, were screen</w:t>
      </w:r>
      <w:r w:rsidR="007D259E">
        <w:rPr>
          <w:sz w:val="24"/>
        </w:rPr>
        <w:t>ed</w:t>
      </w:r>
      <w:r w:rsidRPr="00F77BD7">
        <w:rPr>
          <w:sz w:val="24"/>
        </w:rPr>
        <w:t xml:space="preserve">. </w:t>
      </w:r>
      <w:r w:rsidR="001E71CF">
        <w:rPr>
          <w:sz w:val="24"/>
        </w:rPr>
        <w:t>A</w:t>
      </w:r>
      <w:r w:rsidR="001E71CF" w:rsidRPr="00F77BD7">
        <w:rPr>
          <w:sz w:val="24"/>
        </w:rPr>
        <w:t xml:space="preserve">dults </w:t>
      </w:r>
      <w:r w:rsidRPr="00F77BD7">
        <w:rPr>
          <w:sz w:val="24"/>
        </w:rPr>
        <w:t xml:space="preserve">aged 16-65 years with </w:t>
      </w:r>
      <w:r>
        <w:rPr>
          <w:sz w:val="24"/>
        </w:rPr>
        <w:t xml:space="preserve">sputum smear- or </w:t>
      </w:r>
      <w:proofErr w:type="spellStart"/>
      <w:r>
        <w:rPr>
          <w:sz w:val="24"/>
        </w:rPr>
        <w:t>Xpert</w:t>
      </w:r>
      <w:proofErr w:type="spellEnd"/>
      <w:r>
        <w:rPr>
          <w:sz w:val="24"/>
        </w:rPr>
        <w:t xml:space="preserve"> MTB/RIF-positive</w:t>
      </w:r>
      <w:r w:rsidRPr="00F77BD7">
        <w:rPr>
          <w:sz w:val="24"/>
        </w:rPr>
        <w:t xml:space="preserve"> </w:t>
      </w:r>
      <w:r>
        <w:rPr>
          <w:sz w:val="24"/>
        </w:rPr>
        <w:t xml:space="preserve">pulmonary </w:t>
      </w:r>
      <w:r w:rsidRPr="00F77BD7">
        <w:rPr>
          <w:sz w:val="24"/>
        </w:rPr>
        <w:t>TB were eligibl</w:t>
      </w:r>
      <w:r>
        <w:rPr>
          <w:sz w:val="24"/>
        </w:rPr>
        <w:t xml:space="preserve">e while those with absolute or relative contraindications to research bronchoscopy were excluded </w:t>
      </w:r>
      <w:r>
        <w:rPr>
          <w:sz w:val="24"/>
        </w:rPr>
        <w:fldChar w:fldCharType="begin" w:fldLock="1"/>
      </w:r>
      <w:r w:rsidR="00DE300B">
        <w:rPr>
          <w:sz w:val="24"/>
        </w:rPr>
        <w:instrText>ADDIN CSL_CITATION {"citationItems":[{"id":"ITEM-1","itemData":{"DOI":"10.3791/4345","ISBN":"1940-087X (Electronic)\r1940-087X (Linking)","PMID":"24686157","abstract":"We describe a research technique for fiberoptic bronchoscopy with bronchoalveolar lavage (BAL) using manual hand held suction in order to remove nonadherent cells and lung lining fluid from the mucosal surface. In research environments, BAL allows sampling of innate (lung macrophage), cellular (B- and T- cells), and humoral (immunoglobulin) responses within the lung. BAL is internationally accepted for research purposes and since 1999 the technique has been performed in &gt; 1,000 subjects in the UK and Malawi by our group. Our technique uses gentle hand-held suction of instilled fluid; this is designed to maximize BAL volume returned and apply minimum shear force on ciliated epithelia in order to preserve the structure and function of cells within the BAL fluid and to preserve viability to facilitate the growth of cells in ex vivo culture. The research technique therefore uses a larger volume instillate (typically in the order of 200 ml) and employs manual suction to reduce cell damage. Patients are given local anesthetic, offered conscious sedation (midazolam), and tolerate the procedure well with minimal side effects. Verbal and written subject information improves tolerance and written informed consent is mandatory. Safety of the subject is paramount. Subjects are carefully selected using clear inclusion and exclusion criteria. This protocol includes a description of the potential risks, and the steps taken to mitigate them, a list of contraindications, pre- and post-procedure checks, as well as precise bronchoscopy and laboratory techniques.","author":[{"dropping-particle":"","family":"Collins","given":"A M","non-dropping-particle":"","parse-names":false,"suffix":""},{"dropping-particle":"","family":"Rylance","given":"J","non-dropping-particle":"","parse-names":false,"suffix":""},{"dropping-particle":"","family":"Wootton","given":"D G","non-dropping-particle":"","parse-names":false,"suffix":""},{"dropping-particle":"","family":"Wright","given":"A D","non-dropping-particle":"","parse-names":false,"suffix":""},{"dropping-particle":"","family":"Wright","given":"A K","non-dropping-particle":"","parse-names":false,"suffix":""},{"dropping-particle":"","family":"Fullerton","given":"D G","non-dropping-particle":"","parse-names":false,"suffix":""},{"dropping-particle":"","family":"Gordon","given":"S B","non-dropping-particle":"","parse-names":false,"suffix":""}],"container-title":"J Vis Exp","id":"ITEM-1","issue":"85","issued":{"date-parts":[["2014"]]},"note":"Collins, Andrea M\nRylance, Jamie\nWootton, Daniel G\nWright, Angela D\nWright, Adam K A\nFullerton, Duncan G\nGordon, Stephen B\neng\n100890/Wellcome Trust/United Kingdom\n101113/Wellcome Trust/United Kingdom\nDRF-2010-03-154/Department of Health/United Kingdom\nVideo-Audio Media\n2014/04/02 06:00\nJ Vis Exp. 2014 Mar 24;(85). doi: 10.3791/4345.","title":"Bronchoalveolar lavage (BAL) for research; obtaining adequate sample yield","type":"article-journal"},"uris":["http://www.mendeley.com/documents/?uuid=1222a1a0-982d-4769-bcbb-4ac189e8414a"]}],"mendeley":{"formattedCitation":"[23]","plainTextFormattedCitation":"[23]","previouslyFormattedCitation":"[19]"},"properties":{"noteIndex":0},"schema":"https://github.com/citation-style-language/schema/raw/master/csl-citation.json"}</w:instrText>
      </w:r>
      <w:r>
        <w:rPr>
          <w:sz w:val="24"/>
        </w:rPr>
        <w:fldChar w:fldCharType="separate"/>
      </w:r>
      <w:r w:rsidR="00DE300B" w:rsidRPr="00DE300B">
        <w:rPr>
          <w:noProof/>
          <w:sz w:val="24"/>
        </w:rPr>
        <w:t>[23]</w:t>
      </w:r>
      <w:r>
        <w:rPr>
          <w:sz w:val="24"/>
        </w:rPr>
        <w:fldChar w:fldCharType="end"/>
      </w:r>
      <w:r w:rsidR="00CD3BB2">
        <w:rPr>
          <w:sz w:val="24"/>
        </w:rPr>
        <w:t xml:space="preserve"> (</w:t>
      </w:r>
      <w:r w:rsidR="00CD3BB2" w:rsidRPr="004853E4">
        <w:rPr>
          <w:b/>
          <w:bCs/>
          <w:sz w:val="24"/>
        </w:rPr>
        <w:t>Supplementary Material</w:t>
      </w:r>
      <w:r w:rsidR="0072699B" w:rsidRPr="004853E4">
        <w:rPr>
          <w:b/>
          <w:bCs/>
          <w:sz w:val="24"/>
        </w:rPr>
        <w:t>s</w:t>
      </w:r>
      <w:r w:rsidR="00CD3BB2">
        <w:rPr>
          <w:sz w:val="24"/>
        </w:rPr>
        <w:t>).</w:t>
      </w:r>
      <w:r w:rsidR="00E631C3">
        <w:rPr>
          <w:sz w:val="24"/>
        </w:rPr>
        <w:t xml:space="preserve"> </w:t>
      </w:r>
      <w:r w:rsidR="00E631C3" w:rsidRPr="00EE1136">
        <w:rPr>
          <w:rFonts w:cstheme="minorHAnsi"/>
          <w:sz w:val="24"/>
          <w:szCs w:val="24"/>
        </w:rPr>
        <w:t>Baseline chest radiographs</w:t>
      </w:r>
      <w:r w:rsidR="008D1980">
        <w:rPr>
          <w:rFonts w:cstheme="minorHAnsi"/>
          <w:sz w:val="24"/>
          <w:szCs w:val="24"/>
        </w:rPr>
        <w:t xml:space="preserve"> were scored</w:t>
      </w:r>
      <w:r w:rsidR="00E631C3" w:rsidRPr="00EE1136">
        <w:rPr>
          <w:rFonts w:cstheme="minorHAnsi"/>
          <w:sz w:val="24"/>
          <w:szCs w:val="24"/>
        </w:rPr>
        <w:t xml:space="preserve"> </w:t>
      </w:r>
      <w:r w:rsidR="008350BD">
        <w:rPr>
          <w:rFonts w:cstheme="minorHAnsi"/>
          <w:sz w:val="24"/>
          <w:szCs w:val="24"/>
        </w:rPr>
        <w:t xml:space="preserve">for severity of disease </w:t>
      </w:r>
      <w:r w:rsidR="00355837">
        <w:rPr>
          <w:rFonts w:cstheme="minorHAnsi"/>
          <w:sz w:val="24"/>
          <w:szCs w:val="24"/>
        </w:rPr>
        <w:fldChar w:fldCharType="begin" w:fldLock="1"/>
      </w:r>
      <w:r w:rsidR="00DE300B">
        <w:rPr>
          <w:rFonts w:cstheme="minorHAnsi"/>
          <w:sz w:val="24"/>
          <w:szCs w:val="24"/>
        </w:rPr>
        <w:instrText>ADDIN CSL_CITATION {"citationItems":[{"id":"ITEM-1","itemData":{"DOI":"10.1136/thx.2010.136242","ISBN":"1468-3296 (Electronic)\r0040-6376 (Linking)","PMID":"20861290","abstract":"BACKGROUND: The grading of radiological severity in clinical trials in tuberculosis (TB) remains unstandardised. The aim of this study was to generate and validate a numerical score for grading chest x-ray (CXR) severity and predicting response to treatment in adults with smear-positive pulmonary TB. METHODS: At a TB clinic in Papua, Indonesia, serial CXRs were performed at diagnosis, 2 and 6 months in 115 adults with smear-positive pulmonary TB. Radiographic findings predictive of 2-month sputum microscopy status were used to generate a score. The validity of the score was then assessed in a second data set of 139 comparable adults with TB, recruited 4 years later at the same site. Relationships between the CXR score and other measures of TB severity were examined. RESULTS: The estimated proportion of lung affected and presence of cavitation, but not cavity size or other radiological findings, significantly predicted outcome and were combined to derive a score given by percentage of lung affected plus 40 if cavitation was present. As well as predicting 2-month outcome, scores were significantly associated with sputum smear grade at diagnosis (p&lt;0.001), body mass index, lung function, haemoglobin, exercise tolerance and quality of life (p&lt;0.02 for each). In the validation data set, baseline CXR score predicted 2-month smear status significantly more accurately than did the proportion of lung affected alone. In both data sets, CXR scores decreased over time (p&lt;0.001). CONCLUSION: This simple, validated method for grading CXR severity in adults with smear-positive pulmonary TB correlates with baseline clinical and microbiological severity and response to treatment, and is suitable for use in clinical trials.","author":[{"dropping-particle":"","family":"Ralph","given":"A P","non-dropping-particle":"","parse-names":false,"suffix":""},{"dropping-particle":"","family":"Ardian","given":"M","non-dropping-particle":"","parse-names":false,"suffix":""},{"dropping-particle":"","family":"Wiguna","given":"A","non-dropping-particle":"","parse-names":false,"suffix":""},{"dropping-particle":"","family":"Maguire","given":"G P","non-dropping-particle":"","parse-names":false,"suffix":""},{"dropping-particle":"","family":"Becker","given":"N G","non-dropping-particle":"","parse-names":false,"suffix":""},{"dropping-particle":"","family":"Drogumuller","given":"G","non-dropping-particle":"","parse-names":false,"suffix":""},{"dropping-particle":"","family":"Wilks","given":"M J","non-dropping-particle":"","parse-names":false,"suffix":""},{"dropping-particle":"","family":"Waramori","given":"G","non-dropping-particle":"","parse-names":false,"suffix":""},{"dropping-particle":"","family":"Tjitra","given":"E","non-dropping-particle":"","parse-names":false,"suffix":""},{"dropping-particle":"","family":"Sandjaja","given":"","non-dropping-particle":"","parse-names":false,"suffix":""},{"dropping-particle":"","family":"Kenagalem","given":"E","non-dropping-particle":"","parse-names":false,"suffix":""},{"dropping-particle":"","family":"Pontororing","given":"G J","non-dropping-particle":"","parse-names":false,"suffix":""},{"dropping-particle":"","family":"Anstey","given":"N M","non-dropping-particle":"","parse-names":false,"suffix":""},{"dropping-particle":"","family":"Kelly","given":"P M","non-dropping-particle":"","parse-names":false,"suffix":""}],"container-title":"Thorax","edition":"2010/09/24","id":"ITEM-1","issue":"10","issued":{"date-parts":[["2010"]]},"language":"eng","note":"Ralph, Anna P\nArdian, Muhamed\nWiguna, Andri\nMaguire, Graeme P\nBecker, Niels G\nDrogumuller, Glen\nWilks, Michael J\nWaramori, Govert\nTjitra, Emiliana\nSandjaja\nKenagalem, Enny\nPontororing, Gysje J\nAnstey, Nicholas M\nKelly, Paul M\neng\nResearch Support, Non-U.S. Gov't\nValidation Studies\nEngland\n2010/09/24 06:00\nThorax. 2010 Oct;65(10):863-9. doi: 10.1136/thx.2010.136242.","page":"863-869","title":"A simple, valid, numerical score for grading chest X-ray severity in adult smear-positive pulmonary tuberculosis","type":"article-journal","volume":"65"},"uris":["http://www.mendeley.com/documents/?uuid=3cb6106f-7a34-49ed-bba8-18d1fb8178f6"]}],"mendeley":{"formattedCitation":"[24]","plainTextFormattedCitation":"[24]","previouslyFormattedCitation":"[20]"},"properties":{"noteIndex":0},"schema":"https://github.com/citation-style-language/schema/raw/master/csl-citation.json"}</w:instrText>
      </w:r>
      <w:r w:rsidR="00355837">
        <w:rPr>
          <w:rFonts w:cstheme="minorHAnsi"/>
          <w:sz w:val="24"/>
          <w:szCs w:val="24"/>
        </w:rPr>
        <w:fldChar w:fldCharType="separate"/>
      </w:r>
      <w:r w:rsidR="00DE300B" w:rsidRPr="00DE300B">
        <w:rPr>
          <w:rFonts w:cstheme="minorHAnsi"/>
          <w:noProof/>
          <w:sz w:val="24"/>
          <w:szCs w:val="24"/>
        </w:rPr>
        <w:t>[24]</w:t>
      </w:r>
      <w:r w:rsidR="00355837">
        <w:rPr>
          <w:rFonts w:cstheme="minorHAnsi"/>
          <w:sz w:val="24"/>
          <w:szCs w:val="24"/>
        </w:rPr>
        <w:fldChar w:fldCharType="end"/>
      </w:r>
      <w:r w:rsidR="00355837">
        <w:rPr>
          <w:rFonts w:cstheme="minorHAnsi"/>
          <w:sz w:val="24"/>
          <w:szCs w:val="24"/>
        </w:rPr>
        <w:t>.</w:t>
      </w:r>
    </w:p>
    <w:p w14:paraId="398C7676" w14:textId="77777777" w:rsidR="00D96574" w:rsidRPr="0044204D" w:rsidRDefault="00D96574" w:rsidP="00C472E0">
      <w:pPr>
        <w:spacing w:line="480" w:lineRule="auto"/>
        <w:rPr>
          <w:i/>
          <w:iCs/>
          <w:sz w:val="24"/>
          <w:szCs w:val="24"/>
        </w:rPr>
      </w:pPr>
    </w:p>
    <w:p w14:paraId="44802BE3" w14:textId="699F4367" w:rsidR="00706EA0" w:rsidRDefault="00D96574" w:rsidP="00C472E0">
      <w:pPr>
        <w:spacing w:line="480" w:lineRule="auto"/>
        <w:rPr>
          <w:sz w:val="24"/>
        </w:rPr>
      </w:pPr>
      <w:r w:rsidRPr="00950776">
        <w:rPr>
          <w:sz w:val="24"/>
        </w:rPr>
        <w:t xml:space="preserve">Participants received daily </w:t>
      </w:r>
      <w:r>
        <w:rPr>
          <w:sz w:val="24"/>
        </w:rPr>
        <w:t>f</w:t>
      </w:r>
      <w:r w:rsidRPr="00950776">
        <w:rPr>
          <w:sz w:val="24"/>
        </w:rPr>
        <w:t>ixed</w:t>
      </w:r>
      <w:r>
        <w:rPr>
          <w:sz w:val="24"/>
        </w:rPr>
        <w:t>-d</w:t>
      </w:r>
      <w:r w:rsidRPr="00950776">
        <w:rPr>
          <w:sz w:val="24"/>
        </w:rPr>
        <w:t xml:space="preserve">ose </w:t>
      </w:r>
      <w:r>
        <w:rPr>
          <w:sz w:val="24"/>
        </w:rPr>
        <w:t>c</w:t>
      </w:r>
      <w:r w:rsidRPr="00950776">
        <w:rPr>
          <w:sz w:val="24"/>
        </w:rPr>
        <w:t xml:space="preserve">ombination tablets according to a WHO-approved weight-adjusted regimen and </w:t>
      </w:r>
      <w:r w:rsidR="00371155">
        <w:rPr>
          <w:sz w:val="24"/>
        </w:rPr>
        <w:t>national guidelines</w:t>
      </w:r>
      <w:r>
        <w:rPr>
          <w:sz w:val="24"/>
        </w:rPr>
        <w:t xml:space="preserve"> </w:t>
      </w:r>
      <w:r w:rsidR="00086542">
        <w:rPr>
          <w:sz w:val="24"/>
        </w:rPr>
        <w:fldChar w:fldCharType="begin" w:fldLock="1"/>
      </w:r>
      <w:r w:rsidR="00DE300B">
        <w:rPr>
          <w:sz w:val="24"/>
        </w:rPr>
        <w:instrText>ADDIN CSL_CITATION {"citationItems":[{"id":"ITEM-1","itemData":{"author":[{"dropping-particle":"","family":"Ministry of Health Malawi","given":"","non-dropping-particle":"","parse-names":false,"suffix":""}],"id":"ITEM-1","issue":"7th Edition","issued":{"date-parts":[["2012"]]},"title":"National Tuberculosis Control Programme Manual 7th Edition","type":"article-journal"},"uris":["http://www.mendeley.com/documents/?uuid=e1c11446-69bf-49c5-a7f5-ca440bfd61b4"]}],"mendeley":{"formattedCitation":"[25]","plainTextFormattedCitation":"[25]","previouslyFormattedCitation":"[21]"},"properties":{"noteIndex":0},"schema":"https://github.com/citation-style-language/schema/raw/master/csl-citation.json"}</w:instrText>
      </w:r>
      <w:r w:rsidR="00086542">
        <w:rPr>
          <w:sz w:val="24"/>
        </w:rPr>
        <w:fldChar w:fldCharType="separate"/>
      </w:r>
      <w:r w:rsidR="00DE300B" w:rsidRPr="00DE300B">
        <w:rPr>
          <w:noProof/>
          <w:sz w:val="24"/>
        </w:rPr>
        <w:t>[25]</w:t>
      </w:r>
      <w:r w:rsidR="00086542">
        <w:rPr>
          <w:sz w:val="24"/>
        </w:rPr>
        <w:fldChar w:fldCharType="end"/>
      </w:r>
      <w:r w:rsidR="00086542">
        <w:rPr>
          <w:sz w:val="24"/>
        </w:rPr>
        <w:t xml:space="preserve">. </w:t>
      </w:r>
      <w:r w:rsidR="009D5680">
        <w:rPr>
          <w:sz w:val="24"/>
        </w:rPr>
        <w:t xml:space="preserve">All participants had HIV antibody </w:t>
      </w:r>
      <w:r w:rsidR="009D5680">
        <w:rPr>
          <w:sz w:val="24"/>
        </w:rPr>
        <w:lastRenderedPageBreak/>
        <w:t xml:space="preserve">tests and those who tested positive received antiretroviral therapy </w:t>
      </w:r>
      <w:r w:rsidR="000908FC">
        <w:rPr>
          <w:sz w:val="24"/>
        </w:rPr>
        <w:fldChar w:fldCharType="begin" w:fldLock="1"/>
      </w:r>
      <w:r w:rsidR="00DE300B">
        <w:rPr>
          <w:sz w:val="24"/>
        </w:rPr>
        <w:instrText>ADDIN CSL_CITATION {"citationItems":[{"id":"ITEM-1","itemData":{"author":[{"dropping-particle":"","family":"Ministry of Health Malawi","given":"","non-dropping-particle":"","parse-names":false,"suffix":""}],"id":"ITEM-1","issued":{"date-parts":[["2014"]]},"title":"Clinical Management of HIV in Children and Adults","type":"report"},"uris":["http://www.mendeley.com/documents/?uuid=a00ccb3d-d62b-4c28-9a06-7026edb08e2f"]}],"mendeley":{"formattedCitation":"[26]","plainTextFormattedCitation":"[26]","previouslyFormattedCitation":"[22]"},"properties":{"noteIndex":0},"schema":"https://github.com/citation-style-language/schema/raw/master/csl-citation.json"}</w:instrText>
      </w:r>
      <w:r w:rsidR="000908FC">
        <w:rPr>
          <w:sz w:val="24"/>
        </w:rPr>
        <w:fldChar w:fldCharType="separate"/>
      </w:r>
      <w:r w:rsidR="00DE300B" w:rsidRPr="00DE300B">
        <w:rPr>
          <w:noProof/>
          <w:sz w:val="24"/>
        </w:rPr>
        <w:t>[26]</w:t>
      </w:r>
      <w:r w:rsidR="000908FC">
        <w:rPr>
          <w:sz w:val="24"/>
        </w:rPr>
        <w:fldChar w:fldCharType="end"/>
      </w:r>
      <w:r w:rsidR="007C4F81">
        <w:rPr>
          <w:sz w:val="24"/>
        </w:rPr>
        <w:t xml:space="preserve">. </w:t>
      </w:r>
      <w:r w:rsidR="000F478F">
        <w:rPr>
          <w:sz w:val="24"/>
        </w:rPr>
        <w:t xml:space="preserve">Participants were followed up for 18 months. Adherence was monitored by direct questioning and pill counts. </w:t>
      </w:r>
      <w:r w:rsidR="009D5680">
        <w:rPr>
          <w:sz w:val="24"/>
        </w:rPr>
        <w:t xml:space="preserve"> </w:t>
      </w:r>
    </w:p>
    <w:p w14:paraId="01959EE3" w14:textId="17C1F1E1" w:rsidR="00372199" w:rsidRDefault="00372199" w:rsidP="00372199">
      <w:pPr>
        <w:spacing w:after="0" w:line="480" w:lineRule="auto"/>
        <w:rPr>
          <w:sz w:val="24"/>
        </w:rPr>
      </w:pPr>
    </w:p>
    <w:p w14:paraId="066907CE" w14:textId="3DC235DF" w:rsidR="00B47671" w:rsidRDefault="00B47671" w:rsidP="00372199">
      <w:pPr>
        <w:spacing w:after="0" w:line="480" w:lineRule="auto"/>
        <w:rPr>
          <w:i/>
          <w:iCs/>
          <w:sz w:val="24"/>
        </w:rPr>
      </w:pPr>
      <w:r>
        <w:rPr>
          <w:i/>
          <w:iCs/>
          <w:sz w:val="24"/>
        </w:rPr>
        <w:t>Pharmacokinetic sampling</w:t>
      </w:r>
    </w:p>
    <w:p w14:paraId="711BB3CC" w14:textId="2CAF10D9" w:rsidR="007C06A6" w:rsidRDefault="007C06A6" w:rsidP="007C06A6">
      <w:pPr>
        <w:spacing w:after="0" w:line="480" w:lineRule="auto"/>
        <w:rPr>
          <w:sz w:val="24"/>
        </w:rPr>
      </w:pPr>
      <w:r>
        <w:rPr>
          <w:sz w:val="24"/>
        </w:rPr>
        <w:t>Pharmacokinetic sampling was completed at 7-8 and 15-16 weeks into TB treatment. All participants were observed to take their anti-TB treatment after an overnight fast. Those in the plasma arm had</w:t>
      </w:r>
      <w:r w:rsidR="004B302E">
        <w:rPr>
          <w:sz w:val="24"/>
        </w:rPr>
        <w:t xml:space="preserve"> </w:t>
      </w:r>
      <w:r>
        <w:rPr>
          <w:sz w:val="24"/>
        </w:rPr>
        <w:t xml:space="preserve">blood samples collected at 1 and 3 or </w:t>
      </w:r>
      <w:proofErr w:type="gramStart"/>
      <w:r>
        <w:rPr>
          <w:sz w:val="24"/>
        </w:rPr>
        <w:t>2 and 4 hours</w:t>
      </w:r>
      <w:proofErr w:type="gramEnd"/>
      <w:r>
        <w:rPr>
          <w:sz w:val="24"/>
        </w:rPr>
        <w:t xml:space="preserve"> post-dose. Those in the intrapulmonary arm had blood samples collected pre-dose, and at 0.5, 1, 3, 5 or 2, 4, 6, 8 hours post-dose. </w:t>
      </w:r>
    </w:p>
    <w:p w14:paraId="4ECD92A4" w14:textId="77777777" w:rsidR="007C06A6" w:rsidRPr="00F77BD7" w:rsidRDefault="007C06A6" w:rsidP="007C06A6">
      <w:pPr>
        <w:spacing w:after="0" w:line="480" w:lineRule="auto"/>
        <w:rPr>
          <w:sz w:val="24"/>
        </w:rPr>
      </w:pPr>
    </w:p>
    <w:p w14:paraId="5E9982ED" w14:textId="1C56DDE1" w:rsidR="00B47671" w:rsidRDefault="007C06A6" w:rsidP="007C06A6">
      <w:pPr>
        <w:spacing w:after="0" w:line="480" w:lineRule="auto"/>
        <w:rPr>
          <w:sz w:val="24"/>
        </w:rPr>
      </w:pPr>
      <w:r>
        <w:rPr>
          <w:sz w:val="24"/>
        </w:rPr>
        <w:t>Participants in the intrapulmonary arm had a research bronchoscopy at 2, 4, or 6 hours post-dose.</w:t>
      </w:r>
      <w:r w:rsidR="00FC6AA8">
        <w:rPr>
          <w:sz w:val="24"/>
        </w:rPr>
        <w:t xml:space="preserve"> </w:t>
      </w:r>
      <w:r w:rsidR="00FC6AA8" w:rsidRPr="00FC6AA8">
        <w:rPr>
          <w:sz w:val="24"/>
        </w:rPr>
        <w:t>Bronchoscopy was performed as previously described</w:t>
      </w:r>
      <w:r w:rsidR="00FC6AA8">
        <w:rPr>
          <w:sz w:val="24"/>
        </w:rPr>
        <w:t xml:space="preserve"> </w:t>
      </w:r>
      <w:r w:rsidR="00FC6AA8">
        <w:rPr>
          <w:sz w:val="24"/>
        </w:rPr>
        <w:fldChar w:fldCharType="begin" w:fldLock="1"/>
      </w:r>
      <w:r w:rsidR="00DE300B">
        <w:rPr>
          <w:sz w:val="24"/>
        </w:rPr>
        <w:instrText>ADDIN CSL_CITATION {"citationItems":[{"id":"ITEM-1","itemData":{"DOI":"10.3791/4345","ISBN":"1940-087X (Electronic)\r1940-087X (Linking)","PMID":"24686157","abstract":"We describe a research technique for fiberoptic bronchoscopy with bronchoalveolar lavage (BAL) using manual hand held suction in order to remove nonadherent cells and lung lining fluid from the mucosal surface. In research environments, BAL allows sampling of innate (lung macrophage), cellular (B- and T- cells), and humoral (immunoglobulin) responses within the lung. BAL is internationally accepted for research purposes and since 1999 the technique has been performed in &gt; 1,000 subjects in the UK and Malawi by our group. Our technique uses gentle hand-held suction of instilled fluid; this is designed to maximize BAL volume returned and apply minimum shear force on ciliated epithelia in order to preserve the structure and function of cells within the BAL fluid and to preserve viability to facilitate the growth of cells in ex vivo culture. The research technique therefore uses a larger volume instillate (typically in the order of 200 ml) and employs manual suction to reduce cell damage. Patients are given local anesthetic, offered conscious sedation (midazolam), and tolerate the procedure well with minimal side effects. Verbal and written subject information improves tolerance and written informed consent is mandatory. Safety of the subject is paramount. Subjects are carefully selected using clear inclusion and exclusion criteria. This protocol includes a description of the potential risks, and the steps taken to mitigate them, a list of contraindications, pre- and post-procedure checks, as well as precise bronchoscopy and laboratory techniques.","author":[{"dropping-particle":"","family":"Collins","given":"A M","non-dropping-particle":"","parse-names":false,"suffix":""},{"dropping-particle":"","family":"Rylance","given":"J","non-dropping-particle":"","parse-names":false,"suffix":""},{"dropping-particle":"","family":"Wootton","given":"D G","non-dropping-particle":"","parse-names":false,"suffix":""},{"dropping-particle":"","family":"Wright","given":"A D","non-dropping-particle":"","parse-names":false,"suffix":""},{"dropping-particle":"","family":"Wright","given":"A K","non-dropping-particle":"","parse-names":false,"suffix":""},{"dropping-particle":"","family":"Fullerton","given":"D G","non-dropping-particle":"","parse-names":false,"suffix":""},{"dropping-particle":"","family":"Gordon","given":"S B","non-dropping-particle":"","parse-names":false,"suffix":""}],"container-title":"J Vis Exp","id":"ITEM-1","issue":"85","issued":{"date-parts":[["2014"]]},"note":"Collins, Andrea M\nRylance, Jamie\nWootton, Daniel G\nWright, Angela D\nWright, Adam K A\nFullerton, Duncan G\nGordon, Stephen B\neng\n100890/Wellcome Trust/United Kingdom\n101113/Wellcome Trust/United Kingdom\nDRF-2010-03-154/Department of Health/United Kingdom\nVideo-Audio Media\n2014/04/02 06:00\nJ Vis Exp. 2014 Mar 24;(85). doi: 10.3791/4345.","title":"Bronchoalveolar lavage (BAL) for research; obtaining adequate sample yield","type":"article-journal"},"uris":["http://www.mendeley.com/documents/?uuid=1222a1a0-982d-4769-bcbb-4ac189e8414a"]}],"mendeley":{"formattedCitation":"[23]","plainTextFormattedCitation":"[23]","previouslyFormattedCitation":"[19]"},"properties":{"noteIndex":0},"schema":"https://github.com/citation-style-language/schema/raw/master/csl-citation.json"}</w:instrText>
      </w:r>
      <w:r w:rsidR="00FC6AA8">
        <w:rPr>
          <w:sz w:val="24"/>
        </w:rPr>
        <w:fldChar w:fldCharType="separate"/>
      </w:r>
      <w:r w:rsidR="00DE300B" w:rsidRPr="00DE300B">
        <w:rPr>
          <w:noProof/>
          <w:sz w:val="24"/>
        </w:rPr>
        <w:t>[23]</w:t>
      </w:r>
      <w:r w:rsidR="00FC6AA8">
        <w:rPr>
          <w:sz w:val="24"/>
        </w:rPr>
        <w:fldChar w:fldCharType="end"/>
      </w:r>
      <w:r w:rsidR="00FC6AA8" w:rsidRPr="00FC6AA8">
        <w:rPr>
          <w:sz w:val="24"/>
        </w:rPr>
        <w:t xml:space="preserve">, with lavage of the right middle lobe. A cell count was obtained by </w:t>
      </w:r>
      <w:proofErr w:type="spellStart"/>
      <w:r w:rsidR="00FC6AA8" w:rsidRPr="00FC6AA8">
        <w:rPr>
          <w:sz w:val="24"/>
        </w:rPr>
        <w:t>haemocytometry</w:t>
      </w:r>
      <w:proofErr w:type="spellEnd"/>
      <w:r w:rsidR="00FC6AA8" w:rsidRPr="00FC6AA8">
        <w:rPr>
          <w:sz w:val="24"/>
        </w:rPr>
        <w:t>, before centrifugation to obtain samples of cell pellet and supernatant. The volume of epithelial lining fluid in bronchoalveolar lavage was calculated using the urea dilution method</w:t>
      </w:r>
      <w:r w:rsidR="009E4E20">
        <w:rPr>
          <w:sz w:val="24"/>
        </w:rPr>
        <w:t xml:space="preserve"> </w:t>
      </w:r>
      <w:r w:rsidR="00B21A9A">
        <w:rPr>
          <w:sz w:val="24"/>
        </w:rPr>
        <w:fldChar w:fldCharType="begin" w:fldLock="1"/>
      </w:r>
      <w:r w:rsidR="00DE300B">
        <w:rPr>
          <w:sz w:val="24"/>
        </w:rPr>
        <w:instrText>ADDIN CSL_CITATION {"citationItems":[{"id":"ITEM-1","itemData":{"ISBN":"0312-5963 (Print)\r0312-5963 (Linking)","PMID":"15086276","abstract":"OBJECTIVE: To compare the steady-state plasma and intrapulmonary concentrations of oral rifampicin (rifampin) in men and women with and without AIDS. DESIGN: Prospective nonblinded pharmacokinetic study. PARTICIPANTS: Ten men with AIDS, ten men without AIDS, ten women with AIDS, and ten women without AIDS. METHODS: Rifampicin 600 mg was administered orally once daily for 5 days to 40 adult volunteers. Blood was obtained 2 hours after the last dose and at the time of bronchoalveolar lavage (BAL) performed 4 hours after the last dose. Rifampicin was measured in plasma, epithelial lining fluid (ELF) and alveolar cells. Standardised BAL was performed without systemic sedation. The volume of ELF was calculated by the urea dilution method, and alveolar cells were recovered by a standardised centrifugation technique. The volume of alveolar cells was calculated from the cell count and differential performed on the BAL fluid. Rifampicin was measured by high-performance liquid chromatography. RESULTS: Sex or AIDS status had no effect on plasma concentrations of rifampicin at 2 hours, 4 hours, or in ELF. Plasma concentrations (mean +/- SD) of rifampicin at 2 hours (9.15 +/- 5.4 mg/L) were not significantly different (p &gt; 0.05) from those at 4 hours (9.10 +/- 5.6 mg/L) following the last dose. The ELF concentration was 2.0 +/- 1.6 mg/L with a range of 0-7.3 mg/L and the ELF/plasma ratio at 4 hours was 0.2 +/- 0.2. Rifampicin was not detectable in ELF in eight subjects (three with AIDS and five without AIDS) or in alveolar cells in three subjects without AIDS. There was no significant effect of AIDS on alveolar cell concentrations of rifampicin. Alveolar cell concentrations of rifampicin were significantly greater in women (13.9 +/- 6.7 mg/L) than in men (6.6 +/- 4.1 mg/L) [p = 0.0003]. Alveolar cell rifampicin concentrations were 78% greater in smoking women (17.8 +/- 7.0 mg/L) than in nonsmoking women (10.0 +/- 2.4 mg/L), but the difference was not significant (p &gt; 0.05). CD4+ cell counts in the AIDS subjects were not correlated with the concentrations of rifampicin in plasma, ELF or alveolar cells. CONCLUSIONS: The absorption of oral rifampicin was not affected by sex or AIDS. Plasma and alveolar cell concentrations were not significantly different, were both greater than ELF concentrations, and were adequate to inhibit Mycobacterium tuberculosis. Considerable interpatient variability was detected despite witnessed drug administration. The clinical significance o…","author":[{"dropping-particle":"","family":"Conte","given":"J E","non-dropping-particle":"","parse-names":false,"suffix":""},{"dropping-particle":"","family":"Golden","given":"J A","non-dropping-particle":"","parse-names":false,"suffix":""},{"dropping-particle":"","family":"Kipps","given":"J E","non-dropping-particle":"","parse-names":false,"suffix":""},{"dropping-particle":"","family":"Lin","given":"E T","non-dropping-particle":"","parse-names":false,"suffix":""},{"dropping-particle":"","family":"Zurlinden","given":"E","non-dropping-particle":"","parse-names":false,"suffix":""}],"container-title":"Clin Pharmacokinet","id":"ITEM-1","issue":"6","issued":{"date-parts":[["2004"]]},"note":"Conte, John E\nGolden, Jeffrey A\nKipps, Juliana E\nLin, Emil T\nZurlinden, Elisabeth\neng\nAI36054/AI/NIAID NIH HHS/\nM01RR00079/RR/NCRR NIH HHS/\nClinical Trial\nComparative Study\nResearch Support, U.S. Gov't, P.H.S.\nSwitzerland\n2004/04/17 05:00\nClin Pharmacokinet. 2004;43(6):395-404.","page":"395-404","title":"Effect of sex and AIDS status on the plasma and intrapulmonary pharmacokinetics of rifampicin","type":"article-journal","volume":"43"},"uris":["http://www.mendeley.com/documents/?uuid=396f57e1-75c5-4a3a-9035-51fba2252247"]},{"id":"ITEM-2","itemData":{"DOI":"10.1128/aac.46.8.2358-2364.2002","ISBN":"0066-4804 (Print)\r0066-4804 (Linking)","PMID":"12121905","abstract":"The objective of the present study was to evaluate the effects of gender, AIDS, and acetylator status on the steady-state concentrations of orally administered isoniazid in plasma and lungs. Isoniazid was administered at 300 mg once daily for 5 days to 80 adult volunteers. Subjects were assigned to eight blocks according to gender, presence or absence of AIDS, and acetylator status. Blood was obtained prior to administration of the first dose, 1 h after administration of the last dose, and at the completion of bronchoscopy and bronchoalveolar lavage (BAL), which was performed 4 h after administration of the last dose. The metabolism of caffeine was used to determine acetylator status. Standardized bronchoscopy was performed without systemic sedation. The volume of epithelial lining fluid (ELF) recovered was calculated by the urea dilution method. Isoniazid concentrations in plasma, BAL fluid, and alveolar cells (ACs) were measured by high-performance liquid chromatography. AIDS status or gender had no significant effect on the concentrations of isoniazid in plasma at 1 or 4 h. Concentrations in plasma at 4 h and concentrations in ELF were greater in slow acetylators than fast acetylators. The concentration in plasma (1.85 +/- 1.60 microg/ml [mean +/- standard deviation; n = 80]) at 1 h following administration of the last dose was not significantly different from that in ELF (2.25 +/- 3.50 microg/ml) or ACs (2.61 +/- 5.01 microg/ml). For the entire study group, concentrations in plasma at 1 h were less than 1.0, 2.0, and 3.0 microg/ml for 34.7, 60, and 82.7% of the subjects, respectively; concentrations in ELF were less than 1.0, 2.0, and 3.0 microg/ml in 30 (37.5%), 53 (66.0%), and 58 (72.5%) of the subjects, respectively; and concentrations in ACs were less than 1.0, 2.0, and 3.0 microg/ml in 43 (53.8%), 59 (73.8%), and 65 (81.3%) of the subjects, respectively. The concentrations of orally administered isoniazid in plasma were not affected by gender or the presence of AIDS. The concentrations in plasma at 4 h and the concentrations in ELF, but not the concentrations in ACs, were significantly greater in slow acetylators than fast acetylators. Concentrations in plasma and lungs were low compared to recommended therapeutic concentrations in plasma and published MICs of isoniazid for Mycobacterium tuberculosis. The optimal concentrations of isoniazid in ACs and ELF are unknown, but these data suggest that the drug enters these compartments by passive dif…","author":[{"dropping-particle":"","family":"Conte  Jr.","given":"J E","non-dropping-particle":"","parse-names":false,"suffix":""},{"dropping-particle":"","family":"Golden","given":"J A","non-dropping-particle":"","parse-names":false,"suffix":""},{"dropping-particle":"","family":"McQuitty","given":"M","non-dropping-particle":"","parse-names":false,"suffix":""},{"dropping-particle":"","family":"Kipps","given":"J","non-dropping-particle":"","parse-names":false,"suffix":""},{"dropping-particle":"","family":"Duncan","given":"S","non-dropping-particle":"","parse-names":false,"suffix":""},{"dropping-particle":"","family":"McKenna","given":"E","non-dropping-particle":"","parse-names":false,"suffix":""},{"dropping-particle":"","family":"Zurlinden","given":"E","non-dropping-particle":"","parse-names":false,"suffix":""}],"container-title":"Antimicrob Agents Chemother","id":"ITEM-2","issue":"8","issued":{"date-parts":[["2002"]]},"note":"Conte, John E Jr\nGolden, Jeffrey A\nMcQuitty, Mari\nKipps, Juliana\nDuncan, Sheila\nMcKenna, Elaine\nZurlinden, Elisabeth\neng\nM01 RR000079/RR/NCRR NIH HHS/\nAI 36054/AI/NIAID NIH HHS/\nM01 RR 00079/RR/NCRR NIH HHS/\nClinical Trial\nComparative Study\nResearch Support, Non-U.S. Gov't\nResearch Support, U.S. Gov't, P.H.S.\n2002/07/18 10:00\nAntimicrob Agents Chemother. 2002 Aug;46(8):2358-64.","page":"2358-2364","title":"Effects of gender, AIDS, and acetylator status on intrapulmonary concentrations of isoniazid","type":"article-journal","volume":"46"},"uris":["http://www.mendeley.com/documents/?uuid=03ddd8ac-816b-41c6-b79a-7fff39ef7c4d"]},{"id":"ITEM-3","itemData":{"ISBN":"0066-4804 (Print)\r0066-4804 (Linking)","PMID":"10348747","abstract":"The objective of this study was to compare the steady-state plasma and intrapulmonary concentrations of orally administered pyrazinamide in normal volunteers and subjects with AIDS. Pyrazinamide was administered at 1 g once daily for 5 days to 40 adult volunteers (10 men with AIDS, 10 normal men, 10 women with AIDS, and 10 normal women). Subjects with AIDS and with more than four stools per day were excluded. Blood was obtained prior to administration of the first dose, 2 h after the last dose, and at the completion of bronchoscopy and bronchoalveolar lavage, which were performed 4 h after the last dose. Standardized bronchoscopy was performed without systemic sedation. The volume of epithelial lining fluid (ELF) recovered was calculated by the urea dilution method. The total number of alveolar cells (AC) was counted in a hemocytometer, and differential cell counting was performed after cytocentrifugation. Pyrazinamide was measured by high-performance liquid chromatography. The presence of AIDS or gender had no significant effect on the concentrations of pyrazinamide in plasma. The concentrations of pyrazinamide in ELF and AC were lower in the subjects with AIDS than in the subjects without AIDS, but the difference was not significant. The concentrations in plasma (mean +/- standard deviation) were 25.1 +/- 7.6 and 21.1 +/- 6.8 microg/ml at 2 and 4 h after the last dose, respectively, and were not significantly different from the concentration (17.4 +/- 16.9 microg/ml) in AC. The concentration of pyrazinamide in ELF was high (431 +/- 220 microg/ml) and was approximately 4 to 40 times the reported MIC for pyrazinamide-susceptible strains of Mycobacterium tuberculosis. The high concentration of pyrazinamide in ELF may contribute in part to the effectiveness of the drug in treating pulmonary tuberculosis.","author":[{"dropping-particle":"","family":"Conte  Jr.","given":"J E","non-dropping-particle":"","parse-names":false,"suffix":""},{"dropping-particle":"","family":"Golden","given":"J A","non-dropping-particle":"","parse-names":false,"suffix":""},{"dropping-particle":"","family":"Duncan","given":"S","non-dropping-particle":"","parse-names":false,"suffix":""},{"dropping-particle":"","family":"McKenna","given":"E","non-dropping-particle":"","parse-names":false,"suffix":""},{"dropping-particle":"","family":"Zurlinden","given":"E","non-dropping-particle":"","parse-names":false,"suffix":""}],"container-title":"Antimicrob Agents Chemother","id":"ITEM-3","issue":"6","issued":{"date-parts":[["1999"]]},"note":"Conte, J E Jr\nGolden, J A\nDuncan, S\nMcKenna, E\nZurlinden, E\neng\nM01 RR000079/RR/NCRR NIH HHS/\nAI36054/AI/NIAID NIH HHS/\nMO1RR00079/RR/NCRR NIH HHS/\nComparative Study\nResearch Support, U.S. Gov't, P.H.S.\n1999/05/29 10:00\nAntimicrob Agents Chemother. 1999 Jun;43(6):1329-33.","page":"1329-1333","title":"Intrapulmonary concentrations of pyrazinamide","type":"article-journal","volume":"43"},"uris":["http://www.mendeley.com/documents/?uuid=9da61f07-8efe-45b5-9fc6-7ddb8ec5d36a"]},{"id":"ITEM-4","itemData":{"DOI":"10.1128/AAC.45.10.2891-2896.2001","ISBN":"0066-4804 (Print)\r0066-4804 (Linking)","PMID":"11557486","abstract":"Our objective was to study the steady-state plasma and intrapulmonary orally administered ethambutol concentrations in healthy volunteers and subjects with AIDS. Ethambutol (15 mg/kg of body weight) was administered orally once daily to 10 men with AIDS, 10 healthy men, 10 women with AIDS, and 10 healthy women. The mean (+/-standard deviation [SD]) CD4 cell count for the 20 subjects with AIDS was (350 +/- 169) x 10(6) cells per liter. Blood was obtained for drug assay 2 h after the last dose and at the completion of bronchoalveolar lavage, performed 4 h after the last dose. Standardized bronchoscopy was performed without systemic sedation. The volume of epithelial lining fluid (ELF) was calculated by the urea dilution method. The total number of alveolar cells (AC) was counted in a hemocytometer, and differential cell counting was performed after cytocentrifugation. Ethambutol was measured by a new, sensitive and specific liquid chromotography-mass spectrometry method. The presence of AIDS, as defined in this study, or gender was without significant effect on the concentrations of ethambutol in plasma at 2 or 4 h or in ELF at 4 h following the last dose. Plasma drug concentrations (mean +/- SD) at 2 and 4 h were 2.1 +/- 1.2 and 2.1 +/- 0.8 microg/ml, respectively, and both values were not significantly different from the concentration of ethambutol in ELF at 4 h (2.2 +/- 1.1 microg/ml). The concentration of ethambutol was significantly greater in AC in all four groups (range, 44.5 +/- 15.6 to 82.0 +/- 39.4 microg/ml) than in ELF or plasma and was approximately 30 to 240 times the reported MIC for ethambutol-susceptible strains of Mycobacterium tuberculosis. The AC ethambutol concentration (mean +/- SD) in the smoking women (97.2 +/- 32.1 microg/ml) was more than twice the concentration in all other nonsmoking subjects (45.2 +/- 16.8 microg/ml) combined (P &lt; 0.05). Two- and 4-h concentrations of ethambutol in plasma were not affected by AIDS status or gender. The high AC/plasma and AC/ELF concentration ratios suggest that substantial antimycobacterial activity resides in these cells. The data confirm earlier observations of active transport ex vivo of ethambutol into pulmonary macrophages.","author":[{"dropping-particle":"","family":"Conte  Jr.","given":"J E","non-dropping-particle":"","parse-names":false,"suffix":""},{"dropping-particle":"","family":"Golden","given":"J A","non-dropping-particle":"","parse-names":false,"suffix":""},{"dropping-particle":"","family":"Kipps","given":"J","non-dropping-particle":"","parse-names":false,"suffix":""},{"dropping-particle":"","family":"Lin","given":"E T","non-dropping-particle":"","parse-names":false,"suffix":""},{"dropping-particle":"","family":"Zurlinden","given":"E","non-dropping-particle":"","parse-names":false,"suffix":""}],"container-title":"Antimicrob Agents Chemother","id":"ITEM-4","issue":"10","issued":{"date-parts":[["2001"]]},"note":"Conte, J E Jr\nGolden, J A\nKipps, J\nLin, E T\nZurlinden, E\neng\nM01 RR000079/RR/NCRR NIH HHS/\nAI 36054/AI/NIAID NIH HHS/\nMO1 RR 00079/RR/NCRR NIH HHS/\nClinical Trial\nControlled Clinical Trial\nResearch Support, U.S. Gov't, P.H.S.\n2001/09/15 10:00\nAntimicrob Agents Chemother. 2001 Oct;45(10):2891-6.","page":"2891-2896","title":"Effects of AIDS and gender on steady-state plasma and intrapulmonary ethambutol concentrations","type":"article-journal","volume":"45"},"uris":["http://www.mendeley.com/documents/?uuid=f7be3c9c-6ff3-4c14-92a9-8c9e80d86bae"]},{"id":"ITEM-5","itemData":{"DOI":"10.2165/11592900-000000000-00000","ISBN":"1179-1926 (Electronic)\r0312-5963 (Linking)","PMID":"21973267","abstract":"Epithelial lining fluid (ELF) is often considered to be the site of extracellular pulmonary infections. During the past 25 years, a limited number of studies have evaluated the intrapulmonary penetration of antifungal, antitubercular, antiparasitic and antiviral agents. For antifungal agents, differences in drug concentrations in ELF or bronchoalveolar lavage (BAL) fluid were observed among various formulations or routes of administration, and between agents within the same class. Aerosolized doses of deoxycholate amphotericin B, liposomal amphotericin B and amphotericin B lipid complex resulted in higher concentrations in ELF or BAL fluid than after intravenous administration. The mean concentrations in ELF following intravenous administration of both anidulafungin and micafungin ranged between 0.04 and 1.38 mug/mL, and the ELF to plasma concentration ratios (based on the area under the concentration-time curve for total drug concentrations) were between 0.18 and 0.22 during the first 3 days of therapy. Among the azole agents, intravenous administration of voriconazole resulted in the highest mean ELF concentrations (range 10.1-48.3 mug/mL) and ratio of penetration (7.1). The range of mean ELF concentrations of itraconazole and posaconazole following oral administration was 0.2-1.9 mug/mL, and the ELF to plasma concentration ratios were &lt;1. A series of studies have evaluated the intrapulmonary penetration of first- and second-line oral antitubercular agents in healthy adult subjects and patients with AIDS. The ELF to plasma concentration ratio was &gt;1 for isoniazid, ethambutol, pyrazinamide and ethionamide. For rifampicin (rifampin) and rifapentine, the ELF to plasma concentration ratio ranged between 0.2 and 0.32, but in alveolar macrophages the concentration of rifampicin was much higher (145-738 mug/mL compared with 3.3-7.5 mug/mL in ELF). No intrapulmonary studies have been conducted for rifabutin. Sex, AIDS status or smoking history had no significant effects on the magnitude of ELF concentrations of antitubercular agents. Subjects who were slow acetylators had higher plasma and ELF concentrations of isoniazid than those who were fast acetylators. Penetration of dapsone into ELF was very good, with the range of mean ELF to plasma concentration ratios being 0.65-2.91 at individual sampling times over 48 hours. Once-daily dosing of aerosolized pentamidine resulted in higher concentrations in BAL fluid than after intravenous administration. The mean B…","author":[{"dropping-particle":"","family":"Rodvold","given":"K A","non-dropping-particle":"","parse-names":false,"suffix":""},{"dropping-particle":"","family":"Yoo","given":"L","non-dropping-particle":"","parse-names":false,"suffix":""},{"dropping-particle":"","family":"George","given":"J M","non-dropping-particle":"","parse-names":false,"suffix":""}],"container-title":"Clin Pharmacokinet","id":"ITEM-5","issue":"11","issued":{"date-parts":[["2011"]]},"note":"Rodvold, Keith A\nYoo, Liz\nGeorge, Jomy M\neng\nReview\nSwitzerland\n2011/10/07 06:00\nClin Pharmacokinet. 2011 Nov 1;50(11):689-704. doi: 10.2165/11592900-000000000-00000.","page":"689-704","title":"Penetration of anti-infective agents into pulmonary epithelial lining fluid: focus on antifungal, antitubercular and miscellaneous anti-infective agents","type":"article-journal","volume":"50"},"uris":["http://www.mendeley.com/documents/?uuid=4de2e25d-c35e-432c-8652-83be117d272f"]}],"mendeley":{"formattedCitation":"[13,17–20]","plainTextFormattedCitation":"[13,17–20]","previouslyFormattedCitation":"[9,13–16]"},"properties":{"noteIndex":0},"schema":"https://github.com/citation-style-language/schema/raw/master/csl-citation.json"}</w:instrText>
      </w:r>
      <w:r w:rsidR="00B21A9A">
        <w:rPr>
          <w:sz w:val="24"/>
        </w:rPr>
        <w:fldChar w:fldCharType="separate"/>
      </w:r>
      <w:r w:rsidR="00DE300B" w:rsidRPr="00DE300B">
        <w:rPr>
          <w:noProof/>
          <w:sz w:val="24"/>
        </w:rPr>
        <w:t>[13,17–20]</w:t>
      </w:r>
      <w:r w:rsidR="00B21A9A">
        <w:rPr>
          <w:sz w:val="24"/>
        </w:rPr>
        <w:fldChar w:fldCharType="end"/>
      </w:r>
      <w:r w:rsidR="00B21A9A">
        <w:rPr>
          <w:sz w:val="24"/>
        </w:rPr>
        <w:t>.</w:t>
      </w:r>
    </w:p>
    <w:p w14:paraId="78A5F339" w14:textId="77777777" w:rsidR="00F830AE" w:rsidRDefault="00F830AE" w:rsidP="007C06A6">
      <w:pPr>
        <w:spacing w:after="0" w:line="480" w:lineRule="auto"/>
        <w:rPr>
          <w:sz w:val="24"/>
        </w:rPr>
      </w:pPr>
    </w:p>
    <w:p w14:paraId="2CAB1D84" w14:textId="1EF3E234" w:rsidR="00B21A9A" w:rsidRDefault="00F830AE" w:rsidP="007C06A6">
      <w:pPr>
        <w:spacing w:after="0" w:line="480" w:lineRule="auto"/>
        <w:rPr>
          <w:sz w:val="24"/>
        </w:rPr>
      </w:pPr>
      <w:r>
        <w:rPr>
          <w:sz w:val="24"/>
        </w:rPr>
        <w:t xml:space="preserve">Rifampicin, isoniazid, pyrazinamide and ethambutol </w:t>
      </w:r>
      <w:r w:rsidRPr="00663148">
        <w:rPr>
          <w:sz w:val="24"/>
        </w:rPr>
        <w:t>concentrations were measured</w:t>
      </w:r>
      <w:r>
        <w:rPr>
          <w:sz w:val="24"/>
        </w:rPr>
        <w:t xml:space="preserve"> in plasma, bronchoalveolar lavage supernatant, and cell pellets with</w:t>
      </w:r>
      <w:r w:rsidRPr="00663148">
        <w:rPr>
          <w:sz w:val="24"/>
        </w:rPr>
        <w:t xml:space="preserve"> a four-drug liquid chromatography / tandem mass spectrometry assay</w:t>
      </w:r>
      <w:r>
        <w:rPr>
          <w:sz w:val="24"/>
        </w:rPr>
        <w:t xml:space="preserve"> </w:t>
      </w:r>
      <w:r w:rsidRPr="00663148">
        <w:rPr>
          <w:sz w:val="24"/>
        </w:rPr>
        <w:t>using appropriate internal standards validated to internationally recognized acceptance</w:t>
      </w:r>
      <w:r>
        <w:rPr>
          <w:sz w:val="24"/>
        </w:rPr>
        <w:t xml:space="preserve"> </w:t>
      </w:r>
      <w:r w:rsidRPr="00663148">
        <w:rPr>
          <w:sz w:val="24"/>
        </w:rPr>
        <w:t>criteria</w:t>
      </w:r>
      <w:r>
        <w:rPr>
          <w:sz w:val="24"/>
        </w:rPr>
        <w:t xml:space="preserve"> (</w:t>
      </w:r>
      <w:r w:rsidRPr="004853E4">
        <w:rPr>
          <w:b/>
          <w:bCs/>
          <w:sz w:val="24"/>
        </w:rPr>
        <w:t>Supplementary Materials</w:t>
      </w:r>
      <w:r>
        <w:rPr>
          <w:sz w:val="24"/>
        </w:rPr>
        <w:t>).</w:t>
      </w:r>
    </w:p>
    <w:p w14:paraId="345E1022" w14:textId="77777777" w:rsidR="007C06A6" w:rsidRDefault="007C06A6" w:rsidP="007C06A6">
      <w:pPr>
        <w:spacing w:after="0" w:line="480" w:lineRule="auto"/>
        <w:rPr>
          <w:i/>
          <w:iCs/>
          <w:sz w:val="24"/>
        </w:rPr>
      </w:pPr>
    </w:p>
    <w:p w14:paraId="471C754D" w14:textId="42F9DCEA" w:rsidR="00B47671" w:rsidRDefault="00B47671" w:rsidP="00372199">
      <w:pPr>
        <w:spacing w:after="0" w:line="480" w:lineRule="auto"/>
        <w:rPr>
          <w:i/>
          <w:iCs/>
          <w:sz w:val="24"/>
        </w:rPr>
      </w:pPr>
      <w:r>
        <w:rPr>
          <w:i/>
          <w:iCs/>
          <w:sz w:val="24"/>
        </w:rPr>
        <w:t>Pharmacokinetic modelling</w:t>
      </w:r>
    </w:p>
    <w:p w14:paraId="7981C782" w14:textId="677276CA" w:rsidR="00A32821" w:rsidRDefault="00A32821" w:rsidP="00A32821">
      <w:pPr>
        <w:spacing w:after="0" w:line="480" w:lineRule="auto"/>
        <w:rPr>
          <w:sz w:val="24"/>
        </w:rPr>
      </w:pPr>
      <w:r>
        <w:rPr>
          <w:sz w:val="24"/>
        </w:rPr>
        <w:t xml:space="preserve">Population pharmacokinetic models were developed </w:t>
      </w:r>
      <w:bookmarkStart w:id="0" w:name="_Hlk29650574"/>
      <w:r>
        <w:rPr>
          <w:sz w:val="24"/>
        </w:rPr>
        <w:t>using NONMEM</w:t>
      </w:r>
      <w:r w:rsidRPr="007C2184">
        <w:rPr>
          <w:sz w:val="24"/>
          <w:vertAlign w:val="superscript"/>
        </w:rPr>
        <w:t>©</w:t>
      </w:r>
      <w:r>
        <w:rPr>
          <w:sz w:val="24"/>
        </w:rPr>
        <w:t xml:space="preserve"> (</w:t>
      </w:r>
      <w:r w:rsidRPr="006A36C4">
        <w:rPr>
          <w:sz w:val="24"/>
        </w:rPr>
        <w:t>version 7.4.0, ICON Development Solutions</w:t>
      </w:r>
      <w:r>
        <w:rPr>
          <w:sz w:val="24"/>
        </w:rPr>
        <w:t>)</w:t>
      </w:r>
      <w:bookmarkEnd w:id="0"/>
      <w:r>
        <w:rPr>
          <w:sz w:val="24"/>
        </w:rPr>
        <w:t>. A two-stage model-building strategy was used: first the plasma-</w:t>
      </w:r>
      <w:r>
        <w:rPr>
          <w:sz w:val="24"/>
        </w:rPr>
        <w:lastRenderedPageBreak/>
        <w:t>only pharmacokinetic models were developed for each drug, then the plasma and intrapulmonary pharmacokinetic data were analysed under a combined model</w:t>
      </w:r>
      <w:r w:rsidR="004F1D9F">
        <w:rPr>
          <w:sz w:val="24"/>
        </w:rPr>
        <w:t xml:space="preserve"> (</w:t>
      </w:r>
      <w:r w:rsidR="004F1D9F" w:rsidRPr="004853E4">
        <w:rPr>
          <w:b/>
          <w:bCs/>
          <w:sz w:val="24"/>
        </w:rPr>
        <w:t>Supplementary Materials</w:t>
      </w:r>
      <w:r w:rsidR="004F1D9F">
        <w:rPr>
          <w:sz w:val="24"/>
        </w:rPr>
        <w:t>).</w:t>
      </w:r>
      <w:r>
        <w:rPr>
          <w:rFonts w:cstheme="minorHAnsi"/>
          <w:sz w:val="24"/>
        </w:rPr>
        <w:t xml:space="preserve"> </w:t>
      </w:r>
    </w:p>
    <w:p w14:paraId="02CFCC94" w14:textId="77777777" w:rsidR="00A32821" w:rsidRDefault="00A32821" w:rsidP="00A32821">
      <w:pPr>
        <w:spacing w:after="0" w:line="480" w:lineRule="auto"/>
        <w:rPr>
          <w:sz w:val="24"/>
        </w:rPr>
      </w:pPr>
    </w:p>
    <w:p w14:paraId="78E7F11A" w14:textId="77777777" w:rsidR="00A32821" w:rsidRPr="00FD55FE" w:rsidRDefault="00A32821" w:rsidP="00A32821">
      <w:pPr>
        <w:spacing w:after="0" w:line="480" w:lineRule="auto"/>
        <w:rPr>
          <w:rFonts w:cstheme="minorHAnsi"/>
          <w:sz w:val="24"/>
        </w:rPr>
      </w:pPr>
      <w:r w:rsidRPr="006A36C4">
        <w:rPr>
          <w:sz w:val="24"/>
        </w:rPr>
        <w:t xml:space="preserve">One- and two-compartment </w:t>
      </w:r>
      <w:r>
        <w:rPr>
          <w:sz w:val="24"/>
        </w:rPr>
        <w:t xml:space="preserve">pharmacokinetic disposition </w:t>
      </w:r>
      <w:r w:rsidRPr="006A36C4">
        <w:rPr>
          <w:sz w:val="24"/>
        </w:rPr>
        <w:t>models with alternative models of</w:t>
      </w:r>
      <w:r>
        <w:rPr>
          <w:sz w:val="24"/>
        </w:rPr>
        <w:t xml:space="preserve"> </w:t>
      </w:r>
      <w:r w:rsidRPr="006A36C4">
        <w:rPr>
          <w:sz w:val="24"/>
        </w:rPr>
        <w:t xml:space="preserve">absorption were </w:t>
      </w:r>
      <w:r>
        <w:rPr>
          <w:sz w:val="24"/>
        </w:rPr>
        <w:t xml:space="preserve">explored in </w:t>
      </w:r>
      <w:r w:rsidRPr="006A36C4">
        <w:rPr>
          <w:sz w:val="24"/>
        </w:rPr>
        <w:t>fitt</w:t>
      </w:r>
      <w:r>
        <w:rPr>
          <w:sz w:val="24"/>
        </w:rPr>
        <w:t xml:space="preserve">ings to </w:t>
      </w:r>
      <w:r w:rsidRPr="006A36C4">
        <w:rPr>
          <w:sz w:val="24"/>
        </w:rPr>
        <w:t>the</w:t>
      </w:r>
      <w:r>
        <w:rPr>
          <w:sz w:val="24"/>
        </w:rPr>
        <w:t xml:space="preserve"> plasma</w:t>
      </w:r>
      <w:r w:rsidRPr="006A36C4">
        <w:rPr>
          <w:sz w:val="24"/>
        </w:rPr>
        <w:t xml:space="preserve"> data.</w:t>
      </w:r>
      <w:r>
        <w:rPr>
          <w:sz w:val="24"/>
        </w:rPr>
        <w:t xml:space="preserve"> </w:t>
      </w:r>
      <w:bookmarkStart w:id="1" w:name="_Hlk29648594"/>
      <w:r>
        <w:rPr>
          <w:sz w:val="24"/>
        </w:rPr>
        <w:t>Base mo</w:t>
      </w:r>
      <w:r w:rsidRPr="00677551">
        <w:rPr>
          <w:sz w:val="24"/>
        </w:rPr>
        <w:t xml:space="preserve">del selection was achieved using </w:t>
      </w:r>
      <w:r>
        <w:rPr>
          <w:sz w:val="24"/>
        </w:rPr>
        <w:t xml:space="preserve">likelihood ratio testing with </w:t>
      </w:r>
      <w:r w:rsidRPr="00677551">
        <w:rPr>
          <w:sz w:val="24"/>
        </w:rPr>
        <w:t xml:space="preserve">the minimum objective function value </w:t>
      </w:r>
      <w:r>
        <w:rPr>
          <w:sz w:val="24"/>
        </w:rPr>
        <w:t>as the criterion</w:t>
      </w:r>
      <w:r w:rsidRPr="00677551">
        <w:rPr>
          <w:sz w:val="24"/>
        </w:rPr>
        <w:t xml:space="preserve">, </w:t>
      </w:r>
      <w:r>
        <w:rPr>
          <w:sz w:val="24"/>
        </w:rPr>
        <w:t>and</w:t>
      </w:r>
      <w:r w:rsidRPr="00677551">
        <w:rPr>
          <w:sz w:val="24"/>
        </w:rPr>
        <w:t xml:space="preserve"> examination of relative standard error values and goodness-of-fit plots. </w:t>
      </w:r>
      <w:r>
        <w:rPr>
          <w:rFonts w:cstheme="minorHAnsi"/>
          <w:sz w:val="24"/>
        </w:rPr>
        <w:t>S</w:t>
      </w:r>
      <w:r w:rsidRPr="00677551">
        <w:rPr>
          <w:rFonts w:cstheme="minorHAnsi"/>
          <w:sz w:val="24"/>
        </w:rPr>
        <w:t xml:space="preserve">tepwise generalised additive modelling was </w:t>
      </w:r>
      <w:r>
        <w:rPr>
          <w:rFonts w:cstheme="minorHAnsi"/>
          <w:sz w:val="24"/>
        </w:rPr>
        <w:t xml:space="preserve">then </w:t>
      </w:r>
      <w:r w:rsidRPr="00677551">
        <w:rPr>
          <w:rFonts w:cstheme="minorHAnsi"/>
          <w:sz w:val="24"/>
        </w:rPr>
        <w:t xml:space="preserve">used to </w:t>
      </w:r>
      <w:r>
        <w:rPr>
          <w:rFonts w:cstheme="minorHAnsi"/>
          <w:sz w:val="24"/>
        </w:rPr>
        <w:t>identify significant</w:t>
      </w:r>
      <w:r w:rsidRPr="00677551">
        <w:rPr>
          <w:rFonts w:cstheme="minorHAnsi"/>
          <w:sz w:val="24"/>
        </w:rPr>
        <w:t xml:space="preserve"> covariates for the model</w:t>
      </w:r>
      <w:r>
        <w:rPr>
          <w:rFonts w:cstheme="minorHAnsi"/>
          <w:sz w:val="24"/>
        </w:rPr>
        <w:t xml:space="preserve"> </w:t>
      </w:r>
      <w:bookmarkEnd w:id="1"/>
      <w:r>
        <w:rPr>
          <w:rFonts w:cstheme="minorHAnsi"/>
          <w:sz w:val="24"/>
        </w:rPr>
        <w:t xml:space="preserve">(from among </w:t>
      </w:r>
      <w:r w:rsidRPr="00677551">
        <w:rPr>
          <w:rFonts w:cstheme="minorHAnsi"/>
          <w:sz w:val="24"/>
        </w:rPr>
        <w:t xml:space="preserve">age, weight, </w:t>
      </w:r>
      <w:r>
        <w:rPr>
          <w:rFonts w:cstheme="minorHAnsi"/>
          <w:sz w:val="24"/>
        </w:rPr>
        <w:t>body mass index</w:t>
      </w:r>
      <w:r w:rsidRPr="00677551">
        <w:rPr>
          <w:rFonts w:cstheme="minorHAnsi"/>
          <w:sz w:val="24"/>
        </w:rPr>
        <w:t>, sex, HIV status, and creatinine clearance</w:t>
      </w:r>
      <w:r>
        <w:rPr>
          <w:rFonts w:cstheme="minorHAnsi"/>
          <w:sz w:val="24"/>
        </w:rPr>
        <w:t>)</w:t>
      </w:r>
      <w:r w:rsidRPr="00677551">
        <w:rPr>
          <w:rFonts w:cstheme="minorHAnsi"/>
          <w:sz w:val="24"/>
        </w:rPr>
        <w:t xml:space="preserve">. </w:t>
      </w:r>
      <w:r>
        <w:rPr>
          <w:rFonts w:cstheme="minorHAnsi"/>
          <w:sz w:val="24"/>
        </w:rPr>
        <w:t xml:space="preserve">The plasma models were evaluated using visual predictive checks. </w:t>
      </w:r>
    </w:p>
    <w:p w14:paraId="069CD0DB" w14:textId="362407D3" w:rsidR="0024089A" w:rsidRDefault="0024089A" w:rsidP="00372199">
      <w:pPr>
        <w:spacing w:after="0" w:line="480" w:lineRule="auto"/>
        <w:rPr>
          <w:i/>
          <w:iCs/>
          <w:sz w:val="24"/>
        </w:rPr>
      </w:pPr>
    </w:p>
    <w:p w14:paraId="4A3F8523" w14:textId="11FFFCAA" w:rsidR="00ED1821" w:rsidRDefault="00C33EE2" w:rsidP="00ED1821">
      <w:pPr>
        <w:spacing w:after="0" w:line="480" w:lineRule="auto"/>
        <w:rPr>
          <w:sz w:val="24"/>
        </w:rPr>
      </w:pPr>
      <w:r>
        <w:rPr>
          <w:rFonts w:cstheme="minorHAnsi"/>
          <w:sz w:val="24"/>
        </w:rPr>
        <w:t>C</w:t>
      </w:r>
      <w:r w:rsidRPr="00886194">
        <w:rPr>
          <w:rFonts w:cstheme="minorHAnsi"/>
          <w:sz w:val="24"/>
        </w:rPr>
        <w:t xml:space="preserve">oncentrations in the </w:t>
      </w:r>
      <w:r>
        <w:rPr>
          <w:rFonts w:cstheme="minorHAnsi"/>
          <w:sz w:val="24"/>
        </w:rPr>
        <w:t>epithelial lining fluid and alveolar cell</w:t>
      </w:r>
      <w:r w:rsidRPr="00886194">
        <w:rPr>
          <w:rFonts w:cstheme="minorHAnsi"/>
          <w:sz w:val="24"/>
        </w:rPr>
        <w:t xml:space="preserve"> compartments</w:t>
      </w:r>
      <w:r>
        <w:rPr>
          <w:rFonts w:cstheme="minorHAnsi"/>
          <w:sz w:val="24"/>
        </w:rPr>
        <w:t xml:space="preserve"> were</w:t>
      </w:r>
      <w:r w:rsidRPr="00886194">
        <w:rPr>
          <w:rFonts w:cstheme="minorHAnsi"/>
          <w:sz w:val="24"/>
        </w:rPr>
        <w:t xml:space="preserve"> characterised </w:t>
      </w:r>
      <w:r>
        <w:rPr>
          <w:rFonts w:cstheme="minorHAnsi"/>
          <w:sz w:val="24"/>
        </w:rPr>
        <w:t>by</w:t>
      </w:r>
      <w:r w:rsidRPr="00886194">
        <w:rPr>
          <w:rFonts w:cstheme="minorHAnsi"/>
          <w:sz w:val="24"/>
        </w:rPr>
        <w:t xml:space="preserve"> ratio</w:t>
      </w:r>
      <w:r>
        <w:rPr>
          <w:rFonts w:cstheme="minorHAnsi"/>
          <w:sz w:val="24"/>
        </w:rPr>
        <w:t xml:space="preserve"> parameters</w:t>
      </w:r>
      <w:r w:rsidRPr="00886194">
        <w:rPr>
          <w:rFonts w:cstheme="minorHAnsi"/>
          <w:sz w:val="24"/>
        </w:rPr>
        <w:t xml:space="preserve"> relative to their plasma concentration (</w:t>
      </w:r>
      <w:r w:rsidRPr="00886194">
        <w:rPr>
          <w:rFonts w:cstheme="minorHAnsi"/>
          <w:i/>
          <w:sz w:val="24"/>
        </w:rPr>
        <w:t>R</w:t>
      </w:r>
      <w:r w:rsidRPr="00886194">
        <w:rPr>
          <w:rFonts w:cstheme="minorHAnsi"/>
          <w:i/>
          <w:sz w:val="24"/>
          <w:vertAlign w:val="subscript"/>
        </w:rPr>
        <w:t>ELF</w:t>
      </w:r>
      <w:r w:rsidRPr="00886194">
        <w:rPr>
          <w:rFonts w:cstheme="minorHAnsi"/>
          <w:i/>
          <w:sz w:val="24"/>
        </w:rPr>
        <w:t xml:space="preserve"> </w:t>
      </w:r>
      <w:r w:rsidRPr="00886194">
        <w:rPr>
          <w:rFonts w:cstheme="minorHAnsi"/>
          <w:sz w:val="24"/>
        </w:rPr>
        <w:t xml:space="preserve">and </w:t>
      </w:r>
      <w:r w:rsidRPr="00886194">
        <w:rPr>
          <w:rFonts w:cstheme="minorHAnsi"/>
          <w:i/>
          <w:sz w:val="24"/>
        </w:rPr>
        <w:t>R</w:t>
      </w:r>
      <w:r w:rsidRPr="00886194">
        <w:rPr>
          <w:rFonts w:cstheme="minorHAnsi"/>
          <w:i/>
          <w:sz w:val="24"/>
          <w:vertAlign w:val="subscript"/>
        </w:rPr>
        <w:t>AC</w:t>
      </w:r>
      <w:r w:rsidRPr="00886194">
        <w:rPr>
          <w:rFonts w:cstheme="minorHAnsi"/>
          <w:sz w:val="24"/>
        </w:rPr>
        <w:t xml:space="preserve"> respectively)</w:t>
      </w:r>
      <w:r>
        <w:rPr>
          <w:rFonts w:cstheme="minorHAnsi"/>
          <w:sz w:val="24"/>
        </w:rPr>
        <w:t xml:space="preserve">. </w:t>
      </w:r>
      <w:r w:rsidRPr="00886194">
        <w:rPr>
          <w:rFonts w:cstheme="minorHAnsi"/>
          <w:sz w:val="24"/>
        </w:rPr>
        <w:t>I</w:t>
      </w:r>
      <w:r>
        <w:rPr>
          <w:rFonts w:cstheme="minorHAnsi"/>
          <w:sz w:val="24"/>
        </w:rPr>
        <w:t>nterindividual variability</w:t>
      </w:r>
      <w:r w:rsidRPr="00886194">
        <w:rPr>
          <w:rFonts w:cstheme="minorHAnsi"/>
          <w:sz w:val="24"/>
        </w:rPr>
        <w:t xml:space="preserve"> on </w:t>
      </w:r>
      <w:r w:rsidRPr="00886194">
        <w:rPr>
          <w:rFonts w:cstheme="minorHAnsi"/>
          <w:i/>
          <w:sz w:val="24"/>
        </w:rPr>
        <w:t>R</w:t>
      </w:r>
      <w:r w:rsidRPr="00886194">
        <w:rPr>
          <w:rFonts w:cstheme="minorHAnsi"/>
          <w:i/>
          <w:sz w:val="24"/>
          <w:vertAlign w:val="subscript"/>
        </w:rPr>
        <w:t>ELF</w:t>
      </w:r>
      <w:r w:rsidRPr="00886194">
        <w:rPr>
          <w:rFonts w:cstheme="minorHAnsi"/>
          <w:sz w:val="24"/>
        </w:rPr>
        <w:t xml:space="preserve"> and </w:t>
      </w:r>
      <w:r w:rsidRPr="00886194">
        <w:rPr>
          <w:rFonts w:cstheme="minorHAnsi"/>
          <w:i/>
          <w:sz w:val="24"/>
        </w:rPr>
        <w:t>R</w:t>
      </w:r>
      <w:r w:rsidRPr="00886194">
        <w:rPr>
          <w:rFonts w:cstheme="minorHAnsi"/>
          <w:i/>
          <w:sz w:val="24"/>
          <w:vertAlign w:val="subscript"/>
        </w:rPr>
        <w:t>AC</w:t>
      </w:r>
      <w:r w:rsidRPr="00886194">
        <w:rPr>
          <w:rFonts w:cstheme="minorHAnsi"/>
          <w:sz w:val="24"/>
        </w:rPr>
        <w:t xml:space="preserve"> </w:t>
      </w:r>
      <w:r>
        <w:rPr>
          <w:rFonts w:cstheme="minorHAnsi"/>
          <w:sz w:val="24"/>
        </w:rPr>
        <w:t xml:space="preserve">was incorporated </w:t>
      </w:r>
      <w:r w:rsidRPr="00886194">
        <w:rPr>
          <w:rFonts w:cstheme="minorHAnsi"/>
          <w:sz w:val="24"/>
        </w:rPr>
        <w:t>using an exponential error model</w:t>
      </w:r>
      <w:r>
        <w:rPr>
          <w:rFonts w:cstheme="minorHAnsi"/>
          <w:sz w:val="24"/>
        </w:rPr>
        <w:t xml:space="preserve"> with separate residual error variances estimated for both epithelial lining fluid and alveolar cells</w:t>
      </w:r>
      <w:r w:rsidRPr="00886194">
        <w:rPr>
          <w:rFonts w:cstheme="minorHAnsi"/>
          <w:sz w:val="24"/>
        </w:rPr>
        <w:t>.</w:t>
      </w:r>
      <w:r>
        <w:rPr>
          <w:rFonts w:cstheme="minorHAnsi"/>
          <w:sz w:val="24"/>
        </w:rPr>
        <w:t xml:space="preserve"> </w:t>
      </w:r>
      <w:r>
        <w:rPr>
          <w:i/>
          <w:sz w:val="24"/>
        </w:rPr>
        <w:t>R</w:t>
      </w:r>
      <w:r>
        <w:rPr>
          <w:i/>
          <w:sz w:val="24"/>
          <w:vertAlign w:val="subscript"/>
        </w:rPr>
        <w:t>ELF</w:t>
      </w:r>
      <w:r>
        <w:rPr>
          <w:sz w:val="24"/>
        </w:rPr>
        <w:t xml:space="preserve"> </w:t>
      </w:r>
      <w:r w:rsidRPr="00DA3E1E">
        <w:rPr>
          <w:sz w:val="24"/>
        </w:rPr>
        <w:t xml:space="preserve">is based on total drug (protein-unbound plus bound), whereas only the unbound fraction is pharmacologically-active and able to be transported or diffuse into the </w:t>
      </w:r>
      <w:r>
        <w:rPr>
          <w:sz w:val="24"/>
        </w:rPr>
        <w:t xml:space="preserve">epithelial lining fluid </w:t>
      </w:r>
      <w:r w:rsidR="00FE2DB1">
        <w:rPr>
          <w:sz w:val="24"/>
        </w:rPr>
        <w:fldChar w:fldCharType="begin" w:fldLock="1"/>
      </w:r>
      <w:r w:rsidR="00DE300B">
        <w:rPr>
          <w:sz w:val="24"/>
        </w:rPr>
        <w:instrText>ADDIN CSL_CITATION {"citationItems":[{"id":"ITEM-1","itemData":{"DOI":"10.1128/AAC.00133-06","ISBN":"0066-4804 (Print)\r0066-4804 (Linking)","PMID":"17846133","author":[{"dropping-particle":"","family":"Kiem","given":"S","non-dropping-particle":"","parse-names":false,"suffix":""},{"dropping-particle":"","family":"Schentag","given":"J J","non-dropping-particle":"","parse-names":false,"suffix":""}],"container-title":"Antimicrob Agents Chemother","id":"ITEM-1","issue":"1","issued":{"date-parts":[["2008"]]},"note":"Kiem, Sungmin\nSchentag, Jerome J\neng\nReview\n2007/09/12 09:00\nAntimicrob Agents Chemother. 2008 Jan;52(1):24-36. Epub 2007 Sep 10.","page":"24-36","title":"Interpretation of antibiotic concentration ratios measured in epithelial lining fluid","type":"article-journal","volume":"52"},"uris":["http://www.mendeley.com/documents/?uuid=9ea95201-bb0d-49f8-90fe-be4c40c56529"]}],"mendeley":{"formattedCitation":"[27]","plainTextFormattedCitation":"[27]","previouslyFormattedCitation":"[23]"},"properties":{"noteIndex":0},"schema":"https://github.com/citation-style-language/schema/raw/master/csl-citation.json"}</w:instrText>
      </w:r>
      <w:r w:rsidR="00FE2DB1">
        <w:rPr>
          <w:sz w:val="24"/>
        </w:rPr>
        <w:fldChar w:fldCharType="separate"/>
      </w:r>
      <w:r w:rsidR="00DE300B" w:rsidRPr="00DE300B">
        <w:rPr>
          <w:noProof/>
          <w:sz w:val="24"/>
        </w:rPr>
        <w:t>[27]</w:t>
      </w:r>
      <w:r w:rsidR="00FE2DB1">
        <w:rPr>
          <w:sz w:val="24"/>
        </w:rPr>
        <w:fldChar w:fldCharType="end"/>
      </w:r>
      <w:r w:rsidR="00CC2F1D">
        <w:rPr>
          <w:sz w:val="24"/>
        </w:rPr>
        <w:t>. Of the four first-line drugs, only rifampicin has extensive protein binding</w:t>
      </w:r>
      <w:r w:rsidR="00807A83">
        <w:rPr>
          <w:sz w:val="24"/>
        </w:rPr>
        <w:t xml:space="preserve">. </w:t>
      </w:r>
      <w:r w:rsidR="00DE2BB0">
        <w:rPr>
          <w:sz w:val="24"/>
        </w:rPr>
        <w:t>A</w:t>
      </w:r>
      <w:r w:rsidR="00807A83" w:rsidRPr="00DA3E1E">
        <w:rPr>
          <w:sz w:val="24"/>
        </w:rPr>
        <w:t xml:space="preserve">ssuming an unbound fraction of rifampicin in plasma of 20% </w:t>
      </w:r>
      <w:r w:rsidR="00BD7AE5">
        <w:rPr>
          <w:sz w:val="24"/>
        </w:rPr>
        <w:t xml:space="preserve"> </w:t>
      </w:r>
      <w:r w:rsidR="00BD7AE5">
        <w:rPr>
          <w:sz w:val="24"/>
        </w:rPr>
        <w:fldChar w:fldCharType="begin" w:fldLock="1"/>
      </w:r>
      <w:r w:rsidR="00DE300B">
        <w:rPr>
          <w:sz w:val="24"/>
        </w:rPr>
        <w:instrText>ADDIN CSL_CITATION {"citationItems":[{"id":"ITEM-1","itemData":{"DOI":"10.1128/AAC.00133-06","ISBN":"0066-4804 (Print)\r0066-4804 (Linking)","PMID":"17846133","author":[{"dropping-particle":"","family":"Kiem","given":"S","non-dropping-particle":"","parse-names":false,"suffix":""},{"dropping-particle":"","family":"Schentag","given":"J J","non-dropping-particle":"","parse-names":false,"suffix":""}],"container-title":"Antimicrob Agents Chemother","id":"ITEM-1","issue":"1","issued":{"date-parts":[["2008"]]},"note":"Kiem, Sungmin\nSchentag, Jerome J\neng\nReview\n2007/09/12 09:00\nAntimicrob Agents Chemother. 2008 Jan;52(1):24-36. Epub 2007 Sep 10.","page":"24-36","title":"Interpretation of antibiotic concentration ratios measured in epithelial lining fluid","type":"article-journal","volume":"52"},"uris":["http://www.mendeley.com/documents/?uuid=9ea95201-bb0d-49f8-90fe-be4c40c56529"]}],"mendeley":{"formattedCitation":"[27]","plainTextFormattedCitation":"[27]","previouslyFormattedCitation":"[23]"},"properties":{"noteIndex":0},"schema":"https://github.com/citation-style-language/schema/raw/master/csl-citation.json"}</w:instrText>
      </w:r>
      <w:r w:rsidR="00BD7AE5">
        <w:rPr>
          <w:sz w:val="24"/>
        </w:rPr>
        <w:fldChar w:fldCharType="separate"/>
      </w:r>
      <w:r w:rsidR="00DE300B" w:rsidRPr="00DE300B">
        <w:rPr>
          <w:noProof/>
          <w:sz w:val="24"/>
        </w:rPr>
        <w:t>[27]</w:t>
      </w:r>
      <w:r w:rsidR="00BD7AE5">
        <w:rPr>
          <w:sz w:val="24"/>
        </w:rPr>
        <w:fldChar w:fldCharType="end"/>
      </w:r>
      <w:r w:rsidR="00F76E2C" w:rsidRPr="00DA3E1E">
        <w:rPr>
          <w:sz w:val="24"/>
        </w:rPr>
        <w:t xml:space="preserve">, and negligible protein binding in </w:t>
      </w:r>
      <w:r w:rsidR="00F76E2C">
        <w:rPr>
          <w:sz w:val="24"/>
        </w:rPr>
        <w:t xml:space="preserve">epithelial lining fluid </w:t>
      </w:r>
      <w:r w:rsidR="0056360D">
        <w:rPr>
          <w:sz w:val="24"/>
        </w:rPr>
        <w:fldChar w:fldCharType="begin" w:fldLock="1"/>
      </w:r>
      <w:r w:rsidR="00DE300B">
        <w:rPr>
          <w:sz w:val="24"/>
        </w:rPr>
        <w:instrText>ADDIN CSL_CITATION {"citationItems":[{"id":"ITEM-1","itemData":{"ISBN":"0903-1936 (Print)\r0903-1936","PMID":"8836647","abstract":"This study applied bronchoalveolar lavage (BAL) to children with congenital heart disease (CHD) prior to elective cardiac catheterization (n = 48), to determine the influence of pulmonary blood flow and viral infection on the alveolar epithelial lining fluid (ELF) concentration of leucocytes, protein and endothelin-1 (ET-1). Lower respiratory tract (LRT) viral infection was defined as either a positive immunofluorescence for virus, or a virus cultured from the bronchoalveolar lavage fluid (BALF). Haemodynamic status was determined at cardiac catheterization. Normative data for BALF, but not ELF parameters, were obtained from 26 asymptomatic, noninfected normal children undergoing elective surgery. In the absence of LRT infection, the BALF macrophage, lymphocyte and neutrophil differential in CHD was not significantly different from the normal controls. In CHD, both increased pulmonary-to-systemic flow ratio (Q'p/Q's) and increased pulmonary artery-to-left ventricular pressure ratio PAP/LVP were associated with a decrease in ELF protein (rs = -0.59; p &lt; 0.0001; and rs = -0.50; p &lt; 0.0001 respectively). A respiratory virus was isolated from the BALF in 8 (17%) of CHD children. Virus isolation was associated with an increased ELF total protein (p &lt; 0.05 vs no infection), a decreased alveolar macrophage differential count (p &lt; 0.01), and an increased neutrophil differential count (p &lt; 0.05). ET-1 was detected in the BALF of 83% of the noninfected CHD children compared to only 23% of the controls (p &lt; 0.001). ELF ET-1 concentrations did not correlate with haemodynamic status in CHD, but were up to 100 times higher than paired plasma levels. We conclude that, in congenital heart disease, both lower respiratory tract viral infection and increased pulmonary blood flow and/or pulmonary vascular pressure influence the alveolar milieu. High alveolar epithelial lining fluid concentrations of endothelin-1 occur in congenital heart disease, but the stimulus for pulmonary endothelin-1 production is unclear.","author":[{"dropping-particle":"","family":"Grigg","given":"J","non-dropping-particle":"","parse-names":false,"suffix":""},{"dropping-particle":"","family":"Kleinert","given":"S","non-dropping-particle":"","parse-names":false,"suffix":""},{"dropping-particle":"","family":"Woods","given":"R L","non-dropping-particle":"","parse-names":false,"suffix":""},{"dropping-particle":"","family":"Thomas","given":"C J","non-dropping-particle":"","parse-names":false,"suffix":""},{"dropping-particle":"","family":"Vervaart","given":"P","non-dropping-particle":"","parse-names":false,"suffix":""},{"dropping-particle":"","family":"Wilkinson","given":"J L","non-dropping-particle":"","parse-names":false,"suffix":""},{"dropping-particle":"","family":"Robertson","given":"C F","non-dropping-particle":"","parse-names":false,"suffix":""}],"container-title":"Eur Respir J","edition":"1996/07/01","id":"ITEM-1","issue":"7","issued":{"date-parts":[["1996"]]},"language":"eng","note":"Grigg, J\nKleinert, S\nWoods, R L\nThomas, C J\nVervaart, P\nWilkinson, J L\nRobertson, C F\nComparative Study\nJournal Article\nResearch Support, Non-U.S. Gov't\nEngland\nEur Respir J. 1996 Jul;9(7):1381-8.","page":"1381-1388","title":"Alveolar epithelial lining fluid cellularity, protein and endothelin-1 in children with congenital heart disease","type":"article-journal","volume":"9"},"uris":["http://www.mendeley.com/documents/?uuid=4dba4fe7-46a7-4636-91d7-d1275c6faa0d"]}],"mendeley":{"formattedCitation":"[28]","plainTextFormattedCitation":"[28]","previouslyFormattedCitation":"[24]"},"properties":{"noteIndex":0},"schema":"https://github.com/citation-style-language/schema/raw/master/csl-citation.json"}</w:instrText>
      </w:r>
      <w:r w:rsidR="0056360D">
        <w:rPr>
          <w:sz w:val="24"/>
        </w:rPr>
        <w:fldChar w:fldCharType="separate"/>
      </w:r>
      <w:r w:rsidR="00DE300B" w:rsidRPr="00DE300B">
        <w:rPr>
          <w:noProof/>
          <w:sz w:val="24"/>
        </w:rPr>
        <w:t>[28]</w:t>
      </w:r>
      <w:r w:rsidR="0056360D">
        <w:rPr>
          <w:sz w:val="24"/>
        </w:rPr>
        <w:fldChar w:fldCharType="end"/>
      </w:r>
      <w:r w:rsidR="00ED1821" w:rsidRPr="00DA3E1E">
        <w:rPr>
          <w:sz w:val="24"/>
        </w:rPr>
        <w:t xml:space="preserve">, </w:t>
      </w:r>
      <w:r w:rsidR="00ED1821">
        <w:rPr>
          <w:sz w:val="24"/>
        </w:rPr>
        <w:t>we approximated the</w:t>
      </w:r>
      <w:r w:rsidR="00ED1821" w:rsidRPr="00DA3E1E">
        <w:rPr>
          <w:sz w:val="24"/>
        </w:rPr>
        <w:t xml:space="preserve"> </w:t>
      </w:r>
      <w:r w:rsidR="00ED1821" w:rsidRPr="00152D05">
        <w:rPr>
          <w:i/>
          <w:sz w:val="24"/>
        </w:rPr>
        <w:t>R</w:t>
      </w:r>
      <w:r w:rsidR="00ED1821" w:rsidRPr="00152D05">
        <w:rPr>
          <w:i/>
          <w:sz w:val="24"/>
          <w:vertAlign w:val="subscript"/>
        </w:rPr>
        <w:t>ELF/unbound-plasma</w:t>
      </w:r>
      <w:r w:rsidR="00ED1821" w:rsidRPr="00DA3E1E">
        <w:rPr>
          <w:sz w:val="24"/>
        </w:rPr>
        <w:t xml:space="preserve"> ratio </w:t>
      </w:r>
      <w:r w:rsidR="00ED1821">
        <w:rPr>
          <w:sz w:val="24"/>
        </w:rPr>
        <w:t xml:space="preserve">to </w:t>
      </w:r>
      <w:r w:rsidR="00ED1821" w:rsidRPr="00DA3E1E">
        <w:rPr>
          <w:sz w:val="24"/>
        </w:rPr>
        <w:t xml:space="preserve">be five-fold greater than </w:t>
      </w:r>
      <w:r w:rsidR="00ED1821" w:rsidRPr="00152D05">
        <w:rPr>
          <w:i/>
          <w:sz w:val="24"/>
        </w:rPr>
        <w:t>R</w:t>
      </w:r>
      <w:r w:rsidR="00ED1821" w:rsidRPr="00152D05">
        <w:rPr>
          <w:i/>
          <w:sz w:val="24"/>
          <w:vertAlign w:val="subscript"/>
        </w:rPr>
        <w:t>ELF/total-plasma</w:t>
      </w:r>
      <w:r w:rsidR="00ED1821">
        <w:rPr>
          <w:sz w:val="24"/>
        </w:rPr>
        <w:t>.</w:t>
      </w:r>
    </w:p>
    <w:p w14:paraId="01E36656" w14:textId="77777777" w:rsidR="00ED1821" w:rsidRPr="00152D05" w:rsidRDefault="00ED1821" w:rsidP="00ED1821">
      <w:pPr>
        <w:spacing w:after="0" w:line="480" w:lineRule="auto"/>
        <w:rPr>
          <w:sz w:val="24"/>
        </w:rPr>
      </w:pPr>
    </w:p>
    <w:p w14:paraId="1F4D0BD0" w14:textId="4B8ACFDD" w:rsidR="00E43D58" w:rsidRDefault="00ED1821" w:rsidP="008D544C">
      <w:pPr>
        <w:spacing w:after="0" w:line="480" w:lineRule="auto"/>
        <w:rPr>
          <w:i/>
          <w:iCs/>
          <w:sz w:val="24"/>
        </w:rPr>
      </w:pPr>
      <w:r>
        <w:rPr>
          <w:rFonts w:cstheme="minorHAnsi"/>
          <w:sz w:val="24"/>
        </w:rPr>
        <w:lastRenderedPageBreak/>
        <w:t>Model-based e</w:t>
      </w:r>
      <w:r w:rsidRPr="00677551">
        <w:rPr>
          <w:rFonts w:cstheme="minorHAnsi"/>
          <w:sz w:val="24"/>
        </w:rPr>
        <w:t>stimates of</w:t>
      </w:r>
      <w:r>
        <w:rPr>
          <w:rFonts w:cstheme="minorHAnsi"/>
          <w:sz w:val="24"/>
        </w:rPr>
        <w:t xml:space="preserve"> individual values of</w:t>
      </w:r>
      <w:r w:rsidRPr="00677551">
        <w:rPr>
          <w:rFonts w:cstheme="minorHAnsi"/>
          <w:sz w:val="24"/>
        </w:rPr>
        <w:t xml:space="preserve"> </w:t>
      </w:r>
      <w:r w:rsidRPr="00581500">
        <w:rPr>
          <w:rFonts w:cstheme="minorHAnsi"/>
          <w:sz w:val="24"/>
        </w:rPr>
        <w:t>AUC</w:t>
      </w:r>
      <w:r>
        <w:rPr>
          <w:rFonts w:cstheme="minorHAnsi"/>
          <w:i/>
          <w:sz w:val="24"/>
        </w:rPr>
        <w:t xml:space="preserve">, </w:t>
      </w:r>
      <w:proofErr w:type="spellStart"/>
      <w:r w:rsidRPr="00581500">
        <w:rPr>
          <w:rFonts w:cstheme="minorHAnsi"/>
          <w:sz w:val="24"/>
        </w:rPr>
        <w:t>T</w:t>
      </w:r>
      <w:r w:rsidRPr="00581500">
        <w:rPr>
          <w:rFonts w:cstheme="minorHAnsi"/>
          <w:sz w:val="24"/>
          <w:vertAlign w:val="subscript"/>
        </w:rPr>
        <w:t>max</w:t>
      </w:r>
      <w:proofErr w:type="spellEnd"/>
      <w:r w:rsidRPr="00581500">
        <w:rPr>
          <w:rFonts w:cstheme="minorHAnsi"/>
          <w:sz w:val="24"/>
        </w:rPr>
        <w:t xml:space="preserve">, and </w:t>
      </w:r>
      <w:proofErr w:type="spellStart"/>
      <w:r w:rsidRPr="00581500">
        <w:rPr>
          <w:rFonts w:cstheme="minorHAnsi"/>
          <w:sz w:val="24"/>
        </w:rPr>
        <w:t>C</w:t>
      </w:r>
      <w:r w:rsidRPr="00581500">
        <w:rPr>
          <w:rFonts w:cstheme="minorHAnsi"/>
          <w:sz w:val="24"/>
          <w:vertAlign w:val="subscript"/>
        </w:rPr>
        <w:t>max</w:t>
      </w:r>
      <w:proofErr w:type="spellEnd"/>
      <w:r w:rsidRPr="00677551">
        <w:rPr>
          <w:rFonts w:cstheme="minorHAnsi"/>
          <w:sz w:val="24"/>
        </w:rPr>
        <w:t xml:space="preserve"> were calculated from </w:t>
      </w:r>
      <w:r>
        <w:rPr>
          <w:rFonts w:cstheme="minorHAnsi"/>
          <w:sz w:val="24"/>
        </w:rPr>
        <w:t>empirical Bayes estimates of parameters (</w:t>
      </w:r>
      <w:r w:rsidRPr="004853E4">
        <w:rPr>
          <w:rFonts w:cstheme="minorHAnsi"/>
          <w:b/>
          <w:bCs/>
          <w:sz w:val="24"/>
        </w:rPr>
        <w:t>Supplementary Materials</w:t>
      </w:r>
      <w:r>
        <w:rPr>
          <w:rFonts w:cstheme="minorHAnsi"/>
          <w:sz w:val="24"/>
        </w:rPr>
        <w:t xml:space="preserve">). Plasma </w:t>
      </w:r>
      <w:proofErr w:type="spellStart"/>
      <w:r>
        <w:rPr>
          <w:rFonts w:cstheme="minorHAnsi"/>
          <w:sz w:val="24"/>
        </w:rPr>
        <w:t>C</w:t>
      </w:r>
      <w:r>
        <w:rPr>
          <w:rFonts w:cstheme="minorHAnsi"/>
          <w:sz w:val="24"/>
          <w:vertAlign w:val="subscript"/>
        </w:rPr>
        <w:t>max</w:t>
      </w:r>
      <w:proofErr w:type="spellEnd"/>
      <w:r>
        <w:rPr>
          <w:rFonts w:cstheme="minorHAnsi"/>
          <w:sz w:val="24"/>
        </w:rPr>
        <w:t xml:space="preserve"> estimates were compared to therapeutic drug monitoring targets: rifampicin ≥ 8 </w:t>
      </w:r>
      <w:proofErr w:type="spellStart"/>
      <w:r>
        <w:rPr>
          <w:rFonts w:cstheme="minorHAnsi"/>
          <w:sz w:val="24"/>
        </w:rPr>
        <w:t>μg</w:t>
      </w:r>
      <w:proofErr w:type="spellEnd"/>
      <w:r>
        <w:rPr>
          <w:rFonts w:cstheme="minorHAnsi"/>
          <w:sz w:val="24"/>
        </w:rPr>
        <w:t xml:space="preserve">/ml, isoniazid ≥ 3 </w:t>
      </w:r>
      <w:proofErr w:type="spellStart"/>
      <w:r>
        <w:rPr>
          <w:rFonts w:cstheme="minorHAnsi"/>
          <w:sz w:val="24"/>
        </w:rPr>
        <w:t>μg</w:t>
      </w:r>
      <w:proofErr w:type="spellEnd"/>
      <w:r>
        <w:rPr>
          <w:rFonts w:cstheme="minorHAnsi"/>
          <w:sz w:val="24"/>
        </w:rPr>
        <w:t xml:space="preserve">/ml, pyrazinamide ≥ 20 </w:t>
      </w:r>
      <w:proofErr w:type="spellStart"/>
      <w:r>
        <w:rPr>
          <w:rFonts w:cstheme="minorHAnsi"/>
          <w:sz w:val="24"/>
        </w:rPr>
        <w:t>μg</w:t>
      </w:r>
      <w:proofErr w:type="spellEnd"/>
      <w:r>
        <w:rPr>
          <w:rFonts w:cstheme="minorHAnsi"/>
          <w:sz w:val="24"/>
        </w:rPr>
        <w:t xml:space="preserve">/ml, and ethambutol ≥ 2 </w:t>
      </w:r>
      <w:proofErr w:type="spellStart"/>
      <w:r>
        <w:rPr>
          <w:rFonts w:cstheme="minorHAnsi"/>
          <w:sz w:val="24"/>
        </w:rPr>
        <w:t>μg</w:t>
      </w:r>
      <w:proofErr w:type="spellEnd"/>
      <w:r>
        <w:rPr>
          <w:rFonts w:cstheme="minorHAnsi"/>
          <w:sz w:val="24"/>
        </w:rPr>
        <w:t>/ml</w:t>
      </w:r>
      <w:r w:rsidR="00BA5505">
        <w:rPr>
          <w:rFonts w:cstheme="minorHAnsi"/>
          <w:sz w:val="24"/>
        </w:rPr>
        <w:t xml:space="preserve"> </w:t>
      </w:r>
      <w:r w:rsidR="00BA5505">
        <w:rPr>
          <w:rFonts w:cstheme="minorHAnsi"/>
          <w:sz w:val="24"/>
        </w:rPr>
        <w:fldChar w:fldCharType="begin" w:fldLock="1"/>
      </w:r>
      <w:r w:rsidR="00DE300B">
        <w:rPr>
          <w:rFonts w:cstheme="minorHAnsi"/>
          <w:sz w:val="24"/>
        </w:rPr>
        <w:instrText>ADDIN CSL_CITATION {"citationItems":[{"id":"ITEM-1","itemData":{"DOI":"10.1007/s40265-014-0222-8","ISBN":"1179-1950 (Electronic)\r0012-6667 (Linking)","PMID":"24846578","abstract":"Tuberculosis (TB) is the world's second leading infectious killer. Cases of multidrug-resistant (MDR-TB) and extremely drug-resistant (XDR-TB) have increased globally. Therapeutic drug monitoring (TDM) remains a standard clinical technique for using plasma drug concentrations to determine dose. For TB patients, TDM provides objective information for the clinician to make informed dosing decisions. Some patients are slow to respond to treatment, and TDM can shorten the time to response and to treatment completion. Normal plasma concentration ranges for the TB drugs have been defined. For practical reasons, only one or two samples are collected post-dose. A 2-h post-dose sample approximates the peak serum drug concentration (Cmax) for most TB drugs. Adding a 6-h sample allows the clinician to distinguish between delayed absorption and malabsorption. TDM requires that samples are promptly centrifuged, and that the serum is promptly harvested and frozen. Isoniazid and ethionamide, in particular, are not stable in human serum at room temperature. Rifampicin is stable for more than 6 h under these conditions. Since our 2002 review, several papers regarding TB drug pharmacokinetics, pharmacodynamics, and TDM have been published. Thus, we have better information regarding the concentrations required for effective TB therapy. In vitro and animal model data clearly show concentration responses for most TB drugs. Recent studies emphasize the importance of rifamycins and pyrazinamide as sterilizing agents. A strong argument can be made for maximizing patient exposure to these drugs, short of toxicity. Further, the very concept behind 'minimal inhibitory concentration' (MIC) implies that one should achieve concentrations above the minimum in order to maximize response. Some, but not all clinical data are consistent with the utility of this approach. The low ends of the TB drug normal ranges set reasonable 'floors' above which plasma concentrations should be maintained. Patients with diabetes and those infected with HIV have a particular risk for poor drug absorption, and for drug-drug interactions. Published guidelines typically describe interactions between two drugs, whereas the clinical situation often is considerably more complex. Under 'real-life' circumstances, TDM often is the best available tool for sorting out these multi-drug interactions, and for providing the patient safe and adequate doses. Plasma concentrations cannot explain all of the variability in …","author":[{"dropping-particle":"","family":"Alsultan","given":"A","non-dropping-particle":"","parse-names":false,"suffix":""},{"dropping-particle":"","family":"Peloquin","given":"C A","non-dropping-particle":"","parse-names":false,"suffix":""}],"container-title":"Drugs","id":"ITEM-1","issue":"8","issued":{"date-parts":[["2014"]]},"note":"Alsultan, Abdullah\nPeloquin, Charles A\neng\nReview\nNew Zealand\n2014/05/23 06:00\nDrugs. 2014 Jun;74(8):839-54. doi: 10.1007/s40265-014-0222-8.","page":"839-854","title":"Therapeutic drug monitoring in the treatment of tuberculosis: an update","type":"article-journal","volume":"74"},"uris":["http://www.mendeley.com/documents/?uuid=e95820ab-9e81-477e-be67-b50b258a82a8"]}],"mendeley":{"formattedCitation":"[29]","plainTextFormattedCitation":"[29]","previouslyFormattedCitation":"[25]"},"properties":{"noteIndex":0},"schema":"https://github.com/citation-style-language/schema/raw/master/csl-citation.json"}</w:instrText>
      </w:r>
      <w:r w:rsidR="00BA5505">
        <w:rPr>
          <w:rFonts w:cstheme="minorHAnsi"/>
          <w:sz w:val="24"/>
        </w:rPr>
        <w:fldChar w:fldCharType="separate"/>
      </w:r>
      <w:r w:rsidR="00DE300B" w:rsidRPr="00DE300B">
        <w:rPr>
          <w:rFonts w:cstheme="minorHAnsi"/>
          <w:noProof/>
          <w:sz w:val="24"/>
        </w:rPr>
        <w:t>[29]</w:t>
      </w:r>
      <w:r w:rsidR="00BA5505">
        <w:rPr>
          <w:rFonts w:cstheme="minorHAnsi"/>
          <w:sz w:val="24"/>
        </w:rPr>
        <w:fldChar w:fldCharType="end"/>
      </w:r>
      <w:r w:rsidR="00BA5505">
        <w:rPr>
          <w:rFonts w:cstheme="minorHAnsi"/>
          <w:sz w:val="24"/>
        </w:rPr>
        <w:t>.</w:t>
      </w:r>
      <w:r w:rsidR="00325BC5">
        <w:rPr>
          <w:rFonts w:cstheme="minorHAnsi"/>
          <w:sz w:val="24"/>
        </w:rPr>
        <w:t xml:space="preserve"> R</w:t>
      </w:r>
      <w:r w:rsidR="006C2B2F">
        <w:rPr>
          <w:rFonts w:cstheme="minorHAnsi"/>
          <w:sz w:val="24"/>
        </w:rPr>
        <w:t xml:space="preserve">ifampicin </w:t>
      </w:r>
      <w:r w:rsidR="00147A08">
        <w:rPr>
          <w:rFonts w:cstheme="minorHAnsi"/>
          <w:sz w:val="24"/>
        </w:rPr>
        <w:t xml:space="preserve">AUC &gt; 13 </w:t>
      </w:r>
      <w:proofErr w:type="spellStart"/>
      <w:r w:rsidR="00147A08" w:rsidRPr="00786D1E">
        <w:rPr>
          <w:rFonts w:cstheme="minorHAnsi"/>
          <w:sz w:val="24"/>
          <w:szCs w:val="24"/>
        </w:rPr>
        <w:t>μg.h</w:t>
      </w:r>
      <w:proofErr w:type="spellEnd"/>
      <w:r w:rsidR="00147A08" w:rsidRPr="00786D1E">
        <w:rPr>
          <w:rFonts w:cstheme="minorHAnsi"/>
          <w:sz w:val="24"/>
          <w:szCs w:val="24"/>
        </w:rPr>
        <w:t>/ml</w:t>
      </w:r>
      <w:r w:rsidR="00147A08">
        <w:rPr>
          <w:rFonts w:cstheme="minorHAnsi"/>
          <w:sz w:val="24"/>
          <w:szCs w:val="24"/>
        </w:rPr>
        <w:t xml:space="preserve">, isoniazid AUC &gt; </w:t>
      </w:r>
      <w:r w:rsidR="008D544C">
        <w:rPr>
          <w:rFonts w:cstheme="minorHAnsi"/>
          <w:sz w:val="24"/>
          <w:szCs w:val="24"/>
        </w:rPr>
        <w:t xml:space="preserve">52 </w:t>
      </w:r>
      <w:proofErr w:type="spellStart"/>
      <w:r w:rsidR="008D544C" w:rsidRPr="00786D1E">
        <w:rPr>
          <w:rFonts w:cstheme="minorHAnsi"/>
          <w:sz w:val="24"/>
          <w:szCs w:val="24"/>
        </w:rPr>
        <w:t>μg.h</w:t>
      </w:r>
      <w:proofErr w:type="spellEnd"/>
      <w:r w:rsidR="008D544C" w:rsidRPr="00786D1E">
        <w:rPr>
          <w:rFonts w:cstheme="minorHAnsi"/>
          <w:sz w:val="24"/>
          <w:szCs w:val="24"/>
        </w:rPr>
        <w:t>/ml</w:t>
      </w:r>
      <w:r w:rsidR="008D544C">
        <w:rPr>
          <w:rFonts w:cstheme="minorHAnsi"/>
          <w:sz w:val="24"/>
          <w:szCs w:val="24"/>
        </w:rPr>
        <w:t>,</w:t>
      </w:r>
      <w:r w:rsidR="00325BC5">
        <w:rPr>
          <w:rFonts w:cstheme="minorHAnsi"/>
          <w:sz w:val="24"/>
          <w:szCs w:val="24"/>
        </w:rPr>
        <w:t xml:space="preserve"> </w:t>
      </w:r>
      <w:r w:rsidR="0086190B">
        <w:rPr>
          <w:rFonts w:cstheme="minorHAnsi"/>
          <w:sz w:val="24"/>
          <w:szCs w:val="24"/>
        </w:rPr>
        <w:t>p</w:t>
      </w:r>
      <w:r w:rsidR="00325BC5">
        <w:rPr>
          <w:rFonts w:cstheme="minorHAnsi"/>
          <w:sz w:val="24"/>
        </w:rPr>
        <w:t xml:space="preserve">yrazinamide </w:t>
      </w:r>
      <w:proofErr w:type="spellStart"/>
      <w:r w:rsidR="00325BC5">
        <w:rPr>
          <w:rFonts w:cstheme="minorHAnsi"/>
          <w:sz w:val="24"/>
        </w:rPr>
        <w:t>C</w:t>
      </w:r>
      <w:r w:rsidR="00325BC5">
        <w:rPr>
          <w:rFonts w:cstheme="minorHAnsi"/>
          <w:sz w:val="24"/>
          <w:vertAlign w:val="subscript"/>
        </w:rPr>
        <w:t>max</w:t>
      </w:r>
      <w:proofErr w:type="spellEnd"/>
      <w:r w:rsidR="00325BC5">
        <w:rPr>
          <w:rFonts w:cstheme="minorHAnsi"/>
          <w:sz w:val="24"/>
        </w:rPr>
        <w:t xml:space="preserve"> &gt; 35 </w:t>
      </w:r>
      <w:proofErr w:type="spellStart"/>
      <w:r w:rsidR="00325BC5">
        <w:rPr>
          <w:rFonts w:cstheme="minorHAnsi"/>
          <w:sz w:val="24"/>
        </w:rPr>
        <w:t>μg</w:t>
      </w:r>
      <w:proofErr w:type="spellEnd"/>
      <w:r w:rsidR="00325BC5">
        <w:rPr>
          <w:rFonts w:cstheme="minorHAnsi"/>
          <w:sz w:val="24"/>
        </w:rPr>
        <w:t>/ml</w:t>
      </w:r>
      <w:r w:rsidR="008D544C">
        <w:rPr>
          <w:rFonts w:cstheme="minorHAnsi"/>
          <w:sz w:val="24"/>
          <w:szCs w:val="24"/>
        </w:rPr>
        <w:t xml:space="preserve"> and AUC &gt; 363 </w:t>
      </w:r>
      <w:proofErr w:type="spellStart"/>
      <w:r w:rsidR="008D544C" w:rsidRPr="00786D1E">
        <w:rPr>
          <w:rFonts w:cstheme="minorHAnsi"/>
          <w:sz w:val="24"/>
          <w:szCs w:val="24"/>
        </w:rPr>
        <w:t>μg.h</w:t>
      </w:r>
      <w:proofErr w:type="spellEnd"/>
      <w:r w:rsidR="008D544C" w:rsidRPr="00786D1E">
        <w:rPr>
          <w:rFonts w:cstheme="minorHAnsi"/>
          <w:sz w:val="24"/>
          <w:szCs w:val="24"/>
        </w:rPr>
        <w:t>/ml</w:t>
      </w:r>
      <w:r w:rsidR="002E7C22">
        <w:rPr>
          <w:rFonts w:cstheme="minorHAnsi"/>
          <w:sz w:val="24"/>
        </w:rPr>
        <w:t xml:space="preserve"> </w:t>
      </w:r>
      <w:r w:rsidR="0018279E">
        <w:rPr>
          <w:rFonts w:cstheme="minorHAnsi"/>
          <w:sz w:val="24"/>
        </w:rPr>
        <w:t xml:space="preserve">were also </w:t>
      </w:r>
      <w:r w:rsidR="002E7C22">
        <w:rPr>
          <w:rFonts w:cstheme="minorHAnsi"/>
          <w:sz w:val="24"/>
        </w:rPr>
        <w:t>considered given association</w:t>
      </w:r>
      <w:r w:rsidR="008E3D2F">
        <w:rPr>
          <w:rFonts w:cstheme="minorHAnsi"/>
          <w:sz w:val="24"/>
        </w:rPr>
        <w:t>s</w:t>
      </w:r>
      <w:r w:rsidR="002E7C22">
        <w:rPr>
          <w:rFonts w:cstheme="minorHAnsi"/>
          <w:sz w:val="24"/>
        </w:rPr>
        <w:t xml:space="preserve"> with improved outcomes</w:t>
      </w:r>
      <w:r w:rsidR="009C16AB">
        <w:rPr>
          <w:rFonts w:cstheme="minorHAnsi"/>
          <w:sz w:val="24"/>
        </w:rPr>
        <w:t xml:space="preserve"> in one analysis</w:t>
      </w:r>
      <w:r w:rsidR="00830648">
        <w:rPr>
          <w:rFonts w:cstheme="minorHAnsi"/>
          <w:sz w:val="24"/>
        </w:rPr>
        <w:t xml:space="preserve"> </w:t>
      </w:r>
      <w:r w:rsidR="00830648">
        <w:rPr>
          <w:rFonts w:cstheme="minorHAnsi"/>
          <w:sz w:val="24"/>
        </w:rPr>
        <w:fldChar w:fldCharType="begin" w:fldLock="1"/>
      </w:r>
      <w:r w:rsidR="00DE300B">
        <w:rPr>
          <w:rFonts w:cstheme="minorHAnsi"/>
          <w:sz w:val="24"/>
        </w:rPr>
        <w:instrText>ADDIN CSL_CITATION {"citationItems":[{"id":"ITEM-1","itemData":{"DOI":"10.1086/599040","ISBN":"1537-6591 (Electronic)\r1058-4838 (Linking)","PMID":"19432554","abstract":"BACKGROUND: We explored the association between antituberculosis drug pharmacokinetics and treatment outcomes among patients with pulmonary tuberculosis in Botswana. METHODS: Consenting outpatients with tuberculosis had blood samples collected 1, 2, and 6 h after simultaneous isoniazid, rifampin, ethambutol, and pyrazinamide ingestion. Maximum serum concentrations (C(max)) and areas under the serum concentration time curve were determined. Clinical status was monitored throughout treatment. RESULTS: Of the 225 participants, 36 (16%) experienced poor treatment outcome (treatment failure or death); 155 (69%) were infected with human immunodeficiency virus (HIV). Compared with published standards, low isoniazid C(max) occurred in 84 patients (37%), low rifampin C(max) in 188 (84%), low ethambutol C(max) in 87 (39%), and low pyrazinamide C(max) in 11 (5%). Median rifampin and pyrazinamide levels differed significantly by HIV status and CD4 cell count category. Only pyrazinamide pharmacokinetics were significantly associated with treatment outcome; low pyrazinamide C(max) was associated with a higher risk of documented poor treatment outcome, compared with normal C(max) (50% vs. 16%; P &lt; .01). HIV-infected patients with a CD4 cell count &lt;200 cells/microL had a higher risk of poor treatment outcome (27%) than did HIV-uninfected patients (11%) or HIV-infected patients with a CD4 cell count 200 cells/microL (12%; P = .01). After adjustment for HIV infection and CD4 cell count, patients with low pyrazinamide C(max) were 3 times more likely than patients with normal pyrazinamide C(max) to have poor outcomes (adjusted risk ratio, 3.38; 95% confidence interval, 1.84-6.22). CONCLUSIONS: Lower than expected antituberculosis drug C(max) occurred frequently, and low pyrazinamide C(max) was associated with poor treatment outcome. Exploring the global prevalence and significance of these findings may suggest modifications in treatment regimens that could improve tuberculosis cure rates.","author":[{"dropping-particle":"","family":"Chideya","given":"S","non-dropping-particle":"","parse-names":false,"suffix":""},{"dropping-particle":"","family":"Winston","given":"C A","non-dropping-particle":"","parse-names":false,"suffix":""},{"dropping-particle":"","family":"Peloquin","given":"C A","non-dropping-particle":"","parse-names":false,"suffix":""},{"dropping-particle":"","family":"Bradford","given":"W Z","non-dropping-particle":"","parse-names":false,"suffix":""},{"dropping-particle":"","family":"Hopewell","given":"P C","non-dropping-particle":"","parse-names":false,"suffix":""},{"dropping-particle":"","family":"Wells","given":"C D","non-dropping-particle":"","parse-names":false,"suffix":""},{"dropping-particle":"","family":"Reingold","given":"A L","non-dropping-particle":"","parse-names":false,"suffix":""},{"dropping-particle":"","family":"Kenyon","given":"T A","non-dropping-particle":"","parse-names":false,"suffix":""},{"dropping-particle":"","family":"Moeti","given":"T L","non-dropping-particle":"","parse-names":false,"suffix":""},{"dropping-particle":"","family":"Tappero","given":"J W","non-dropping-particle":"","parse-names":false,"suffix":""}],"container-title":"Clin Infect Dis","id":"ITEM-1","issue":"12","issued":{"date-parts":[["2009"]]},"note":"Chideya, Sekai\nWinston, Carla A\nPeloquin, Charles A\nBradford, William Z\nHopewell, Philip C\nWells, Charles D\nReingold, Arthur L\nKenyon, Thomas A\nMoeti, Themba L\nTappero, Jordan W\neng\nR01 AI037845/AI/NIAID NIH HHS/\nD43 TW000003/TW/FIC NIH HHS/\nD43 TW00003-14/TW/FIC NIH HHS/\nK08 A134238/PHS HHS/\nR01 AI034238/AI/NIAID NIH HHS/\nR01 A134238/PHS HHS/\nResearch Support, N.I.H., Extramural\nResearch Support, U.S. Gov't, P.H.S.\n2009/05/13 09:00\nClin Infect Dis. 2009 Jun 15;48(12):1685-94. doi: 10.1086/599040.","page":"1685-1694","title":"Isoniazid, rifampin, ethambutol, and pyrazinamide pharmacokinetics and treatment outcomes among a predominantly HIV-infected cohort of adults with tuberculosis from Botswana","type":"article-journal","volume":"48"},"uris":["http://www.mendeley.com/documents/?uuid=74695ed7-5eb2-49e1-bb14-376c9e23283e"]},{"id":"ITEM-2","itemData":{"DOI":"10.1093/infdis/jit352","ISBN":"1537-6613 (Electronic)\r0022-1899 (Linking)","PMID":"23901086","abstract":"BACKGROUND: Based on a hollow-fiber system model of tuberculosis, we hypothesize that microbiologic failure and acquired drug resistance are primarily driven by low drug concentrations that result from pharmacokinetic variability. METHODS: Clinical and pharmacokinetic data were prospectively collected from 142 tuberculosis patients in Western Cape, South Africa. Compartmental pharmacokinetic parameters of isoniazid, rifampin, and pyrazinamide were identified for each patient. Patients were then followed for up to 2 years. Classification and regression tree analysis was used to identify and rank clinical predictors of poor long-term outcome such as microbiologic failure or death, or relapse. RESULTS: Drug concentrations and pharmacokinetics varied widely between patients. Poor long-term outcomes were encountered in 35 (25%) patients. The 3 top predictors of poor long-term outcome, by rank of importance, were a pyrazinamide 24-hour area under the concentration-time curve (AUC) &lt;/= 363 mg.h/L, rifampin AUC &lt;/= 13 mg.h/L, and isoniazid AUC &lt;/= 52 mg.h/L. Poor outcomes were encountered in 32/78 patients with the AUC of at least 1 drug below the identified threshold vs 3/64 without (odds ratio = 14.14; 95% confidence interval, 4.08-49.08). Low rifampin and isoniazid peak and AUC concentrations preceded all cases of acquired drug resistance. CONCLUSIONS: Low drug AUCs are predictive of clinical outcomes in tuberculosis patients.","author":[{"dropping-particle":"","family":"Pasipanodya","given":"J G","non-dropping-particle":"","parse-names":false,"suffix":""},{"dropping-particle":"","family":"McIlleron","given":"H","non-dropping-particle":"","parse-names":false,"suffix":""},{"dropping-particle":"","family":"Burger","given":"A","non-dropping-particle":"","parse-names":false,"suffix":""},{"dropping-particle":"","family":"Wash","given":"P A","non-dropping-particle":"","parse-names":false,"suffix":""},{"dropping-particle":"","family":"Smith","given":"P","non-dropping-particle":"","parse-names":false,"suffix":""},{"dropping-particle":"","family":"Gumbo","given":"T","non-dropping-particle":"","parse-names":false,"suffix":""}],"container-title":"J Infect Dis","id":"ITEM-2","issue":"9","issued":{"date-parts":[["2013"]]},"note":"Pasipanodya, Jotam G\nMcIlleron, Helen\nBurger, Andre\nWash, Peter A\nSmith, Peter\nGumbo, Tawanda\neng\nDP2 OD001886/OD/NIH HHS/\nR01 AI079497/AI/NIAID NIH HHS/\nR01AI079497/AI/NIAID NIH HHS/\nResearch Support, N.I.H., Extramural\n2013/08/01 06:00\nJ Infect Dis. 2013 Nov 1;208(9):1464-73. doi: 10.1093/infdis/jit352. Epub 2013 Jul 29.","page":"1464-1473","title":"Serum drug concentrations predictive of pulmonary tuberculosis outcomes","type":"article-journal","volume":"208"},"uris":["http://www.mendeley.com/documents/?uuid=d74ac3a1-07c5-49d6-9e5e-7bcc5929ef3b"]}],"mendeley":{"formattedCitation":"[7,30]","plainTextFormattedCitation":"[7,30]","previouslyFormattedCitation":"[26,27]"},"properties":{"noteIndex":0},"schema":"https://github.com/citation-style-language/schema/raw/master/csl-citation.json"}</w:instrText>
      </w:r>
      <w:r w:rsidR="00830648">
        <w:rPr>
          <w:rFonts w:cstheme="minorHAnsi"/>
          <w:sz w:val="24"/>
        </w:rPr>
        <w:fldChar w:fldCharType="separate"/>
      </w:r>
      <w:r w:rsidR="00DE300B" w:rsidRPr="00DE300B">
        <w:rPr>
          <w:rFonts w:cstheme="minorHAnsi"/>
          <w:noProof/>
          <w:sz w:val="24"/>
        </w:rPr>
        <w:t>[7,30]</w:t>
      </w:r>
      <w:r w:rsidR="00830648">
        <w:rPr>
          <w:rFonts w:cstheme="minorHAnsi"/>
          <w:sz w:val="24"/>
        </w:rPr>
        <w:fldChar w:fldCharType="end"/>
      </w:r>
      <w:r w:rsidR="00467141">
        <w:rPr>
          <w:rFonts w:cstheme="minorHAnsi"/>
          <w:sz w:val="24"/>
        </w:rPr>
        <w:t>.</w:t>
      </w:r>
    </w:p>
    <w:p w14:paraId="266A3AAB" w14:textId="77777777" w:rsidR="00E43D58" w:rsidRDefault="00E43D58" w:rsidP="00372199">
      <w:pPr>
        <w:spacing w:after="0" w:line="480" w:lineRule="auto"/>
        <w:rPr>
          <w:i/>
          <w:iCs/>
          <w:sz w:val="24"/>
        </w:rPr>
      </w:pPr>
    </w:p>
    <w:p w14:paraId="647D5AFF" w14:textId="2CFE5C96" w:rsidR="0024089A" w:rsidRDefault="0024089A" w:rsidP="00372199">
      <w:pPr>
        <w:spacing w:after="0" w:line="480" w:lineRule="auto"/>
        <w:rPr>
          <w:i/>
          <w:iCs/>
          <w:sz w:val="24"/>
        </w:rPr>
      </w:pPr>
      <w:r>
        <w:rPr>
          <w:i/>
          <w:iCs/>
          <w:sz w:val="24"/>
        </w:rPr>
        <w:t>Treatment response and bacteriology</w:t>
      </w:r>
    </w:p>
    <w:p w14:paraId="518EC763" w14:textId="77777777" w:rsidR="00DA1CC2" w:rsidRDefault="0024089A" w:rsidP="00DA1CC2">
      <w:pPr>
        <w:spacing w:after="0" w:line="480" w:lineRule="auto"/>
        <w:rPr>
          <w:sz w:val="24"/>
        </w:rPr>
      </w:pPr>
      <w:r>
        <w:rPr>
          <w:rFonts w:cstheme="minorHAnsi"/>
          <w:sz w:val="24"/>
          <w:szCs w:val="24"/>
        </w:rPr>
        <w:t xml:space="preserve">Sputum samples were collected at treatment initiation, 2-months, and at </w:t>
      </w:r>
      <w:r w:rsidRPr="00EE1136">
        <w:rPr>
          <w:rFonts w:cstheme="minorHAnsi"/>
          <w:sz w:val="24"/>
          <w:szCs w:val="24"/>
        </w:rPr>
        <w:t>end</w:t>
      </w:r>
      <w:r>
        <w:rPr>
          <w:rFonts w:cstheme="minorHAnsi"/>
          <w:sz w:val="24"/>
          <w:szCs w:val="24"/>
        </w:rPr>
        <w:t>-</w:t>
      </w:r>
      <w:r w:rsidRPr="00EE1136">
        <w:rPr>
          <w:rFonts w:cstheme="minorHAnsi"/>
          <w:sz w:val="24"/>
          <w:szCs w:val="24"/>
        </w:rPr>
        <w:t>of</w:t>
      </w:r>
      <w:r>
        <w:rPr>
          <w:rFonts w:cstheme="minorHAnsi"/>
          <w:sz w:val="24"/>
          <w:szCs w:val="24"/>
        </w:rPr>
        <w:t xml:space="preserve">-treatment. </w:t>
      </w:r>
      <w:r w:rsidR="00DA1CC2" w:rsidRPr="007E77E2">
        <w:rPr>
          <w:rFonts w:cstheme="minorHAnsi"/>
          <w:sz w:val="24"/>
          <w:szCs w:val="24"/>
        </w:rPr>
        <w:t xml:space="preserve">Baseline drug susceptibility of screening isolates was measured on custom-made </w:t>
      </w:r>
      <w:proofErr w:type="spellStart"/>
      <w:r w:rsidR="00DA1CC2" w:rsidRPr="007E77E2">
        <w:rPr>
          <w:rFonts w:cstheme="minorHAnsi"/>
          <w:sz w:val="24"/>
          <w:szCs w:val="24"/>
        </w:rPr>
        <w:t>microtitre</w:t>
      </w:r>
      <w:proofErr w:type="spellEnd"/>
      <w:r w:rsidR="00DA1CC2" w:rsidRPr="007E77E2">
        <w:rPr>
          <w:rFonts w:cstheme="minorHAnsi"/>
          <w:sz w:val="24"/>
          <w:szCs w:val="24"/>
        </w:rPr>
        <w:t xml:space="preserve"> plates (UKMYC3 </w:t>
      </w:r>
      <w:proofErr w:type="spellStart"/>
      <w:r w:rsidR="00DA1CC2" w:rsidRPr="007E77E2">
        <w:rPr>
          <w:rFonts w:cstheme="minorHAnsi"/>
          <w:sz w:val="24"/>
          <w:szCs w:val="24"/>
        </w:rPr>
        <w:t>Sensititre</w:t>
      </w:r>
      <w:proofErr w:type="spellEnd"/>
      <w:r w:rsidR="00DA1CC2" w:rsidRPr="007E77E2">
        <w:rPr>
          <w:rFonts w:cstheme="minorHAnsi"/>
          <w:sz w:val="24"/>
          <w:szCs w:val="24"/>
        </w:rPr>
        <w:t>, Thermo Scientific). These assays used 96-well plates with increasing concentrations of rifampicin (0.015-16 µg/ml), isoniazid (0.015-16 µg/ml), and ethambutol (0.25-16 µg/ml)</w:t>
      </w:r>
      <w:r w:rsidR="00DA1CC2">
        <w:rPr>
          <w:rFonts w:cstheme="minorHAnsi"/>
          <w:sz w:val="24"/>
          <w:szCs w:val="24"/>
        </w:rPr>
        <w:t xml:space="preserve"> (</w:t>
      </w:r>
      <w:r w:rsidR="00DA1CC2" w:rsidRPr="004853E4">
        <w:rPr>
          <w:rFonts w:cstheme="minorHAnsi"/>
          <w:b/>
          <w:bCs/>
          <w:sz w:val="24"/>
          <w:szCs w:val="24"/>
        </w:rPr>
        <w:t>Supplementary Materials</w:t>
      </w:r>
      <w:r w:rsidR="00DA1CC2">
        <w:rPr>
          <w:rFonts w:cstheme="minorHAnsi"/>
          <w:sz w:val="24"/>
          <w:szCs w:val="24"/>
        </w:rPr>
        <w:t>)</w:t>
      </w:r>
      <w:r w:rsidR="00DA1CC2" w:rsidRPr="007E77E2">
        <w:rPr>
          <w:rFonts w:cstheme="minorHAnsi"/>
          <w:sz w:val="24"/>
          <w:szCs w:val="24"/>
        </w:rPr>
        <w:t>.</w:t>
      </w:r>
    </w:p>
    <w:p w14:paraId="4AE4C8A4" w14:textId="77777777" w:rsidR="00DA1CC2" w:rsidRDefault="00DA1CC2" w:rsidP="0024089A">
      <w:pPr>
        <w:spacing w:after="0" w:line="480" w:lineRule="auto"/>
        <w:rPr>
          <w:rFonts w:cstheme="minorHAnsi"/>
          <w:sz w:val="24"/>
          <w:szCs w:val="24"/>
        </w:rPr>
      </w:pPr>
    </w:p>
    <w:p w14:paraId="2EA6E01E" w14:textId="085048B7" w:rsidR="0024089A" w:rsidRDefault="0024089A" w:rsidP="0024089A">
      <w:pPr>
        <w:spacing w:after="0" w:line="480" w:lineRule="auto"/>
        <w:rPr>
          <w:rFonts w:cstheme="minorHAnsi"/>
          <w:sz w:val="24"/>
          <w:szCs w:val="24"/>
        </w:rPr>
      </w:pPr>
      <w:r>
        <w:rPr>
          <w:rFonts w:cstheme="minorHAnsi"/>
          <w:sz w:val="24"/>
          <w:szCs w:val="24"/>
        </w:rPr>
        <w:t xml:space="preserve">Two-month culture conversion in liquid media was captured. </w:t>
      </w:r>
      <w:r w:rsidRPr="00EE1136">
        <w:rPr>
          <w:rFonts w:cstheme="minorHAnsi"/>
          <w:sz w:val="24"/>
          <w:szCs w:val="24"/>
        </w:rPr>
        <w:t xml:space="preserve">Participants with negative </w:t>
      </w:r>
      <w:r>
        <w:rPr>
          <w:rFonts w:cstheme="minorHAnsi"/>
          <w:sz w:val="24"/>
          <w:szCs w:val="24"/>
        </w:rPr>
        <w:t>TB</w:t>
      </w:r>
      <w:r w:rsidRPr="00EE1136">
        <w:rPr>
          <w:rFonts w:cstheme="minorHAnsi"/>
          <w:sz w:val="24"/>
          <w:szCs w:val="24"/>
        </w:rPr>
        <w:t xml:space="preserve"> sputum cultures from end</w:t>
      </w:r>
      <w:r>
        <w:rPr>
          <w:rFonts w:cstheme="minorHAnsi"/>
          <w:sz w:val="24"/>
          <w:szCs w:val="24"/>
        </w:rPr>
        <w:t>-</w:t>
      </w:r>
      <w:r w:rsidRPr="00EE1136">
        <w:rPr>
          <w:rFonts w:cstheme="minorHAnsi"/>
          <w:sz w:val="24"/>
          <w:szCs w:val="24"/>
        </w:rPr>
        <w:t>of</w:t>
      </w:r>
      <w:r>
        <w:rPr>
          <w:rFonts w:cstheme="minorHAnsi"/>
          <w:sz w:val="24"/>
          <w:szCs w:val="24"/>
        </w:rPr>
        <w:t>-treatment</w:t>
      </w:r>
      <w:r w:rsidRPr="00EE1136">
        <w:rPr>
          <w:rFonts w:cstheme="minorHAnsi"/>
          <w:sz w:val="24"/>
          <w:szCs w:val="24"/>
        </w:rPr>
        <w:t xml:space="preserve"> onwards or who stopped coughing and remained well after treatment were defined as having a favourable clinical outcome</w:t>
      </w:r>
      <w:r>
        <w:rPr>
          <w:rFonts w:cstheme="minorHAnsi"/>
          <w:sz w:val="24"/>
          <w:szCs w:val="24"/>
        </w:rPr>
        <w:t xml:space="preserve">. </w:t>
      </w:r>
      <w:r w:rsidRPr="00EE1136">
        <w:rPr>
          <w:rFonts w:cstheme="minorHAnsi"/>
          <w:sz w:val="24"/>
          <w:szCs w:val="24"/>
        </w:rPr>
        <w:t>Recurrent TB</w:t>
      </w:r>
      <w:r>
        <w:t xml:space="preserve"> </w:t>
      </w:r>
      <w:r>
        <w:rPr>
          <w:rFonts w:cstheme="minorHAnsi"/>
          <w:sz w:val="24"/>
          <w:szCs w:val="24"/>
        </w:rPr>
        <w:t>(relapse/re-infection)</w:t>
      </w:r>
      <w:r w:rsidRPr="00EE1136">
        <w:rPr>
          <w:rFonts w:cstheme="minorHAnsi"/>
          <w:sz w:val="24"/>
          <w:szCs w:val="24"/>
        </w:rPr>
        <w:t>, failed treatment, and death were grouped together as unfavourable clinical outcomes.</w:t>
      </w:r>
      <w:r w:rsidR="00977E14">
        <w:rPr>
          <w:rFonts w:cstheme="minorHAnsi"/>
          <w:sz w:val="24"/>
          <w:szCs w:val="24"/>
        </w:rPr>
        <w:t xml:space="preserve"> L</w:t>
      </w:r>
      <w:r w:rsidR="00977E14" w:rsidRPr="00EE1136">
        <w:rPr>
          <w:rFonts w:cstheme="minorHAnsi"/>
          <w:sz w:val="24"/>
          <w:szCs w:val="24"/>
        </w:rPr>
        <w:t>ogistic regression</w:t>
      </w:r>
      <w:r w:rsidR="00A7718F">
        <w:rPr>
          <w:rFonts w:cstheme="minorHAnsi"/>
          <w:sz w:val="24"/>
          <w:szCs w:val="24"/>
        </w:rPr>
        <w:t>, chi</w:t>
      </w:r>
      <w:r w:rsidR="001D3D17">
        <w:rPr>
          <w:rFonts w:cstheme="minorHAnsi"/>
          <w:sz w:val="24"/>
          <w:szCs w:val="24"/>
        </w:rPr>
        <w:t xml:space="preserve">-squared test, and Fisher’s exact test were </w:t>
      </w:r>
      <w:r w:rsidR="00977E14" w:rsidRPr="00EE1136">
        <w:rPr>
          <w:rFonts w:cstheme="minorHAnsi"/>
          <w:sz w:val="24"/>
          <w:szCs w:val="24"/>
        </w:rPr>
        <w:t xml:space="preserve">used to assess </w:t>
      </w:r>
      <w:r w:rsidR="00977E14">
        <w:rPr>
          <w:rFonts w:cstheme="minorHAnsi"/>
          <w:sz w:val="24"/>
          <w:szCs w:val="24"/>
        </w:rPr>
        <w:t>relationships between pharmacokinetics and treatment response.</w:t>
      </w:r>
      <w:r w:rsidR="00A00467">
        <w:rPr>
          <w:rFonts w:cstheme="minorHAnsi"/>
          <w:sz w:val="24"/>
          <w:szCs w:val="24"/>
        </w:rPr>
        <w:t xml:space="preserve"> </w:t>
      </w:r>
    </w:p>
    <w:p w14:paraId="6CFDA1B1" w14:textId="5930F3C4" w:rsidR="0014003A" w:rsidRDefault="0014003A" w:rsidP="0024089A">
      <w:pPr>
        <w:spacing w:after="0" w:line="480" w:lineRule="auto"/>
        <w:rPr>
          <w:rFonts w:cstheme="minorHAnsi"/>
          <w:sz w:val="24"/>
          <w:szCs w:val="24"/>
        </w:rPr>
      </w:pPr>
    </w:p>
    <w:p w14:paraId="7E1D4BE1" w14:textId="172C85B2" w:rsidR="00CA3A69" w:rsidRPr="00CA3A69" w:rsidRDefault="00CA3A69" w:rsidP="00372199">
      <w:pPr>
        <w:spacing w:after="0" w:line="480" w:lineRule="auto"/>
        <w:rPr>
          <w:i/>
          <w:iCs/>
          <w:sz w:val="24"/>
        </w:rPr>
      </w:pPr>
      <w:r>
        <w:rPr>
          <w:i/>
          <w:iCs/>
          <w:sz w:val="24"/>
        </w:rPr>
        <w:t>Ethics</w:t>
      </w:r>
    </w:p>
    <w:p w14:paraId="235A098A" w14:textId="0B025380" w:rsidR="00D12980" w:rsidRDefault="00372199" w:rsidP="00A92286">
      <w:pPr>
        <w:spacing w:after="0" w:line="480" w:lineRule="auto"/>
        <w:rPr>
          <w:sz w:val="24"/>
        </w:rPr>
      </w:pPr>
      <w:r>
        <w:rPr>
          <w:sz w:val="24"/>
        </w:rPr>
        <w:t>Ethical approval was obtained from the</w:t>
      </w:r>
      <w:r w:rsidRPr="00D24303">
        <w:rPr>
          <w:sz w:val="24"/>
        </w:rPr>
        <w:t xml:space="preserve"> </w:t>
      </w:r>
      <w:r>
        <w:rPr>
          <w:sz w:val="24"/>
        </w:rPr>
        <w:t xml:space="preserve">Research Ethics Committees of the College of Medicine, University of Malawi, and the Liverpool School of Tropical Medicine. </w:t>
      </w:r>
      <w:r w:rsidR="00D12980">
        <w:rPr>
          <w:sz w:val="24"/>
        </w:rPr>
        <w:br w:type="page"/>
      </w:r>
    </w:p>
    <w:p w14:paraId="33CA1228" w14:textId="786E6C2F" w:rsidR="004A2504" w:rsidRDefault="00D12980" w:rsidP="00372199">
      <w:pPr>
        <w:spacing w:after="0" w:line="480" w:lineRule="auto"/>
        <w:rPr>
          <w:b/>
          <w:bCs/>
          <w:sz w:val="24"/>
        </w:rPr>
      </w:pPr>
      <w:r>
        <w:rPr>
          <w:b/>
          <w:bCs/>
          <w:sz w:val="24"/>
        </w:rPr>
        <w:lastRenderedPageBreak/>
        <w:t>Results</w:t>
      </w:r>
    </w:p>
    <w:p w14:paraId="4D2CEE9A" w14:textId="77777777" w:rsidR="004726FC" w:rsidRDefault="004726FC" w:rsidP="004726FC">
      <w:pPr>
        <w:spacing w:after="0" w:line="480" w:lineRule="auto"/>
        <w:rPr>
          <w:i/>
          <w:sz w:val="24"/>
        </w:rPr>
      </w:pPr>
      <w:r>
        <w:rPr>
          <w:i/>
          <w:sz w:val="24"/>
        </w:rPr>
        <w:t>Demographic and clinical description of cohort</w:t>
      </w:r>
    </w:p>
    <w:p w14:paraId="4FCA74CB" w14:textId="7349FFC2" w:rsidR="004726FC" w:rsidRDefault="004726FC" w:rsidP="004726FC">
      <w:pPr>
        <w:spacing w:after="0" w:line="480" w:lineRule="auto"/>
        <w:rPr>
          <w:sz w:val="24"/>
        </w:rPr>
      </w:pPr>
      <w:r>
        <w:rPr>
          <w:sz w:val="24"/>
        </w:rPr>
        <w:t>We recruited 157 adult patients with pulmonary TB (</w:t>
      </w:r>
      <w:r w:rsidRPr="004853E4">
        <w:rPr>
          <w:b/>
          <w:sz w:val="24"/>
        </w:rPr>
        <w:t>Table 1</w:t>
      </w:r>
      <w:r>
        <w:rPr>
          <w:sz w:val="24"/>
        </w:rPr>
        <w:t xml:space="preserve">).  Median age was 34 years (IQR: 28-39), 76.4% were male (120/157), and 58.0% had HIV co-infection (91/157). More than half of co-infected participants (57.1%, 52/91) were diagnosed with HIV during TB diagnosis. </w:t>
      </w:r>
    </w:p>
    <w:p w14:paraId="24EF6A56" w14:textId="77777777" w:rsidR="004726FC" w:rsidRDefault="004726FC" w:rsidP="004726FC">
      <w:pPr>
        <w:spacing w:after="0" w:line="480" w:lineRule="auto"/>
        <w:rPr>
          <w:sz w:val="24"/>
        </w:rPr>
      </w:pPr>
    </w:p>
    <w:p w14:paraId="2E0217AB" w14:textId="33DA7134" w:rsidR="000453CC" w:rsidRDefault="004726FC" w:rsidP="004726FC">
      <w:pPr>
        <w:spacing w:after="0" w:line="480" w:lineRule="auto"/>
        <w:rPr>
          <w:sz w:val="24"/>
        </w:rPr>
      </w:pPr>
      <w:r>
        <w:rPr>
          <w:sz w:val="24"/>
        </w:rPr>
        <w:t>Use of fixed-dose combination regimens resulted in administration of a median rifampicin dose of 9.4 mg/kg (IQR 8.8-10.3), isoniazid 4.7 mg/kg (IQR 4.4-5.1), pyrazinamide 25.2 mg/kg (IQR 23.5-27.4), and ethambutol 17.3 mg/kg (IQR 16.2-18.8).</w:t>
      </w:r>
      <w:r w:rsidRPr="00A817C2">
        <w:t xml:space="preserve"> </w:t>
      </w:r>
      <w:r>
        <w:rPr>
          <w:sz w:val="24"/>
          <w:szCs w:val="24"/>
        </w:rPr>
        <w:t>Four</w:t>
      </w:r>
      <w:r w:rsidRPr="008E7C47">
        <w:rPr>
          <w:sz w:val="24"/>
          <w:szCs w:val="24"/>
        </w:rPr>
        <w:t xml:space="preserve"> (2.5%) participants were under-dosed for rifampicin and isoniazid</w:t>
      </w:r>
      <w:r>
        <w:rPr>
          <w:sz w:val="24"/>
          <w:szCs w:val="24"/>
        </w:rPr>
        <w:t>, and 5 (3.2%) for ethambutol</w:t>
      </w:r>
      <w:r w:rsidRPr="008E7C47">
        <w:rPr>
          <w:sz w:val="24"/>
          <w:szCs w:val="24"/>
        </w:rPr>
        <w:t xml:space="preserve"> according to the WHO recommended range</w:t>
      </w:r>
      <w:r>
        <w:rPr>
          <w:sz w:val="24"/>
          <w:szCs w:val="24"/>
        </w:rPr>
        <w:t xml:space="preserve"> </w:t>
      </w:r>
      <w:r>
        <w:rPr>
          <w:sz w:val="24"/>
        </w:rPr>
        <w:t xml:space="preserve">(rifampicin </w:t>
      </w:r>
      <w:r w:rsidRPr="009C0237">
        <w:rPr>
          <w:sz w:val="24"/>
        </w:rPr>
        <w:t>10</w:t>
      </w:r>
      <w:r>
        <w:rPr>
          <w:sz w:val="24"/>
        </w:rPr>
        <w:t xml:space="preserve"> </w:t>
      </w:r>
      <w:r w:rsidRPr="009C0237">
        <w:rPr>
          <w:sz w:val="24"/>
        </w:rPr>
        <w:t xml:space="preserve">mg/kg, </w:t>
      </w:r>
      <w:r>
        <w:rPr>
          <w:sz w:val="24"/>
        </w:rPr>
        <w:t xml:space="preserve">isoniazid </w:t>
      </w:r>
      <w:r w:rsidRPr="009C0237">
        <w:rPr>
          <w:sz w:val="24"/>
        </w:rPr>
        <w:t>5</w:t>
      </w:r>
      <w:r>
        <w:rPr>
          <w:sz w:val="24"/>
        </w:rPr>
        <w:t xml:space="preserve"> </w:t>
      </w:r>
      <w:r w:rsidRPr="009C0237">
        <w:rPr>
          <w:sz w:val="24"/>
        </w:rPr>
        <w:t xml:space="preserve">mg/kg, </w:t>
      </w:r>
      <w:r>
        <w:rPr>
          <w:sz w:val="24"/>
        </w:rPr>
        <w:t>pyrazinamide</w:t>
      </w:r>
      <w:r w:rsidRPr="009C0237">
        <w:rPr>
          <w:sz w:val="24"/>
        </w:rPr>
        <w:t xml:space="preserve"> 25</w:t>
      </w:r>
      <w:r>
        <w:rPr>
          <w:sz w:val="24"/>
        </w:rPr>
        <w:t xml:space="preserve"> </w:t>
      </w:r>
      <w:r w:rsidRPr="009C0237">
        <w:rPr>
          <w:sz w:val="24"/>
        </w:rPr>
        <w:t>mg/kg</w:t>
      </w:r>
      <w:r>
        <w:rPr>
          <w:sz w:val="24"/>
        </w:rPr>
        <w:t xml:space="preserve">, ethambutol </w:t>
      </w:r>
      <w:r w:rsidRPr="009C0237">
        <w:rPr>
          <w:sz w:val="24"/>
        </w:rPr>
        <w:t>15</w:t>
      </w:r>
      <w:r>
        <w:rPr>
          <w:sz w:val="24"/>
        </w:rPr>
        <w:t xml:space="preserve"> </w:t>
      </w:r>
      <w:r w:rsidRPr="009C0237">
        <w:rPr>
          <w:sz w:val="24"/>
        </w:rPr>
        <w:t>mg/kg</w:t>
      </w:r>
      <w:r>
        <w:rPr>
          <w:sz w:val="24"/>
        </w:rPr>
        <w:t>)</w:t>
      </w:r>
      <w:r w:rsidR="002C217C">
        <w:rPr>
          <w:sz w:val="24"/>
        </w:rPr>
        <w:fldChar w:fldCharType="begin" w:fldLock="1"/>
      </w:r>
      <w:r w:rsidR="00DE300B">
        <w:rPr>
          <w:sz w:val="24"/>
        </w:rPr>
        <w:instrText>ADDIN CSL_CITATION {"citationItems":[{"id":"ITEM-1","itemData":{"ISBN":"9789241547833","author":[{"dropping-particle":"","family":"World Health Organization","given":"","non-dropping-particle":"","parse-names":false,"suffix":""}],"id":"ITEM-1","issued":{"date-parts":[["2010"]]},"publisher":"WHO","publisher-place":"Geneva","title":"Guidelines for treatment of tuberculosis","type":"book"},"uris":["http://www.mendeley.com/documents/?uuid=a078bec9-6dce-4a70-bb87-bd6bdab8d5b0"]}],"mendeley":{"formattedCitation":"[31]","plainTextFormattedCitation":"[31]","previouslyFormattedCitation":"[28]"},"properties":{"noteIndex":0},"schema":"https://github.com/citation-style-language/schema/raw/master/csl-citation.json"}</w:instrText>
      </w:r>
      <w:r w:rsidR="002C217C">
        <w:rPr>
          <w:sz w:val="24"/>
        </w:rPr>
        <w:fldChar w:fldCharType="separate"/>
      </w:r>
      <w:r w:rsidR="00DE300B" w:rsidRPr="00DE300B">
        <w:rPr>
          <w:noProof/>
          <w:sz w:val="24"/>
        </w:rPr>
        <w:t>[31]</w:t>
      </w:r>
      <w:r w:rsidR="002C217C">
        <w:rPr>
          <w:sz w:val="24"/>
        </w:rPr>
        <w:fldChar w:fldCharType="end"/>
      </w:r>
      <w:r w:rsidR="004834C4">
        <w:rPr>
          <w:sz w:val="24"/>
        </w:rPr>
        <w:t>.</w:t>
      </w:r>
      <w:r w:rsidR="00582736">
        <w:rPr>
          <w:sz w:val="24"/>
        </w:rPr>
        <w:t xml:space="preserve"> </w:t>
      </w:r>
      <w:r w:rsidR="000453CC">
        <w:rPr>
          <w:sz w:val="24"/>
        </w:rPr>
        <w:t xml:space="preserve">No </w:t>
      </w:r>
      <w:r w:rsidR="000453CC" w:rsidRPr="00B06ABF">
        <w:rPr>
          <w:sz w:val="24"/>
        </w:rPr>
        <w:t xml:space="preserve">correlation </w:t>
      </w:r>
      <w:r w:rsidR="000453CC">
        <w:rPr>
          <w:sz w:val="24"/>
        </w:rPr>
        <w:t xml:space="preserve">was seen </w:t>
      </w:r>
      <w:r w:rsidR="000453CC" w:rsidRPr="00B06ABF">
        <w:rPr>
          <w:sz w:val="24"/>
        </w:rPr>
        <w:t xml:space="preserve">between </w:t>
      </w:r>
      <w:r w:rsidR="000453CC">
        <w:rPr>
          <w:sz w:val="24"/>
        </w:rPr>
        <w:t xml:space="preserve">the radiological extent of </w:t>
      </w:r>
      <w:r w:rsidR="000453CC" w:rsidRPr="00B06ABF">
        <w:rPr>
          <w:sz w:val="24"/>
        </w:rPr>
        <w:t>right midzone disease</w:t>
      </w:r>
      <w:r w:rsidR="000453CC">
        <w:rPr>
          <w:sz w:val="24"/>
        </w:rPr>
        <w:t xml:space="preserve"> </w:t>
      </w:r>
      <w:r w:rsidR="000453CC" w:rsidRPr="00B06ABF">
        <w:rPr>
          <w:sz w:val="24"/>
        </w:rPr>
        <w:t xml:space="preserve">and intrapulmonary </w:t>
      </w:r>
      <w:r w:rsidR="000453CC">
        <w:rPr>
          <w:sz w:val="24"/>
        </w:rPr>
        <w:t>drug concentration (</w:t>
      </w:r>
      <w:r w:rsidR="000453CC" w:rsidRPr="000453CC">
        <w:rPr>
          <w:b/>
          <w:bCs/>
          <w:sz w:val="24"/>
        </w:rPr>
        <w:t>Supplementary</w:t>
      </w:r>
      <w:r w:rsidR="000453CC">
        <w:rPr>
          <w:sz w:val="24"/>
        </w:rPr>
        <w:t xml:space="preserve"> </w:t>
      </w:r>
      <w:r w:rsidR="000453CC" w:rsidRPr="000453CC">
        <w:rPr>
          <w:b/>
          <w:bCs/>
          <w:sz w:val="24"/>
        </w:rPr>
        <w:t>Figure 1</w:t>
      </w:r>
      <w:r w:rsidR="000453CC">
        <w:rPr>
          <w:sz w:val="24"/>
        </w:rPr>
        <w:t>).</w:t>
      </w:r>
    </w:p>
    <w:p w14:paraId="3FD50CF2" w14:textId="6B549532" w:rsidR="004834C4" w:rsidRDefault="004834C4" w:rsidP="004726FC">
      <w:pPr>
        <w:spacing w:after="0" w:line="480" w:lineRule="auto"/>
        <w:rPr>
          <w:sz w:val="24"/>
        </w:rPr>
      </w:pPr>
    </w:p>
    <w:p w14:paraId="0120A69F" w14:textId="77777777" w:rsidR="006D7D06" w:rsidRDefault="006D7D06" w:rsidP="006D7D06">
      <w:pPr>
        <w:spacing w:after="0" w:line="480" w:lineRule="auto"/>
        <w:rPr>
          <w:i/>
          <w:sz w:val="24"/>
        </w:rPr>
      </w:pPr>
      <w:r>
        <w:rPr>
          <w:i/>
          <w:sz w:val="24"/>
        </w:rPr>
        <w:t>Rifampicin pharmacokinetics</w:t>
      </w:r>
    </w:p>
    <w:p w14:paraId="5CA4DD8E" w14:textId="49D3E86E" w:rsidR="006D7D06" w:rsidRDefault="006D7D06" w:rsidP="006D7D06">
      <w:pPr>
        <w:spacing w:after="0" w:line="480" w:lineRule="auto"/>
        <w:rPr>
          <w:sz w:val="24"/>
        </w:rPr>
      </w:pPr>
      <w:r>
        <w:rPr>
          <w:sz w:val="24"/>
        </w:rPr>
        <w:t xml:space="preserve">The rifampicin dataset comprised 741 plasma concentration-time observations from 140 participants. </w:t>
      </w:r>
      <w:r w:rsidRPr="00896E64">
        <w:rPr>
          <w:sz w:val="24"/>
        </w:rPr>
        <w:t xml:space="preserve">The </w:t>
      </w:r>
      <w:r>
        <w:rPr>
          <w:sz w:val="24"/>
        </w:rPr>
        <w:t>plasma d</w:t>
      </w:r>
      <w:r w:rsidRPr="00896E64">
        <w:rPr>
          <w:sz w:val="24"/>
        </w:rPr>
        <w:t xml:space="preserve">ata were best described by a one-compartment </w:t>
      </w:r>
      <w:r>
        <w:rPr>
          <w:sz w:val="24"/>
        </w:rPr>
        <w:t xml:space="preserve">disposition </w:t>
      </w:r>
      <w:r w:rsidRPr="00896E64">
        <w:rPr>
          <w:sz w:val="24"/>
        </w:rPr>
        <w:t xml:space="preserve">model with first-order absorption and elimination. </w:t>
      </w:r>
      <w:r>
        <w:rPr>
          <w:sz w:val="24"/>
        </w:rPr>
        <w:t>Only s</w:t>
      </w:r>
      <w:r w:rsidRPr="00212F5C">
        <w:rPr>
          <w:sz w:val="24"/>
        </w:rPr>
        <w:t>ex and HIV</w:t>
      </w:r>
      <w:r>
        <w:rPr>
          <w:sz w:val="24"/>
        </w:rPr>
        <w:t xml:space="preserve"> status</w:t>
      </w:r>
      <w:r w:rsidRPr="00212F5C">
        <w:rPr>
          <w:sz w:val="24"/>
        </w:rPr>
        <w:t xml:space="preserve"> </w:t>
      </w:r>
      <w:r>
        <w:rPr>
          <w:sz w:val="24"/>
        </w:rPr>
        <w:t>were identified as significant covariates</w:t>
      </w:r>
      <w:r w:rsidR="00677654">
        <w:rPr>
          <w:sz w:val="24"/>
        </w:rPr>
        <w:t>: t</w:t>
      </w:r>
      <w:r>
        <w:rPr>
          <w:sz w:val="24"/>
        </w:rPr>
        <w:t>he final model showed 32% greater clearance in male participants (</w:t>
      </w:r>
      <w:r w:rsidR="002D457B">
        <w:rPr>
          <w:sz w:val="24"/>
        </w:rPr>
        <w:t>CL/F</w:t>
      </w:r>
      <w:r w:rsidR="00091443">
        <w:rPr>
          <w:sz w:val="24"/>
        </w:rPr>
        <w:t>;</w:t>
      </w:r>
      <w:r w:rsidR="002D457B">
        <w:rPr>
          <w:sz w:val="24"/>
        </w:rPr>
        <w:t xml:space="preserve"> </w:t>
      </w:r>
      <w:r>
        <w:rPr>
          <w:sz w:val="24"/>
        </w:rPr>
        <w:t>16.1 L/h male versus 12.2 L/h female), and 34% greater volume of distribution in HIV-infected participants (</w:t>
      </w:r>
      <w:r w:rsidR="00091443">
        <w:rPr>
          <w:sz w:val="24"/>
        </w:rPr>
        <w:t xml:space="preserve">V/F; </w:t>
      </w:r>
      <w:r>
        <w:rPr>
          <w:sz w:val="24"/>
        </w:rPr>
        <w:t>29.7 L HIV-infected versus 22.2 L HIV-uninfected). The visual predictive check and goodness-of-fit plots indicated that the final plasma model performed adequately (</w:t>
      </w:r>
      <w:r w:rsidRPr="004853E4">
        <w:rPr>
          <w:b/>
          <w:bCs/>
          <w:sz w:val="24"/>
        </w:rPr>
        <w:t>Supplementary Figure</w:t>
      </w:r>
      <w:r w:rsidR="00DE2BB0">
        <w:rPr>
          <w:b/>
          <w:bCs/>
          <w:sz w:val="24"/>
        </w:rPr>
        <w:t>s</w:t>
      </w:r>
      <w:r>
        <w:rPr>
          <w:b/>
          <w:bCs/>
          <w:sz w:val="24"/>
        </w:rPr>
        <w:t xml:space="preserve"> 2</w:t>
      </w:r>
      <w:r w:rsidR="00DE2BB0">
        <w:rPr>
          <w:b/>
          <w:bCs/>
          <w:sz w:val="24"/>
        </w:rPr>
        <w:t xml:space="preserve"> and 3</w:t>
      </w:r>
      <w:r>
        <w:rPr>
          <w:sz w:val="24"/>
        </w:rPr>
        <w:t xml:space="preserve">). </w:t>
      </w:r>
    </w:p>
    <w:p w14:paraId="3BD473FA" w14:textId="77777777" w:rsidR="006D7D06" w:rsidRDefault="006D7D06" w:rsidP="006D7D06">
      <w:pPr>
        <w:spacing w:after="0" w:line="480" w:lineRule="auto"/>
        <w:rPr>
          <w:sz w:val="24"/>
        </w:rPr>
      </w:pPr>
    </w:p>
    <w:p w14:paraId="607211D0" w14:textId="4FA20416" w:rsidR="006D7D06" w:rsidRDefault="006D7D06" w:rsidP="006D7D06">
      <w:pPr>
        <w:spacing w:after="0" w:line="480" w:lineRule="auto"/>
        <w:rPr>
          <w:sz w:val="24"/>
          <w:szCs w:val="24"/>
        </w:rPr>
      </w:pPr>
      <w:r>
        <w:rPr>
          <w:sz w:val="24"/>
          <w:szCs w:val="24"/>
        </w:rPr>
        <w:t xml:space="preserve">Rifampicin concentrations in epithelial lining fluid and alveolar cells exceeded those in plasma. </w:t>
      </w:r>
      <w:r>
        <w:rPr>
          <w:sz w:val="24"/>
        </w:rPr>
        <w:t>Eighty-three sparse concentration-time observations in epithelial lining fluid and 89 in alveolar cells, from 51 participants, were included in the final combined</w:t>
      </w:r>
      <w:r w:rsidR="00FF5C3E">
        <w:rPr>
          <w:sz w:val="24"/>
        </w:rPr>
        <w:t xml:space="preserve"> intrapulmonary</w:t>
      </w:r>
      <w:r>
        <w:rPr>
          <w:sz w:val="24"/>
        </w:rPr>
        <w:t xml:space="preserve"> model</w:t>
      </w:r>
      <w:r w:rsidRPr="00710F03">
        <w:rPr>
          <w:sz w:val="24"/>
        </w:rPr>
        <w:t>.</w:t>
      </w:r>
      <w:r>
        <w:rPr>
          <w:sz w:val="24"/>
        </w:rPr>
        <w:t xml:space="preserve"> </w:t>
      </w:r>
      <w:r>
        <w:rPr>
          <w:sz w:val="24"/>
          <w:szCs w:val="24"/>
        </w:rPr>
        <w:t xml:space="preserve">The final model parameters are included in </w:t>
      </w:r>
      <w:r w:rsidRPr="004853E4">
        <w:rPr>
          <w:b/>
          <w:bCs/>
          <w:sz w:val="24"/>
          <w:szCs w:val="24"/>
        </w:rPr>
        <w:t xml:space="preserve">Supplementary </w:t>
      </w:r>
      <w:r>
        <w:rPr>
          <w:b/>
          <w:bCs/>
          <w:sz w:val="24"/>
          <w:szCs w:val="24"/>
        </w:rPr>
        <w:t>Table 1</w:t>
      </w:r>
      <w:r>
        <w:rPr>
          <w:sz w:val="24"/>
          <w:szCs w:val="24"/>
        </w:rPr>
        <w:t xml:space="preserve">. </w:t>
      </w:r>
      <w:r w:rsidRPr="00325F74">
        <w:rPr>
          <w:sz w:val="24"/>
          <w:szCs w:val="24"/>
        </w:rPr>
        <w:t xml:space="preserve">The extent of distribution to </w:t>
      </w:r>
      <w:r>
        <w:rPr>
          <w:sz w:val="24"/>
          <w:szCs w:val="24"/>
        </w:rPr>
        <w:t>epithelial lining fluid</w:t>
      </w:r>
      <w:r w:rsidRPr="00325F74">
        <w:rPr>
          <w:sz w:val="24"/>
          <w:szCs w:val="24"/>
        </w:rPr>
        <w:t xml:space="preserve"> </w:t>
      </w:r>
      <w:r>
        <w:rPr>
          <w:sz w:val="24"/>
          <w:szCs w:val="24"/>
        </w:rPr>
        <w:t xml:space="preserve">was near double that of plasma with typical predicted </w:t>
      </w:r>
      <w:r w:rsidRPr="00325F74">
        <w:rPr>
          <w:i/>
          <w:sz w:val="24"/>
          <w:szCs w:val="24"/>
        </w:rPr>
        <w:t>R</w:t>
      </w:r>
      <w:r w:rsidRPr="00325F74">
        <w:rPr>
          <w:i/>
          <w:sz w:val="24"/>
          <w:szCs w:val="24"/>
          <w:vertAlign w:val="subscript"/>
        </w:rPr>
        <w:t>ELF</w:t>
      </w:r>
      <w:r w:rsidRPr="00325F74">
        <w:rPr>
          <w:sz w:val="24"/>
          <w:szCs w:val="24"/>
        </w:rPr>
        <w:t xml:space="preserve"> </w:t>
      </w:r>
      <w:r>
        <w:rPr>
          <w:sz w:val="24"/>
          <w:szCs w:val="24"/>
        </w:rPr>
        <w:t xml:space="preserve">of </w:t>
      </w:r>
      <w:r w:rsidRPr="00325F74">
        <w:rPr>
          <w:sz w:val="24"/>
          <w:szCs w:val="24"/>
        </w:rPr>
        <w:t>1.97 (95% CI: 1.65-2.30)</w:t>
      </w:r>
      <w:r>
        <w:rPr>
          <w:sz w:val="24"/>
          <w:szCs w:val="24"/>
        </w:rPr>
        <w:t xml:space="preserve"> and was elevated for alveolar cells also (</w:t>
      </w:r>
      <w:r w:rsidRPr="00325F74">
        <w:rPr>
          <w:i/>
          <w:sz w:val="24"/>
          <w:szCs w:val="24"/>
        </w:rPr>
        <w:t>R</w:t>
      </w:r>
      <w:r w:rsidRPr="00325F74">
        <w:rPr>
          <w:i/>
          <w:sz w:val="24"/>
          <w:szCs w:val="24"/>
          <w:vertAlign w:val="subscript"/>
        </w:rPr>
        <w:t>AC</w:t>
      </w:r>
      <w:r>
        <w:rPr>
          <w:i/>
          <w:sz w:val="24"/>
          <w:szCs w:val="24"/>
        </w:rPr>
        <w:t xml:space="preserve"> </w:t>
      </w:r>
      <w:r w:rsidRPr="00325F74">
        <w:rPr>
          <w:sz w:val="24"/>
          <w:szCs w:val="24"/>
        </w:rPr>
        <w:t xml:space="preserve">1.35 </w:t>
      </w:r>
      <w:r>
        <w:rPr>
          <w:sz w:val="24"/>
          <w:szCs w:val="24"/>
        </w:rPr>
        <w:t>[</w:t>
      </w:r>
      <w:r w:rsidRPr="00325F74">
        <w:rPr>
          <w:sz w:val="24"/>
          <w:szCs w:val="24"/>
        </w:rPr>
        <w:t>95% CI: 0.89-1.81</w:t>
      </w:r>
      <w:r>
        <w:rPr>
          <w:sz w:val="24"/>
          <w:szCs w:val="24"/>
        </w:rPr>
        <w:t>])</w:t>
      </w:r>
      <w:r w:rsidRPr="00325F74">
        <w:rPr>
          <w:sz w:val="24"/>
          <w:szCs w:val="24"/>
        </w:rPr>
        <w:t>.</w:t>
      </w:r>
      <w:r>
        <w:rPr>
          <w:sz w:val="24"/>
          <w:szCs w:val="24"/>
        </w:rPr>
        <w:t xml:space="preserve"> After accounting for plasma protein binding, </w:t>
      </w:r>
      <w:r w:rsidRPr="00325F74">
        <w:rPr>
          <w:sz w:val="24"/>
          <w:szCs w:val="24"/>
        </w:rPr>
        <w:t xml:space="preserve">the </w:t>
      </w:r>
      <w:r w:rsidRPr="00152D05">
        <w:rPr>
          <w:i/>
          <w:sz w:val="24"/>
          <w:szCs w:val="24"/>
        </w:rPr>
        <w:t>R</w:t>
      </w:r>
      <w:r w:rsidRPr="00152D05">
        <w:rPr>
          <w:i/>
          <w:sz w:val="24"/>
          <w:szCs w:val="24"/>
          <w:vertAlign w:val="subscript"/>
        </w:rPr>
        <w:t>ELF/unbound-plasma</w:t>
      </w:r>
      <w:r w:rsidRPr="00152D05">
        <w:rPr>
          <w:i/>
          <w:sz w:val="24"/>
          <w:szCs w:val="24"/>
        </w:rPr>
        <w:t xml:space="preserve"> </w:t>
      </w:r>
      <w:r w:rsidRPr="00325F74">
        <w:rPr>
          <w:sz w:val="24"/>
          <w:szCs w:val="24"/>
        </w:rPr>
        <w:t xml:space="preserve">ratio will be approximately five-fold greater than the </w:t>
      </w:r>
      <w:r w:rsidRPr="00152D05">
        <w:rPr>
          <w:i/>
          <w:sz w:val="24"/>
          <w:szCs w:val="24"/>
        </w:rPr>
        <w:t>R</w:t>
      </w:r>
      <w:r w:rsidRPr="00152D05">
        <w:rPr>
          <w:i/>
          <w:sz w:val="24"/>
          <w:szCs w:val="24"/>
          <w:vertAlign w:val="subscript"/>
        </w:rPr>
        <w:t>ELF/total-plasma</w:t>
      </w:r>
      <w:r w:rsidRPr="00325F74">
        <w:rPr>
          <w:sz w:val="24"/>
          <w:szCs w:val="24"/>
        </w:rPr>
        <w:t xml:space="preserve"> recorded here: 9.85 compared to 1.97. </w:t>
      </w:r>
    </w:p>
    <w:p w14:paraId="13224A28" w14:textId="77777777" w:rsidR="006D7D06" w:rsidRDefault="006D7D06" w:rsidP="006D7D06">
      <w:pPr>
        <w:spacing w:after="0" w:line="480" w:lineRule="auto"/>
        <w:rPr>
          <w:sz w:val="24"/>
        </w:rPr>
      </w:pPr>
    </w:p>
    <w:p w14:paraId="2583A218" w14:textId="6D3458F3" w:rsidR="006D7D06" w:rsidRDefault="006D7D06" w:rsidP="006D7D06">
      <w:pPr>
        <w:spacing w:after="0" w:line="480" w:lineRule="auto"/>
        <w:rPr>
          <w:sz w:val="24"/>
        </w:rPr>
      </w:pPr>
      <w:r>
        <w:rPr>
          <w:sz w:val="24"/>
          <w:szCs w:val="24"/>
        </w:rPr>
        <w:t xml:space="preserve">Rifampicin drug exposure in plasma was </w:t>
      </w:r>
      <w:r>
        <w:rPr>
          <w:sz w:val="24"/>
        </w:rPr>
        <w:t>low relative to therapeutic drug monitoring targets (</w:t>
      </w:r>
      <w:proofErr w:type="spellStart"/>
      <w:r>
        <w:rPr>
          <w:sz w:val="24"/>
        </w:rPr>
        <w:t>C</w:t>
      </w:r>
      <w:r>
        <w:rPr>
          <w:sz w:val="24"/>
        </w:rPr>
        <w:softHyphen/>
      </w:r>
      <w:r w:rsidRPr="00147C76">
        <w:rPr>
          <w:sz w:val="24"/>
          <w:vertAlign w:val="subscript"/>
        </w:rPr>
        <w:t>max</w:t>
      </w:r>
      <w:proofErr w:type="spellEnd"/>
      <w:r>
        <w:rPr>
          <w:sz w:val="24"/>
        </w:rPr>
        <w:t xml:space="preserve"> 4.0 </w:t>
      </w:r>
      <w:proofErr w:type="spellStart"/>
      <w:r>
        <w:rPr>
          <w:rFonts w:cstheme="minorHAnsi"/>
          <w:sz w:val="24"/>
        </w:rPr>
        <w:t>μ</w:t>
      </w:r>
      <w:r>
        <w:rPr>
          <w:sz w:val="24"/>
        </w:rPr>
        <w:t>g</w:t>
      </w:r>
      <w:proofErr w:type="spellEnd"/>
      <w:r>
        <w:rPr>
          <w:sz w:val="24"/>
        </w:rPr>
        <w:t xml:space="preserve">/ml [3.5-4.8] for total drug, target </w:t>
      </w:r>
      <w:r>
        <w:rPr>
          <w:rFonts w:cstheme="minorHAnsi"/>
          <w:sz w:val="24"/>
        </w:rPr>
        <w:t>≥</w:t>
      </w:r>
      <w:r>
        <w:rPr>
          <w:sz w:val="24"/>
        </w:rPr>
        <w:t xml:space="preserve"> 8 </w:t>
      </w:r>
      <w:proofErr w:type="spellStart"/>
      <w:r>
        <w:rPr>
          <w:rFonts w:cstheme="minorHAnsi"/>
          <w:sz w:val="24"/>
        </w:rPr>
        <w:t>μ</w:t>
      </w:r>
      <w:r>
        <w:rPr>
          <w:sz w:val="24"/>
        </w:rPr>
        <w:t>g</w:t>
      </w:r>
      <w:proofErr w:type="spellEnd"/>
      <w:r>
        <w:rPr>
          <w:sz w:val="24"/>
        </w:rPr>
        <w:t xml:space="preserve">/ml </w:t>
      </w:r>
      <w:r>
        <w:rPr>
          <w:sz w:val="24"/>
        </w:rPr>
        <w:fldChar w:fldCharType="begin" w:fldLock="1"/>
      </w:r>
      <w:r w:rsidR="00DE300B">
        <w:rPr>
          <w:sz w:val="24"/>
        </w:rPr>
        <w:instrText>ADDIN CSL_CITATION {"citationItems":[{"id":"ITEM-1","itemData":{"DOI":"10.1007/s40265-014-0222-8","ISBN":"1179-1950 (Electronic)\r0012-6667 (Linking)","PMID":"24846578","abstract":"Tuberculosis (TB) is the world's second leading infectious killer. Cases of multidrug-resistant (MDR-TB) and extremely drug-resistant (XDR-TB) have increased globally. Therapeutic drug monitoring (TDM) remains a standard clinical technique for using plasma drug concentrations to determine dose. For TB patients, TDM provides objective information for the clinician to make informed dosing decisions. Some patients are slow to respond to treatment, and TDM can shorten the time to response and to treatment completion. Normal plasma concentration ranges for the TB drugs have been defined. For practical reasons, only one or two samples are collected post-dose. A 2-h post-dose sample approximates the peak serum drug concentration (Cmax) for most TB drugs. Adding a 6-h sample allows the clinician to distinguish between delayed absorption and malabsorption. TDM requires that samples are promptly centrifuged, and that the serum is promptly harvested and frozen. Isoniazid and ethionamide, in particular, are not stable in human serum at room temperature. Rifampicin is stable for more than 6 h under these conditions. Since our 2002 review, several papers regarding TB drug pharmacokinetics, pharmacodynamics, and TDM have been published. Thus, we have better information regarding the concentrations required for effective TB therapy. In vitro and animal model data clearly show concentration responses for most TB drugs. Recent studies emphasize the importance of rifamycins and pyrazinamide as sterilizing agents. A strong argument can be made for maximizing patient exposure to these drugs, short of toxicity. Further, the very concept behind 'minimal inhibitory concentration' (MIC) implies that one should achieve concentrations above the minimum in order to maximize response. Some, but not all clinical data are consistent with the utility of this approach. The low ends of the TB drug normal ranges set reasonable 'floors' above which plasma concentrations should be maintained. Patients with diabetes and those infected with HIV have a particular risk for poor drug absorption, and for drug-drug interactions. Published guidelines typically describe interactions between two drugs, whereas the clinical situation often is considerably more complex. Under 'real-life' circumstances, TDM often is the best available tool for sorting out these multi-drug interactions, and for providing the patient safe and adequate doses. Plasma concentrations cannot explain all of the variability in …","author":[{"dropping-particle":"","family":"Alsultan","given":"A","non-dropping-particle":"","parse-names":false,"suffix":""},{"dropping-particle":"","family":"Peloquin","given":"C A","non-dropping-particle":"","parse-names":false,"suffix":""}],"container-title":"Drugs","id":"ITEM-1","issue":"8","issued":{"date-parts":[["2014"]]},"note":"Alsultan, Abdullah\nPeloquin, Charles A\neng\nReview\nNew Zealand\n2014/05/23 06:00\nDrugs. 2014 Jun;74(8):839-54. doi: 10.1007/s40265-014-0222-8.","page":"839-854","title":"Therapeutic drug monitoring in the treatment of tuberculosis: an update","type":"article-journal","volume":"74"},"uris":["http://www.mendeley.com/documents/?uuid=e95820ab-9e81-477e-be67-b50b258a82a8"]}],"mendeley":{"formattedCitation":"[29]","plainTextFormattedCitation":"[29]","previouslyFormattedCitation":"[25]"},"properties":{"noteIndex":0},"schema":"https://github.com/citation-style-language/schema/raw/master/csl-citation.json"}</w:instrText>
      </w:r>
      <w:r>
        <w:rPr>
          <w:sz w:val="24"/>
        </w:rPr>
        <w:fldChar w:fldCharType="separate"/>
      </w:r>
      <w:r w:rsidR="00DE300B" w:rsidRPr="00DE300B">
        <w:rPr>
          <w:noProof/>
          <w:sz w:val="24"/>
        </w:rPr>
        <w:t>[29]</w:t>
      </w:r>
      <w:r>
        <w:rPr>
          <w:sz w:val="24"/>
        </w:rPr>
        <w:fldChar w:fldCharType="end"/>
      </w:r>
      <w:r>
        <w:rPr>
          <w:sz w:val="24"/>
        </w:rPr>
        <w:t xml:space="preserve">; </w:t>
      </w:r>
      <w:r>
        <w:rPr>
          <w:b/>
          <w:sz w:val="24"/>
        </w:rPr>
        <w:t>Figure 1</w:t>
      </w:r>
      <w:r>
        <w:rPr>
          <w:sz w:val="24"/>
        </w:rPr>
        <w:t xml:space="preserve"> and </w:t>
      </w:r>
      <w:r>
        <w:rPr>
          <w:b/>
          <w:sz w:val="24"/>
        </w:rPr>
        <w:t>Table 2</w:t>
      </w:r>
      <w:r>
        <w:rPr>
          <w:sz w:val="24"/>
        </w:rPr>
        <w:t xml:space="preserve">). Rifampicin drug exposure was greatest in the </w:t>
      </w:r>
      <w:r>
        <w:rPr>
          <w:sz w:val="24"/>
          <w:szCs w:val="24"/>
        </w:rPr>
        <w:t xml:space="preserve">epithelial lining fluid </w:t>
      </w:r>
      <w:r>
        <w:rPr>
          <w:sz w:val="24"/>
        </w:rPr>
        <w:t>compared to plasma and alveolar cells.</w:t>
      </w:r>
    </w:p>
    <w:p w14:paraId="6977C709" w14:textId="77777777" w:rsidR="00917EAB" w:rsidRDefault="00917EAB" w:rsidP="006D7D06">
      <w:pPr>
        <w:spacing w:after="0" w:line="480" w:lineRule="auto"/>
        <w:rPr>
          <w:i/>
          <w:sz w:val="24"/>
        </w:rPr>
      </w:pPr>
    </w:p>
    <w:p w14:paraId="7AEAED2F" w14:textId="1A4F262A" w:rsidR="006D7D06" w:rsidRDefault="006D7D06" w:rsidP="006D7D06">
      <w:pPr>
        <w:spacing w:after="0" w:line="480" w:lineRule="auto"/>
        <w:rPr>
          <w:sz w:val="24"/>
        </w:rPr>
      </w:pPr>
      <w:r>
        <w:rPr>
          <w:i/>
          <w:sz w:val="24"/>
        </w:rPr>
        <w:t>Isoniazid pharmacokinetics</w:t>
      </w:r>
      <w:r w:rsidRPr="001926EE">
        <w:rPr>
          <w:sz w:val="24"/>
        </w:rPr>
        <w:t xml:space="preserve"> </w:t>
      </w:r>
    </w:p>
    <w:p w14:paraId="219A2B8C" w14:textId="15839C28" w:rsidR="006D7D06" w:rsidRDefault="006D7D06" w:rsidP="006D7D06">
      <w:pPr>
        <w:spacing w:after="0" w:line="480" w:lineRule="auto"/>
        <w:rPr>
          <w:sz w:val="24"/>
        </w:rPr>
      </w:pPr>
      <w:r>
        <w:rPr>
          <w:sz w:val="24"/>
        </w:rPr>
        <w:t xml:space="preserve">The isoniazid plasma dataset contained 750 concentration-time observations from 140 participants, best </w:t>
      </w:r>
      <w:r w:rsidRPr="004C170A">
        <w:rPr>
          <w:sz w:val="24"/>
        </w:rPr>
        <w:t xml:space="preserve">described by a one-compartment </w:t>
      </w:r>
      <w:r>
        <w:rPr>
          <w:sz w:val="24"/>
        </w:rPr>
        <w:t xml:space="preserve">pharmacokinetic </w:t>
      </w:r>
      <w:r w:rsidRPr="004C170A">
        <w:rPr>
          <w:sz w:val="24"/>
        </w:rPr>
        <w:t>model</w:t>
      </w:r>
      <w:r w:rsidRPr="00E40684">
        <w:rPr>
          <w:sz w:val="24"/>
        </w:rPr>
        <w:t xml:space="preserve"> </w:t>
      </w:r>
      <w:r w:rsidRPr="0029161D">
        <w:rPr>
          <w:sz w:val="24"/>
        </w:rPr>
        <w:t>with first-order absorption and elimination</w:t>
      </w:r>
      <w:r w:rsidRPr="004C170A">
        <w:rPr>
          <w:sz w:val="24"/>
        </w:rPr>
        <w:t xml:space="preserve">. Two-compartment models were met with some improvement in the </w:t>
      </w:r>
      <w:r>
        <w:rPr>
          <w:sz w:val="24"/>
        </w:rPr>
        <w:t>objective function value</w:t>
      </w:r>
      <w:r w:rsidRPr="004C170A">
        <w:rPr>
          <w:sz w:val="24"/>
        </w:rPr>
        <w:t xml:space="preserve">, but </w:t>
      </w:r>
      <w:r>
        <w:rPr>
          <w:sz w:val="24"/>
        </w:rPr>
        <w:t xml:space="preserve">unacceptably </w:t>
      </w:r>
      <w:r w:rsidRPr="004C170A">
        <w:rPr>
          <w:sz w:val="24"/>
        </w:rPr>
        <w:t>poor</w:t>
      </w:r>
      <w:r>
        <w:rPr>
          <w:sz w:val="24"/>
        </w:rPr>
        <w:t xml:space="preserve"> precision of</w:t>
      </w:r>
      <w:r w:rsidRPr="004C170A">
        <w:rPr>
          <w:sz w:val="24"/>
        </w:rPr>
        <w:t xml:space="preserve"> parameter estimates. </w:t>
      </w:r>
      <w:r>
        <w:rPr>
          <w:sz w:val="24"/>
        </w:rPr>
        <w:t>Weight as an effect on volume of distribution</w:t>
      </w:r>
      <w:r w:rsidR="00CB3513">
        <w:rPr>
          <w:sz w:val="24"/>
        </w:rPr>
        <w:t xml:space="preserve"> (V/F) </w:t>
      </w:r>
      <w:r>
        <w:rPr>
          <w:sz w:val="24"/>
        </w:rPr>
        <w:t xml:space="preserve">was the only covariate that significantly improved the model fit, with the volume of distribution increasing by 1.08 L for every kg above the population mean of 51.1 kg. </w:t>
      </w:r>
    </w:p>
    <w:p w14:paraId="414A9304" w14:textId="77777777" w:rsidR="006D7D06" w:rsidRDefault="006D7D06" w:rsidP="006D7D06">
      <w:pPr>
        <w:spacing w:after="0" w:line="480" w:lineRule="auto"/>
        <w:rPr>
          <w:sz w:val="24"/>
        </w:rPr>
      </w:pPr>
    </w:p>
    <w:p w14:paraId="19127406" w14:textId="750A6E0A" w:rsidR="00AA6E4B" w:rsidRDefault="00AA6E4B" w:rsidP="00AA6E4B">
      <w:pPr>
        <w:spacing w:after="0" w:line="480" w:lineRule="auto"/>
        <w:rPr>
          <w:sz w:val="24"/>
        </w:rPr>
      </w:pPr>
      <w:r>
        <w:rPr>
          <w:sz w:val="24"/>
        </w:rPr>
        <w:t xml:space="preserve">Eighty-eight </w:t>
      </w:r>
      <w:r>
        <w:rPr>
          <w:sz w:val="24"/>
          <w:szCs w:val="24"/>
        </w:rPr>
        <w:t xml:space="preserve">epithelial lining fluid </w:t>
      </w:r>
      <w:r>
        <w:rPr>
          <w:sz w:val="24"/>
        </w:rPr>
        <w:t xml:space="preserve">and 89 alveolar cell concentration-time observations from 51 participants were available for the second stage of modelling. Isoniazid distributed extensively to </w:t>
      </w:r>
      <w:r>
        <w:rPr>
          <w:sz w:val="24"/>
          <w:szCs w:val="24"/>
        </w:rPr>
        <w:t>epithelial lining fluid</w:t>
      </w:r>
      <w:r>
        <w:rPr>
          <w:sz w:val="24"/>
        </w:rPr>
        <w:t>, with concentrations nearly 15-fold greater than plasma (</w:t>
      </w:r>
      <w:r w:rsidRPr="004C170A">
        <w:rPr>
          <w:i/>
          <w:sz w:val="24"/>
        </w:rPr>
        <w:t>R</w:t>
      </w:r>
      <w:r w:rsidRPr="004C170A">
        <w:rPr>
          <w:i/>
          <w:sz w:val="24"/>
          <w:vertAlign w:val="subscript"/>
        </w:rPr>
        <w:t>ELF</w:t>
      </w:r>
      <w:r w:rsidRPr="004C170A">
        <w:rPr>
          <w:sz w:val="24"/>
        </w:rPr>
        <w:t xml:space="preserve"> 14.6 </w:t>
      </w:r>
      <w:r>
        <w:rPr>
          <w:sz w:val="24"/>
        </w:rPr>
        <w:t>[</w:t>
      </w:r>
      <w:r w:rsidRPr="004C170A">
        <w:rPr>
          <w:sz w:val="24"/>
        </w:rPr>
        <w:t>95% CI: 11.2-18.0</w:t>
      </w:r>
      <w:r>
        <w:rPr>
          <w:sz w:val="24"/>
        </w:rPr>
        <w:t xml:space="preserve">], </w:t>
      </w:r>
      <w:r>
        <w:rPr>
          <w:b/>
          <w:sz w:val="24"/>
        </w:rPr>
        <w:t>Supplementary Table 1</w:t>
      </w:r>
      <w:r>
        <w:rPr>
          <w:sz w:val="24"/>
        </w:rPr>
        <w:t>). Concentrations in alveolar cells were closer to plasma (</w:t>
      </w:r>
      <w:r w:rsidRPr="004C170A">
        <w:rPr>
          <w:i/>
          <w:sz w:val="24"/>
        </w:rPr>
        <w:t>R</w:t>
      </w:r>
      <w:r w:rsidRPr="004C170A">
        <w:rPr>
          <w:i/>
          <w:sz w:val="24"/>
          <w:vertAlign w:val="subscript"/>
        </w:rPr>
        <w:t>AC</w:t>
      </w:r>
      <w:r w:rsidRPr="004C170A">
        <w:rPr>
          <w:sz w:val="24"/>
        </w:rPr>
        <w:t xml:space="preserve"> 1.31 </w:t>
      </w:r>
      <w:r>
        <w:rPr>
          <w:sz w:val="24"/>
        </w:rPr>
        <w:t>[</w:t>
      </w:r>
      <w:r w:rsidRPr="004C170A">
        <w:rPr>
          <w:sz w:val="24"/>
        </w:rPr>
        <w:t>95% CI: 0.95-1.67</w:t>
      </w:r>
      <w:r>
        <w:rPr>
          <w:sz w:val="24"/>
        </w:rPr>
        <w:t>]).</w:t>
      </w:r>
      <w:r w:rsidRPr="004C170A">
        <w:rPr>
          <w:sz w:val="24"/>
        </w:rPr>
        <w:t xml:space="preserve"> The high concentrations achieved in </w:t>
      </w:r>
      <w:r>
        <w:rPr>
          <w:sz w:val="24"/>
          <w:szCs w:val="24"/>
        </w:rPr>
        <w:t xml:space="preserve">epithelial lining fluid </w:t>
      </w:r>
      <w:r w:rsidRPr="004C170A">
        <w:rPr>
          <w:sz w:val="24"/>
        </w:rPr>
        <w:t xml:space="preserve">are demonstrated on the </w:t>
      </w:r>
      <w:r w:rsidR="00F653A5">
        <w:rPr>
          <w:sz w:val="24"/>
        </w:rPr>
        <w:t>summary</w:t>
      </w:r>
      <w:r w:rsidR="00F653A5" w:rsidRPr="004C170A">
        <w:rPr>
          <w:sz w:val="24"/>
        </w:rPr>
        <w:t xml:space="preserve"> </w:t>
      </w:r>
      <w:r w:rsidRPr="004C170A">
        <w:rPr>
          <w:sz w:val="24"/>
        </w:rPr>
        <w:t xml:space="preserve">concentration-time plot </w:t>
      </w:r>
      <w:r>
        <w:rPr>
          <w:sz w:val="24"/>
        </w:rPr>
        <w:t>(</w:t>
      </w:r>
      <w:r>
        <w:rPr>
          <w:b/>
          <w:sz w:val="24"/>
        </w:rPr>
        <w:t>Figure 1</w:t>
      </w:r>
      <w:r>
        <w:rPr>
          <w:sz w:val="24"/>
        </w:rPr>
        <w:t xml:space="preserve">) and estimates in </w:t>
      </w:r>
      <w:r>
        <w:rPr>
          <w:b/>
          <w:sz w:val="24"/>
        </w:rPr>
        <w:t xml:space="preserve">Table </w:t>
      </w:r>
      <w:r w:rsidR="001E5A45">
        <w:rPr>
          <w:b/>
          <w:sz w:val="24"/>
        </w:rPr>
        <w:t>2</w:t>
      </w:r>
      <w:r>
        <w:rPr>
          <w:sz w:val="24"/>
        </w:rPr>
        <w:t xml:space="preserve">. </w:t>
      </w:r>
    </w:p>
    <w:p w14:paraId="4FCA6216" w14:textId="77777777" w:rsidR="001E5A45" w:rsidRPr="00DF716F" w:rsidRDefault="001E5A45" w:rsidP="00AA6E4B">
      <w:pPr>
        <w:spacing w:after="0" w:line="480" w:lineRule="auto"/>
        <w:rPr>
          <w:sz w:val="24"/>
        </w:rPr>
      </w:pPr>
    </w:p>
    <w:p w14:paraId="73F9BB7B" w14:textId="77777777" w:rsidR="00AA6E4B" w:rsidRDefault="00AA6E4B" w:rsidP="00AA6E4B">
      <w:pPr>
        <w:spacing w:after="0" w:line="480" w:lineRule="auto"/>
        <w:rPr>
          <w:i/>
          <w:sz w:val="24"/>
        </w:rPr>
      </w:pPr>
      <w:r>
        <w:rPr>
          <w:i/>
          <w:sz w:val="24"/>
        </w:rPr>
        <w:t>Pyrazinamide pharmacokinetics</w:t>
      </w:r>
    </w:p>
    <w:p w14:paraId="4E9A4B74" w14:textId="2C571720" w:rsidR="00AA6E4B" w:rsidRDefault="00AA6E4B" w:rsidP="00AA6E4B">
      <w:pPr>
        <w:spacing w:after="0" w:line="480" w:lineRule="auto"/>
        <w:rPr>
          <w:sz w:val="24"/>
        </w:rPr>
      </w:pPr>
      <w:r>
        <w:rPr>
          <w:sz w:val="24"/>
        </w:rPr>
        <w:t xml:space="preserve">Four-hundred-and-nine </w:t>
      </w:r>
      <w:r w:rsidRPr="00EE0215">
        <w:rPr>
          <w:sz w:val="24"/>
        </w:rPr>
        <w:t>observations from 131 participants were modelled</w:t>
      </w:r>
      <w:r>
        <w:rPr>
          <w:sz w:val="24"/>
        </w:rPr>
        <w:t xml:space="preserve">. </w:t>
      </w:r>
      <w:r w:rsidRPr="00EE0215">
        <w:rPr>
          <w:sz w:val="24"/>
        </w:rPr>
        <w:t>Inclusion of weight</w:t>
      </w:r>
      <w:r>
        <w:rPr>
          <w:sz w:val="24"/>
        </w:rPr>
        <w:t xml:space="preserve"> </w:t>
      </w:r>
      <w:r w:rsidRPr="00EE0215">
        <w:rPr>
          <w:sz w:val="24"/>
        </w:rPr>
        <w:t xml:space="preserve">as a covariate for both </w:t>
      </w:r>
      <w:r w:rsidRPr="004B4385">
        <w:rPr>
          <w:sz w:val="24"/>
        </w:rPr>
        <w:t>clearance</w:t>
      </w:r>
      <w:r w:rsidR="00CC2CC2">
        <w:rPr>
          <w:sz w:val="24"/>
        </w:rPr>
        <w:t xml:space="preserve"> (CL/F)</w:t>
      </w:r>
      <w:r w:rsidRPr="00EE0215">
        <w:rPr>
          <w:sz w:val="24"/>
        </w:rPr>
        <w:t xml:space="preserve"> and </w:t>
      </w:r>
      <w:r>
        <w:rPr>
          <w:sz w:val="24"/>
        </w:rPr>
        <w:t>volume of distribution</w:t>
      </w:r>
      <w:r w:rsidR="00CC2CC2">
        <w:rPr>
          <w:sz w:val="24"/>
        </w:rPr>
        <w:t xml:space="preserve"> (V/F)</w:t>
      </w:r>
      <w:r w:rsidRPr="00EE0215">
        <w:rPr>
          <w:sz w:val="24"/>
        </w:rPr>
        <w:t xml:space="preserve"> significantly improved the model fit</w:t>
      </w:r>
      <w:r>
        <w:rPr>
          <w:sz w:val="24"/>
        </w:rPr>
        <w:t xml:space="preserve">. </w:t>
      </w:r>
    </w:p>
    <w:p w14:paraId="104D7F07" w14:textId="77777777" w:rsidR="00AA6E4B" w:rsidRDefault="00AA6E4B" w:rsidP="00AA6E4B">
      <w:pPr>
        <w:spacing w:after="0" w:line="480" w:lineRule="auto"/>
        <w:rPr>
          <w:sz w:val="24"/>
        </w:rPr>
      </w:pPr>
    </w:p>
    <w:p w14:paraId="080EF9E0" w14:textId="0E43AD09" w:rsidR="00AA6E4B" w:rsidRPr="008F11D4" w:rsidRDefault="00AA6E4B" w:rsidP="00AA6E4B">
      <w:pPr>
        <w:spacing w:after="0" w:line="480" w:lineRule="auto"/>
        <w:rPr>
          <w:sz w:val="24"/>
        </w:rPr>
      </w:pPr>
      <w:r>
        <w:rPr>
          <w:sz w:val="24"/>
        </w:rPr>
        <w:t xml:space="preserve">Fifty concentration-time observations were available for intrapulmonary pharmacokinetic </w:t>
      </w:r>
      <w:proofErr w:type="gramStart"/>
      <w:r>
        <w:rPr>
          <w:sz w:val="24"/>
        </w:rPr>
        <w:t>modelling</w:t>
      </w:r>
      <w:r w:rsidR="002B24A2">
        <w:rPr>
          <w:sz w:val="24"/>
        </w:rPr>
        <w:t xml:space="preserve"> </w:t>
      </w:r>
      <w:r>
        <w:rPr>
          <w:sz w:val="24"/>
        </w:rPr>
        <w:t xml:space="preserve"> (</w:t>
      </w:r>
      <w:proofErr w:type="gramEnd"/>
      <w:r w:rsidR="001E5A45">
        <w:rPr>
          <w:b/>
          <w:sz w:val="24"/>
        </w:rPr>
        <w:t>Supplementary Table 1</w:t>
      </w:r>
      <w:r>
        <w:rPr>
          <w:sz w:val="24"/>
        </w:rPr>
        <w:t>)</w:t>
      </w:r>
      <w:r w:rsidRPr="0005240A">
        <w:rPr>
          <w:sz w:val="24"/>
        </w:rPr>
        <w:t>.</w:t>
      </w:r>
      <w:r>
        <w:rPr>
          <w:sz w:val="24"/>
        </w:rPr>
        <w:t xml:space="preserve"> </w:t>
      </w:r>
      <w:r w:rsidRPr="0005240A">
        <w:rPr>
          <w:sz w:val="24"/>
        </w:rPr>
        <w:t xml:space="preserve">Pyrazinamide was </w:t>
      </w:r>
      <w:r>
        <w:rPr>
          <w:sz w:val="24"/>
        </w:rPr>
        <w:t xml:space="preserve">extensively </w:t>
      </w:r>
      <w:r w:rsidRPr="0005240A">
        <w:rPr>
          <w:sz w:val="24"/>
        </w:rPr>
        <w:t xml:space="preserve">distributed </w:t>
      </w:r>
      <w:r>
        <w:rPr>
          <w:sz w:val="24"/>
        </w:rPr>
        <w:t>to</w:t>
      </w:r>
      <w:r w:rsidRPr="0005240A">
        <w:rPr>
          <w:sz w:val="24"/>
        </w:rPr>
        <w:t xml:space="preserve"> </w:t>
      </w:r>
      <w:r>
        <w:rPr>
          <w:sz w:val="24"/>
          <w:szCs w:val="24"/>
        </w:rPr>
        <w:t>epithelial lining fluid</w:t>
      </w:r>
      <w:r w:rsidRPr="0005240A">
        <w:rPr>
          <w:sz w:val="24"/>
        </w:rPr>
        <w:t>, achieving a</w:t>
      </w:r>
      <w:r>
        <w:rPr>
          <w:sz w:val="24"/>
        </w:rPr>
        <w:t xml:space="preserve"> </w:t>
      </w:r>
      <w:r>
        <w:rPr>
          <w:i/>
          <w:sz w:val="24"/>
        </w:rPr>
        <w:t>R</w:t>
      </w:r>
      <w:r>
        <w:rPr>
          <w:i/>
          <w:sz w:val="24"/>
          <w:vertAlign w:val="subscript"/>
        </w:rPr>
        <w:t>ELF</w:t>
      </w:r>
      <w:r w:rsidRPr="0005240A">
        <w:rPr>
          <w:sz w:val="24"/>
        </w:rPr>
        <w:t xml:space="preserve"> of 49.8 (</w:t>
      </w:r>
      <w:r w:rsidRPr="00325F74">
        <w:rPr>
          <w:sz w:val="24"/>
          <w:szCs w:val="24"/>
        </w:rPr>
        <w:t xml:space="preserve">95% CI: </w:t>
      </w:r>
      <w:r>
        <w:rPr>
          <w:sz w:val="24"/>
          <w:szCs w:val="24"/>
        </w:rPr>
        <w:t>34.2-65.3</w:t>
      </w:r>
      <w:r w:rsidRPr="0005240A">
        <w:rPr>
          <w:sz w:val="24"/>
        </w:rPr>
        <w:t xml:space="preserve">). </w:t>
      </w:r>
      <w:r>
        <w:rPr>
          <w:sz w:val="24"/>
        </w:rPr>
        <w:t xml:space="preserve">Median pyrazinamide </w:t>
      </w:r>
      <w:proofErr w:type="spellStart"/>
      <w:r w:rsidRPr="00786D1E">
        <w:rPr>
          <w:sz w:val="24"/>
        </w:rPr>
        <w:t>C</w:t>
      </w:r>
      <w:r w:rsidRPr="00786D1E">
        <w:rPr>
          <w:sz w:val="24"/>
          <w:vertAlign w:val="subscript"/>
        </w:rPr>
        <w:t>max</w:t>
      </w:r>
      <w:proofErr w:type="spellEnd"/>
      <w:r w:rsidRPr="00786D1E">
        <w:rPr>
          <w:sz w:val="24"/>
        </w:rPr>
        <w:t xml:space="preserve"> </w:t>
      </w:r>
      <w:r>
        <w:rPr>
          <w:sz w:val="24"/>
        </w:rPr>
        <w:t xml:space="preserve">in </w:t>
      </w:r>
      <w:r>
        <w:rPr>
          <w:sz w:val="24"/>
          <w:szCs w:val="24"/>
        </w:rPr>
        <w:t xml:space="preserve">epithelial lining fluid </w:t>
      </w:r>
      <w:r>
        <w:rPr>
          <w:sz w:val="24"/>
        </w:rPr>
        <w:t xml:space="preserve">was 1,195 </w:t>
      </w:r>
      <w:proofErr w:type="spellStart"/>
      <w:r>
        <w:rPr>
          <w:rFonts w:cstheme="minorHAnsi"/>
          <w:sz w:val="24"/>
        </w:rPr>
        <w:t>μ</w:t>
      </w:r>
      <w:r>
        <w:rPr>
          <w:sz w:val="24"/>
        </w:rPr>
        <w:t>g</w:t>
      </w:r>
      <w:proofErr w:type="spellEnd"/>
      <w:r>
        <w:rPr>
          <w:sz w:val="24"/>
        </w:rPr>
        <w:t xml:space="preserve">/ml (IQR 1,062-1,361), as compared to 24.0 </w:t>
      </w:r>
      <w:proofErr w:type="spellStart"/>
      <w:r>
        <w:rPr>
          <w:rFonts w:cstheme="minorHAnsi"/>
          <w:sz w:val="24"/>
        </w:rPr>
        <w:t>μ</w:t>
      </w:r>
      <w:r>
        <w:rPr>
          <w:sz w:val="24"/>
        </w:rPr>
        <w:t>g</w:t>
      </w:r>
      <w:proofErr w:type="spellEnd"/>
      <w:r>
        <w:rPr>
          <w:sz w:val="24"/>
        </w:rPr>
        <w:t>/ml (IQR 22.2-26.3) in plasma (</w:t>
      </w:r>
      <w:r>
        <w:rPr>
          <w:b/>
          <w:sz w:val="24"/>
        </w:rPr>
        <w:t xml:space="preserve">Table </w:t>
      </w:r>
      <w:r w:rsidR="001E5A45">
        <w:rPr>
          <w:b/>
          <w:sz w:val="24"/>
        </w:rPr>
        <w:t>2</w:t>
      </w:r>
      <w:r>
        <w:rPr>
          <w:sz w:val="24"/>
        </w:rPr>
        <w:t>).</w:t>
      </w:r>
      <w:r w:rsidRPr="0005240A">
        <w:rPr>
          <w:sz w:val="24"/>
        </w:rPr>
        <w:t xml:space="preserve"> </w:t>
      </w:r>
      <w:r>
        <w:rPr>
          <w:sz w:val="24"/>
        </w:rPr>
        <w:t>Pyrazinamide was observed to accumulate in alveolar cells, with concentrations 3.18-fold greater than plasma (</w:t>
      </w:r>
      <w:r w:rsidRPr="00325F74">
        <w:rPr>
          <w:sz w:val="24"/>
          <w:szCs w:val="24"/>
        </w:rPr>
        <w:t>95% CI:</w:t>
      </w:r>
      <w:r>
        <w:rPr>
          <w:sz w:val="24"/>
          <w:szCs w:val="24"/>
        </w:rPr>
        <w:t xml:space="preserve"> 1.90-4.46</w:t>
      </w:r>
      <w:r>
        <w:rPr>
          <w:sz w:val="24"/>
        </w:rPr>
        <w:t>).</w:t>
      </w:r>
      <w:r w:rsidRPr="0005240A">
        <w:rPr>
          <w:sz w:val="24"/>
        </w:rPr>
        <w:t xml:space="preserve"> </w:t>
      </w:r>
      <w:r w:rsidR="00A15276">
        <w:rPr>
          <w:sz w:val="24"/>
        </w:rPr>
        <w:t xml:space="preserve">No patients achieved </w:t>
      </w:r>
      <w:r w:rsidR="008F11D4">
        <w:rPr>
          <w:sz w:val="24"/>
        </w:rPr>
        <w:t xml:space="preserve">the proposed </w:t>
      </w:r>
      <w:proofErr w:type="spellStart"/>
      <w:r w:rsidR="008F11D4">
        <w:rPr>
          <w:sz w:val="24"/>
        </w:rPr>
        <w:t>C</w:t>
      </w:r>
      <w:r w:rsidR="008F11D4">
        <w:rPr>
          <w:sz w:val="24"/>
          <w:vertAlign w:val="subscript"/>
        </w:rPr>
        <w:t>max</w:t>
      </w:r>
      <w:proofErr w:type="spellEnd"/>
      <w:r w:rsidR="008F11D4">
        <w:rPr>
          <w:sz w:val="24"/>
        </w:rPr>
        <w:t xml:space="preserve"> target of </w:t>
      </w:r>
      <w:r w:rsidR="001862D3">
        <w:rPr>
          <w:rFonts w:cstheme="minorHAnsi"/>
          <w:sz w:val="24"/>
        </w:rPr>
        <w:t>&gt;</w:t>
      </w:r>
      <w:r w:rsidR="008F11D4">
        <w:rPr>
          <w:sz w:val="24"/>
        </w:rPr>
        <w:t xml:space="preserve"> </w:t>
      </w:r>
      <w:r w:rsidR="00153123">
        <w:rPr>
          <w:sz w:val="24"/>
        </w:rPr>
        <w:t xml:space="preserve">35 </w:t>
      </w:r>
      <w:proofErr w:type="spellStart"/>
      <w:r w:rsidR="00153123" w:rsidRPr="00786D1E">
        <w:rPr>
          <w:rFonts w:cstheme="minorHAnsi"/>
          <w:sz w:val="24"/>
          <w:szCs w:val="24"/>
        </w:rPr>
        <w:t>μ</w:t>
      </w:r>
      <w:r w:rsidR="00153123">
        <w:rPr>
          <w:rFonts w:cstheme="minorHAnsi"/>
          <w:sz w:val="24"/>
          <w:szCs w:val="24"/>
        </w:rPr>
        <w:t>g</w:t>
      </w:r>
      <w:proofErr w:type="spellEnd"/>
      <w:r w:rsidR="00153123" w:rsidRPr="00786D1E">
        <w:rPr>
          <w:rFonts w:cstheme="minorHAnsi"/>
          <w:sz w:val="24"/>
          <w:szCs w:val="24"/>
        </w:rPr>
        <w:t>/ml</w:t>
      </w:r>
      <w:r w:rsidR="00D90F09">
        <w:rPr>
          <w:rFonts w:cstheme="minorHAnsi"/>
          <w:sz w:val="24"/>
          <w:szCs w:val="24"/>
        </w:rPr>
        <w:t>, while o</w:t>
      </w:r>
      <w:r w:rsidR="00D03BBB" w:rsidRPr="00D03BBB">
        <w:rPr>
          <w:rFonts w:cstheme="minorHAnsi"/>
          <w:sz w:val="24"/>
          <w:szCs w:val="24"/>
        </w:rPr>
        <w:t xml:space="preserve">nly </w:t>
      </w:r>
      <w:r w:rsidR="00655E1E">
        <w:rPr>
          <w:rFonts w:cstheme="minorHAnsi"/>
          <w:sz w:val="24"/>
          <w:szCs w:val="24"/>
        </w:rPr>
        <w:t>37</w:t>
      </w:r>
      <w:r w:rsidR="00D03BBB" w:rsidRPr="00D03BBB">
        <w:rPr>
          <w:rFonts w:cstheme="minorHAnsi"/>
          <w:sz w:val="24"/>
          <w:szCs w:val="24"/>
        </w:rPr>
        <w:t xml:space="preserve"> (2</w:t>
      </w:r>
      <w:r w:rsidR="00F93E4E">
        <w:rPr>
          <w:rFonts w:cstheme="minorHAnsi"/>
          <w:sz w:val="24"/>
          <w:szCs w:val="24"/>
        </w:rPr>
        <w:t>3.</w:t>
      </w:r>
      <w:r w:rsidR="00D03BBB" w:rsidRPr="00D03BBB">
        <w:rPr>
          <w:rFonts w:cstheme="minorHAnsi"/>
          <w:sz w:val="24"/>
          <w:szCs w:val="24"/>
        </w:rPr>
        <w:t xml:space="preserve">1%) patients achieved an AUC </w:t>
      </w:r>
      <w:r w:rsidR="001862D3">
        <w:rPr>
          <w:rFonts w:cstheme="minorHAnsi"/>
          <w:sz w:val="24"/>
          <w:szCs w:val="24"/>
        </w:rPr>
        <w:t>&gt;</w:t>
      </w:r>
      <w:r w:rsidR="00D03BBB" w:rsidRPr="00D03BBB">
        <w:rPr>
          <w:rFonts w:cstheme="minorHAnsi"/>
          <w:sz w:val="24"/>
          <w:szCs w:val="24"/>
        </w:rPr>
        <w:t xml:space="preserve"> 363 </w:t>
      </w:r>
      <w:proofErr w:type="spellStart"/>
      <w:r w:rsidR="00D03BBB" w:rsidRPr="00D03BBB">
        <w:rPr>
          <w:rFonts w:cstheme="minorHAnsi"/>
          <w:sz w:val="24"/>
          <w:szCs w:val="24"/>
        </w:rPr>
        <w:t>μg</w:t>
      </w:r>
      <w:r w:rsidR="00F93E4E">
        <w:rPr>
          <w:rFonts w:cstheme="minorHAnsi"/>
          <w:sz w:val="24"/>
          <w:szCs w:val="24"/>
        </w:rPr>
        <w:t>.h</w:t>
      </w:r>
      <w:proofErr w:type="spellEnd"/>
      <w:r w:rsidR="00D03BBB" w:rsidRPr="00D03BBB">
        <w:rPr>
          <w:rFonts w:cstheme="minorHAnsi"/>
          <w:sz w:val="24"/>
          <w:szCs w:val="24"/>
        </w:rPr>
        <w:t>/m</w:t>
      </w:r>
      <w:r w:rsidR="00D90F09">
        <w:rPr>
          <w:rFonts w:cstheme="minorHAnsi"/>
          <w:sz w:val="24"/>
          <w:szCs w:val="24"/>
        </w:rPr>
        <w:t>l.</w:t>
      </w:r>
    </w:p>
    <w:p w14:paraId="4194C10B" w14:textId="77777777" w:rsidR="00AA6E4B" w:rsidRPr="00DF716F" w:rsidRDefault="00AA6E4B" w:rsidP="00AA6E4B">
      <w:pPr>
        <w:spacing w:after="0" w:line="480" w:lineRule="auto"/>
        <w:rPr>
          <w:sz w:val="24"/>
        </w:rPr>
      </w:pPr>
    </w:p>
    <w:p w14:paraId="02BEA575" w14:textId="77777777" w:rsidR="00AA6E4B" w:rsidRDefault="00AA6E4B" w:rsidP="00AA6E4B">
      <w:pPr>
        <w:spacing w:after="0" w:line="480" w:lineRule="auto"/>
        <w:rPr>
          <w:i/>
          <w:sz w:val="24"/>
        </w:rPr>
      </w:pPr>
      <w:r>
        <w:rPr>
          <w:i/>
          <w:sz w:val="24"/>
        </w:rPr>
        <w:t>Ethambutol pharmacokinetics</w:t>
      </w:r>
    </w:p>
    <w:p w14:paraId="66DE208A" w14:textId="10F486B4" w:rsidR="00AA6E4B" w:rsidRDefault="00AA6E4B" w:rsidP="00AA6E4B">
      <w:pPr>
        <w:spacing w:after="0" w:line="480" w:lineRule="auto"/>
        <w:rPr>
          <w:sz w:val="24"/>
        </w:rPr>
      </w:pPr>
      <w:r>
        <w:rPr>
          <w:sz w:val="24"/>
        </w:rPr>
        <w:lastRenderedPageBreak/>
        <w:t>Four-hundred-and-sixteen</w:t>
      </w:r>
      <w:r w:rsidRPr="00D40298">
        <w:rPr>
          <w:sz w:val="24"/>
        </w:rPr>
        <w:t xml:space="preserve"> ethambutol </w:t>
      </w:r>
      <w:r>
        <w:rPr>
          <w:sz w:val="24"/>
        </w:rPr>
        <w:t xml:space="preserve">plasma </w:t>
      </w:r>
      <w:r w:rsidRPr="00D40298">
        <w:rPr>
          <w:sz w:val="24"/>
        </w:rPr>
        <w:t xml:space="preserve">concentration-time observations were modelled. </w:t>
      </w:r>
      <w:r>
        <w:rPr>
          <w:sz w:val="24"/>
        </w:rPr>
        <w:t>Again, a one-compartment disposition model with first-order absorption was sufficient to describe the data and at</w:t>
      </w:r>
      <w:r w:rsidRPr="00D40298">
        <w:rPr>
          <w:sz w:val="24"/>
        </w:rPr>
        <w:t>tempts to</w:t>
      </w:r>
      <w:r>
        <w:rPr>
          <w:sz w:val="24"/>
        </w:rPr>
        <w:t xml:space="preserve"> use a</w:t>
      </w:r>
      <w:r w:rsidRPr="00D40298">
        <w:rPr>
          <w:sz w:val="24"/>
        </w:rPr>
        <w:t xml:space="preserve"> two-compartment</w:t>
      </w:r>
      <w:r>
        <w:rPr>
          <w:sz w:val="24"/>
        </w:rPr>
        <w:t xml:space="preserve"> </w:t>
      </w:r>
      <w:r w:rsidRPr="00D40298">
        <w:rPr>
          <w:sz w:val="24"/>
        </w:rPr>
        <w:t>s</w:t>
      </w:r>
      <w:r>
        <w:rPr>
          <w:sz w:val="24"/>
        </w:rPr>
        <w:t>ystem</w:t>
      </w:r>
      <w:r w:rsidRPr="00D40298">
        <w:rPr>
          <w:sz w:val="24"/>
        </w:rPr>
        <w:t xml:space="preserve"> or</w:t>
      </w:r>
      <w:r>
        <w:rPr>
          <w:sz w:val="24"/>
        </w:rPr>
        <w:t xml:space="preserve"> incorporate an</w:t>
      </w:r>
      <w:r w:rsidRPr="00D40298">
        <w:rPr>
          <w:sz w:val="24"/>
        </w:rPr>
        <w:t xml:space="preserve"> absorption lag phase were met with non-convergence. After stepwise backwards elimination, only creatinine clearance</w:t>
      </w:r>
      <w:r>
        <w:rPr>
          <w:sz w:val="24"/>
        </w:rPr>
        <w:t xml:space="preserve"> as an effect on clearance</w:t>
      </w:r>
      <w:r w:rsidR="00CC2CC2">
        <w:rPr>
          <w:sz w:val="24"/>
        </w:rPr>
        <w:t xml:space="preserve"> (CL/F)</w:t>
      </w:r>
      <w:r w:rsidRPr="00D40298">
        <w:rPr>
          <w:sz w:val="24"/>
        </w:rPr>
        <w:t xml:space="preserve"> was retained as a covariate in the model.</w:t>
      </w:r>
      <w:r>
        <w:rPr>
          <w:sz w:val="24"/>
        </w:rPr>
        <w:t xml:space="preserve"> </w:t>
      </w:r>
    </w:p>
    <w:p w14:paraId="72934053" w14:textId="77777777" w:rsidR="00AA6E4B" w:rsidRDefault="00AA6E4B" w:rsidP="00AA6E4B">
      <w:pPr>
        <w:spacing w:after="0" w:line="480" w:lineRule="auto"/>
        <w:rPr>
          <w:sz w:val="24"/>
        </w:rPr>
      </w:pPr>
    </w:p>
    <w:p w14:paraId="16179A1B" w14:textId="528CB1A1" w:rsidR="00AA6E4B" w:rsidRPr="00996C32" w:rsidRDefault="00AA6E4B" w:rsidP="00AA6E4B">
      <w:pPr>
        <w:spacing w:after="0" w:line="480" w:lineRule="auto"/>
        <w:rPr>
          <w:sz w:val="24"/>
        </w:rPr>
      </w:pPr>
      <w:r>
        <w:rPr>
          <w:sz w:val="24"/>
        </w:rPr>
        <w:t xml:space="preserve">Fifty </w:t>
      </w:r>
      <w:r>
        <w:rPr>
          <w:sz w:val="24"/>
          <w:szCs w:val="24"/>
        </w:rPr>
        <w:t xml:space="preserve">epithelial lining fluid </w:t>
      </w:r>
      <w:r>
        <w:rPr>
          <w:sz w:val="24"/>
        </w:rPr>
        <w:t>and alveolar cell concentration-time observations for ethambutol were available</w:t>
      </w:r>
      <w:r w:rsidRPr="00AE54E3">
        <w:rPr>
          <w:sz w:val="24"/>
        </w:rPr>
        <w:t>.</w:t>
      </w:r>
      <w:r>
        <w:rPr>
          <w:sz w:val="24"/>
        </w:rPr>
        <w:t xml:space="preserve"> Final parameter estimates from the final intrapulmonary pharmacokinetic model show that in </w:t>
      </w:r>
      <w:r w:rsidRPr="00996C32">
        <w:rPr>
          <w:sz w:val="24"/>
        </w:rPr>
        <w:t>contrast to the other 3 first-line drugs, highest ethambutol levels were seen in the alveolar cells (</w:t>
      </w:r>
      <w:r>
        <w:rPr>
          <w:i/>
          <w:sz w:val="24"/>
        </w:rPr>
        <w:t>R</w:t>
      </w:r>
      <w:r>
        <w:rPr>
          <w:i/>
          <w:sz w:val="24"/>
          <w:vertAlign w:val="subscript"/>
        </w:rPr>
        <w:t>AC</w:t>
      </w:r>
      <w:r>
        <w:rPr>
          <w:sz w:val="24"/>
        </w:rPr>
        <w:t xml:space="preserve"> </w:t>
      </w:r>
      <w:r w:rsidRPr="00996C32">
        <w:rPr>
          <w:sz w:val="24"/>
        </w:rPr>
        <w:t>15</w:t>
      </w:r>
      <w:r>
        <w:rPr>
          <w:sz w:val="24"/>
        </w:rPr>
        <w:t>.0 [</w:t>
      </w:r>
      <w:r w:rsidRPr="00325F74">
        <w:rPr>
          <w:sz w:val="24"/>
          <w:szCs w:val="24"/>
        </w:rPr>
        <w:t>95% CI:</w:t>
      </w:r>
      <w:r>
        <w:rPr>
          <w:sz w:val="24"/>
          <w:szCs w:val="24"/>
        </w:rPr>
        <w:t xml:space="preserve"> 11.4-18.6</w:t>
      </w:r>
      <w:r>
        <w:rPr>
          <w:sz w:val="24"/>
        </w:rPr>
        <w:t>]</w:t>
      </w:r>
      <w:r w:rsidRPr="00996C32">
        <w:rPr>
          <w:sz w:val="24"/>
        </w:rPr>
        <w:t xml:space="preserve">, </w:t>
      </w:r>
      <w:r w:rsidR="001E5A45">
        <w:rPr>
          <w:b/>
          <w:sz w:val="24"/>
        </w:rPr>
        <w:t>Supplementary Table 1</w:t>
      </w:r>
      <w:r>
        <w:rPr>
          <w:sz w:val="24"/>
        </w:rPr>
        <w:t xml:space="preserve"> and </w:t>
      </w:r>
      <w:r w:rsidRPr="00996C32">
        <w:rPr>
          <w:b/>
          <w:sz w:val="24"/>
        </w:rPr>
        <w:t xml:space="preserve">Figure </w:t>
      </w:r>
      <w:r>
        <w:rPr>
          <w:b/>
          <w:sz w:val="24"/>
        </w:rPr>
        <w:t>1</w:t>
      </w:r>
      <w:r w:rsidRPr="00996C32">
        <w:rPr>
          <w:sz w:val="24"/>
        </w:rPr>
        <w:t>)</w:t>
      </w:r>
      <w:r>
        <w:rPr>
          <w:sz w:val="24"/>
        </w:rPr>
        <w:t>, while c</w:t>
      </w:r>
      <w:r w:rsidRPr="00996C32">
        <w:rPr>
          <w:sz w:val="24"/>
        </w:rPr>
        <w:t xml:space="preserve">oncentrations in </w:t>
      </w:r>
      <w:r>
        <w:rPr>
          <w:sz w:val="24"/>
          <w:szCs w:val="24"/>
        </w:rPr>
        <w:t xml:space="preserve">epithelial lining fluid </w:t>
      </w:r>
      <w:r w:rsidRPr="00996C32">
        <w:rPr>
          <w:sz w:val="24"/>
        </w:rPr>
        <w:t>were 4-fold higher than plasma</w:t>
      </w:r>
      <w:r>
        <w:rPr>
          <w:sz w:val="24"/>
        </w:rPr>
        <w:t xml:space="preserve"> (</w:t>
      </w:r>
      <w:r w:rsidRPr="00325F74">
        <w:rPr>
          <w:sz w:val="24"/>
          <w:szCs w:val="24"/>
        </w:rPr>
        <w:t>95% CI:</w:t>
      </w:r>
      <w:r>
        <w:rPr>
          <w:sz w:val="24"/>
          <w:szCs w:val="24"/>
        </w:rPr>
        <w:t xml:space="preserve"> 3.3-4.6</w:t>
      </w:r>
      <w:r>
        <w:rPr>
          <w:sz w:val="24"/>
        </w:rPr>
        <w:t>)</w:t>
      </w:r>
      <w:r w:rsidRPr="00996C32">
        <w:rPr>
          <w:sz w:val="24"/>
        </w:rPr>
        <w:t xml:space="preserve">. </w:t>
      </w:r>
      <w:r>
        <w:rPr>
          <w:sz w:val="24"/>
        </w:rPr>
        <w:t xml:space="preserve">While median </w:t>
      </w:r>
      <w:r w:rsidRPr="00786D1E">
        <w:rPr>
          <w:sz w:val="24"/>
        </w:rPr>
        <w:t xml:space="preserve">plasma </w:t>
      </w:r>
      <w:proofErr w:type="spellStart"/>
      <w:r w:rsidRPr="00786D1E">
        <w:rPr>
          <w:sz w:val="24"/>
        </w:rPr>
        <w:t>C</w:t>
      </w:r>
      <w:r w:rsidRPr="00786D1E">
        <w:rPr>
          <w:sz w:val="24"/>
          <w:vertAlign w:val="subscript"/>
        </w:rPr>
        <w:t>max</w:t>
      </w:r>
      <w:proofErr w:type="spellEnd"/>
      <w:r>
        <w:rPr>
          <w:i/>
          <w:sz w:val="24"/>
        </w:rPr>
        <w:t xml:space="preserve"> </w:t>
      </w:r>
      <w:r>
        <w:rPr>
          <w:sz w:val="24"/>
        </w:rPr>
        <w:t xml:space="preserve">was low at 1.3 </w:t>
      </w:r>
      <w:proofErr w:type="spellStart"/>
      <w:r>
        <w:rPr>
          <w:rFonts w:cstheme="minorHAnsi"/>
          <w:sz w:val="24"/>
        </w:rPr>
        <w:t>μ</w:t>
      </w:r>
      <w:r>
        <w:rPr>
          <w:sz w:val="24"/>
        </w:rPr>
        <w:t>g</w:t>
      </w:r>
      <w:proofErr w:type="spellEnd"/>
      <w:r>
        <w:rPr>
          <w:sz w:val="24"/>
        </w:rPr>
        <w:t xml:space="preserve">/ml (IQR 1.1-1.6), higher peak concentrations of 5.2 </w:t>
      </w:r>
      <w:proofErr w:type="spellStart"/>
      <w:r>
        <w:rPr>
          <w:rFonts w:cstheme="minorHAnsi"/>
          <w:sz w:val="24"/>
        </w:rPr>
        <w:t>μ</w:t>
      </w:r>
      <w:r>
        <w:rPr>
          <w:sz w:val="24"/>
        </w:rPr>
        <w:t>g</w:t>
      </w:r>
      <w:proofErr w:type="spellEnd"/>
      <w:r>
        <w:rPr>
          <w:sz w:val="24"/>
        </w:rPr>
        <w:t xml:space="preserve">/ml (IQR 4.2-6.6) and 20.0 </w:t>
      </w:r>
      <w:proofErr w:type="spellStart"/>
      <w:r>
        <w:rPr>
          <w:rFonts w:cstheme="minorHAnsi"/>
          <w:sz w:val="24"/>
        </w:rPr>
        <w:t>μ</w:t>
      </w:r>
      <w:r>
        <w:rPr>
          <w:sz w:val="24"/>
        </w:rPr>
        <w:t>g</w:t>
      </w:r>
      <w:proofErr w:type="spellEnd"/>
      <w:r>
        <w:rPr>
          <w:sz w:val="24"/>
        </w:rPr>
        <w:t xml:space="preserve">/ml (15.4-25.3) were seen in </w:t>
      </w:r>
      <w:r>
        <w:rPr>
          <w:sz w:val="24"/>
          <w:szCs w:val="24"/>
        </w:rPr>
        <w:t xml:space="preserve">epithelial lining fluid </w:t>
      </w:r>
      <w:r>
        <w:rPr>
          <w:sz w:val="24"/>
        </w:rPr>
        <w:t xml:space="preserve">and alveolar cells respectively. </w:t>
      </w:r>
      <w:r w:rsidRPr="00996C32">
        <w:rPr>
          <w:sz w:val="24"/>
        </w:rPr>
        <w:t xml:space="preserve"> </w:t>
      </w:r>
    </w:p>
    <w:p w14:paraId="467962E7" w14:textId="77777777" w:rsidR="00DA7842" w:rsidRPr="00D12980" w:rsidRDefault="00DA7842" w:rsidP="004726FC">
      <w:pPr>
        <w:spacing w:after="0" w:line="480" w:lineRule="auto"/>
        <w:rPr>
          <w:b/>
          <w:bCs/>
          <w:sz w:val="24"/>
        </w:rPr>
      </w:pPr>
    </w:p>
    <w:p w14:paraId="5E1A0829" w14:textId="6B161874" w:rsidR="004A2504" w:rsidRDefault="001E5A45" w:rsidP="00372199">
      <w:pPr>
        <w:spacing w:after="0" w:line="480" w:lineRule="auto"/>
        <w:rPr>
          <w:i/>
          <w:iCs/>
          <w:sz w:val="24"/>
        </w:rPr>
      </w:pPr>
      <w:r>
        <w:rPr>
          <w:i/>
          <w:iCs/>
          <w:sz w:val="24"/>
        </w:rPr>
        <w:t>Drug susceptibility</w:t>
      </w:r>
    </w:p>
    <w:p w14:paraId="411A123D" w14:textId="38E70F1D" w:rsidR="006D7D06" w:rsidRDefault="006D7D06" w:rsidP="006D7D06">
      <w:pPr>
        <w:spacing w:after="0" w:line="480" w:lineRule="auto"/>
        <w:rPr>
          <w:sz w:val="24"/>
          <w:szCs w:val="24"/>
        </w:rPr>
      </w:pPr>
      <w:r w:rsidRPr="006D7D06">
        <w:rPr>
          <w:rFonts w:cstheme="minorHAnsi"/>
          <w:sz w:val="24"/>
          <w:szCs w:val="24"/>
        </w:rPr>
        <w:t xml:space="preserve">Baseline isolates (n=88) were highly sensitive to rifampicin: the modal </w:t>
      </w:r>
      <w:r>
        <w:rPr>
          <w:rFonts w:cstheme="minorHAnsi"/>
          <w:sz w:val="24"/>
          <w:szCs w:val="24"/>
        </w:rPr>
        <w:t>minimum inhibitory concentration (</w:t>
      </w:r>
      <w:r w:rsidRPr="006D7D06">
        <w:rPr>
          <w:rFonts w:cstheme="minorHAnsi"/>
          <w:sz w:val="24"/>
          <w:szCs w:val="24"/>
        </w:rPr>
        <w:t>MIC</w:t>
      </w:r>
      <w:r>
        <w:rPr>
          <w:rFonts w:cstheme="minorHAnsi"/>
          <w:sz w:val="24"/>
          <w:szCs w:val="24"/>
        </w:rPr>
        <w:t>)</w:t>
      </w:r>
      <w:r w:rsidRPr="006D7D06">
        <w:rPr>
          <w:rFonts w:cstheme="minorHAnsi"/>
          <w:sz w:val="24"/>
          <w:szCs w:val="24"/>
        </w:rPr>
        <w:t xml:space="preserve"> was 0.015, 0.03, and 0.5 </w:t>
      </w:r>
      <w:proofErr w:type="spellStart"/>
      <w:r w:rsidRPr="006D7D06">
        <w:rPr>
          <w:rFonts w:cstheme="minorHAnsi"/>
          <w:sz w:val="24"/>
          <w:szCs w:val="24"/>
        </w:rPr>
        <w:t>μg</w:t>
      </w:r>
      <w:proofErr w:type="spellEnd"/>
      <w:r w:rsidRPr="006D7D06">
        <w:rPr>
          <w:rFonts w:cstheme="minorHAnsi"/>
          <w:sz w:val="24"/>
          <w:szCs w:val="24"/>
        </w:rPr>
        <w:t>/ml for rifampicin, isoniazid, and ethambutol respectively (</w:t>
      </w:r>
      <w:r w:rsidRPr="006D7D06">
        <w:rPr>
          <w:rFonts w:cstheme="minorHAnsi"/>
          <w:b/>
          <w:sz w:val="24"/>
          <w:szCs w:val="24"/>
        </w:rPr>
        <w:t>Figure 2</w:t>
      </w:r>
      <w:r w:rsidRPr="006D7D06">
        <w:rPr>
          <w:rFonts w:cstheme="minorHAnsi"/>
          <w:sz w:val="24"/>
          <w:szCs w:val="24"/>
        </w:rPr>
        <w:t xml:space="preserve">). </w:t>
      </w:r>
      <w:r w:rsidR="00DA7842">
        <w:rPr>
          <w:rFonts w:cstheme="minorHAnsi"/>
          <w:sz w:val="24"/>
          <w:szCs w:val="24"/>
        </w:rPr>
        <w:t>One-hundred-thousand</w:t>
      </w:r>
      <w:r w:rsidRPr="006D7D06">
        <w:rPr>
          <w:sz w:val="24"/>
          <w:szCs w:val="24"/>
        </w:rPr>
        <w:t xml:space="preserve"> AUC, </w:t>
      </w:r>
      <w:proofErr w:type="spellStart"/>
      <w:r w:rsidRPr="006D7D06">
        <w:rPr>
          <w:sz w:val="24"/>
          <w:szCs w:val="24"/>
        </w:rPr>
        <w:t>C</w:t>
      </w:r>
      <w:r w:rsidRPr="006D7D06">
        <w:rPr>
          <w:sz w:val="24"/>
          <w:szCs w:val="24"/>
          <w:vertAlign w:val="subscript"/>
        </w:rPr>
        <w:t>max</w:t>
      </w:r>
      <w:proofErr w:type="spellEnd"/>
      <w:r w:rsidRPr="006D7D06">
        <w:rPr>
          <w:sz w:val="24"/>
          <w:szCs w:val="24"/>
        </w:rPr>
        <w:t>, and MIC values were generated from the mean and standard deviation</w:t>
      </w:r>
      <w:r w:rsidR="000D058D">
        <w:rPr>
          <w:sz w:val="24"/>
          <w:szCs w:val="24"/>
        </w:rPr>
        <w:t xml:space="preserve"> using Monte Carlo </w:t>
      </w:r>
      <w:proofErr w:type="gramStart"/>
      <w:r w:rsidR="000D058D">
        <w:rPr>
          <w:sz w:val="24"/>
          <w:szCs w:val="24"/>
        </w:rPr>
        <w:t>simulation</w:t>
      </w:r>
      <w:r w:rsidRPr="006D7D06">
        <w:rPr>
          <w:sz w:val="24"/>
          <w:szCs w:val="24"/>
        </w:rPr>
        <w:t>, and</w:t>
      </w:r>
      <w:proofErr w:type="gramEnd"/>
      <w:r w:rsidRPr="006D7D06">
        <w:rPr>
          <w:sz w:val="24"/>
          <w:szCs w:val="24"/>
        </w:rPr>
        <w:t xml:space="preserve"> used to describe the</w:t>
      </w:r>
      <w:r w:rsidR="009277E0">
        <w:rPr>
          <w:sz w:val="24"/>
          <w:szCs w:val="24"/>
        </w:rPr>
        <w:t xml:space="preserve"> likely</w:t>
      </w:r>
      <w:r w:rsidRPr="006D7D06">
        <w:rPr>
          <w:sz w:val="24"/>
          <w:szCs w:val="24"/>
        </w:rPr>
        <w:t xml:space="preserve"> distribution of AUC/MIC and </w:t>
      </w:r>
      <w:proofErr w:type="spellStart"/>
      <w:r w:rsidRPr="006D7D06">
        <w:rPr>
          <w:sz w:val="24"/>
          <w:szCs w:val="24"/>
        </w:rPr>
        <w:t>C</w:t>
      </w:r>
      <w:r w:rsidRPr="006D7D06">
        <w:rPr>
          <w:sz w:val="24"/>
          <w:szCs w:val="24"/>
          <w:vertAlign w:val="subscript"/>
        </w:rPr>
        <w:t>max</w:t>
      </w:r>
      <w:proofErr w:type="spellEnd"/>
      <w:r w:rsidRPr="006D7D06">
        <w:rPr>
          <w:sz w:val="24"/>
          <w:szCs w:val="24"/>
        </w:rPr>
        <w:t xml:space="preserve">/MIC </w:t>
      </w:r>
      <w:r w:rsidR="00A64359">
        <w:rPr>
          <w:sz w:val="24"/>
          <w:szCs w:val="24"/>
        </w:rPr>
        <w:t>in</w:t>
      </w:r>
      <w:r w:rsidR="00FC7600" w:rsidRPr="006D7D06">
        <w:rPr>
          <w:sz w:val="24"/>
          <w:szCs w:val="24"/>
        </w:rPr>
        <w:t xml:space="preserve"> </w:t>
      </w:r>
      <w:r w:rsidRPr="006D7D06">
        <w:rPr>
          <w:sz w:val="24"/>
          <w:szCs w:val="24"/>
        </w:rPr>
        <w:t>this cohort</w:t>
      </w:r>
      <w:r w:rsidR="00DA7842">
        <w:rPr>
          <w:sz w:val="24"/>
          <w:szCs w:val="24"/>
        </w:rPr>
        <w:t xml:space="preserve"> (</w:t>
      </w:r>
      <w:r w:rsidR="00DA7842">
        <w:rPr>
          <w:b/>
          <w:bCs/>
          <w:sz w:val="24"/>
          <w:szCs w:val="24"/>
        </w:rPr>
        <w:t>Table 3</w:t>
      </w:r>
      <w:r w:rsidR="00DA7842">
        <w:rPr>
          <w:sz w:val="24"/>
          <w:szCs w:val="24"/>
        </w:rPr>
        <w:t>)</w:t>
      </w:r>
      <w:r w:rsidRPr="006D7D06">
        <w:rPr>
          <w:sz w:val="24"/>
          <w:szCs w:val="24"/>
        </w:rPr>
        <w:t>.</w:t>
      </w:r>
    </w:p>
    <w:p w14:paraId="0D6483AD" w14:textId="77777777" w:rsidR="00DD3F8D" w:rsidRPr="00DA7842" w:rsidRDefault="00DD3F8D" w:rsidP="006D7D06">
      <w:pPr>
        <w:spacing w:after="0" w:line="480" w:lineRule="auto"/>
        <w:rPr>
          <w:rFonts w:cstheme="minorHAnsi"/>
          <w:sz w:val="24"/>
          <w:szCs w:val="24"/>
        </w:rPr>
      </w:pPr>
    </w:p>
    <w:p w14:paraId="6A930B3C" w14:textId="6115C4C4" w:rsidR="000453CC" w:rsidRDefault="000453CC" w:rsidP="000453CC">
      <w:pPr>
        <w:spacing w:after="0" w:line="480" w:lineRule="auto"/>
        <w:rPr>
          <w:i/>
          <w:sz w:val="24"/>
        </w:rPr>
      </w:pPr>
      <w:r>
        <w:rPr>
          <w:i/>
          <w:sz w:val="24"/>
        </w:rPr>
        <w:t>Relationship with clinical outcome</w:t>
      </w:r>
    </w:p>
    <w:p w14:paraId="4B647445" w14:textId="133BAC6C" w:rsidR="000453CC" w:rsidRDefault="000453CC" w:rsidP="000453CC">
      <w:pPr>
        <w:spacing w:after="0" w:line="480" w:lineRule="auto"/>
        <w:rPr>
          <w:rFonts w:cstheme="minorHAnsi"/>
          <w:sz w:val="24"/>
          <w:szCs w:val="24"/>
        </w:rPr>
      </w:pPr>
      <w:bookmarkStart w:id="2" w:name="_Hlk29651821"/>
      <w:r w:rsidRPr="00EE1136">
        <w:rPr>
          <w:rFonts w:cstheme="minorHAnsi"/>
          <w:sz w:val="24"/>
          <w:szCs w:val="24"/>
        </w:rPr>
        <w:lastRenderedPageBreak/>
        <w:t xml:space="preserve">One-hundred-and-twenty-six participants had sufficient data to assess </w:t>
      </w:r>
      <w:r>
        <w:rPr>
          <w:rFonts w:cstheme="minorHAnsi"/>
          <w:sz w:val="24"/>
          <w:szCs w:val="24"/>
        </w:rPr>
        <w:t>2-month culture conversion</w:t>
      </w:r>
      <w:r w:rsidRPr="00EE1136">
        <w:rPr>
          <w:rFonts w:cstheme="minorHAnsi"/>
          <w:sz w:val="24"/>
          <w:szCs w:val="24"/>
        </w:rPr>
        <w:t>: 81 (64%) had stable culture conversion by 2-months.</w:t>
      </w:r>
      <w:r>
        <w:rPr>
          <w:rFonts w:cstheme="minorHAnsi"/>
          <w:sz w:val="24"/>
          <w:szCs w:val="24"/>
        </w:rPr>
        <w:t xml:space="preserve"> </w:t>
      </w:r>
      <w:r w:rsidRPr="00EE1136">
        <w:rPr>
          <w:rFonts w:cstheme="minorHAnsi"/>
          <w:sz w:val="24"/>
          <w:szCs w:val="24"/>
        </w:rPr>
        <w:t>Clinical outcome was captured in 133 participants, with 15 (11%) unfavourable outcomes recorded</w:t>
      </w:r>
      <w:bookmarkEnd w:id="2"/>
      <w:r w:rsidRPr="00EE1136">
        <w:rPr>
          <w:rFonts w:cstheme="minorHAnsi"/>
          <w:sz w:val="24"/>
          <w:szCs w:val="24"/>
        </w:rPr>
        <w:t xml:space="preserve">. </w:t>
      </w:r>
      <w:r>
        <w:rPr>
          <w:rFonts w:cstheme="minorHAnsi"/>
          <w:sz w:val="24"/>
          <w:szCs w:val="24"/>
        </w:rPr>
        <w:t>Two-month culture conversion</w:t>
      </w:r>
      <w:r w:rsidRPr="00EE1136">
        <w:rPr>
          <w:rFonts w:cstheme="minorHAnsi"/>
          <w:sz w:val="24"/>
          <w:szCs w:val="24"/>
        </w:rPr>
        <w:t xml:space="preserve"> </w:t>
      </w:r>
      <w:r>
        <w:rPr>
          <w:rFonts w:cstheme="minorHAnsi"/>
          <w:sz w:val="24"/>
          <w:szCs w:val="24"/>
        </w:rPr>
        <w:t>was</w:t>
      </w:r>
      <w:r w:rsidRPr="00EE1136">
        <w:rPr>
          <w:rFonts w:cstheme="minorHAnsi"/>
          <w:sz w:val="24"/>
          <w:szCs w:val="24"/>
        </w:rPr>
        <w:t xml:space="preserve"> not predict</w:t>
      </w:r>
      <w:r>
        <w:rPr>
          <w:rFonts w:cstheme="minorHAnsi"/>
          <w:sz w:val="24"/>
          <w:szCs w:val="24"/>
        </w:rPr>
        <w:t>ive of</w:t>
      </w:r>
      <w:r w:rsidRPr="00EE1136">
        <w:rPr>
          <w:rFonts w:cstheme="minorHAnsi"/>
          <w:sz w:val="24"/>
          <w:szCs w:val="24"/>
        </w:rPr>
        <w:t xml:space="preserve"> clinical outcome (</w:t>
      </w:r>
      <w:r w:rsidRPr="00EE1136">
        <w:rPr>
          <w:rFonts w:cstheme="minorHAnsi"/>
          <w:i/>
          <w:sz w:val="24"/>
          <w:szCs w:val="24"/>
        </w:rPr>
        <w:t>p</w:t>
      </w:r>
      <w:r w:rsidRPr="00EE1136">
        <w:rPr>
          <w:rFonts w:cstheme="minorHAnsi"/>
          <w:sz w:val="24"/>
          <w:szCs w:val="24"/>
        </w:rPr>
        <w:t xml:space="preserve">&lt;0.05; </w:t>
      </w:r>
      <w:proofErr w:type="spellStart"/>
      <w:r w:rsidRPr="00EE1136">
        <w:rPr>
          <w:rFonts w:cstheme="minorHAnsi"/>
          <w:sz w:val="24"/>
          <w:szCs w:val="24"/>
        </w:rPr>
        <w:t>McNemar’s</w:t>
      </w:r>
      <w:proofErr w:type="spellEnd"/>
      <w:r w:rsidRPr="00EE1136">
        <w:rPr>
          <w:rFonts w:cstheme="minorHAnsi"/>
          <w:sz w:val="24"/>
          <w:szCs w:val="24"/>
        </w:rPr>
        <w:t xml:space="preserve"> hypothesis test for paired data).</w:t>
      </w:r>
      <w:r>
        <w:rPr>
          <w:rFonts w:cstheme="minorHAnsi"/>
          <w:sz w:val="24"/>
          <w:szCs w:val="24"/>
        </w:rPr>
        <w:t xml:space="preserve"> </w:t>
      </w:r>
      <w:r w:rsidR="00A27BAB">
        <w:rPr>
          <w:rFonts w:cstheme="minorHAnsi"/>
          <w:sz w:val="24"/>
          <w:szCs w:val="24"/>
        </w:rPr>
        <w:t>We observed no relationship between</w:t>
      </w:r>
      <w:r w:rsidR="00430992">
        <w:rPr>
          <w:rFonts w:cstheme="minorHAnsi"/>
          <w:sz w:val="24"/>
          <w:szCs w:val="24"/>
        </w:rPr>
        <w:t xml:space="preserve"> rifampicin AUC &gt; 13 </w:t>
      </w:r>
      <w:proofErr w:type="spellStart"/>
      <w:r w:rsidR="00430992" w:rsidRPr="00D03BBB">
        <w:rPr>
          <w:rFonts w:cstheme="minorHAnsi"/>
          <w:sz w:val="24"/>
          <w:szCs w:val="24"/>
        </w:rPr>
        <w:t>μg</w:t>
      </w:r>
      <w:r w:rsidR="00430992">
        <w:rPr>
          <w:rFonts w:cstheme="minorHAnsi"/>
          <w:sz w:val="24"/>
          <w:szCs w:val="24"/>
        </w:rPr>
        <w:t>.h</w:t>
      </w:r>
      <w:proofErr w:type="spellEnd"/>
      <w:r w:rsidR="00430992" w:rsidRPr="00D03BBB">
        <w:rPr>
          <w:rFonts w:cstheme="minorHAnsi"/>
          <w:sz w:val="24"/>
          <w:szCs w:val="24"/>
        </w:rPr>
        <w:t>/m</w:t>
      </w:r>
      <w:r w:rsidR="00430992">
        <w:rPr>
          <w:rFonts w:cstheme="minorHAnsi"/>
          <w:sz w:val="24"/>
          <w:szCs w:val="24"/>
        </w:rPr>
        <w:t>l</w:t>
      </w:r>
      <w:r w:rsidR="001862D3">
        <w:rPr>
          <w:rFonts w:cstheme="minorHAnsi"/>
          <w:sz w:val="24"/>
          <w:szCs w:val="24"/>
        </w:rPr>
        <w:t xml:space="preserve">, isoniazid AUC &gt; 52 </w:t>
      </w:r>
      <w:proofErr w:type="spellStart"/>
      <w:r w:rsidR="001862D3" w:rsidRPr="00D03BBB">
        <w:rPr>
          <w:rFonts w:cstheme="minorHAnsi"/>
          <w:sz w:val="24"/>
          <w:szCs w:val="24"/>
        </w:rPr>
        <w:t>μg</w:t>
      </w:r>
      <w:r w:rsidR="001862D3">
        <w:rPr>
          <w:rFonts w:cstheme="minorHAnsi"/>
          <w:sz w:val="24"/>
          <w:szCs w:val="24"/>
        </w:rPr>
        <w:t>.h</w:t>
      </w:r>
      <w:proofErr w:type="spellEnd"/>
      <w:r w:rsidR="001862D3" w:rsidRPr="00D03BBB">
        <w:rPr>
          <w:rFonts w:cstheme="minorHAnsi"/>
          <w:sz w:val="24"/>
          <w:szCs w:val="24"/>
        </w:rPr>
        <w:t>/m</w:t>
      </w:r>
      <w:r w:rsidR="001862D3">
        <w:rPr>
          <w:rFonts w:cstheme="minorHAnsi"/>
          <w:sz w:val="24"/>
          <w:szCs w:val="24"/>
        </w:rPr>
        <w:t>l, or pyrazinamide AUC &gt;</w:t>
      </w:r>
      <w:r w:rsidR="00A27BAB">
        <w:rPr>
          <w:rFonts w:cstheme="minorHAnsi"/>
          <w:sz w:val="24"/>
          <w:szCs w:val="24"/>
        </w:rPr>
        <w:t xml:space="preserve"> 363 </w:t>
      </w:r>
      <w:proofErr w:type="spellStart"/>
      <w:r w:rsidR="00A27BAB" w:rsidRPr="00D03BBB">
        <w:rPr>
          <w:rFonts w:cstheme="minorHAnsi"/>
          <w:sz w:val="24"/>
          <w:szCs w:val="24"/>
        </w:rPr>
        <w:t>μg</w:t>
      </w:r>
      <w:r w:rsidR="00A27BAB">
        <w:rPr>
          <w:rFonts w:cstheme="minorHAnsi"/>
          <w:sz w:val="24"/>
          <w:szCs w:val="24"/>
        </w:rPr>
        <w:t>.h</w:t>
      </w:r>
      <w:proofErr w:type="spellEnd"/>
      <w:r w:rsidR="00A27BAB" w:rsidRPr="00D03BBB">
        <w:rPr>
          <w:rFonts w:cstheme="minorHAnsi"/>
          <w:sz w:val="24"/>
          <w:szCs w:val="24"/>
        </w:rPr>
        <w:t>/m</w:t>
      </w:r>
      <w:r w:rsidR="00A27BAB">
        <w:rPr>
          <w:rFonts w:cstheme="minorHAnsi"/>
          <w:sz w:val="24"/>
          <w:szCs w:val="24"/>
        </w:rPr>
        <w:t xml:space="preserve">l and </w:t>
      </w:r>
      <w:r w:rsidR="00390DC8">
        <w:rPr>
          <w:rFonts w:cstheme="minorHAnsi"/>
          <w:sz w:val="24"/>
          <w:szCs w:val="24"/>
        </w:rPr>
        <w:t>clinical</w:t>
      </w:r>
      <w:r w:rsidR="00341F9E">
        <w:rPr>
          <w:rFonts w:cstheme="minorHAnsi"/>
          <w:sz w:val="24"/>
          <w:szCs w:val="24"/>
        </w:rPr>
        <w:t xml:space="preserve"> outcome</w:t>
      </w:r>
      <w:r w:rsidR="003107DE">
        <w:rPr>
          <w:rFonts w:cstheme="minorHAnsi"/>
          <w:sz w:val="24"/>
          <w:szCs w:val="24"/>
        </w:rPr>
        <w:t xml:space="preserve"> </w:t>
      </w:r>
      <w:r w:rsidR="00E07158">
        <w:rPr>
          <w:rFonts w:cstheme="minorHAnsi"/>
          <w:sz w:val="24"/>
          <w:szCs w:val="24"/>
        </w:rPr>
        <w:t>(</w:t>
      </w:r>
      <w:r w:rsidR="00341F9E">
        <w:rPr>
          <w:rFonts w:cstheme="minorHAnsi"/>
          <w:i/>
          <w:iCs/>
          <w:sz w:val="24"/>
          <w:szCs w:val="24"/>
        </w:rPr>
        <w:t>p</w:t>
      </w:r>
      <w:r w:rsidR="00341F9E">
        <w:rPr>
          <w:rFonts w:cstheme="minorHAnsi"/>
          <w:sz w:val="24"/>
          <w:szCs w:val="24"/>
        </w:rPr>
        <w:t>=1.000,</w:t>
      </w:r>
      <w:r w:rsidR="00986CB6">
        <w:rPr>
          <w:rFonts w:cstheme="minorHAnsi"/>
          <w:sz w:val="24"/>
          <w:szCs w:val="24"/>
        </w:rPr>
        <w:t xml:space="preserve"> </w:t>
      </w:r>
      <w:r w:rsidR="003107DE">
        <w:rPr>
          <w:rFonts w:cstheme="minorHAnsi"/>
          <w:sz w:val="24"/>
          <w:szCs w:val="24"/>
        </w:rPr>
        <w:t>F</w:t>
      </w:r>
      <w:r w:rsidR="00E07158">
        <w:rPr>
          <w:rFonts w:cstheme="minorHAnsi"/>
          <w:sz w:val="24"/>
          <w:szCs w:val="24"/>
        </w:rPr>
        <w:t>isher</w:t>
      </w:r>
      <w:r w:rsidR="003107DE">
        <w:rPr>
          <w:rFonts w:cstheme="minorHAnsi"/>
          <w:sz w:val="24"/>
          <w:szCs w:val="24"/>
        </w:rPr>
        <w:t>’</w:t>
      </w:r>
      <w:r w:rsidR="00E07158">
        <w:rPr>
          <w:rFonts w:cstheme="minorHAnsi"/>
          <w:sz w:val="24"/>
          <w:szCs w:val="24"/>
        </w:rPr>
        <w:t>s</w:t>
      </w:r>
      <w:r w:rsidR="003107DE">
        <w:rPr>
          <w:rFonts w:cstheme="minorHAnsi"/>
          <w:sz w:val="24"/>
          <w:szCs w:val="24"/>
        </w:rPr>
        <w:t xml:space="preserve"> exact test</w:t>
      </w:r>
      <w:r w:rsidR="008E2DC0">
        <w:rPr>
          <w:rFonts w:cstheme="minorHAnsi"/>
          <w:sz w:val="24"/>
          <w:szCs w:val="24"/>
        </w:rPr>
        <w:t>)</w:t>
      </w:r>
      <w:r w:rsidR="00513CDE">
        <w:rPr>
          <w:rFonts w:cstheme="minorHAnsi"/>
          <w:sz w:val="24"/>
          <w:szCs w:val="24"/>
        </w:rPr>
        <w:t xml:space="preserve">, nor any </w:t>
      </w:r>
      <w:r w:rsidR="00DD6D1A" w:rsidRPr="00DD6D1A">
        <w:rPr>
          <w:rFonts w:cstheme="minorHAnsi"/>
          <w:sz w:val="24"/>
          <w:szCs w:val="24"/>
        </w:rPr>
        <w:t>association between</w:t>
      </w:r>
      <w:r w:rsidR="0059362B">
        <w:rPr>
          <w:rFonts w:cstheme="minorHAnsi"/>
          <w:sz w:val="24"/>
          <w:szCs w:val="24"/>
        </w:rPr>
        <w:t xml:space="preserve"> baseline</w:t>
      </w:r>
      <w:r w:rsidR="00DD6D1A" w:rsidRPr="00DD6D1A">
        <w:rPr>
          <w:rFonts w:cstheme="minorHAnsi"/>
          <w:sz w:val="24"/>
          <w:szCs w:val="24"/>
        </w:rPr>
        <w:t xml:space="preserve"> MIC and 2-month culture conversion </w:t>
      </w:r>
      <w:r w:rsidR="0059362B">
        <w:rPr>
          <w:rFonts w:cstheme="minorHAnsi"/>
          <w:sz w:val="24"/>
          <w:szCs w:val="24"/>
        </w:rPr>
        <w:t>or</w:t>
      </w:r>
      <w:r w:rsidR="00DD6D1A" w:rsidRPr="00DD6D1A">
        <w:rPr>
          <w:rFonts w:cstheme="minorHAnsi"/>
          <w:sz w:val="24"/>
          <w:szCs w:val="24"/>
        </w:rPr>
        <w:t xml:space="preserve"> final outcome</w:t>
      </w:r>
      <w:r w:rsidR="00676567">
        <w:rPr>
          <w:rFonts w:cstheme="minorHAnsi"/>
          <w:sz w:val="24"/>
          <w:szCs w:val="24"/>
        </w:rPr>
        <w:t xml:space="preserve"> by logistic regression</w:t>
      </w:r>
      <w:r w:rsidR="00DD6D1A" w:rsidRPr="00DD6D1A">
        <w:rPr>
          <w:rFonts w:cstheme="minorHAnsi"/>
          <w:sz w:val="24"/>
          <w:szCs w:val="24"/>
        </w:rPr>
        <w:t xml:space="preserve">. </w:t>
      </w:r>
      <w:r w:rsidRPr="00EE1136">
        <w:rPr>
          <w:rFonts w:cstheme="minorHAnsi"/>
          <w:sz w:val="24"/>
          <w:szCs w:val="24"/>
        </w:rPr>
        <w:t xml:space="preserve">None of the </w:t>
      </w:r>
      <w:r>
        <w:rPr>
          <w:rFonts w:cstheme="minorHAnsi"/>
          <w:sz w:val="24"/>
          <w:szCs w:val="24"/>
        </w:rPr>
        <w:t>plasma or intrapulmonary pharmacokinetic</w:t>
      </w:r>
      <w:r w:rsidRPr="00EE1136">
        <w:rPr>
          <w:rFonts w:cstheme="minorHAnsi"/>
          <w:sz w:val="24"/>
          <w:szCs w:val="24"/>
        </w:rPr>
        <w:t xml:space="preserve"> parameters were associated with</w:t>
      </w:r>
      <w:r>
        <w:rPr>
          <w:rFonts w:cstheme="minorHAnsi"/>
          <w:sz w:val="24"/>
          <w:szCs w:val="24"/>
        </w:rPr>
        <w:t xml:space="preserve"> culture conversion or</w:t>
      </w:r>
      <w:r w:rsidRPr="00EE1136">
        <w:rPr>
          <w:rFonts w:cstheme="minorHAnsi"/>
          <w:sz w:val="24"/>
          <w:szCs w:val="24"/>
        </w:rPr>
        <w:t xml:space="preserve"> late clinical outcome</w:t>
      </w:r>
      <w:r>
        <w:rPr>
          <w:rFonts w:cstheme="minorHAnsi"/>
          <w:sz w:val="24"/>
          <w:szCs w:val="24"/>
        </w:rPr>
        <w:t xml:space="preserve"> (</w:t>
      </w:r>
      <w:r>
        <w:rPr>
          <w:rFonts w:cstheme="minorHAnsi"/>
          <w:b/>
          <w:sz w:val="24"/>
          <w:szCs w:val="24"/>
        </w:rPr>
        <w:t xml:space="preserve">Table </w:t>
      </w:r>
      <w:r w:rsidR="00D8728E">
        <w:rPr>
          <w:rFonts w:cstheme="minorHAnsi"/>
          <w:b/>
          <w:sz w:val="24"/>
          <w:szCs w:val="24"/>
        </w:rPr>
        <w:t>4</w:t>
      </w:r>
      <w:r>
        <w:rPr>
          <w:rFonts w:cstheme="minorHAnsi"/>
          <w:sz w:val="24"/>
          <w:szCs w:val="24"/>
        </w:rPr>
        <w:t>).</w:t>
      </w:r>
      <w:r w:rsidRPr="00EE1136">
        <w:rPr>
          <w:rFonts w:cstheme="minorHAnsi"/>
          <w:sz w:val="24"/>
          <w:szCs w:val="24"/>
        </w:rPr>
        <w:t xml:space="preserve"> </w:t>
      </w:r>
    </w:p>
    <w:p w14:paraId="21CA6851" w14:textId="77777777" w:rsidR="00917EAB" w:rsidRDefault="00917EAB" w:rsidP="00372199">
      <w:pPr>
        <w:spacing w:after="0" w:line="480" w:lineRule="auto"/>
        <w:rPr>
          <w:b/>
          <w:bCs/>
          <w:sz w:val="24"/>
        </w:rPr>
      </w:pPr>
    </w:p>
    <w:p w14:paraId="629E70B4" w14:textId="77777777" w:rsidR="005F047D" w:rsidRDefault="005F047D" w:rsidP="00372199">
      <w:pPr>
        <w:spacing w:after="0" w:line="480" w:lineRule="auto"/>
        <w:rPr>
          <w:b/>
          <w:bCs/>
          <w:sz w:val="24"/>
        </w:rPr>
      </w:pPr>
      <w:r>
        <w:rPr>
          <w:b/>
          <w:bCs/>
          <w:sz w:val="24"/>
        </w:rPr>
        <w:br w:type="page"/>
      </w:r>
    </w:p>
    <w:p w14:paraId="3B55619E" w14:textId="7EFA47B9" w:rsidR="001E5A45" w:rsidRDefault="00AF027B" w:rsidP="00372199">
      <w:pPr>
        <w:spacing w:after="0" w:line="480" w:lineRule="auto"/>
        <w:rPr>
          <w:b/>
          <w:bCs/>
          <w:sz w:val="24"/>
        </w:rPr>
      </w:pPr>
      <w:r>
        <w:rPr>
          <w:b/>
          <w:bCs/>
          <w:sz w:val="24"/>
        </w:rPr>
        <w:lastRenderedPageBreak/>
        <w:t>Discussion</w:t>
      </w:r>
    </w:p>
    <w:p w14:paraId="4C7D4D98" w14:textId="690BC502" w:rsidR="00F35CA9" w:rsidRPr="00E055B9" w:rsidRDefault="00A277F2" w:rsidP="00372199">
      <w:pPr>
        <w:spacing w:after="0" w:line="480" w:lineRule="auto"/>
        <w:rPr>
          <w:sz w:val="24"/>
        </w:rPr>
      </w:pPr>
      <w:r>
        <w:rPr>
          <w:sz w:val="24"/>
        </w:rPr>
        <w:t>We</w:t>
      </w:r>
      <w:r w:rsidR="00D078F9">
        <w:rPr>
          <w:sz w:val="24"/>
        </w:rPr>
        <w:t xml:space="preserve"> </w:t>
      </w:r>
      <w:r>
        <w:rPr>
          <w:sz w:val="24"/>
        </w:rPr>
        <w:t>observed</w:t>
      </w:r>
      <w:r w:rsidR="00D078F9">
        <w:rPr>
          <w:sz w:val="24"/>
        </w:rPr>
        <w:t xml:space="preserve"> low plasma drug concentrations for all four first-line</w:t>
      </w:r>
      <w:r w:rsidR="00A54EFC">
        <w:rPr>
          <w:sz w:val="24"/>
        </w:rPr>
        <w:t xml:space="preserve"> anti-TB</w:t>
      </w:r>
      <w:r w:rsidR="00D078F9">
        <w:rPr>
          <w:sz w:val="24"/>
        </w:rPr>
        <w:t xml:space="preserve"> drugs</w:t>
      </w:r>
      <w:r w:rsidRPr="00A277F2">
        <w:rPr>
          <w:sz w:val="24"/>
        </w:rPr>
        <w:t xml:space="preserve"> </w:t>
      </w:r>
      <w:r>
        <w:rPr>
          <w:sz w:val="24"/>
        </w:rPr>
        <w:t>i</w:t>
      </w:r>
      <w:r w:rsidRPr="00AF027B">
        <w:rPr>
          <w:sz w:val="24"/>
        </w:rPr>
        <w:t>n</w:t>
      </w:r>
      <w:r>
        <w:rPr>
          <w:sz w:val="24"/>
        </w:rPr>
        <w:t xml:space="preserve"> Malawian adults</w:t>
      </w:r>
      <w:r w:rsidR="002B0C3B">
        <w:rPr>
          <w:sz w:val="24"/>
        </w:rPr>
        <w:t>,</w:t>
      </w:r>
      <w:r w:rsidR="00C901DC">
        <w:rPr>
          <w:sz w:val="24"/>
        </w:rPr>
        <w:t xml:space="preserve"> relative </w:t>
      </w:r>
      <w:r w:rsidR="00ED666B">
        <w:rPr>
          <w:sz w:val="24"/>
        </w:rPr>
        <w:t xml:space="preserve">to established therapeutic drug monitoring targets </w:t>
      </w:r>
      <w:r w:rsidR="00C05226">
        <w:rPr>
          <w:sz w:val="24"/>
        </w:rPr>
        <w:fldChar w:fldCharType="begin" w:fldLock="1"/>
      </w:r>
      <w:r w:rsidR="00DE300B">
        <w:rPr>
          <w:sz w:val="24"/>
        </w:rPr>
        <w:instrText>ADDIN CSL_CITATION {"citationItems":[{"id":"ITEM-1","itemData":{"DOI":"10.1007/s40265-014-0222-8","ISBN":"1179-1950 (Electronic)\r0012-6667 (Linking)","PMID":"24846578","abstract":"Tuberculosis (TB) is the world's second leading infectious killer. Cases of multidrug-resistant (MDR-TB) and extremely drug-resistant (XDR-TB) have increased globally. Therapeutic drug monitoring (TDM) remains a standard clinical technique for using plasma drug concentrations to determine dose. For TB patients, TDM provides objective information for the clinician to make informed dosing decisions. Some patients are slow to respond to treatment, and TDM can shorten the time to response and to treatment completion. Normal plasma concentration ranges for the TB drugs have been defined. For practical reasons, only one or two samples are collected post-dose. A 2-h post-dose sample approximates the peak serum drug concentration (Cmax) for most TB drugs. Adding a 6-h sample allows the clinician to distinguish between delayed absorption and malabsorption. TDM requires that samples are promptly centrifuged, and that the serum is promptly harvested and frozen. Isoniazid and ethionamide, in particular, are not stable in human serum at room temperature. Rifampicin is stable for more than 6 h under these conditions. Since our 2002 review, several papers regarding TB drug pharmacokinetics, pharmacodynamics, and TDM have been published. Thus, we have better information regarding the concentrations required for effective TB therapy. In vitro and animal model data clearly show concentration responses for most TB drugs. Recent studies emphasize the importance of rifamycins and pyrazinamide as sterilizing agents. A strong argument can be made for maximizing patient exposure to these drugs, short of toxicity. Further, the very concept behind 'minimal inhibitory concentration' (MIC) implies that one should achieve concentrations above the minimum in order to maximize response. Some, but not all clinical data are consistent with the utility of this approach. The low ends of the TB drug normal ranges set reasonable 'floors' above which plasma concentrations should be maintained. Patients with diabetes and those infected with HIV have a particular risk for poor drug absorption, and for drug-drug interactions. Published guidelines typically describe interactions between two drugs, whereas the clinical situation often is considerably more complex. Under 'real-life' circumstances, TDM often is the best available tool for sorting out these multi-drug interactions, and for providing the patient safe and adequate doses. Plasma concentrations cannot explain all of the variability in …","author":[{"dropping-particle":"","family":"Alsultan","given":"A","non-dropping-particle":"","parse-names":false,"suffix":""},{"dropping-particle":"","family":"Peloquin","given":"C A","non-dropping-particle":"","parse-names":false,"suffix":""}],"container-title":"Drugs","id":"ITEM-1","issue":"8","issued":{"date-parts":[["2014"]]},"note":"Alsultan, Abdullah\nPeloquin, Charles A\neng\nReview\nNew Zealand\n2014/05/23 06:00\nDrugs. 2014 Jun;74(8):839-54. doi: 10.1007/s40265-014-0222-8.","page":"839-854","title":"Therapeutic drug monitoring in the treatment of tuberculosis: an update","type":"article-journal","volume":"74"},"uris":["http://www.mendeley.com/documents/?uuid=e95820ab-9e81-477e-be67-b50b258a82a8"]}],"mendeley":{"formattedCitation":"[29]","plainTextFormattedCitation":"[29]","previouslyFormattedCitation":"[25]"},"properties":{"noteIndex":0},"schema":"https://github.com/citation-style-language/schema/raw/master/csl-citation.json"}</w:instrText>
      </w:r>
      <w:r w:rsidR="00C05226">
        <w:rPr>
          <w:sz w:val="24"/>
        </w:rPr>
        <w:fldChar w:fldCharType="separate"/>
      </w:r>
      <w:r w:rsidR="00DE300B" w:rsidRPr="00DE300B">
        <w:rPr>
          <w:noProof/>
          <w:sz w:val="24"/>
        </w:rPr>
        <w:t>[29]</w:t>
      </w:r>
      <w:r w:rsidR="00C05226">
        <w:rPr>
          <w:sz w:val="24"/>
        </w:rPr>
        <w:fldChar w:fldCharType="end"/>
      </w:r>
      <w:r w:rsidR="00F35CA9" w:rsidRPr="00AF027B">
        <w:rPr>
          <w:sz w:val="24"/>
        </w:rPr>
        <w:t xml:space="preserve">. In addition, we </w:t>
      </w:r>
      <w:r>
        <w:rPr>
          <w:sz w:val="24"/>
        </w:rPr>
        <w:t>report</w:t>
      </w:r>
      <w:r w:rsidR="00F35CA9" w:rsidRPr="00AF027B">
        <w:rPr>
          <w:sz w:val="24"/>
        </w:rPr>
        <w:t xml:space="preserve"> differences in drug concentrations between plasma and pulmonary compartments. Rifampicin concentrations were low in both compartments, suggesting that the current recommended dose is not optimal. While plasma concentrations of isoniazid, pyrazinamide and ethambutol were also </w:t>
      </w:r>
      <w:r w:rsidR="00C05226">
        <w:rPr>
          <w:sz w:val="24"/>
        </w:rPr>
        <w:t>low</w:t>
      </w:r>
      <w:r w:rsidR="00F35CA9" w:rsidRPr="00AF027B">
        <w:rPr>
          <w:sz w:val="24"/>
        </w:rPr>
        <w:t>, these drugs achieved high</w:t>
      </w:r>
      <w:r w:rsidR="00142F4B">
        <w:rPr>
          <w:sz w:val="24"/>
        </w:rPr>
        <w:t>er</w:t>
      </w:r>
      <w:r w:rsidR="00F35CA9" w:rsidRPr="00AF027B">
        <w:rPr>
          <w:sz w:val="24"/>
        </w:rPr>
        <w:t xml:space="preserve"> concentrations in epithelial lining fluid and alveolar cells</w:t>
      </w:r>
      <w:r w:rsidR="00153503">
        <w:rPr>
          <w:sz w:val="24"/>
        </w:rPr>
        <w:t xml:space="preserve">; </w:t>
      </w:r>
      <w:r w:rsidR="00F35CA9" w:rsidRPr="00AF027B">
        <w:rPr>
          <w:sz w:val="24"/>
        </w:rPr>
        <w:t xml:space="preserve">accumulation at the tissue site of disease may be important for the success of first-line anti-TB therapy. </w:t>
      </w:r>
    </w:p>
    <w:p w14:paraId="457713BB" w14:textId="043CCEB8" w:rsidR="00F35CA9" w:rsidRDefault="00F35CA9" w:rsidP="00372199">
      <w:pPr>
        <w:spacing w:after="0" w:line="480" w:lineRule="auto"/>
        <w:rPr>
          <w:b/>
          <w:bCs/>
          <w:sz w:val="24"/>
        </w:rPr>
      </w:pPr>
    </w:p>
    <w:p w14:paraId="2403056A" w14:textId="2E7BD6B4" w:rsidR="00282093" w:rsidRPr="00BA7E8B" w:rsidRDefault="00342663" w:rsidP="00282093">
      <w:pPr>
        <w:spacing w:after="0" w:line="480" w:lineRule="auto"/>
        <w:rPr>
          <w:sz w:val="24"/>
        </w:rPr>
      </w:pPr>
      <w:r>
        <w:rPr>
          <w:sz w:val="24"/>
        </w:rPr>
        <w:t xml:space="preserve">The </w:t>
      </w:r>
      <w:r w:rsidR="00D27C3C">
        <w:rPr>
          <w:sz w:val="24"/>
        </w:rPr>
        <w:t>observed</w:t>
      </w:r>
      <w:r>
        <w:rPr>
          <w:sz w:val="24"/>
        </w:rPr>
        <w:t xml:space="preserve"> l</w:t>
      </w:r>
      <w:r w:rsidR="000E5FA5">
        <w:rPr>
          <w:sz w:val="24"/>
        </w:rPr>
        <w:t>ow plasma drug concentration</w:t>
      </w:r>
      <w:r w:rsidR="00142F4B">
        <w:rPr>
          <w:sz w:val="24"/>
        </w:rPr>
        <w:t xml:space="preserve">s </w:t>
      </w:r>
      <w:r w:rsidR="00D27C3C">
        <w:rPr>
          <w:sz w:val="24"/>
        </w:rPr>
        <w:t>we</w:t>
      </w:r>
      <w:r>
        <w:rPr>
          <w:sz w:val="24"/>
        </w:rPr>
        <w:t xml:space="preserve">re consistent with </w:t>
      </w:r>
      <w:r w:rsidRPr="00AF027B">
        <w:rPr>
          <w:sz w:val="24"/>
        </w:rPr>
        <w:t>other studies of steady</w:t>
      </w:r>
      <w:r>
        <w:rPr>
          <w:sz w:val="24"/>
        </w:rPr>
        <w:t>-</w:t>
      </w:r>
      <w:r w:rsidRPr="00AF027B">
        <w:rPr>
          <w:sz w:val="24"/>
        </w:rPr>
        <w:t xml:space="preserve">state pharmacokinetics </w:t>
      </w:r>
      <w:r w:rsidR="00AD0179">
        <w:rPr>
          <w:sz w:val="24"/>
        </w:rPr>
        <w:t>from</w:t>
      </w:r>
      <w:r w:rsidRPr="00AF027B">
        <w:rPr>
          <w:sz w:val="24"/>
        </w:rPr>
        <w:t xml:space="preserve"> TB patients in high-endemicity settings</w:t>
      </w:r>
      <w:r>
        <w:rPr>
          <w:sz w:val="24"/>
        </w:rPr>
        <w:t xml:space="preserve"> </w:t>
      </w:r>
      <w:r>
        <w:rPr>
          <w:sz w:val="24"/>
        </w:rPr>
        <w:fldChar w:fldCharType="begin" w:fldLock="1"/>
      </w:r>
      <w:r w:rsidR="00DE300B">
        <w:rPr>
          <w:sz w:val="24"/>
        </w:rPr>
        <w:instrText>ADDIN CSL_CITATION {"citationItems":[{"id":"ITEM-1","itemData":{"DOI":"10.1111/j.1365-2125.2011.03940.x","ISBN":"1365-2125 (Electronic)\r0306-5251 (Linking)","PMID":"21320152","abstract":"AIM: This study was designed to characterize the population pharmacokinetics of isoniazid in South African pulmonary tuberculosis patients. METHODS: Concentration-time measurements obtained from 235 patients receiving oral doses of isoniazid as part of routine tuberculosis chemotherapy in two clinical studies were pooled and subjected to nonlinear mixed-effects analysis. RESULTS: A two-compartmental model, including first-order absorption and elimination with allometric scaling, was found to describe the observed dose-exposure relationship for oral isoniazid adequately. A mixture model was used to characterize dual rates of isoniazid elimination. Estimates of apparent clearance in slow and fast eliminators were 9.70 and 21.6 l h(-1) , respectively. The proportion of fast eliminators in the population was estimated to be 13.2%. Central volume of distribution was estimated to be 10% smaller in female patients and clearance was found to be 17% lower in patients with HIV. Variability in absorption rate (90%) was completely interoccasional in nature, whereas in relative bioavailability, interoccasional variability (8.4%) was lower than interindividual variability (26%). Oral doses, given once daily according to dosing policies at the time, were sufficient to reach therapeutic concentrations in the majority of the studied population, regardless of eliminator phenotype. Simulations suggested that current treatment guidelines (5 mg kg(-1) ) may be suboptimal in fast eliminators with low body weight. CONCLUSIONS: A population pharmacokinetic model was developed to characterize the highly variable pharmacokinetics of isoniazid in a South African pulmonary tuberculosis patient population. Current treatment guidelines may lead to underexposure in rapid isoniazid eliminators.","author":[{"dropping-particle":"","family":"Wilkins","given":"J J","non-dropping-particle":"","parse-names":false,"suffix":""},{"dropping-particle":"","family":"Langdon","given":"G","non-dropping-particle":"","parse-names":false,"suffix":""},{"dropping-particle":"","family":"McIlleron","given":"H","non-dropping-particle":"","parse-names":false,"suffix":""},{"dropping-particle":"","family":"Pillai","given":"G","non-dropping-particle":"","parse-names":false,"suffix":""},{"dropping-particle":"","family":"Smith","given":"P J","non-dropping-particle":"","parse-names":false,"suffix":""},{"dropping-particle":"","family":"Simonsson","given":"U S","non-dropping-particle":"","parse-names":false,"suffix":""}],"container-title":"Br J Clin Pharmacol","id":"ITEM-1","issue":"1","issued":{"date-parts":[["2011"]]},"note":"Wilkins, Justin J\nLangdon, Grant\nMcIlleron, Helen\nPillai, Goonaseelan\nSmith, Peter J\nSimonsson, Ulrika S H\neng\nResearch Support, Non-U.S. Gov't\nEngland\n2011/02/16 06:00\nBr J Clin Pharmacol. 2011 Jul;72(1):51-62. doi: 10.1111/j.1365-2125.2011.03940.x.","page":"51-62","title":"Variability in the population pharmacokinetics of isoniazid in South African tuberculosis patients","type":"article-journal","volume":"72"},"uris":["http://www.mendeley.com/documents/?uuid=f9a599be-45ab-41c4-95ce-a2540bc29ddf"]},{"id":"ITEM-2","itemData":{"DOI":"10.1093/jac/dky152","ISBN":"0305-7453","PMID":"29701775","abstract":"Objectives: The objectives of this study were to explore inter-study heterogeneity in the pharmacokinetics (PK) of orally administered rifampicin, to derive summary estimates of rifampicin PK parameters at standard dosages and to compare these with summary estimates for higher dosages. Methods: A systematic search was performed for studies of rifampicin PK published in the English language up to May 2017. Data describing the Cmax and AUC were extracted. Meta-analysis provided summary estimates for PK parameter estimates at standard rifampicin dosages. Heterogeneity was assessed by estimation of the I2 statistic and visual inspection of forest plots. Summary AUC estimates at standard and higher dosages were compared graphically and contextualized using preclinical pharmacodynamic (PD) data. Results: Substantial heterogeneity in PK parameters was evident and upheld in meta-regression. Treatment duration had a significant impact on the summary estimates for rifampicin PK parameters, with Cmax 8.98 mg/L (SEM 2.19) after a single dose and 5.79 mg/L (SEM 2.14) at steady-state dosing, and AUC 72.56 mg.h/L (SEM 2.60) and 38.73 mg.h/L (SEM 4.33) after single and steady-state dosing, respectively. Rifampicin dosages of at least 25 mg/kg are required to achieve plasma PK/PD targets defined in preclinical studies. Conclusions: Vast inter-study heterogeneity exists in rifampicin PK parameter estimates. This is not explained by the available modifying variables. The recommended dosage of rifampicin should be increased to improve efficacy. This study provides an important point of reference for understanding rifampicin PK at standard dosages as efforts to explore higher dosing strategies continue in this field.","author":[{"dropping-particle":"","family":"Stott","given":"K E","non-dropping-particle":"","parse-names":false,"suffix":""},{"dropping-particle":"","family":"Pertinez","given":"H","non-dropping-particle":"","parse-names":false,"suffix":""},{"dropping-particle":"","family":"Sturkenboom","given":"M G G","non-dropping-particle":"","parse-names":false,"suffix":""},{"dropping-particle":"","family":"Boeree","given":"M J","non-dropping-particle":"","parse-names":false,"suffix":""},{"dropping-particle":"","family":"Aarnoutse","given":"R","non-dropping-particle":"","parse-names":false,"suffix":""},{"dropping-particle":"","family":"Ramachandran","given":"G","non-dropping-particle":"","parse-names":false,"suffix":""},{"dropping-particle":"","family":"Requena-Mendez","given":"A","non-dropping-particle":"","parse-names":false,"suffix":""},{"dropping-particle":"","family":"Peloquin","given":"C","non-dropping-particle":"","parse-names":false,"suffix":""},{"dropping-particle":"","family":"Koegelenberg","given":"C F N","non-dropping-particle":"","parse-names":false,"suffix":""},{"dropping-particle":"","family":"Alffenaar","given":"J W C","non-dropping-particle":"","parse-names":false,"suffix":""},{"dropping-particle":"","family":"Ruslami","given":"R","non-dropping-particle":"","parse-names":false,"suffix":""},{"dropping-particle":"","family":"Tostmann","given":"A","non-dropping-particle":"","parse-names":false,"suffix":""},{"dropping-particle":"","family":"Swaminathan","given":"S","non-dropping-particle":"","parse-names":false,"suffix":""},{"dropping-particle":"","family":"McIlleron","given":"H","non-dropping-particle":"","parse-names":false,"suffix":""},{"dropping-particle":"","family":"Davies","given":"G","non-dropping-particle":"","parse-names":false,"suffix":""}],"container-title":"J Antimicrob Chemother","edition":"2018/04/28","id":"ITEM-2","issued":{"date-parts":[["2018"]]},"language":"eng","note":"1460-2091\nStott, K E\nPertinez, H\nSturkenboom, M G G\nBoeree, M J\nAarnoutse, R\nRamachandran, G\nRequena-Mendez, A\nPeloquin, C\nKoegelenberg, C F N\nAlffenaar, J W C\nRuslami, R\nTostmann, A\nSwaminathan, S\nMcIlleron, H\nDavies, G\nJournal Article\nEngland\nJ Antimicrob Chemother. 2018 Apr 26. pii: 4986961. doi: 10.1093/jac/dky152.","title":"Pharmacokinetics of rifampicin in adult TB patients and healthy volunteers: a systematic review and meta-analysis","type":"article-journal"},"uris":["http://www.mendeley.com/documents/?uuid=01b5ce83-046c-4741-97f1-a197328a3cfb"]},{"id":"ITEM-3","itemData":{"DOI":"10.1128/AAC.01193-15","ISBN":"1098-6596 (Electronic)\r0066-4804 (Linking)","PMID":"26248378","abstract":"Limited data address the impact of HIV coinfection on the pharmacokinetics (PK) of antituberculosis drugs in sub-Saharan Africa. A total of 47 Malawian adults underwent rich pharmacokinetic sampling at 0, 0.5, 1, 2, 3, 4, 6, 8, and 24 h postdose. Of the subjects, 51% were male, their mean age was 34 years, and 65% were HIV-positive with a mean CD4 count of 268 cells/mul. Antituberculosis drugs were administered as fixed-dose combinations (150 mg rifampin, 75 mg isoniazid, 400 mg pyrazinamide, and 275 mg ethambutol) according to recommended weight bands. Plasma drug concentrations were determined by high-performance liquid chromatography (rifampin and pyrazinamide) or liquid chromatography-mass spectrometry (isoniazid and ethambutol). Data were analyzed by noncompartmental methods and analysis of variance of log-transformed summary parameters. The pharmacokinetic parameters were as follows (median [interquartile range]): for rifampin, maximum concentration of drug in plasma (Cmax) of 4.129 mug/ml (2.474 to 5.596 mug/ml), area under the curve from 0 to 24 h (AUC0-infinity) of 21.32 mug/ml . h (13.57 to 28.60 mug/ml . h), and half-life of 2.45 h (1.86 to 3.08 h); for isoniazid, Cmax of 3.97 mug/ml (2.979 to 4.544 mug/ml), AUC0-24 of 22.5 (14.75 to 34.59 mug/ml . h), and half-life of 3.93 h (3.18 to 4.73 h); for pyrazinamide, Cmax of 34.21 mug/ml (30.00 to 41.60 mug/ml), AUC0-24 of 386.6 mug/ml . h (320.0 to 463.7 mug/ml . h), and half-life of 6.821 h (5.71 to 8.042 h); and for ethambutol, Cmax of 2.278 mug/ml (1.694 to 3.098 mug/ml), AUC0-24 of 20.41 mug/ml . h (16.18 to 26.27 mug/ml . h), and half-life of 7.507 (6.517 to 8.696 h). The isoniazid PK data analysis suggested that around two-thirds of the participants were slow acetylators. Dose, weight, and weight-adjusted dose were not significant predictors of PK exposure, probably due to weight-banded dosing. In this first pharmacokinetic study of antituberculosis drugs in Malawian adults, measures of pharmacokinetic exposure were comparable with those of other studies for all first-line drugs except for rifampin, for which the Cmax and AUC0-24 values were notably lower. Contrary to some earlier observations, HIV status did not significantly affect the AUC of any of the drugs. Increasing the dose of rifampin might be beneficial in African adults, irrespective of HIV status. Current co-trimoxazole prophylaxis was associated with an increase in the half-life of isoniazid of 41% (P = 0.022). Possible competit…","author":[{"dropping-particle":"","family":"Oosterhout","given":"J J","non-dropping-particle":"van","parse-names":false,"suffix":""},{"dropping-particle":"","family":"Dzinjalamala","given":"F K","non-dropping-particle":"","parse-names":false,"suffix":""},{"dropping-particle":"","family":"Dimba","given":"A","non-dropping-particle":"","parse-names":false,"suffix":""},{"dropping-particle":"","family":"Waterhouse","given":"D","non-dropping-particle":"","parse-names":false,"suffix":""},{"dropping-particle":"","family":"Davies","given":"G","non-dropping-particle":"","parse-names":false,"suffix":""},{"dropping-particle":"","family":"Zijlstra","given":"E E","non-dropping-particle":"","parse-names":false,"suffix":""},{"dropping-particle":"","family":"Molyneux","given":"M E","non-dropping-particle":"","parse-names":false,"suffix":""},{"dropping-particle":"","family":"Molyneux","given":"E M","non-dropping-particle":"","parse-names":false,"suffix":""},{"dropping-particle":"","family":"Ward","given":"S","non-dropping-particle":"","parse-names":false,"suffix":""}],"container-title":"Antimicrob Agents Chemother","edition":"2015/08/08","id":"ITEM-3","issue":"10","issued":{"date-parts":[["2015"]]},"language":"eng","note":"van Oosterhout, J J\nDzinjalamala, F K\nDimba, A\nWaterhouse, D\nDavies, G\nZijlstra, E E\nMolyneux, M E\nMolyneux, E M\nWard, S\neng\nWellcome Trust/United Kingdom\nClinical Trial\nResearch Support, Non-U.S. Gov't\n2015/08/08 06:00\nAntimicrob Agents Chemother. 2015 Oct;59(10):6175-80. doi: 10.1128/AAC.01193-15. Epub 2015 Jul 27.","page":"6175-6180","title":"Pharmacokinetics of Antituberculosis Drugs in HIV-Positive and HIV-Negative Adults in Malawi","type":"article-journal","volume":"59"},"uris":["http://www.mendeley.com/documents/?uuid=d03d6515-8def-4f1c-992c-d7903828d7c3"]},{"id":"ITEM-4","itemData":{"DOI":"10.1128/aac.50.4.1170-1177.2006","ISSN":"0066-4804 (Print)\r0066-4804","PMID":"16569826","abstract":"Evaluation of sources of pharmacokinetic variation can facilitate optimization of tuberculosis treatment regimens by identification of avoidable sources of variation and of risk factors for low or high drug concentrations in patients. Our objective was to describe the pharmacokinetics of rifampin, isoniazid, pyrazinamide, and ethambutol in a cohort of tuberculosis patients established on first-line treatment regimens and to evaluate the determinants of pharmacokinetic variation. Plasma concentration-time profiles were determined for each of the drugs in 142 patients with drug-sensitive pulmonary tuberculosis after 2 months of daily treatment in hospital. Pharmacokinetic measures were described by noncompartmental analysis. Multiple linear regression was used to evaluate the patient and the treatment factors associated with variation of the area under the concentration-time curve from 0 to 8 h. Several factors independently associated with variations in antituberculosis drug concentrations were identified: human immunodeficiency virus infection was associated with 39% and 27% reductions for rifampin and ethambutol, respectively; formulation factors were determinants of rifampin and isoniazid bioavailability; female patients had increased rifampin and isoniazid concentrations but reduced ethambutol concentrations; older patients had higher levels of isoniazid and ethambutol; patients with a history of previous antituberculosis treatment had lower ethambutol concentrations; and the dose per kilogram of body weight was associated with the concentrations of all four agents. Further studies are required to assess the implications of variations in antituberculosis drug concentrations for efficacy and safety before decisions are made to change the dosing strategy in patients at risk.","author":[{"dropping-particle":"","family":"McIlleron","given":"H","non-dropping-particle":"","parse-names":false,"suffix":""},{"dropping-particle":"","family":"Wash","given":"P","non-dropping-particle":"","parse-names":false,"suffix":""},{"dropping-particle":"","family":"Burger","given":"A","non-dropping-particle":"","parse-names":false,"suffix":""},{"dropping-particle":"","family":"Norman","given":"J","non-dropping-particle":"","parse-names":false,"suffix":""},{"dropping-particle":"","family":"Folb","given":"P I","non-dropping-particle":"","parse-names":false,"suffix":""},{"dropping-particle":"","family":"Smith","given":"P","non-dropping-particle":"","parse-names":false,"suffix":""}],"container-title":"Antimicrob Agents Chemother","edition":"2006/03/30","id":"ITEM-4","issue":"4","issued":{"date-parts":[["2006"]]},"language":"eng","note":"McIlleron, Helen\rWash, Peter\rBurger, Andre\rNorman, Jennifer\rFolb, Peter I\rSmith, Pete\rJournal Article\rResearch Support, Non-U.S. Gov't\rUnited States\rAntimicrob Agents Chemother. 2006 Apr;50(4):1170-7.","page":"1170-1177","title":"Determinants of rifampin, isoniazid, pyrazinamide, and ethambutol pharmacokinetics in a cohort of tuberculosis patients","type":"article-journal","volume":"50"},"uris":["http://www.mendeley.com/documents/?uuid=28c5ea8d-c4bf-3d72-9592-b4ba56653337"]},{"id":"ITEM-5","itemData":{"DOI":"10.1371/journal.pone.0141002","ISBN":"1932-6203 (Electronic)\r1932-6203 (Linking)","PMID":"26501782","abstract":"Exposure to lower-than-therapeutic levels of anti-tuberculosis drugs is likely to cause selection of resistant strains of Mycobacterium tuberculosis and treatment failure. The first-line anti-tuberculosis (TB) regimen consists of rifampicin, isoniazid, pyrazinamide, and ethambutol, and correct management reduces risk of TB relapse and development of drug resistance. In this study we aimed to investigate the effect of standard of care plus nutritional supplementation versus standard care on the pharmacokinetics of isoniazid, pyrazinamide and ethambutol among sputum smear positive TB patients with and without HIV. In a clinical trial in 100 Tanzanian TB patients, with or without HIV infection, drug concentrations were determined at 1 week and 2 months post initiation of anti-TB medication. Data was analysed using population pharmacokinetic modelling. The effect of body size was described using allometric scaling, and the effects of nutritional supplementation, HIV, age, sex, CD4+ count, weight-adjusted dose, NAT2 genotype, and time on TB treatment were investigated. The kinetics of all drugs was well characterised using first-order elimination and transit compartment absorption, with isoniazid and ethambutol described by two-compartment disposition models, and pyrazinamide by a one-compartment model. Patients with a slow NAT2 genotype had higher isoniazid exposure and a lower estimate of oral clearance (15.5 L/h) than rapid/intermediate NAT2 genotype (26.1 L/h). Pyrazinamide clearance had an estimated typical value of 3.32 L/h, and it was found to increase with time on treatment, with a 16.3% increase after the first 2 months of anti-TB treatment. The typical clearance of ethambutol was estimated to be 40.7 L/h, and was found to decrease with age, at a rate of 1.41% per year. Neither HIV status nor nutritional supplementations were found to affect the pharmacokinetics of these drugs in our cohort of patients.","author":[{"dropping-particle":"","family":"Denti","given":"P","non-dropping-particle":"","parse-names":false,"suffix":""},{"dropping-particle":"","family":"Jeremiah","given":"K","non-dropping-particle":"","parse-names":false,"suffix":""},{"dropping-particle":"","family":"Chigutsa","given":"E","non-dropping-particle":"","parse-names":false,"suffix":""},{"dropping-particle":"","family":"Faurholt-Jepsen","given":"D","non-dropping-particle":"","parse-names":false,"suffix":""},{"dropping-particle":"","family":"PrayGod","given":"G","non-dropping-particle":"","parse-names":false,"suffix":""},{"dropping-particle":"","family":"Range","given":"N","non-dropping-particle":"","parse-names":false,"suffix":""},{"dropping-particle":"","family":"Castel","given":"S","non-dropping-particle":"","parse-names":false,"suffix":""},{"dropping-particle":"","family":"Wiesner","given":"L","non-dropping-particle":"","parse-names":false,"suffix":""},{"dropping-particle":"","family":"Hagen","given":"C M","non-dropping-particle":"","parse-names":false,"suffix":""},{"dropping-particle":"","family":"Christiansen","given":"M","non-dropping-particle":"","parse-names":false,"suffix":""},{"dropping-particle":"","family":"Changalucha","given":"J","non-dropping-particle":"","parse-names":false,"suffix":""},{"dropping-particle":"","family":"McIlleron","given":"H","non-dropping-particle":"","parse-names":false,"suffix":""},{"dropping-particle":"","family":"Friis","given":"H","non-dropping-particle":"","parse-names":false,"suffix":""},{"dropping-particle":"","family":"Andersen","given":"A B","non-dropping-particle":"","parse-names":false,"suffix":""}],"container-title":"PLoS One","edition":"2015/10/27","id":"ITEM-5","issue":"10","issued":{"date-parts":[["2015"]]},"language":"Eng","note":"Denti, Paolo\nJeremiah, Kidola\nChigutsa, Emmanuel\nFaurholt-Jepsen, Daniel\nPrayGod, George\nRange, Nyagosya\nCastel, Sandra\nWiesner, Lubbe\nHagen, Christian Munch\nChristiansen, Michael\nChangalucha, John\nMcIlleron, Helen\nFriis, Henrik\nAndersen, Aase Bengaard\neng\nUM1 AI106701/AI/NIAID NIH HHS/\nUM1 AI068634/AI/NIAID NIH HHS/\nUM1 AI068636/AI/NIAID NIH HHS/\nRandomized Controlled Trial\nResearch Support, N.I.H., Extramural\nResearch Support, Non-U.S. Gov't\n2015/10/27 06:00\nPLoS One. 2015 Oct 26;10(10):e0141002. doi: 10.1371/journal.pone.0141002. eCollection 2015.","page":"e0141002","title":"Pharmacokinetics of isoniazid, pyrazinamide, and ethambutol in newly diagnosed pulmonary TB patients in Tanzania","type":"article-journal","volume":"10"},"uris":["http://www.mendeley.com/documents/?uuid=910e3b16-fcea-4995-8114-7d42210c834a"]}],"mendeley":{"formattedCitation":"[2,32–35]","plainTextFormattedCitation":"[2,32–35]","previouslyFormattedCitation":"[2,29–32]"},"properties":{"noteIndex":0},"schema":"https://github.com/citation-style-language/schema/raw/master/csl-citation.json"}</w:instrText>
      </w:r>
      <w:r>
        <w:rPr>
          <w:sz w:val="24"/>
        </w:rPr>
        <w:fldChar w:fldCharType="separate"/>
      </w:r>
      <w:r w:rsidR="00DE300B" w:rsidRPr="00DE300B">
        <w:rPr>
          <w:noProof/>
          <w:sz w:val="24"/>
        </w:rPr>
        <w:t>[2,32–35]</w:t>
      </w:r>
      <w:r>
        <w:rPr>
          <w:sz w:val="24"/>
        </w:rPr>
        <w:fldChar w:fldCharType="end"/>
      </w:r>
      <w:r w:rsidR="00D27C3C">
        <w:rPr>
          <w:sz w:val="24"/>
        </w:rPr>
        <w:t xml:space="preserve">. </w:t>
      </w:r>
      <w:r w:rsidR="00196F26">
        <w:rPr>
          <w:sz w:val="24"/>
        </w:rPr>
        <w:t>T</w:t>
      </w:r>
      <w:r w:rsidR="00DF5A74">
        <w:rPr>
          <w:sz w:val="24"/>
        </w:rPr>
        <w:t>arget</w:t>
      </w:r>
      <w:r w:rsidR="00E95E54">
        <w:rPr>
          <w:sz w:val="24"/>
        </w:rPr>
        <w:t xml:space="preserve"> concentration</w:t>
      </w:r>
      <w:r w:rsidR="00275819">
        <w:rPr>
          <w:sz w:val="24"/>
        </w:rPr>
        <w:t xml:space="preserve">s </w:t>
      </w:r>
      <w:r w:rsidR="004D52CD">
        <w:rPr>
          <w:sz w:val="24"/>
        </w:rPr>
        <w:t xml:space="preserve">for therapeutic drug monitoring </w:t>
      </w:r>
      <w:r w:rsidR="00275819">
        <w:rPr>
          <w:sz w:val="24"/>
        </w:rPr>
        <w:t>were</w:t>
      </w:r>
      <w:r w:rsidR="00196F26">
        <w:rPr>
          <w:sz w:val="24"/>
        </w:rPr>
        <w:t xml:space="preserve"> derived from </w:t>
      </w:r>
      <w:r w:rsidR="00C35A42">
        <w:rPr>
          <w:sz w:val="24"/>
        </w:rPr>
        <w:t xml:space="preserve">descriptions </w:t>
      </w:r>
      <w:r w:rsidR="00961B1F">
        <w:rPr>
          <w:sz w:val="24"/>
        </w:rPr>
        <w:t xml:space="preserve">of drug exposure in </w:t>
      </w:r>
      <w:r w:rsidR="00DF5A74">
        <w:rPr>
          <w:sz w:val="24"/>
        </w:rPr>
        <w:t xml:space="preserve">both </w:t>
      </w:r>
      <w:r w:rsidR="00961B1F">
        <w:rPr>
          <w:sz w:val="24"/>
        </w:rPr>
        <w:t>patients and healthy volunteers</w:t>
      </w:r>
      <w:r w:rsidR="00DF5A74">
        <w:rPr>
          <w:sz w:val="24"/>
        </w:rPr>
        <w:t>,</w:t>
      </w:r>
      <w:r w:rsidR="00275819">
        <w:rPr>
          <w:sz w:val="24"/>
        </w:rPr>
        <w:t xml:space="preserve"> and</w:t>
      </w:r>
      <w:r w:rsidR="00591D4D">
        <w:rPr>
          <w:sz w:val="24"/>
        </w:rPr>
        <w:t xml:space="preserve"> have been associated </w:t>
      </w:r>
      <w:r w:rsidR="000D2597">
        <w:rPr>
          <w:sz w:val="24"/>
        </w:rPr>
        <w:t xml:space="preserve">with </w:t>
      </w:r>
      <w:r w:rsidR="00AF1C9C">
        <w:rPr>
          <w:sz w:val="24"/>
        </w:rPr>
        <w:t xml:space="preserve">clinical </w:t>
      </w:r>
      <w:r w:rsidR="000D2597">
        <w:rPr>
          <w:sz w:val="24"/>
        </w:rPr>
        <w:t>outcomes</w:t>
      </w:r>
      <w:r w:rsidR="00034CAF">
        <w:rPr>
          <w:sz w:val="24"/>
        </w:rPr>
        <w:t xml:space="preserve"> in some </w:t>
      </w:r>
      <w:r w:rsidR="00BF7D8D">
        <w:rPr>
          <w:sz w:val="24"/>
        </w:rPr>
        <w:t xml:space="preserve">studies </w:t>
      </w:r>
      <w:r w:rsidR="007A2B7B">
        <w:rPr>
          <w:sz w:val="24"/>
        </w:rPr>
        <w:fldChar w:fldCharType="begin" w:fldLock="1"/>
      </w:r>
      <w:r w:rsidR="00DE300B">
        <w:rPr>
          <w:sz w:val="24"/>
        </w:rPr>
        <w:instrText>ADDIN CSL_CITATION {"citationItems":[{"id":"ITEM-1","itemData":{"DOI":"10.1007/s40265-014-0222-8","ISBN":"1179-1950 (Electronic)\r0012-6667 (Linking)","PMID":"24846578","abstract":"Tuberculosis (TB) is the world's second leading infectious killer. Cases of multidrug-resistant (MDR-TB) and extremely drug-resistant (XDR-TB) have increased globally. Therapeutic drug monitoring (TDM) remains a standard clinical technique for using plasma drug concentrations to determine dose. For TB patients, TDM provides objective information for the clinician to make informed dosing decisions. Some patients are slow to respond to treatment, and TDM can shorten the time to response and to treatment completion. Normal plasma concentration ranges for the TB drugs have been defined. For practical reasons, only one or two samples are collected post-dose. A 2-h post-dose sample approximates the peak serum drug concentration (Cmax) for most TB drugs. Adding a 6-h sample allows the clinician to distinguish between delayed absorption and malabsorption. TDM requires that samples are promptly centrifuged, and that the serum is promptly harvested and frozen. Isoniazid and ethionamide, in particular, are not stable in human serum at room temperature. Rifampicin is stable for more than 6 h under these conditions. Since our 2002 review, several papers regarding TB drug pharmacokinetics, pharmacodynamics, and TDM have been published. Thus, we have better information regarding the concentrations required for effective TB therapy. In vitro and animal model data clearly show concentration responses for most TB drugs. Recent studies emphasize the importance of rifamycins and pyrazinamide as sterilizing agents. A strong argument can be made for maximizing patient exposure to these drugs, short of toxicity. Further, the very concept behind 'minimal inhibitory concentration' (MIC) implies that one should achieve concentrations above the minimum in order to maximize response. Some, but not all clinical data are consistent with the utility of this approach. The low ends of the TB drug normal ranges set reasonable 'floors' above which plasma concentrations should be maintained. Patients with diabetes and those infected with HIV have a particular risk for poor drug absorption, and for drug-drug interactions. Published guidelines typically describe interactions between two drugs, whereas the clinical situation often is considerably more complex. Under 'real-life' circumstances, TDM often is the best available tool for sorting out these multi-drug interactions, and for providing the patient safe and adequate doses. Plasma concentrations cannot explain all of the variability in …","author":[{"dropping-particle":"","family":"Alsultan","given":"A","non-dropping-particle":"","parse-names":false,"suffix":""},{"dropping-particle":"","family":"Peloquin","given":"C A","non-dropping-particle":"","parse-names":false,"suffix":""}],"container-title":"Drugs","id":"ITEM-1","issue":"8","issued":{"date-parts":[["2014"]]},"note":"Alsultan, Abdullah\nPeloquin, Charles A\neng\nReview\nNew Zealand\n2014/05/23 06:00\nDrugs. 2014 Jun;74(8):839-54. doi: 10.1007/s40265-014-0222-8.","page":"839-854","title":"Therapeutic drug monitoring in the treatment of tuberculosis: an update","type":"article-journal","volume":"74"},"uris":["http://www.mendeley.com/documents/?uuid=e95820ab-9e81-477e-be67-b50b258a82a8"]},{"id":"ITEM-2","itemData":{"DOI":"10.4155/ipk-2017-0004","ISSN":"2053-0846","abstract":"Tuberculosis remains a major infectious cause of morbidity and mortality worldwide. Current antibiotic regimens, constructed prior to the development of modern pharmacokinetic-pharmacodynamic (PK–P...","author":[{"dropping-particle":"","family":"McCallum","given":"Andrew D","non-dropping-particle":"","parse-names":false,"suffix":""},{"dropping-particle":"","family":"Sloan","given":"Derek J","non-dropping-particle":"","parse-names":false,"suffix":""}],"container-title":"International Journal of Pharmacokinetics","id":"ITEM-2","issue":"3","issued":{"date-parts":[["2017"]]},"page":"195-212","title":"The importance of clinical pharmacokinetic–pharmacodynamic studies in unraveling the determinants of early and late tuberculosis outcomes","type":"article-journal","volume":"2"},"uris":["http://www.mendeley.com/documents/?uuid=8fe11458-6e4d-35f8-90d4-5cd57d8bcb02"]}],"mendeley":{"formattedCitation":"[10,29]","plainTextFormattedCitation":"[10,29]","previouslyFormattedCitation":"[6,25]"},"properties":{"noteIndex":0},"schema":"https://github.com/citation-style-language/schema/raw/master/csl-citation.json"}</w:instrText>
      </w:r>
      <w:r w:rsidR="007A2B7B">
        <w:rPr>
          <w:sz w:val="24"/>
        </w:rPr>
        <w:fldChar w:fldCharType="separate"/>
      </w:r>
      <w:r w:rsidR="00DE300B" w:rsidRPr="00DE300B">
        <w:rPr>
          <w:noProof/>
          <w:sz w:val="24"/>
        </w:rPr>
        <w:t>[10,29]</w:t>
      </w:r>
      <w:r w:rsidR="007A2B7B">
        <w:rPr>
          <w:sz w:val="24"/>
        </w:rPr>
        <w:fldChar w:fldCharType="end"/>
      </w:r>
      <w:r w:rsidR="00282093">
        <w:rPr>
          <w:sz w:val="24"/>
        </w:rPr>
        <w:t xml:space="preserve">. </w:t>
      </w:r>
      <w:r w:rsidR="002548C4">
        <w:rPr>
          <w:sz w:val="24"/>
        </w:rPr>
        <w:t>Furthermore</w:t>
      </w:r>
      <w:r w:rsidR="008D563E">
        <w:rPr>
          <w:sz w:val="24"/>
        </w:rPr>
        <w:t>, most</w:t>
      </w:r>
      <w:r w:rsidR="00282093" w:rsidRPr="00BA7E8B">
        <w:rPr>
          <w:sz w:val="24"/>
        </w:rPr>
        <w:t xml:space="preserve"> patients in our study did not achieve the proposed </w:t>
      </w:r>
      <w:proofErr w:type="spellStart"/>
      <w:r w:rsidR="00282093" w:rsidRPr="00BA7E8B">
        <w:rPr>
          <w:sz w:val="24"/>
        </w:rPr>
        <w:t>C</w:t>
      </w:r>
      <w:r w:rsidR="00282093" w:rsidRPr="00BA7E8B">
        <w:rPr>
          <w:sz w:val="24"/>
          <w:vertAlign w:val="subscript"/>
        </w:rPr>
        <w:t>max</w:t>
      </w:r>
      <w:proofErr w:type="spellEnd"/>
      <w:r w:rsidR="00282093" w:rsidRPr="00BA7E8B">
        <w:rPr>
          <w:sz w:val="24"/>
        </w:rPr>
        <w:t xml:space="preserve"> </w:t>
      </w:r>
      <w:r w:rsidR="008D563E">
        <w:rPr>
          <w:sz w:val="24"/>
        </w:rPr>
        <w:t xml:space="preserve">(pyrazinamide: </w:t>
      </w:r>
      <w:r w:rsidR="008D563E" w:rsidRPr="0062253A">
        <w:rPr>
          <w:sz w:val="24"/>
        </w:rPr>
        <w:t xml:space="preserve">35 </w:t>
      </w:r>
      <w:proofErr w:type="spellStart"/>
      <w:r w:rsidR="008D563E" w:rsidRPr="0062253A">
        <w:rPr>
          <w:sz w:val="24"/>
        </w:rPr>
        <w:t>μg</w:t>
      </w:r>
      <w:proofErr w:type="spellEnd"/>
      <w:r w:rsidR="008D563E" w:rsidRPr="0062253A">
        <w:rPr>
          <w:sz w:val="24"/>
        </w:rPr>
        <w:t>/ml</w:t>
      </w:r>
      <w:r w:rsidR="008D563E">
        <w:rPr>
          <w:sz w:val="24"/>
        </w:rPr>
        <w:t xml:space="preserve">) </w:t>
      </w:r>
      <w:r w:rsidR="00282093" w:rsidRPr="00BA7E8B">
        <w:rPr>
          <w:sz w:val="24"/>
        </w:rPr>
        <w:t xml:space="preserve">or AUC </w:t>
      </w:r>
      <w:r w:rsidR="002A1380">
        <w:rPr>
          <w:sz w:val="24"/>
        </w:rPr>
        <w:t>cut-offs</w:t>
      </w:r>
      <w:r w:rsidR="00282093" w:rsidRPr="00BA7E8B">
        <w:rPr>
          <w:sz w:val="24"/>
        </w:rPr>
        <w:t xml:space="preserve"> </w:t>
      </w:r>
      <w:r w:rsidR="008A0447">
        <w:rPr>
          <w:sz w:val="24"/>
        </w:rPr>
        <w:t xml:space="preserve">(isoniazid: 52 </w:t>
      </w:r>
      <w:proofErr w:type="spellStart"/>
      <w:r w:rsidR="008A0447" w:rsidRPr="00D03BBB">
        <w:rPr>
          <w:rFonts w:cstheme="minorHAnsi"/>
          <w:sz w:val="24"/>
          <w:szCs w:val="24"/>
        </w:rPr>
        <w:t>μg</w:t>
      </w:r>
      <w:r w:rsidR="008A0447">
        <w:rPr>
          <w:rFonts w:cstheme="minorHAnsi"/>
          <w:sz w:val="24"/>
          <w:szCs w:val="24"/>
        </w:rPr>
        <w:t>.h</w:t>
      </w:r>
      <w:proofErr w:type="spellEnd"/>
      <w:r w:rsidR="008A0447" w:rsidRPr="00D03BBB">
        <w:rPr>
          <w:rFonts w:cstheme="minorHAnsi"/>
          <w:sz w:val="24"/>
          <w:szCs w:val="24"/>
        </w:rPr>
        <w:t>/m</w:t>
      </w:r>
      <w:r w:rsidR="008A0447">
        <w:rPr>
          <w:rFonts w:cstheme="minorHAnsi"/>
          <w:sz w:val="24"/>
          <w:szCs w:val="24"/>
        </w:rPr>
        <w:t>l</w:t>
      </w:r>
      <w:r w:rsidR="005A227C">
        <w:rPr>
          <w:sz w:val="24"/>
        </w:rPr>
        <w:t xml:space="preserve">; </w:t>
      </w:r>
      <w:r w:rsidR="008A0447">
        <w:rPr>
          <w:sz w:val="24"/>
        </w:rPr>
        <w:t xml:space="preserve">pyrazinamide: </w:t>
      </w:r>
      <w:r w:rsidR="00282093" w:rsidRPr="00BA7E8B">
        <w:rPr>
          <w:sz w:val="24"/>
        </w:rPr>
        <w:t xml:space="preserve">363 </w:t>
      </w:r>
      <w:proofErr w:type="spellStart"/>
      <w:r w:rsidR="008A0447" w:rsidRPr="00D03BBB">
        <w:rPr>
          <w:rFonts w:cstheme="minorHAnsi"/>
          <w:sz w:val="24"/>
          <w:szCs w:val="24"/>
        </w:rPr>
        <w:t>μg</w:t>
      </w:r>
      <w:r w:rsidR="008A0447">
        <w:rPr>
          <w:rFonts w:cstheme="minorHAnsi"/>
          <w:sz w:val="24"/>
          <w:szCs w:val="24"/>
        </w:rPr>
        <w:t>.h</w:t>
      </w:r>
      <w:proofErr w:type="spellEnd"/>
      <w:r w:rsidR="008A0447" w:rsidRPr="00D03BBB">
        <w:rPr>
          <w:rFonts w:cstheme="minorHAnsi"/>
          <w:sz w:val="24"/>
          <w:szCs w:val="24"/>
        </w:rPr>
        <w:t>/m</w:t>
      </w:r>
      <w:r w:rsidR="008A0447">
        <w:rPr>
          <w:rFonts w:cstheme="minorHAnsi"/>
          <w:sz w:val="24"/>
          <w:szCs w:val="24"/>
        </w:rPr>
        <w:t>l</w:t>
      </w:r>
      <w:r w:rsidR="0041764B">
        <w:rPr>
          <w:sz w:val="24"/>
        </w:rPr>
        <w:t>)</w:t>
      </w:r>
      <w:r w:rsidR="00CD1143">
        <w:rPr>
          <w:sz w:val="24"/>
        </w:rPr>
        <w:t xml:space="preserve"> </w:t>
      </w:r>
      <w:r w:rsidR="00354F78">
        <w:rPr>
          <w:sz w:val="24"/>
        </w:rPr>
        <w:t xml:space="preserve">identified as predictive of long-term response </w:t>
      </w:r>
      <w:r w:rsidR="00354F78">
        <w:rPr>
          <w:sz w:val="24"/>
        </w:rPr>
        <w:fldChar w:fldCharType="begin" w:fldLock="1"/>
      </w:r>
      <w:r w:rsidR="00DE300B">
        <w:rPr>
          <w:sz w:val="24"/>
        </w:rPr>
        <w:instrText>ADDIN CSL_CITATION {"citationItems":[{"id":"ITEM-1","itemData":{"DOI":"10.1093/infdis/jit352","ISBN":"1537-6613 (Electronic)\r0022-1899 (Linking)","PMID":"23901086","abstract":"BACKGROUND: Based on a hollow-fiber system model of tuberculosis, we hypothesize that microbiologic failure and acquired drug resistance are primarily driven by low drug concentrations that result from pharmacokinetic variability. METHODS: Clinical and pharmacokinetic data were prospectively collected from 142 tuberculosis patients in Western Cape, South Africa. Compartmental pharmacokinetic parameters of isoniazid, rifampin, and pyrazinamide were identified for each patient. Patients were then followed for up to 2 years. Classification and regression tree analysis was used to identify and rank clinical predictors of poor long-term outcome such as microbiologic failure or death, or relapse. RESULTS: Drug concentrations and pharmacokinetics varied widely between patients. Poor long-term outcomes were encountered in 35 (25%) patients. The 3 top predictors of poor long-term outcome, by rank of importance, were a pyrazinamide 24-hour area under the concentration-time curve (AUC) &lt;/= 363 mg.h/L, rifampin AUC &lt;/= 13 mg.h/L, and isoniazid AUC &lt;/= 52 mg.h/L. Poor outcomes were encountered in 32/78 patients with the AUC of at least 1 drug below the identified threshold vs 3/64 without (odds ratio = 14.14; 95% confidence interval, 4.08-49.08). Low rifampin and isoniazid peak and AUC concentrations preceded all cases of acquired drug resistance. CONCLUSIONS: Low drug AUCs are predictive of clinical outcomes in tuberculosis patients.","author":[{"dropping-particle":"","family":"Pasipanodya","given":"J G","non-dropping-particle":"","parse-names":false,"suffix":""},{"dropping-particle":"","family":"McIlleron","given":"H","non-dropping-particle":"","parse-names":false,"suffix":""},{"dropping-particle":"","family":"Burger","given":"A","non-dropping-particle":"","parse-names":false,"suffix":""},{"dropping-particle":"","family":"Wash","given":"P A","non-dropping-particle":"","parse-names":false,"suffix":""},{"dropping-particle":"","family":"Smith","given":"P","non-dropping-particle":"","parse-names":false,"suffix":""},{"dropping-particle":"","family":"Gumbo","given":"T","non-dropping-particle":"","parse-names":false,"suffix":""}],"container-title":"J Infect Dis","id":"ITEM-1","issue":"9","issued":{"date-parts":[["2013"]]},"note":"Pasipanodya, Jotam G\nMcIlleron, Helen\nBurger, Andre\nWash, Peter A\nSmith, Peter\nGumbo, Tawanda\neng\nDP2 OD001886/OD/NIH HHS/\nR01 AI079497/AI/NIAID NIH HHS/\nR01AI079497/AI/NIAID NIH HHS/\nResearch Support, N.I.H., Extramural\n2013/08/01 06:00\nJ Infect Dis. 2013 Nov 1;208(9):1464-73. doi: 10.1093/infdis/jit352. Epub 2013 Jul 29.","page":"1464-1473","title":"Serum drug concentrations predictive of pulmonary tuberculosis outcomes","type":"article-journal","volume":"208"},"uris":["http://www.mendeley.com/documents/?uuid=d74ac3a1-07c5-49d6-9e5e-7bcc5929ef3b"]}],"mendeley":{"formattedCitation":"[7]","plainTextFormattedCitation":"[7]","previouslyFormattedCitation":"[27]"},"properties":{"noteIndex":0},"schema":"https://github.com/citation-style-language/schema/raw/master/csl-citation.json"}</w:instrText>
      </w:r>
      <w:r w:rsidR="00354F78">
        <w:rPr>
          <w:sz w:val="24"/>
        </w:rPr>
        <w:fldChar w:fldCharType="separate"/>
      </w:r>
      <w:r w:rsidR="00DE300B" w:rsidRPr="00DE300B">
        <w:rPr>
          <w:noProof/>
          <w:sz w:val="24"/>
        </w:rPr>
        <w:t>[7]</w:t>
      </w:r>
      <w:r w:rsidR="00354F78">
        <w:rPr>
          <w:sz w:val="24"/>
        </w:rPr>
        <w:fldChar w:fldCharType="end"/>
      </w:r>
      <w:r w:rsidR="00282093" w:rsidRPr="00BA7E8B">
        <w:rPr>
          <w:sz w:val="24"/>
        </w:rPr>
        <w:t xml:space="preserve">. </w:t>
      </w:r>
      <w:r w:rsidR="002A1380">
        <w:rPr>
          <w:sz w:val="24"/>
        </w:rPr>
        <w:t xml:space="preserve">Taken together, </w:t>
      </w:r>
      <w:r w:rsidR="00CE6A01">
        <w:rPr>
          <w:sz w:val="24"/>
        </w:rPr>
        <w:t>we</w:t>
      </w:r>
      <w:r w:rsidR="00282093" w:rsidRPr="00BA7E8B">
        <w:rPr>
          <w:sz w:val="24"/>
        </w:rPr>
        <w:t xml:space="preserve"> </w:t>
      </w:r>
      <w:r w:rsidR="00354F78">
        <w:rPr>
          <w:sz w:val="24"/>
        </w:rPr>
        <w:t>suggest</w:t>
      </w:r>
      <w:r w:rsidR="00282093" w:rsidRPr="00BA7E8B">
        <w:rPr>
          <w:sz w:val="24"/>
        </w:rPr>
        <w:t xml:space="preserve"> that current dosing might be too low to achieve </w:t>
      </w:r>
      <w:r w:rsidR="00354F78">
        <w:rPr>
          <w:sz w:val="24"/>
        </w:rPr>
        <w:t>pharmacokinetic</w:t>
      </w:r>
      <w:r w:rsidR="00282093" w:rsidRPr="00BA7E8B">
        <w:rPr>
          <w:sz w:val="24"/>
        </w:rPr>
        <w:t xml:space="preserve"> targets.</w:t>
      </w:r>
    </w:p>
    <w:p w14:paraId="40CA494E" w14:textId="77777777" w:rsidR="00D27C3C" w:rsidRDefault="00D27C3C" w:rsidP="00E67B2A">
      <w:pPr>
        <w:spacing w:after="0" w:line="480" w:lineRule="auto"/>
        <w:rPr>
          <w:sz w:val="24"/>
        </w:rPr>
      </w:pPr>
    </w:p>
    <w:p w14:paraId="50804ABC" w14:textId="427ADCA7" w:rsidR="00984C73" w:rsidRPr="00AF027B" w:rsidRDefault="00984C73" w:rsidP="00984C73">
      <w:pPr>
        <w:spacing w:after="0" w:line="480" w:lineRule="auto"/>
        <w:rPr>
          <w:sz w:val="24"/>
        </w:rPr>
      </w:pPr>
      <w:r>
        <w:rPr>
          <w:sz w:val="24"/>
        </w:rPr>
        <w:t>A</w:t>
      </w:r>
      <w:r w:rsidRPr="00AF027B">
        <w:rPr>
          <w:sz w:val="24"/>
        </w:rPr>
        <w:t xml:space="preserve">ll four drugs achieved higher concentrations in epithelial lining fluid and alveolar cells than plasma, with isoniazid and pyrazinamide 15- and 50-fold higher in lining fluid than plasma respectively, and ethambutol concentrating within the cells. </w:t>
      </w:r>
      <w:r w:rsidR="00026A47">
        <w:rPr>
          <w:sz w:val="24"/>
        </w:rPr>
        <w:t>Our</w:t>
      </w:r>
      <w:r w:rsidRPr="00AF027B">
        <w:rPr>
          <w:sz w:val="24"/>
        </w:rPr>
        <w:t xml:space="preserve"> findings differ from previous work, where rifampicin epithelial lining fluid concentrations were reported to be </w:t>
      </w:r>
      <w:r w:rsidRPr="00AF027B">
        <w:rPr>
          <w:sz w:val="24"/>
        </w:rPr>
        <w:lastRenderedPageBreak/>
        <w:t>one-fifth of plasma concentrations</w:t>
      </w:r>
      <w:r>
        <w:rPr>
          <w:sz w:val="24"/>
        </w:rPr>
        <w:t xml:space="preserve"> </w:t>
      </w:r>
      <w:r>
        <w:rPr>
          <w:sz w:val="24"/>
        </w:rPr>
        <w:fldChar w:fldCharType="begin" w:fldLock="1"/>
      </w:r>
      <w:r w:rsidR="00DE300B">
        <w:rPr>
          <w:sz w:val="24"/>
        </w:rPr>
        <w:instrText>ADDIN CSL_CITATION {"citationItems":[{"id":"ITEM-1","itemData":{"ISBN":"0312-5963 (Print)\r0312-5963 (Linking)","PMID":"15086276","abstract":"OBJECTIVE: To compare the steady-state plasma and intrapulmonary concentrations of oral rifampicin (rifampin) in men and women with and without AIDS. DESIGN: Prospective nonblinded pharmacokinetic study. PARTICIPANTS: Ten men with AIDS, ten men without AIDS, ten women with AIDS, and ten women without AIDS. METHODS: Rifampicin 600 mg was administered orally once daily for 5 days to 40 adult volunteers. Blood was obtained 2 hours after the last dose and at the time of bronchoalveolar lavage (BAL) performed 4 hours after the last dose. Rifampicin was measured in plasma, epithelial lining fluid (ELF) and alveolar cells. Standardised BAL was performed without systemic sedation. The volume of ELF was calculated by the urea dilution method, and alveolar cells were recovered by a standardised centrifugation technique. The volume of alveolar cells was calculated from the cell count and differential performed on the BAL fluid. Rifampicin was measured by high-performance liquid chromatography. RESULTS: Sex or AIDS status had no effect on plasma concentrations of rifampicin at 2 hours, 4 hours, or in ELF. Plasma concentrations (mean +/- SD) of rifampicin at 2 hours (9.15 +/- 5.4 mg/L) were not significantly different (p &gt; 0.05) from those at 4 hours (9.10 +/- 5.6 mg/L) following the last dose. The ELF concentration was 2.0 +/- 1.6 mg/L with a range of 0-7.3 mg/L and the ELF/plasma ratio at 4 hours was 0.2 +/- 0.2. Rifampicin was not detectable in ELF in eight subjects (three with AIDS and five without AIDS) or in alveolar cells in three subjects without AIDS. There was no significant effect of AIDS on alveolar cell concentrations of rifampicin. Alveolar cell concentrations of rifampicin were significantly greater in women (13.9 +/- 6.7 mg/L) than in men (6.6 +/- 4.1 mg/L) [p = 0.0003]. Alveolar cell rifampicin concentrations were 78% greater in smoking women (17.8 +/- 7.0 mg/L) than in nonsmoking women (10.0 +/- 2.4 mg/L), but the difference was not significant (p &gt; 0.05). CD4+ cell counts in the AIDS subjects were not correlated with the concentrations of rifampicin in plasma, ELF or alveolar cells. CONCLUSIONS: The absorption of oral rifampicin was not affected by sex or AIDS. Plasma and alveolar cell concentrations were not significantly different, were both greater than ELF concentrations, and were adequate to inhibit Mycobacterium tuberculosis. Considerable interpatient variability was detected despite witnessed drug administration. The clinical significance o…","author":[{"dropping-particle":"","family":"Conte","given":"J E","non-dropping-particle":"","parse-names":false,"suffix":""},{"dropping-particle":"","family":"Golden","given":"J A","non-dropping-particle":"","parse-names":false,"suffix":""},{"dropping-particle":"","family":"Kipps","given":"J E","non-dropping-particle":"","parse-names":false,"suffix":""},{"dropping-particle":"","family":"Lin","given":"E T","non-dropping-particle":"","parse-names":false,"suffix":""},{"dropping-particle":"","family":"Zurlinden","given":"E","non-dropping-particle":"","parse-names":false,"suffix":""}],"container-title":"Clin Pharmacokinet","id":"ITEM-1","issue":"6","issued":{"date-parts":[["2004"]]},"note":"Conte, John E\nGolden, Jeffrey A\nKipps, Juliana E\nLin, Emil T\nZurlinden, Elisabeth\neng\nAI36054/AI/NIAID NIH HHS/\nM01RR00079/RR/NCRR NIH HHS/\nClinical Trial\nComparative Study\nResearch Support, U.S. Gov't, P.H.S.\nSwitzerland\n2004/04/17 05:00\nClin Pharmacokinet. 2004;43(6):395-404.","page":"395-404","title":"Effect of sex and AIDS status on the plasma and intrapulmonary pharmacokinetics of rifampicin","type":"article-journal","volume":"43"},"uris":["http://www.mendeley.com/documents/?uuid=396f57e1-75c5-4a3a-9035-51fba2252247"]}],"mendeley":{"formattedCitation":"[17]","plainTextFormattedCitation":"[17]","previouslyFormattedCitation":"[13]"},"properties":{"noteIndex":0},"schema":"https://github.com/citation-style-language/schema/raw/master/csl-citation.json"}</w:instrText>
      </w:r>
      <w:r>
        <w:rPr>
          <w:sz w:val="24"/>
        </w:rPr>
        <w:fldChar w:fldCharType="separate"/>
      </w:r>
      <w:r w:rsidR="00DE300B" w:rsidRPr="00DE300B">
        <w:rPr>
          <w:noProof/>
          <w:sz w:val="24"/>
        </w:rPr>
        <w:t>[17]</w:t>
      </w:r>
      <w:r>
        <w:rPr>
          <w:sz w:val="24"/>
        </w:rPr>
        <w:fldChar w:fldCharType="end"/>
      </w:r>
      <w:r w:rsidRPr="00AF027B">
        <w:rPr>
          <w:sz w:val="24"/>
        </w:rPr>
        <w:t>, and less extensive distribution of isoniazid and pyrazinamide to lining fluid was observed</w:t>
      </w:r>
      <w:r>
        <w:rPr>
          <w:sz w:val="24"/>
        </w:rPr>
        <w:t xml:space="preserve"> </w:t>
      </w:r>
      <w:r>
        <w:rPr>
          <w:sz w:val="24"/>
        </w:rPr>
        <w:fldChar w:fldCharType="begin" w:fldLock="1"/>
      </w:r>
      <w:r w:rsidR="00DE300B">
        <w:rPr>
          <w:sz w:val="24"/>
        </w:rPr>
        <w:instrText>ADDIN CSL_CITATION {"citationItems":[{"id":"ITEM-1","itemData":{"DOI":"10.1128/aac.46.8.2358-2364.2002","ISBN":"0066-4804 (Print)\r0066-4804 (Linking)","PMID":"12121905","abstract":"The objective of the present study was to evaluate the effects of gender, AIDS, and acetylator status on the steady-state concentrations of orally administered isoniazid in plasma and lungs. Isoniazid was administered at 300 mg once daily for 5 days to 80 adult volunteers. Subjects were assigned to eight blocks according to gender, presence or absence of AIDS, and acetylator status. Blood was obtained prior to administration of the first dose, 1 h after administration of the last dose, and at the completion of bronchoscopy and bronchoalveolar lavage (BAL), which was performed 4 h after administration of the last dose. The metabolism of caffeine was used to determine acetylator status. Standardized bronchoscopy was performed without systemic sedation. The volume of epithelial lining fluid (ELF) recovered was calculated by the urea dilution method. Isoniazid concentrations in plasma, BAL fluid, and alveolar cells (ACs) were measured by high-performance liquid chromatography. AIDS status or gender had no significant effect on the concentrations of isoniazid in plasma at 1 or 4 h. Concentrations in plasma at 4 h and concentrations in ELF were greater in slow acetylators than fast acetylators. The concentration in plasma (1.85 +/- 1.60 microg/ml [mean +/- standard deviation; n = 80]) at 1 h following administration of the last dose was not significantly different from that in ELF (2.25 +/- 3.50 microg/ml) or ACs (2.61 +/- 5.01 microg/ml). For the entire study group, concentrations in plasma at 1 h were less than 1.0, 2.0, and 3.0 microg/ml for 34.7, 60, and 82.7% of the subjects, respectively; concentrations in ELF were less than 1.0, 2.0, and 3.0 microg/ml in 30 (37.5%), 53 (66.0%), and 58 (72.5%) of the subjects, respectively; and concentrations in ACs were less than 1.0, 2.0, and 3.0 microg/ml in 43 (53.8%), 59 (73.8%), and 65 (81.3%) of the subjects, respectively. The concentrations of orally administered isoniazid in plasma were not affected by gender or the presence of AIDS. The concentrations in plasma at 4 h and the concentrations in ELF, but not the concentrations in ACs, were significantly greater in slow acetylators than fast acetylators. Concentrations in plasma and lungs were low compared to recommended therapeutic concentrations in plasma and published MICs of isoniazid for Mycobacterium tuberculosis. The optimal concentrations of isoniazid in ACs and ELF are unknown, but these data suggest that the drug enters these compartments by passive dif…","author":[{"dropping-particle":"","family":"Conte  Jr.","given":"J E","non-dropping-particle":"","parse-names":false,"suffix":""},{"dropping-particle":"","family":"Golden","given":"J A","non-dropping-particle":"","parse-names":false,"suffix":""},{"dropping-particle":"","family":"McQuitty","given":"M","non-dropping-particle":"","parse-names":false,"suffix":""},{"dropping-particle":"","family":"Kipps","given":"J","non-dropping-particle":"","parse-names":false,"suffix":""},{"dropping-particle":"","family":"Duncan","given":"S","non-dropping-particle":"","parse-names":false,"suffix":""},{"dropping-particle":"","family":"McKenna","given":"E","non-dropping-particle":"","parse-names":false,"suffix":""},{"dropping-particle":"","family":"Zurlinden","given":"E","non-dropping-particle":"","parse-names":false,"suffix":""}],"container-title":"Antimicrob Agents Chemother","id":"ITEM-1","issue":"8","issued":{"date-parts":[["2002"]]},"note":"Conte, John E Jr\nGolden, Jeffrey A\nMcQuitty, Mari\nKipps, Juliana\nDuncan, Sheila\nMcKenna, Elaine\nZurlinden, Elisabeth\neng\nM01 RR000079/RR/NCRR NIH HHS/\nAI 36054/AI/NIAID NIH HHS/\nM01 RR 00079/RR/NCRR NIH HHS/\nClinical Trial\nComparative Study\nResearch Support, Non-U.S. Gov't\nResearch Support, U.S. Gov't, P.H.S.\n2002/07/18 10:00\nAntimicrob Agents Chemother. 2002 Aug;46(8):2358-64.","page":"2358-2364","title":"Effects of gender, AIDS, and acetylator status on intrapulmonary concentrations of isoniazid","type":"article-journal","volume":"46"},"uris":["http://www.mendeley.com/documents/?uuid=03ddd8ac-816b-41c6-b79a-7fff39ef7c4d"]},{"id":"ITEM-2","itemData":{"ISBN":"0066-4804 (Print)\r0066-4804 (Linking)","PMID":"10348747","abstract":"The objective of this study was to compare the steady-state plasma and intrapulmonary concentrations of orally administered pyrazinamide in normal volunteers and subjects with AIDS. Pyrazinamide was administered at 1 g once daily for 5 days to 40 adult volunteers (10 men with AIDS, 10 normal men, 10 women with AIDS, and 10 normal women). Subjects with AIDS and with more than four stools per day were excluded. Blood was obtained prior to administration of the first dose, 2 h after the last dose, and at the completion of bronchoscopy and bronchoalveolar lavage, which were performed 4 h after the last dose. Standardized bronchoscopy was performed without systemic sedation. The volume of epithelial lining fluid (ELF) recovered was calculated by the urea dilution method. The total number of alveolar cells (AC) was counted in a hemocytometer, and differential cell counting was performed after cytocentrifugation. Pyrazinamide was measured by high-performance liquid chromatography. The presence of AIDS or gender had no significant effect on the concentrations of pyrazinamide in plasma. The concentrations of pyrazinamide in ELF and AC were lower in the subjects with AIDS than in the subjects without AIDS, but the difference was not significant. The concentrations in plasma (mean +/- standard deviation) were 25.1 +/- 7.6 and 21.1 +/- 6.8 microg/ml at 2 and 4 h after the last dose, respectively, and were not significantly different from the concentration (17.4 +/- 16.9 microg/ml) in AC. The concentration of pyrazinamide in ELF was high (431 +/- 220 microg/ml) and was approximately 4 to 40 times the reported MIC for pyrazinamide-susceptible strains of Mycobacterium tuberculosis. The high concentration of pyrazinamide in ELF may contribute in part to the effectiveness of the drug in treating pulmonary tuberculosis.","author":[{"dropping-particle":"","family":"Conte  Jr.","given":"J E","non-dropping-particle":"","parse-names":false,"suffix":""},{"dropping-particle":"","family":"Golden","given":"J A","non-dropping-particle":"","parse-names":false,"suffix":""},{"dropping-particle":"","family":"Duncan","given":"S","non-dropping-particle":"","parse-names":false,"suffix":""},{"dropping-particle":"","family":"McKenna","given":"E","non-dropping-particle":"","parse-names":false,"suffix":""},{"dropping-particle":"","family":"Zurlinden","given":"E","non-dropping-particle":"","parse-names":false,"suffix":""}],"container-title":"Antimicrob Agents Chemother","id":"ITEM-2","issue":"6","issued":{"date-parts":[["1999"]]},"note":"Conte, J E Jr\nGolden, J A\nDuncan, S\nMcKenna, E\nZurlinden, E\neng\nM01 RR000079/RR/NCRR NIH HHS/\nAI36054/AI/NIAID NIH HHS/\nMO1RR00079/RR/NCRR NIH HHS/\nComparative Study\nResearch Support, U.S. Gov't, P.H.S.\n1999/05/29 10:00\nAntimicrob Agents Chemother. 1999 Jun;43(6):1329-33.","page":"1329-1333","title":"Intrapulmonary concentrations of pyrazinamide","type":"article-journal","volume":"43"},"uris":["http://www.mendeley.com/documents/?uuid=9da61f07-8efe-45b5-9fc6-7ddb8ec5d36a"]}],"mendeley":{"formattedCitation":"[18,19]","plainTextFormattedCitation":"[18,19]","previouslyFormattedCitation":"[14,15]"},"properties":{"noteIndex":0},"schema":"https://github.com/citation-style-language/schema/raw/master/csl-citation.json"}</w:instrText>
      </w:r>
      <w:r>
        <w:rPr>
          <w:sz w:val="24"/>
        </w:rPr>
        <w:fldChar w:fldCharType="separate"/>
      </w:r>
      <w:r w:rsidR="00DE300B" w:rsidRPr="00DE300B">
        <w:rPr>
          <w:noProof/>
          <w:sz w:val="24"/>
        </w:rPr>
        <w:t>[18,19]</w:t>
      </w:r>
      <w:r>
        <w:rPr>
          <w:sz w:val="24"/>
        </w:rPr>
        <w:fldChar w:fldCharType="end"/>
      </w:r>
      <w:r w:rsidRPr="00AF027B">
        <w:rPr>
          <w:sz w:val="24"/>
        </w:rPr>
        <w:t>. Whereas previous work occurred in healthy volunteers (with or without HIV infection), the samples in the present study came from a cohort of adult patients with active pulmonary TB, many of whom were significantly immunosuppressed. Active inflammation, with increased permeability, cellular influx, and disruption of the blood-alveolar barrier may alter tissue drug penetration in those with ongoing infection</w:t>
      </w:r>
      <w:r w:rsidR="00541D43">
        <w:rPr>
          <w:sz w:val="24"/>
        </w:rPr>
        <w:t xml:space="preserve"> </w:t>
      </w:r>
      <w:r>
        <w:rPr>
          <w:sz w:val="24"/>
        </w:rPr>
        <w:fldChar w:fldCharType="begin" w:fldLock="1"/>
      </w:r>
      <w:r w:rsidR="00DE300B">
        <w:rPr>
          <w:sz w:val="24"/>
        </w:rPr>
        <w:instrText>ADDIN CSL_CITATION {"citationItems":[{"id":"ITEM-1","itemData":{"DOI":"10.1128/AAC.00133-06","ISBN":"0066-4804 (Print)\r0066-4804 (Linking)","PMID":"17846133","author":[{"dropping-particle":"","family":"Kiem","given":"S","non-dropping-particle":"","parse-names":false,"suffix":""},{"dropping-particle":"","family":"Schentag","given":"J J","non-dropping-particle":"","parse-names":false,"suffix":""}],"container-title":"Antimicrob Agents Chemother","id":"ITEM-1","issue":"1","issued":{"date-parts":[["2008"]]},"note":"Kiem, Sungmin\nSchentag, Jerome J\neng\nReview\n2007/09/12 09:00\nAntimicrob Agents Chemother. 2008 Jan;52(1):24-36. Epub 2007 Sep 10.","page":"24-36","title":"Interpretation of antibiotic concentration ratios measured in epithelial lining fluid","type":"article-journal","volume":"52"},"uris":["http://www.mendeley.com/documents/?uuid=9ea95201-bb0d-49f8-90fe-be4c40c56529"]}],"mendeley":{"formattedCitation":"[27]","plainTextFormattedCitation":"[27]","previouslyFormattedCitation":"[23]"},"properties":{"noteIndex":0},"schema":"https://github.com/citation-style-language/schema/raw/master/csl-citation.json"}</w:instrText>
      </w:r>
      <w:r>
        <w:rPr>
          <w:sz w:val="24"/>
        </w:rPr>
        <w:fldChar w:fldCharType="separate"/>
      </w:r>
      <w:r w:rsidR="00DE300B" w:rsidRPr="00DE300B">
        <w:rPr>
          <w:noProof/>
          <w:sz w:val="24"/>
        </w:rPr>
        <w:t>[27]</w:t>
      </w:r>
      <w:r>
        <w:rPr>
          <w:sz w:val="24"/>
        </w:rPr>
        <w:fldChar w:fldCharType="end"/>
      </w:r>
      <w:r w:rsidRPr="00AF027B">
        <w:rPr>
          <w:sz w:val="24"/>
        </w:rPr>
        <w:t>. Peak intrapulmonary concentrations were seen 2 hours after drug administration, suggesting that single pharmacokinetic measurements at 4 hours in previous studies underestimated drug exposure.</w:t>
      </w:r>
    </w:p>
    <w:p w14:paraId="74F66833" w14:textId="77777777" w:rsidR="00984C73" w:rsidRDefault="00984C73" w:rsidP="00984C73">
      <w:pPr>
        <w:spacing w:after="0" w:line="480" w:lineRule="auto"/>
        <w:rPr>
          <w:rFonts w:eastAsia="Times New Roman" w:cstheme="minorHAnsi"/>
          <w:sz w:val="24"/>
          <w:szCs w:val="24"/>
          <w:lang w:eastAsia="en-GB"/>
        </w:rPr>
      </w:pPr>
    </w:p>
    <w:p w14:paraId="121559C0" w14:textId="0605FF68" w:rsidR="00F93676" w:rsidRDefault="00657879" w:rsidP="00740D17">
      <w:pPr>
        <w:spacing w:after="0" w:line="480" w:lineRule="auto"/>
        <w:rPr>
          <w:rFonts w:cstheme="minorHAnsi"/>
          <w:sz w:val="24"/>
          <w:szCs w:val="24"/>
        </w:rPr>
      </w:pPr>
      <w:r w:rsidRPr="00AF027B">
        <w:rPr>
          <w:sz w:val="24"/>
        </w:rPr>
        <w:t xml:space="preserve">Despite low plasma drug concentrations, 89% of our cohort had a favourable clinical outcome. </w:t>
      </w:r>
      <w:r w:rsidR="00740D17" w:rsidRPr="007E77E2">
        <w:rPr>
          <w:rFonts w:cstheme="minorHAnsi"/>
          <w:sz w:val="24"/>
          <w:szCs w:val="24"/>
        </w:rPr>
        <w:t xml:space="preserve">AUC/MIC and </w:t>
      </w:r>
      <w:proofErr w:type="spellStart"/>
      <w:r w:rsidR="00740D17" w:rsidRPr="007E77E2">
        <w:rPr>
          <w:rFonts w:cstheme="minorHAnsi"/>
          <w:sz w:val="24"/>
          <w:szCs w:val="24"/>
        </w:rPr>
        <w:t>C</w:t>
      </w:r>
      <w:r w:rsidR="00740D17" w:rsidRPr="007E77E2">
        <w:rPr>
          <w:rFonts w:cstheme="minorHAnsi"/>
          <w:sz w:val="24"/>
          <w:szCs w:val="24"/>
          <w:vertAlign w:val="subscript"/>
        </w:rPr>
        <w:t>max</w:t>
      </w:r>
      <w:proofErr w:type="spellEnd"/>
      <w:r w:rsidR="00740D17" w:rsidRPr="007E77E2">
        <w:rPr>
          <w:rFonts w:cstheme="minorHAnsi"/>
          <w:sz w:val="24"/>
          <w:szCs w:val="24"/>
        </w:rPr>
        <w:t>/MIC for first-line drugs have been described as drivers of treatment efficacy in pre-clinical models</w:t>
      </w:r>
      <w:r w:rsidR="00740D17">
        <w:rPr>
          <w:rFonts w:cstheme="minorHAnsi"/>
          <w:sz w:val="24"/>
          <w:szCs w:val="24"/>
        </w:rPr>
        <w:t xml:space="preserve"> </w:t>
      </w:r>
      <w:r w:rsidR="00740D17">
        <w:rPr>
          <w:rFonts w:cstheme="minorHAnsi"/>
          <w:sz w:val="24"/>
          <w:szCs w:val="24"/>
        </w:rPr>
        <w:fldChar w:fldCharType="begin" w:fldLock="1"/>
      </w:r>
      <w:r w:rsidR="00DE300B">
        <w:rPr>
          <w:rFonts w:cstheme="minorHAnsi"/>
          <w:sz w:val="24"/>
          <w:szCs w:val="24"/>
        </w:rPr>
        <w:instrText>ADDIN CSL_CITATION {"citationItems":[{"id":"ITEM-1","itemData":{"DOI":"10.1128/AAC.01681-08","ISBN":"1098-6596 (Electronic)\r0066-4804 (Linking)","PMID":"19451303","abstract":"There are currently renewed efforts to develop drugs that could shorten the duration of antituberculosis therapy. This is best achieved by optimizing the sterilizing effect. However, the current pathway for the development of new molecules with the potential to have a sterilizing effect is inefficient. We designed an in vitro pharmacokinetic-pharmacodynamic model in which Mycobacterium tuberculosis replicating slowly at pH 5.8 was exposed to pyrazinamide by use of the concentration-time profiles encountered in patients. The sterilizing effect rates and the time to the emergence of drug resistance were examined. Daily pyrazinamide dosing for 28 days accurately achieved (i) the pyrazinamide pharmacokinetic parameters, (ii) the lack of early bactericidal activity, (iii) a sterilizing effect rate of 0.10 log(10) CFU/ml per day starting on day 6 of therapy, and (iv) a time to the emergence of resistance of the from 2 to 3 weeks of monotherapy encountered in patients with tuberculosis. Next, dose-scheduling studies were performed. The sterilizing effect was linked to the pyrazinamide ratio of the area under the concentration-time curve from 0 to 24 h (AUC(0-24)) to the MIC (r(2) = 0.80 to 0.90), with 90% of the maximal effect being achieved by an AUC(0-24)/MIC of 209.08. Resistance suppression was associated with the percentage of time that the concentration persisted above the MIC (r(2) = 0.73 to 0.91). Monte Carlo simulations of 10,000 patients demonstrated that the currently recommended pyrazinamide doses (15 to 30 mg/kg of body weight/day) achieved the AUC(0-24)/MIC of 209.08 in the epithelial lining fluid of only 15.1 to 53.3% of patients. Doses of &gt;60 mg/kg per day performed better. Our vitro model for the sterilizing effect, together with Monte Carlo simulations, can be used for the faster identification of the clinical doses that are needed to achieve a sterilizing effect and that can then be studied in clinical trials.","author":[{"dropping-particle":"","family":"Gumbo","given":"T","non-dropping-particle":"","parse-names":false,"suffix":""},{"dropping-particle":"","family":"Dona","given":"C S","non-dropping-particle":"","parse-names":false,"suffix":""},{"dropping-particle":"","family":"Meek","given":"C","non-dropping-particle":"","parse-names":false,"suffix":""},{"dropping-particle":"","family":"Leff","given":"R","non-dropping-particle":"","parse-names":false,"suffix":""}],"container-title":"Antimicrob Agents Chemother","id":"ITEM-1","issue":"8","issued":{"date-parts":[["2009"]]},"note":"Gumbo, Tawanda\nDona, Chandima S W Siyambalapitiyage\nMeek, Claudia\nLeff, Richard\neng\nDP2 OD001886/OD/NIH HHS/\n1 DP2 OD001886-01/OD/NIH HHS/\nResearch Support, N.I.H., Extramural\nResearch Support, Non-U.S. Gov't\n2009/05/20 09:00\nAntimicrob Agents Chemother. 2009 Aug;53(8):3197-204. doi: 10.1128/AAC.01681-08. Epub 2009 May 18.","page":"3197-3204","title":"Pharmacokinetics-pharmacodynamics of pyrazinamide in a novel in vitro model of tuberculosis for sterilizing effect: a paradigm for faster assessment of new antituberculosis drugs","type":"article-journal","volume":"53"},"uris":["http://www.mendeley.com/documents/?uuid=22da2844-e2a2-4f53-ae39-83e77e2d9b29"]},{"id":"ITEM-2","itemData":{"DOI":"10.1128/AAC.00185-07","ISBN":"0066-4804 (Print)\r0066-4804 (Linking)","PMID":"17438043","abstract":"Isoniazid, administered as part of combination antituberculosis therapy, is responsible for most of the early bactericidal activity (EBA) of the regimen. However, the emergence of Mycobacterium tuberculosis resistance to isoniazid is a major problem. We examined the relationship between isoniazid exposure and M. tuberculosis microbial kill, as well as the emergence of resistance, in our in vitro pharmacodynamic model of tuberculosis. Since single-nucleotide polymorphisms of the N-acetyltransferase-2 gene lead to two different clearances of isoniazid from serum in patients, we simulated the isoniazid concentration-time profiles encountered in both slow and fast acetylators. Both microbial kill and the emergence of resistance during monotherapy were associated with the ratio of the area under the isoniazid concentration-time curve from 0 to 24 h (AUC(0-24)) to the isoniazid MIC. The time in mutant selection window hypothesis was rejected. Next, we utilized the in vitro relationship between the isoniazid AUC(0-24)/MIC ratio and microbial kill, the distributions of isoniazid clearance in populations with different percentages of slow and fast acetylators, and the distribution of isoniazid MICs for isonazid-susceptible M. tuberculosis clinical isolates in Monte Carlo simulations to calculate the EBA expected for approximately 10,000 patients treated with 300 mg of isoniazid. For those patient populations in which the proportion of fast acetylators and the isoniazid MICs were high, the average EBA of the standard dose was approximately 0.3 log(10) CFU/ml/day and was thus suboptimal. Our approach, which utilizes preclinical pharmacodynamics and the genetically determined multimodal distributions of serum clearances, is a preclinical tool that may be able to predict the EBAs of various doses of new antituberculosis drugs.","author":[{"dropping-particle":"","family":"Gumbo","given":"T","non-dropping-particle":"","parse-names":false,"suffix":""},{"dropping-particle":"","family":"Louie","given":"A","non-dropping-particle":"","parse-names":false,"suffix":""},{"dropping-particle":"","family":"Liu","given":"W","non-dropping-particle":"","parse-names":false,"suffix":""},{"dropping-particle":"","family":"Brown","given":"D","non-dropping-particle":"","parse-names":false,"suffix":""},{"dropping-particle":"","family":"Ambrose","given":"P G","non-dropping-particle":"","parse-names":false,"suffix":""},{"dropping-particle":"","family":"Bhavnani","given":"S M","non-dropping-particle":"","parse-names":false,"suffix":""},{"dropping-particle":"","family":"Drusano","given":"G L","non-dropping-particle":"","parse-names":false,"suffix":""}],"container-title":"Antimicrob Agents Chemother","id":"ITEM-2","issue":"7","issued":{"date-parts":[["2007"]]},"note":"Gumbo, Tawanda\nLouie, Arnold\nLiu, Weiguo\nBrown, David\nAmbrose, Paul G\nBhavnani, Sujata M\nDrusano, George L\neng\nResearch Support, Non-U.S. Gov't\n2007/04/18 09:00\nAntimicrob Agents Chemother. 2007 Jul;51(7):2329-36. Epub 2007 Apr 16.","page":"2329-2336","title":"Isoniazid bactericidal activity and resistance emergence: integrating pharmacodynamics and pharmacogenomics to predict efficacy in different ethnic populations","type":"article-journal","volume":"51"},"uris":["http://www.mendeley.com/documents/?uuid=2509b496-52d7-479f-9e93-897fce165642"]},{"id":"ITEM-3","itemData":{"DOI":"10.1128/AAC.01533-06","ISBN":"0066-4804 (Print)\r0066-4804 (Linking)","PMID":"17724157","abstract":"Rifampin is a cornerstone of modern antituberculosis therapy. However, rifampin's half-life of 3 h is believed to limit its utility for intermittent therapy, so new congeners with long half-lives are being developed. Using an in vitro pharmacokinetic-pharmacodynamic model of tuberculosis, we examined the relationships between rifampin exposure, microbial killing of log-phase-growth Mycobacterium tuberculosis, and suppression of resistance. Rifampin's microbial killing was linked to the area under the concentration-time curve-to-MIC ratio. The suppression of resistance was associated with the free peak concentration (C(max))-to-MIC ratio and not the duration that the rifampin concentration was above MIC. Rifampin prevented resistance to itself at a free C(max)/MIC ratio of &gt; or =175. The postantibiotic effect duration was &gt; or =5.2 days and was most closely related to the C(max)/MIC ratio (r(2) = 0.96). To explain rifampin's concentration-dependent effect, we examined the kinetics of rifampin entry into M. tuberculosis. Rifampin achieved concentration-dependent intracellular steady-state concentrations within 15 min. Our results suggest that doses of rifampin higher than those currently employed would optimize the effect of rifampin, if patients could tolerate them. Another major implication is that in the design of new rifampin congeners for intermittent therapy, the important properties may include (i) the efficient entry of the rifamycin into M. tuberculosis, (ii) the achievement of a free C(max)/MIC of &gt;175 that can be tolerated by patients, and (iii) a long postantibiotic effect duration.","author":[{"dropping-particle":"","family":"Gumbo","given":"T","non-dropping-particle":"","parse-names":false,"suffix":""},{"dropping-particle":"","family":"Louie","given":"A","non-dropping-particle":"","parse-names":false,"suffix":""},{"dropping-particle":"","family":"Deziel","given":"M R","non-dropping-particle":"","parse-names":false,"suffix":""},{"dropping-particle":"","family":"Liu","given":"W","non-dropping-particle":"","parse-names":false,"suffix":""},{"dropping-particle":"","family":"Parsons","given":"L M","non-dropping-particle":"","parse-names":false,"suffix":""},{"dropping-particle":"","family":"Salfinger","given":"M","non-dropping-particle":"","parse-names":false,"suffix":""},{"dropping-particle":"","family":"Drusano","given":"G L","non-dropping-particle":"","parse-names":false,"suffix":""}],"container-title":"Antimicrob Agents Chemother","id":"ITEM-3","issue":"11","issued":{"date-parts":[["2007"]]},"note":"Gumbo, Tawanda\nLouie, Arnold\nDeziel, Mark R\nLiu, Weiguo\nParsons, Linda M\nSalfinger, Max\nDrusano, George L\neng\nResearch Support, Non-U.S. Gov't\n2007/08/29 09:00\nAntimicrob Agents Chemother. 2007 Nov;51(11):3781-8. Epub 2007 Aug 27.","page":"3781-3788","title":"Concentration-dependent Mycobacterium tuberculosis killing and prevention of resistance by rifampin","type":"article-journal","volume":"51"},"uris":["http://www.mendeley.com/documents/?uuid=992d879b-5a0c-43ae-961f-4ba5ad4cdf1d"]},{"id":"ITEM-4","itemData":{"DOI":"10.1086/651377","ISBN":"1537-6613 (Electronic)\r0022-1899 (Linking)","PMID":"20210628","abstract":"BACKGROUND: Ethambutol is used for the treatment of tuberculosis in cases where there is isoniazid resistance. We examined the emergence of drug resistance to ethambutol monotherapy in pharmacokinetic-pharmacodynamic studies of a hollow-fiber system. METHODS: Dose-effect and dose-scheduling studies were performed with ethambutol and log-phase growth Mycobacterium tuberculosis to identify exposures and schedules linked to optimal kill and resistance suppression. In one study, after 7 days of daily ethambutol, 300 mg isoniazid per day was administered to each system to determine its early bactericidal activity. RESULTS: Efflux-pump blockage reduced the mutation frequency to ethambutol 64-fold. In dose-effect studies, ethambutol had a maximal early bactericidal activity of 0.22 log10 colony-forming units/mL/day, as is encountered in patients. By day 7, resistance to both ethambutol and isoniazid had increased. Previous exposure to ethambutol halted isoniazid early bactericidal activity. Daily therapy, as opposed to more intermittent therapy, was associated with the least proportion of efflux-pump-driven resistance, consistent with a time-driven effect. Microbial kill was best explained by the ratio of area under the concentration-time curve to minimum inhibitory concentration (r2 = 0.90). CONCLUSION: The induction of an efflux pump that reduces the effect of multiple drugs provides an alternative pathway to sequential acquisition of mutations in the development of multiple drug resistance.","author":[{"dropping-particle":"","family":"Srivastava","given":"S","non-dropping-particle":"","parse-names":false,"suffix":""},{"dropping-particle":"","family":"Musuka","given":"S","non-dropping-particle":"","parse-names":false,"suffix":""},{"dropping-particle":"","family":"Sherman","given":"C","non-dropping-particle":"","parse-names":false,"suffix":""},{"dropping-particle":"","family":"Meek","given":"C","non-dropping-particle":"","parse-names":false,"suffix":""},{"dropping-particle":"","family":"Leff","given":"R","non-dropping-particle":"","parse-names":false,"suffix":""},{"dropping-particle":"","family":"Gumbo","given":"T","non-dropping-particle":"","parse-names":false,"suffix":""}],"container-title":"J Infect Dis","id":"ITEM-4","issue":"8","issued":{"date-parts":[["2010"]]},"note":"Srivastava, Shashikant\nMusuka, Sandirai\nSherman, Carleton\nMeek, Claudia\nLeff, Richard\nGumbo, Tawanda\neng\nDP2 OD001886/OD/NIH HHS/\nDP2 OD001886-01/OD/NIH HHS/\n1 DP2 OD001886/OD/NIH HHS/\nResearch Support, N.I.H., Extramural\n2010/03/10 06:00\nJ Infect Dis. 2010 Apr 15;201(8):1225-31. doi: 10.1086/651377.","page":"1225-1231","title":"Efflux-pump-derived multiple drug resistance to ethambutol monotherapy in Mycobacterium tuberculosis and the pharmacokinetics and pharmacodynamics of ethambutol","type":"article-journal","volume":"201"},"uris":["http://www.mendeley.com/documents/?uuid=43828a57-2e0b-4b3e-9963-fec77c107960"]}],"mendeley":{"formattedCitation":"[36–39]","plainTextFormattedCitation":"[36–39]","previouslyFormattedCitation":"[33–36]"},"properties":{"noteIndex":0},"schema":"https://github.com/citation-style-language/schema/raw/master/csl-citation.json"}</w:instrText>
      </w:r>
      <w:r w:rsidR="00740D17">
        <w:rPr>
          <w:rFonts w:cstheme="minorHAnsi"/>
          <w:sz w:val="24"/>
          <w:szCs w:val="24"/>
        </w:rPr>
        <w:fldChar w:fldCharType="separate"/>
      </w:r>
      <w:r w:rsidR="00DE300B" w:rsidRPr="00DE300B">
        <w:rPr>
          <w:rFonts w:cstheme="minorHAnsi"/>
          <w:noProof/>
          <w:sz w:val="24"/>
          <w:szCs w:val="24"/>
        </w:rPr>
        <w:t>[36–39]</w:t>
      </w:r>
      <w:r w:rsidR="00740D17">
        <w:rPr>
          <w:rFonts w:cstheme="minorHAnsi"/>
          <w:sz w:val="24"/>
          <w:szCs w:val="24"/>
        </w:rPr>
        <w:fldChar w:fldCharType="end"/>
      </w:r>
      <w:r w:rsidR="00740D17" w:rsidRPr="007E77E2">
        <w:rPr>
          <w:rFonts w:cstheme="minorHAnsi"/>
          <w:sz w:val="24"/>
          <w:szCs w:val="24"/>
        </w:rPr>
        <w:t xml:space="preserve">, but local variation in MICs of non-genotypically resistant </w:t>
      </w:r>
      <w:r w:rsidR="00740D17" w:rsidRPr="007E77E2">
        <w:rPr>
          <w:rFonts w:cstheme="minorHAnsi"/>
          <w:i/>
          <w:sz w:val="24"/>
          <w:szCs w:val="24"/>
        </w:rPr>
        <w:t>M</w:t>
      </w:r>
      <w:r w:rsidR="00740D17">
        <w:rPr>
          <w:rFonts w:cstheme="minorHAnsi"/>
          <w:i/>
          <w:sz w:val="24"/>
          <w:szCs w:val="24"/>
        </w:rPr>
        <w:t xml:space="preserve">ycobacterium </w:t>
      </w:r>
      <w:r w:rsidR="00740D17" w:rsidRPr="007E77E2">
        <w:rPr>
          <w:rFonts w:cstheme="minorHAnsi"/>
          <w:i/>
          <w:sz w:val="24"/>
          <w:szCs w:val="24"/>
        </w:rPr>
        <w:t>t</w:t>
      </w:r>
      <w:r w:rsidR="00740D17">
        <w:rPr>
          <w:rFonts w:cstheme="minorHAnsi"/>
          <w:i/>
          <w:sz w:val="24"/>
          <w:szCs w:val="24"/>
        </w:rPr>
        <w:t>u</w:t>
      </w:r>
      <w:r w:rsidR="00740D17" w:rsidRPr="007E77E2">
        <w:rPr>
          <w:rFonts w:cstheme="minorHAnsi"/>
          <w:i/>
          <w:sz w:val="24"/>
          <w:szCs w:val="24"/>
        </w:rPr>
        <w:t>b</w:t>
      </w:r>
      <w:r w:rsidR="00740D17">
        <w:rPr>
          <w:rFonts w:cstheme="minorHAnsi"/>
          <w:i/>
          <w:sz w:val="24"/>
          <w:szCs w:val="24"/>
        </w:rPr>
        <w:t>erculosis</w:t>
      </w:r>
      <w:r w:rsidR="00740D17" w:rsidRPr="007E77E2">
        <w:rPr>
          <w:rFonts w:cstheme="minorHAnsi"/>
          <w:i/>
          <w:sz w:val="24"/>
          <w:szCs w:val="24"/>
        </w:rPr>
        <w:t xml:space="preserve"> </w:t>
      </w:r>
      <w:r w:rsidR="00740D17" w:rsidRPr="007E77E2">
        <w:rPr>
          <w:rFonts w:cstheme="minorHAnsi"/>
          <w:sz w:val="24"/>
          <w:szCs w:val="24"/>
        </w:rPr>
        <w:t xml:space="preserve">isolates against first-line TB drugs have not been well described. </w:t>
      </w:r>
      <w:r w:rsidR="00F93676" w:rsidRPr="007E77E2">
        <w:rPr>
          <w:rFonts w:cstheme="minorHAnsi"/>
          <w:sz w:val="24"/>
          <w:szCs w:val="24"/>
        </w:rPr>
        <w:t xml:space="preserve">High plasma and intrapulmonary AUC/MIC and </w:t>
      </w:r>
      <w:proofErr w:type="spellStart"/>
      <w:r w:rsidR="00F93676" w:rsidRPr="007E77E2">
        <w:rPr>
          <w:rFonts w:cstheme="minorHAnsi"/>
          <w:sz w:val="24"/>
          <w:szCs w:val="24"/>
        </w:rPr>
        <w:t>C</w:t>
      </w:r>
      <w:r w:rsidR="00F93676" w:rsidRPr="007E77E2">
        <w:rPr>
          <w:rFonts w:cstheme="minorHAnsi"/>
          <w:sz w:val="24"/>
          <w:szCs w:val="24"/>
        </w:rPr>
        <w:softHyphen/>
      </w:r>
      <w:r w:rsidR="00F93676" w:rsidRPr="007E77E2">
        <w:rPr>
          <w:rFonts w:cstheme="minorHAnsi"/>
          <w:sz w:val="24"/>
          <w:szCs w:val="24"/>
          <w:vertAlign w:val="subscript"/>
        </w:rPr>
        <w:t>max</w:t>
      </w:r>
      <w:proofErr w:type="spellEnd"/>
      <w:r w:rsidR="00F93676" w:rsidRPr="007E77E2">
        <w:rPr>
          <w:rFonts w:cstheme="minorHAnsi"/>
          <w:sz w:val="24"/>
          <w:szCs w:val="24"/>
        </w:rPr>
        <w:t>/MIC ratios</w:t>
      </w:r>
      <w:r w:rsidR="00F93676">
        <w:rPr>
          <w:rFonts w:cstheme="minorHAnsi"/>
          <w:sz w:val="24"/>
          <w:szCs w:val="24"/>
        </w:rPr>
        <w:t xml:space="preserve"> </w:t>
      </w:r>
      <w:r w:rsidR="00F93676">
        <w:rPr>
          <w:sz w:val="24"/>
          <w:szCs w:val="24"/>
        </w:rPr>
        <w:fldChar w:fldCharType="begin" w:fldLock="1"/>
      </w:r>
      <w:r w:rsidR="00DE300B">
        <w:rPr>
          <w:sz w:val="24"/>
          <w:szCs w:val="24"/>
        </w:rPr>
        <w:instrText>ADDIN CSL_CITATION {"citationItems":[{"id":"ITEM-1","itemData":{"DOI":"10.1128/AAC.01533-06","ISBN":"0066-4804 (Print)\r0066-4804 (Linking)","PMID":"17724157","abstract":"Rifampin is a cornerstone of modern antituberculosis therapy. However, rifampin's half-life of 3 h is believed to limit its utility for intermittent therapy, so new congeners with long half-lives are being developed. Using an in vitro pharmacokinetic-pharmacodynamic model of tuberculosis, we examined the relationships between rifampin exposure, microbial killing of log-phase-growth Mycobacterium tuberculosis, and suppression of resistance. Rifampin's microbial killing was linked to the area under the concentration-time curve-to-MIC ratio. The suppression of resistance was associated with the free peak concentration (C(max))-to-MIC ratio and not the duration that the rifampin concentration was above MIC. Rifampin prevented resistance to itself at a free C(max)/MIC ratio of &gt; or =175. The postantibiotic effect duration was &gt; or =5.2 days and was most closely related to the C(max)/MIC ratio (r(2) = 0.96). To explain rifampin's concentration-dependent effect, we examined the kinetics of rifampin entry into M. tuberculosis. Rifampin achieved concentration-dependent intracellular steady-state concentrations within 15 min. Our results suggest that doses of rifampin higher than those currently employed would optimize the effect of rifampin, if patients could tolerate them. Another major implication is that in the design of new rifampin congeners for intermittent therapy, the important properties may include (i) the efficient entry of the rifamycin into M. tuberculosis, (ii) the achievement of a free C(max)/MIC of &gt;175 that can be tolerated by patients, and (iii) a long postantibiotic effect duration.","author":[{"dropping-particle":"","family":"Gumbo","given":"T","non-dropping-particle":"","parse-names":false,"suffix":""},{"dropping-particle":"","family":"Louie","given":"A","non-dropping-particle":"","parse-names":false,"suffix":""},{"dropping-particle":"","family":"Deziel","given":"M R","non-dropping-particle":"","parse-names":false,"suffix":""},{"dropping-particle":"","family":"Liu","given":"W","non-dropping-particle":"","parse-names":false,"suffix":""},{"dropping-particle":"","family":"Parsons","given":"L M","non-dropping-particle":"","parse-names":false,"suffix":""},{"dropping-particle":"","family":"Salfinger","given":"M","non-dropping-particle":"","parse-names":false,"suffix":""},{"dropping-particle":"","family":"Drusano","given":"G L","non-dropping-particle":"","parse-names":false,"suffix":""}],"container-title":"Antimicrob Agents Chemother","id":"ITEM-1","issue":"11","issued":{"date-parts":[["2007"]]},"note":"Gumbo, Tawanda\nLouie, Arnold\nDeziel, Mark R\nLiu, Weiguo\nParsons, Linda M\nSalfinger, Max\nDrusano, George L\neng\nResearch Support, Non-U.S. Gov't\n2007/08/29 09:00\nAntimicrob Agents Chemother. 2007 Nov;51(11):3781-8. Epub 2007 Aug 27.","page":"3781-3788","title":"Concentration-dependent Mycobacterium tuberculosis killing and prevention of resistance by rifampin","type":"article-journal","volume":"51"},"uris":["http://www.mendeley.com/documents/?uuid=992d879b-5a0c-43ae-961f-4ba5ad4cdf1d"]},{"id":"ITEM-2","itemData":{"DOI":"10.1128/AAC.03931-14","ISBN":"1098-6596 (Electronic)\r0066-4804 (Linking)","PMID":"25313213","abstract":"The relationships between antituberculosis drug exposure and treatment effects on humans receiving multidrug therapy are complex and nonlinear. In patients on treatment, an analysis of the rate of decline in the sputum bacillary burden reveals two slopes. The first is the alpha-slope, which is thought to reflect bactericidal effect, followed by a beta-slope, which is thought to reflect sterilizing activity. We sought to characterize the effects of standard first-line treatment on sterilizing activity. Fifty-four patients receiving combination therapy for pulmonary tuberculosis in a clinical trial had drug concentrations measured and Mycobacterium tuberculosis isolates available for MIC identification. Sputum sample cultures were performed at baseline and weekly for 8 weeks. A time-to-event model based on the days to positivity in the liquid cultures was used to estimate the beta-slope. The pharmacokinetic parameters of rifampin, isoniazid, ethambutol, and pyrazinamide were determined for each patient. Multivariate adaptive regression splines analyses, which simultaneously perform linear and nonlinear analyses, were used to identify the relationships between the predictors and the beta-slope. The potential predictors examined included HIV status, lung cavitation, 24-h area under the concentration-time curve (AUC), peak drug concentration (Cmax), AUC/MIC ratio, Cmax/MIC ratio, and the time that that concentration persisted above MIC. A rifampin Cmax of &gt;8.2 mg/liter and a pyrazinamide AUC/MIC of &gt;11.3 were key predictors of the beta-slope and interacted positively to increase the beta-slope. In patients with a rifampin AUC of &lt;35.4 mg . h/liter, an increase in the pyrazinamide AUC/MIC and/or ethambutol Cmax/MIC increased the beta-slope, while increasing isoniazid Cmax decreased it, suggesting isoniazid antagonism. Antibiotic concentrations and MICs interact in a nonlinear fashion as the main drivers of a sterilizing effect. The results suggest that faster speeds of sterilizing effect might be achieved by omitting isoniazid and by increasing rifampin, pyrazinamide, and ethambutol exposures. However, isoniazid and ethambutol exposures may only be of importance when rifampin exposure is low. These findings need confirmation in larger studies. (This study has been registered at controlled-trials.com under registration no. ISRCTN80852505.).","author":[{"dropping-particle":"","family":"Chigutsa","given":"E","non-dropping-particle":"","parse-names":false,"suffix":""},{"dropping-particle":"","family":"Pasipanodya","given":"J G","non-dropping-particle":"","parse-names":false,"suffix":""},{"dropping-particle":"","family":"Visser","given":"M E","non-dropping-particle":"","parse-names":false,"suffix":""},{"dropping-particle":"","family":"Helden","given":"P D","non-dropping-particle":"van","parse-names":false,"suffix":""},{"dropping-particle":"","family":"Smith","given":"P J","non-dropping-particle":"","parse-names":false,"suffix":""},{"dropping-particle":"","family":"Sirgel","given":"F A","non-dropping-particle":"","parse-names":false,"suffix":""},{"dropping-particle":"","family":"Gumbo","given":"T","non-dropping-particle":"","parse-names":false,"suffix":""},{"dropping-particle":"","family":"McIlleron","given":"H","non-dropping-particle":"","parse-names":false,"suffix":""}],"container-title":"Antimicrob Agents Chemother","id":"ITEM-2","issue":"1","issued":{"date-parts":[["2015"]]},"note":"Chigutsa, Emmanuel\nPasipanodya, Jotam G\nVisser, Marianne E\nvan Helden, Paul D\nSmith, Peter J\nSirgel, Frederick A\nGumbo, Tawanda\nMcIlleron, Helen\neng\nR01 AI079497/AI/NIAID NIH HHS/\n412164/Wellcome Trust/United Kingdom\nR01AI079497/AI/NIAID NIH HHS/\nRandomized Controlled Trial\nResearch Support, N.I.H., Extramural\nResearch Support, Non-U.S. Gov't\n2014/10/15 06:00\nAntimicrob Agents Chemother. 2015 Jan;59(1):38-45. doi: 10.1128/AAC.03931-14. Epub 2014 Oct 13.","page":"38-45","title":"Impact of nonlinear interactions of pharmacokinetics and MICs on sputum bacillary kill rates as a marker of sterilizing effect in tuberculosis","type":"article-journal","volume":"59"},"uris":["http://www.mendeley.com/documents/?uuid=e88e7c5e-8407-49f2-bb16-6c10a7bbda30"]}],"mendeley":{"formattedCitation":"[8,38]","plainTextFormattedCitation":"[8,38]","previouslyFormattedCitation":"[35,37]"},"properties":{"noteIndex":0},"schema":"https://github.com/citation-style-language/schema/raw/master/csl-citation.json"}</w:instrText>
      </w:r>
      <w:r w:rsidR="00F93676">
        <w:rPr>
          <w:sz w:val="24"/>
          <w:szCs w:val="24"/>
        </w:rPr>
        <w:fldChar w:fldCharType="separate"/>
      </w:r>
      <w:r w:rsidR="00DE300B" w:rsidRPr="00DE300B">
        <w:rPr>
          <w:noProof/>
          <w:sz w:val="24"/>
          <w:szCs w:val="24"/>
        </w:rPr>
        <w:t>[8,38]</w:t>
      </w:r>
      <w:r w:rsidR="00F93676">
        <w:rPr>
          <w:sz w:val="24"/>
          <w:szCs w:val="24"/>
        </w:rPr>
        <w:fldChar w:fldCharType="end"/>
      </w:r>
      <w:r w:rsidR="00F93676" w:rsidRPr="007E77E2">
        <w:rPr>
          <w:rFonts w:cstheme="minorHAnsi"/>
          <w:sz w:val="24"/>
          <w:szCs w:val="24"/>
        </w:rPr>
        <w:t xml:space="preserve"> </w:t>
      </w:r>
      <w:r w:rsidR="00A277F2">
        <w:rPr>
          <w:rFonts w:cstheme="minorHAnsi"/>
          <w:sz w:val="24"/>
          <w:szCs w:val="24"/>
        </w:rPr>
        <w:t>were</w:t>
      </w:r>
      <w:r w:rsidR="00F93676" w:rsidRPr="007E77E2">
        <w:rPr>
          <w:rFonts w:cstheme="minorHAnsi"/>
          <w:sz w:val="24"/>
          <w:szCs w:val="24"/>
        </w:rPr>
        <w:t xml:space="preserve"> achieved in </w:t>
      </w:r>
      <w:r w:rsidR="00B62A74">
        <w:rPr>
          <w:rFonts w:cstheme="minorHAnsi"/>
          <w:sz w:val="24"/>
          <w:szCs w:val="24"/>
        </w:rPr>
        <w:t xml:space="preserve">this cohort </w:t>
      </w:r>
      <w:r w:rsidR="00F93676" w:rsidRPr="007E77E2">
        <w:rPr>
          <w:rFonts w:cstheme="minorHAnsi"/>
          <w:sz w:val="24"/>
          <w:szCs w:val="24"/>
        </w:rPr>
        <w:t xml:space="preserve">as a result of </w:t>
      </w:r>
      <w:r w:rsidR="00B62A74">
        <w:rPr>
          <w:rFonts w:cstheme="minorHAnsi"/>
          <w:sz w:val="24"/>
          <w:szCs w:val="24"/>
        </w:rPr>
        <w:t xml:space="preserve">steady-state </w:t>
      </w:r>
      <w:r w:rsidR="00B62A74" w:rsidRPr="00AF027B">
        <w:rPr>
          <w:sz w:val="24"/>
        </w:rPr>
        <w:t>accumulation of drugs</w:t>
      </w:r>
      <w:r w:rsidR="00B62A74">
        <w:rPr>
          <w:sz w:val="24"/>
        </w:rPr>
        <w:t xml:space="preserve"> at the site of disease, coupled with </w:t>
      </w:r>
      <w:r w:rsidR="00F93676" w:rsidRPr="007E77E2">
        <w:rPr>
          <w:rFonts w:cstheme="minorHAnsi"/>
          <w:sz w:val="24"/>
          <w:szCs w:val="24"/>
        </w:rPr>
        <w:t>preserved drug sensitivity, particularly for rifampicin.</w:t>
      </w:r>
    </w:p>
    <w:p w14:paraId="007FB71F" w14:textId="77777777" w:rsidR="00F93676" w:rsidRDefault="00F93676" w:rsidP="00022061">
      <w:pPr>
        <w:spacing w:after="0" w:line="480" w:lineRule="auto"/>
        <w:rPr>
          <w:rFonts w:cstheme="minorHAnsi"/>
          <w:sz w:val="24"/>
          <w:szCs w:val="24"/>
        </w:rPr>
      </w:pPr>
    </w:p>
    <w:p w14:paraId="7D24EA62" w14:textId="1216FB89" w:rsidR="00960986" w:rsidRPr="00A15802" w:rsidRDefault="00F93676" w:rsidP="00960986">
      <w:pPr>
        <w:spacing w:after="0" w:line="480" w:lineRule="auto"/>
        <w:rPr>
          <w:rFonts w:eastAsia="Times New Roman" w:cstheme="minorHAnsi"/>
          <w:sz w:val="24"/>
          <w:szCs w:val="24"/>
          <w:lang w:eastAsia="en-GB"/>
        </w:rPr>
      </w:pPr>
      <w:r>
        <w:rPr>
          <w:rFonts w:cstheme="minorHAnsi"/>
          <w:sz w:val="24"/>
          <w:szCs w:val="24"/>
        </w:rPr>
        <w:t>D</w:t>
      </w:r>
      <w:r w:rsidR="00960986">
        <w:rPr>
          <w:rFonts w:cstheme="minorHAnsi"/>
          <w:sz w:val="24"/>
          <w:szCs w:val="24"/>
        </w:rPr>
        <w:t xml:space="preserve">ose optimisation may </w:t>
      </w:r>
      <w:r w:rsidR="00A277F2">
        <w:rPr>
          <w:rFonts w:cstheme="minorHAnsi"/>
          <w:sz w:val="24"/>
          <w:szCs w:val="24"/>
        </w:rPr>
        <w:t>yield</w:t>
      </w:r>
      <w:r w:rsidR="00960986">
        <w:rPr>
          <w:rFonts w:cstheme="minorHAnsi"/>
          <w:sz w:val="24"/>
          <w:szCs w:val="24"/>
        </w:rPr>
        <w:t xml:space="preserve"> further improvements</w:t>
      </w:r>
      <w:r>
        <w:rPr>
          <w:rFonts w:cstheme="minorHAnsi"/>
          <w:sz w:val="24"/>
          <w:szCs w:val="24"/>
        </w:rPr>
        <w:t xml:space="preserve"> in treatment outcomes</w:t>
      </w:r>
      <w:r w:rsidR="00960986">
        <w:rPr>
          <w:rFonts w:cstheme="minorHAnsi"/>
          <w:sz w:val="24"/>
          <w:szCs w:val="24"/>
        </w:rPr>
        <w:t xml:space="preserve">. </w:t>
      </w:r>
      <w:r w:rsidR="00960986" w:rsidRPr="00A15802">
        <w:rPr>
          <w:sz w:val="24"/>
        </w:rPr>
        <w:t>Only two-thirds (64%) of the patients had culture converted by 2-months, despite drug-sensitive disease, good adherence, and intensive follow-up.</w:t>
      </w:r>
      <w:r w:rsidR="00960986">
        <w:rPr>
          <w:sz w:val="24"/>
        </w:rPr>
        <w:t xml:space="preserve"> </w:t>
      </w:r>
      <w:r w:rsidR="00960986" w:rsidRPr="00A15802">
        <w:rPr>
          <w:sz w:val="24"/>
        </w:rPr>
        <w:t xml:space="preserve">We postulate that the slow bacillary clearance and unfavourable clinical outcomes are a consequence of the observed </w:t>
      </w:r>
      <w:r w:rsidR="00960986">
        <w:rPr>
          <w:sz w:val="24"/>
        </w:rPr>
        <w:t xml:space="preserve">plasma and </w:t>
      </w:r>
      <w:r w:rsidR="00960986" w:rsidRPr="00A15802">
        <w:rPr>
          <w:sz w:val="24"/>
        </w:rPr>
        <w:t>intrapulmonary rifampicin exposure. Rifampicin dosing studies have demonstrated that increased dosing may be associated with supra-proportional increases in plasma AUC</w:t>
      </w:r>
      <w:r w:rsidR="0017341D">
        <w:rPr>
          <w:sz w:val="24"/>
        </w:rPr>
        <w:t xml:space="preserve"> </w:t>
      </w:r>
      <w:r w:rsidR="0017341D">
        <w:rPr>
          <w:sz w:val="24"/>
        </w:rPr>
        <w:fldChar w:fldCharType="begin" w:fldLock="1"/>
      </w:r>
      <w:r w:rsidR="00DE300B">
        <w:rPr>
          <w:sz w:val="24"/>
        </w:rPr>
        <w:instrText>ADDIN CSL_CITATION {"citationItems":[{"id":"ITEM-1","itemData":{"DOI":"10.1164/rccm.201407-1264OC","ISBN":"1535-4970 (Electronic)\r1073-449X (Linking)","PMID":"25654354","abstract":"RATIONALE: Rifampin at a dose of 10 mg/kg was introduced in 1971 based on pharmacokinetic, toxicity, and cost considerations. Available data in mice and humans showed that an increase in dose may shorten the duration of tuberculosis treatment. OBJECTIVES: To evaluate the safety and tolerability, the pharmacokinetics, and the extended early bactericidal activity of increasing doses of rifampin. METHODS: Patients with drug-susceptible tuberculosis were enrolled into a control group of eight patients receiving the standard dose of 10 mg/kg rifampin, followed by consecutive experimental groups with 15 patients each receiving rifampin 20, 25, 30, and 35 mg/kg, respectively, for 14 days. In all patients isoniazid, pyrazinamide, and ethambutol were added in standard doses for the second 7 days of treatment. Safety, pharmacokinetics of rifampin, and fall in bacterial load were assessed. MEASUREMENTS AND MAIN RESULTS: Grade 1 and 2 adverse events were equally distributed between the five dose groups; there were five grade 3 events of which one was a possibly related hepatotoxicity. Areas under the time-concentration curves and peak serum concentrations of rifampin showed a more than proportional increase with dose. The daily fall in bacterial load over 14 days was 0.176, 0.168, 0.167, 0.265, and 0.261 log10 colony-forming units/ml sputum in the 10, 20, 25, 30, and 35 mg/kg groups, respectively. CONCLUSIONS: Two weeks of rifampin up to 35 mg/kg was safe and well tolerated. There was a nonlinear increase in exposure to rifampin without an apparent ceiling effect and a greater estimated fall in bacterial load in the higher dosing groups. Clinical trial registered with www.clinicaltrials.gov (NCT 01392911).","author":[{"dropping-particle":"","family":"Boeree","given":"M J","non-dropping-particle":"","parse-names":false,"suffix":""},{"dropping-particle":"","family":"Diacon","given":"A H","non-dropping-particle":"","parse-names":false,"suffix":""},{"dropping-particle":"","family":"Dawson","given":"R","non-dropping-particle":"","parse-names":false,"suffix":""},{"dropping-particle":"","family":"Narunsky","given":"K","non-dropping-particle":"","parse-names":false,"suffix":""},{"dropping-particle":"","family":"Bois","given":"J","non-dropping-particle":"du","parse-names":false,"suffix":""},{"dropping-particle":"","family":"Venter","given":"A","non-dropping-particle":"","parse-names":false,"suffix":""},{"dropping-particle":"","family":"Phillips","given":"P P","non-dropping-particle":"","parse-names":false,"suffix":""},{"dropping-particle":"","family":"Gillespie","given":"S H","non-dropping-particle":"","parse-names":false,"suffix":""},{"dropping-particle":"","family":"McHugh","given":"T D","non-dropping-particle":"","parse-names":false,"suffix":""},{"dropping-particle":"","family":"Hoelscher","given":"M","non-dropping-particle":"","parse-names":false,"suffix":""},{"dropping-particle":"","family":"Heinrich","given":"N","non-dropping-particle":"","parse-names":false,"suffix":""},{"dropping-particle":"","family":"Rehal","given":"S","non-dropping-particle":"","parse-names":false,"suffix":""},{"dropping-particle":"","family":"Soolingen","given":"D","non-dropping-particle":"van","parse-names":false,"suffix":""},{"dropping-particle":"","family":"Ingen","given":"J","non-dropping-particle":"van","parse-names":false,"suffix":""},{"dropping-particle":"","family":"Magis-Escurra","given":"C","non-dropping-particle":"","parse-names":false,"suffix":""},{"dropping-particle":"","family":"Burger","given":"D","non-dropping-particle":"","parse-names":false,"suffix":""},{"dropping-particle":"","family":"Plemper van Balen","given":"G","non-dropping-particle":"","parse-names":false,"suffix":""},{"dropping-particle":"","family":"Aarnoutse","given":"R E","non-dropping-particle":"","parse-names":false,"suffix":""},{"dropping-particle":"","family":"Pan","given":"Acea Consortium","non-dropping-particle":"","parse-names":false,"suffix":""}],"container-title":"Am J Respir Crit Care Med","edition":"2015/02/06","id":"ITEM-1","issue":"9","issued":{"date-parts":[["2015"]]},"language":"Eng","note":"Boeree, Martin J\nDiacon, Andreas H\nDawson, Rodney\nNarunsky, Kim\ndu Bois, Jeannine\nVenter, Amour\nPhillips, Patrick P J\nGillespie, Stephen H\nMcHugh, Timothy D\nHoelscher, Michael\nHeinrich, Norbert\nRehal, Sunita\nvan Soolingen, Dick\nvan Ingen, Jakko\nMagis-Escurra, Cecile\nBurger, David\nPlemper van Balen, Georgette\nAarnoutse, Rob E\neng\nMC_U122888469/Medical Research Council/United Kingdom\nClinical Trial\nResearch Support, Non-U.S. Gov't\n2015/02/06 06:00\nAm J Respir Crit Care Med. 2015 May 1;191(9):1058-65. doi: 10.1164/rccm.201407-1264OC.","page":"1058-1065","title":"A dose-ranging trial to optimize the dose of rifampin in the treatment of tuberculosis","type":"article-journal","volume":"191"},"uris":["http://www.mendeley.com/documents/?uuid=02a85dee-e3fd-4fc2-9ae2-7d755a20c08b"]}],"mendeley":{"formattedCitation":"[40]","plainTextFormattedCitation":"[40]","previouslyFormattedCitation":"[38]"},"properties":{"noteIndex":0},"schema":"https://github.com/citation-style-language/schema/raw/master/csl-citation.json"}</w:instrText>
      </w:r>
      <w:r w:rsidR="0017341D">
        <w:rPr>
          <w:sz w:val="24"/>
        </w:rPr>
        <w:fldChar w:fldCharType="separate"/>
      </w:r>
      <w:r w:rsidR="00DE300B" w:rsidRPr="00DE300B">
        <w:rPr>
          <w:noProof/>
          <w:sz w:val="24"/>
        </w:rPr>
        <w:t>[40]</w:t>
      </w:r>
      <w:r w:rsidR="0017341D">
        <w:rPr>
          <w:sz w:val="24"/>
        </w:rPr>
        <w:fldChar w:fldCharType="end"/>
      </w:r>
      <w:r w:rsidR="00960986" w:rsidRPr="00A15802">
        <w:rPr>
          <w:sz w:val="24"/>
        </w:rPr>
        <w:t xml:space="preserve"> </w:t>
      </w:r>
      <w:r w:rsidR="00960986" w:rsidRPr="00A15802">
        <w:rPr>
          <w:sz w:val="24"/>
        </w:rPr>
        <w:lastRenderedPageBreak/>
        <w:t>and improved early bactericidal activity</w:t>
      </w:r>
      <w:r w:rsidR="0017341D">
        <w:rPr>
          <w:sz w:val="24"/>
        </w:rPr>
        <w:t xml:space="preserve"> </w:t>
      </w:r>
      <w:r w:rsidR="0017341D">
        <w:rPr>
          <w:sz w:val="24"/>
        </w:rPr>
        <w:fldChar w:fldCharType="begin" w:fldLock="1"/>
      </w:r>
      <w:r w:rsidR="00DE300B">
        <w:rPr>
          <w:sz w:val="24"/>
        </w:rPr>
        <w:instrText>ADDIN CSL_CITATION {"citationItems":[{"id":"ITEM-1","itemData":{"DOI":"10.1093/infdis/jiy242","ISBN":"0022-1899","PMID":"29718390","abstract":"Background: The current rifampicin dose (10 mg/kg) is sub-optimal for treating tuberculosis. The PanACEA HIGHRIF1 trial evaluated pharmacokinetics and early bactericidal activity with rifampicin doses up to 40 mg/kg. Conventional statistics revealed no significant exposure-response relationship. Our objective was to explore exposure-response for high dose rifampicin using pharmacokinetic-pharmacodynamic modeling and to predict early bactericidal activity of 50 mg/kg rifampicin. Methods: Data included time-to-positivity of sputum in liquid culture from 83 tuberculosis patients treated with 10 (n=8), 20, 25, 30, 35 or 40 (n=15/group) mg/kg rifampicin for 7 days (clinicaltrials.gov, NCT01392911). We used a semi-mechanistic time-to-event approach to model the time-to-positivity data. Rifampicin exposure and baseline time-to-positivity were explored as covariates. Results: Baseline time-to-positivity was a significant covariate on the predicted initial bacterial load and rifampicin exposure was significant on bacterial kill in sputum giving increased early bactericidal activity. The 90% prediction interval for the predicted median day 7 increase in time-to-positivity for 50 mg/kg rifampicin was 7.25-10.3 days. Conclusions: A significant exposure-response relationship was found between rifampicin exposure and early bactericidal activity. Clinical trial simulations showed greater early bactericidal activity for 50 mg/kg rifampicin.","author":[{"dropping-particle":"","family":"Svensson","given":"R J","non-dropping-particle":"","parse-names":false,"suffix":""},{"dropping-particle":"","family":"Svensson","given":"E M","non-dropping-particle":"","parse-names":false,"suffix":""},{"dropping-particle":"","family":"Aarnoutse","given":"R E","non-dropping-particle":"","parse-names":false,"suffix":""},{"dropping-particle":"","family":"Diacon","given":"A H","non-dropping-particle":"","parse-names":false,"suffix":""},{"dropping-particle":"","family":"Dawson","given":"R","non-dropping-particle":"","parse-names":false,"suffix":""},{"dropping-particle":"","family":"Gillespie","given":"S H","non-dropping-particle":"","parse-names":false,"suffix":""},{"dropping-particle":"","family":"Moodley","given":"M","non-dropping-particle":"","parse-names":false,"suffix":""},{"dropping-particle":"","family":"Boeree","given":"M J","non-dropping-particle":"","parse-names":false,"suffix":""},{"dropping-particle":"","family":"Simonsson","given":"U S H","non-dropping-particle":"","parse-names":false,"suffix":""}],"container-title":"J Infect Dis","edition":"2018/05/03","id":"ITEM-1","issued":{"date-parts":[["2018"]]},"language":"eng","note":"1537-6613\nSvensson, Robin J\nSvensson, Elin M\nAarnoutse, Rob E\nDiacon, Andreas H\nDawson, Rodney\nGillespie, Stephen H\nMoodley, Mischka\nBoeree, Martin J\nSimonsson, Ulrika S H\nJournal Article\nUnited States\nJ Infect Dis. 2018 Apr 28. pii: 4989841. doi: 10.1093/infdis/jiy242.","title":"Greater early bactericidal activity at higher rifampicin doses revealed by modeling and clinical trial simulations","type":"article-journal"},"uris":["http://www.mendeley.com/documents/?uuid=377dc9e9-bf21-4f72-bf85-dc1b24057a94"]}],"mendeley":{"formattedCitation":"[41]","plainTextFormattedCitation":"[41]","previouslyFormattedCitation":"[39]"},"properties":{"noteIndex":0},"schema":"https://github.com/citation-style-language/schema/raw/master/csl-citation.json"}</w:instrText>
      </w:r>
      <w:r w:rsidR="0017341D">
        <w:rPr>
          <w:sz w:val="24"/>
        </w:rPr>
        <w:fldChar w:fldCharType="separate"/>
      </w:r>
      <w:r w:rsidR="00DE300B" w:rsidRPr="00DE300B">
        <w:rPr>
          <w:noProof/>
          <w:sz w:val="24"/>
        </w:rPr>
        <w:t>[41]</w:t>
      </w:r>
      <w:r w:rsidR="0017341D">
        <w:rPr>
          <w:sz w:val="24"/>
        </w:rPr>
        <w:fldChar w:fldCharType="end"/>
      </w:r>
      <w:r w:rsidR="00960986" w:rsidRPr="00A15802">
        <w:rPr>
          <w:sz w:val="24"/>
        </w:rPr>
        <w:t>. These studies have typically used mg/kg doses several fold greater than used in the present study</w:t>
      </w:r>
      <w:r w:rsidR="00A277F2">
        <w:rPr>
          <w:sz w:val="24"/>
        </w:rPr>
        <w:t>,</w:t>
      </w:r>
      <w:r w:rsidR="0017341D">
        <w:rPr>
          <w:sz w:val="24"/>
        </w:rPr>
        <w:t xml:space="preserve"> </w:t>
      </w:r>
      <w:r w:rsidR="00960986" w:rsidRPr="00A15802">
        <w:rPr>
          <w:sz w:val="24"/>
        </w:rPr>
        <w:t xml:space="preserve">which may </w:t>
      </w:r>
      <w:r w:rsidR="00B62A74">
        <w:rPr>
          <w:sz w:val="24"/>
        </w:rPr>
        <w:t>markedly increase</w:t>
      </w:r>
      <w:r w:rsidR="00960986" w:rsidRPr="00A15802">
        <w:rPr>
          <w:sz w:val="24"/>
        </w:rPr>
        <w:t xml:space="preserve"> rifampicin exposure within the intrapulmonary compartment.</w:t>
      </w:r>
      <w:r w:rsidR="00853212">
        <w:rPr>
          <w:sz w:val="24"/>
        </w:rPr>
        <w:t xml:space="preserve"> </w:t>
      </w:r>
      <w:r w:rsidR="00853212">
        <w:rPr>
          <w:rFonts w:cstheme="minorHAnsi"/>
          <w:sz w:val="24"/>
          <w:szCs w:val="24"/>
        </w:rPr>
        <w:t xml:space="preserve">HIV-infected participants were observed to have a greater volume of distribution for rifampicin, likely reflecting reduced bioavailability in co-infected patients </w:t>
      </w:r>
      <w:r w:rsidR="00853212">
        <w:rPr>
          <w:rFonts w:cstheme="minorHAnsi"/>
          <w:sz w:val="24"/>
          <w:szCs w:val="24"/>
        </w:rPr>
        <w:fldChar w:fldCharType="begin" w:fldLock="1"/>
      </w:r>
      <w:r w:rsidR="00DE300B">
        <w:rPr>
          <w:rFonts w:cstheme="minorHAnsi"/>
          <w:sz w:val="24"/>
          <w:szCs w:val="24"/>
        </w:rPr>
        <w:instrText>ADDIN CSL_CITATION {"citationItems":[{"id":"ITEM-1","itemData":{"DOI":"10.1128/aac.02307-13","ISSN":"0066-4804","PMID":"24709267","abstract":"Nutritional supplementation to tuberculosis (TB) patients has been associated with increased weight and reduced mortality, but its effect on the pharmacokinetics of first-line anti-TB drugs is unknown. A cohort of 100 TB patients (58 men; median age, 35 [interquartile range {IQR}, 29 to 40] years, and median body mass index [BMI], 18.8 [17.3 to 19.9] kg/m(2)) were randomized to receive nutritional supplementation during the intensive phase of TB treatment. Rifampin plasma concentrations were determined after 1 week and 2 months of treatment. The effects of nutritional supplementation, HIV, time on treatment, body weight, and SLCO1B1 rs4149032 genotype were examined using a population pharmacokinetic model. The model adjusted for body size via allometric scaling, accounted for clearance autoinduction, and detected an increase in bioavailability (+14%) for the patients in the continuation phase. HIV coinfection in patients not receiving the supplementation was found to decrease bioavailability by 21.8%, with a median maximum concentration of drug in serum (Cmax) and area under the concentration-time curve from 0 to 24 h (AUC0-24) of 5.6 mug/ml and 28.6 mug . h/ml, respectively. HIV-coinfected patients on nutritional supplementation achieved higher Cmax and AUC0-24 values of 6.4 mug/ml and 31.6 mug . h/ml, respectively, and only 13.3% bioavailability reduction. No effect of the SLCO1B1 rs4149032 genotype was observed. In conclusion, nutritional supplementation during the first 2 months of TB treatment reduces the decrease in rifampin exposure observed in HIV-coinfected patients but does not affect exposure in HIV-uninfected patients. If confirmed in other studies, the use of defined nutritional supplementation in HIV-coinfected TB patients should be considered in TB control programs. (This study has the controlled trial registration number ISRCTN 16552219.).","author":[{"dropping-particle":"","family":"Jeremiah","given":"K","non-dropping-particle":"","parse-names":false,"suffix":""},{"dropping-particle":"","family":"Denti","given":"P","non-dropping-particle":"","parse-names":false,"suffix":""},{"dropping-particle":"","family":"Chigutsa","given":"E","non-dropping-particle":"","parse-names":false,"suffix":""},{"dropping-particle":"","family":"Faurholt-Jepsen","given":"D","non-dropping-particle":"","parse-names":false,"suffix":""},{"dropping-particle":"","family":"PrayGod","given":"G","non-dropping-particle":"","parse-names":false,"suffix":""},{"dropping-particle":"","family":"Range","given":"N","non-dropping-particle":"","parse-names":false,"suffix":""},{"dropping-particle":"","family":"Castel","given":"S","non-dropping-particle":"","parse-names":false,"suffix":""},{"dropping-particle":"","family":"Wiesner","given":"L","non-dropping-particle":"","parse-names":false,"suffix":""},{"dropping-particle":"","family":"Hagen","given":"C M","non-dropping-particle":"","parse-names":false,"suffix":""},{"dropping-particle":"","family":"Christiansen","given":"M","non-dropping-particle":"","parse-names":false,"suffix":""},{"dropping-particle":"","family":"Changalucha","given":"J","non-dropping-particle":"","parse-names":false,"suffix":""},{"dropping-particle":"","family":"McIlleron","given":"H","non-dropping-particle":"","parse-names":false,"suffix":""},{"dropping-particle":"","family":"Friis","given":"H","non-dropping-particle":"","parse-names":false,"suffix":""},{"dropping-particle":"","family":"Andersen","given":"A B","non-dropping-particle":"","parse-names":false,"suffix":""}],"container-title":"Antimicrob Agents Chemother","edition":"2014/04/09","id":"ITEM-1","issue":"6","issued":{"date-parts":[["2014"]]},"language":"Eng","note":"1098-6596 Jeremiah, Kidola Denti, Paolo Chigutsa, Emmanuel Faurholt-Jepsen, Daniel PrayGod, George Range, Nyagosya Castel, Sandra Wiesner, Lubbe Hagen, Christian Munch Christiansen, Michael Changalucha, John McIlleron, Helen Friis, Henrik Andersen, Aase Bengaard UM1 AI068636/AI/NIAID NIH HHS/United States UM1 AI106701/AI/NIAID NIH HHS/United States Clinical Trial Journal Article Randomized Controlled Trial Research Support, Non-U.S. Gov't United States Antimicrob Agents Chemother. 2014 Jun;58(6):3468-74. doi: 10.1128/AAC.02307-13. Epub 2014 Apr 7.","page":"3468-3474","title":"Nutritional supplementation increases rifampin exposure among tuberculosis patients coinfected with HIV","type":"article-journal","volume":"58"},"uris":["http://www.mendeley.com/documents/?uuid=4c1611cf-49f1-3dc0-b709-18b1b08bf79d"]}],"mendeley":{"formattedCitation":"[42]","plainTextFormattedCitation":"[42]","previouslyFormattedCitation":"[40]"},"properties":{"noteIndex":0},"schema":"https://github.com/citation-style-language/schema/raw/master/csl-citation.json"}</w:instrText>
      </w:r>
      <w:r w:rsidR="00853212">
        <w:rPr>
          <w:rFonts w:cstheme="minorHAnsi"/>
          <w:sz w:val="24"/>
          <w:szCs w:val="24"/>
        </w:rPr>
        <w:fldChar w:fldCharType="separate"/>
      </w:r>
      <w:r w:rsidR="00DE300B" w:rsidRPr="00DE300B">
        <w:rPr>
          <w:rFonts w:cstheme="minorHAnsi"/>
          <w:noProof/>
          <w:sz w:val="24"/>
          <w:szCs w:val="24"/>
        </w:rPr>
        <w:t>[42]</w:t>
      </w:r>
      <w:r w:rsidR="00853212">
        <w:rPr>
          <w:rFonts w:cstheme="minorHAnsi"/>
          <w:sz w:val="24"/>
          <w:szCs w:val="24"/>
        </w:rPr>
        <w:fldChar w:fldCharType="end"/>
      </w:r>
      <w:r w:rsidR="00853212">
        <w:rPr>
          <w:rFonts w:cstheme="minorHAnsi"/>
          <w:sz w:val="24"/>
          <w:szCs w:val="24"/>
        </w:rPr>
        <w:t>.</w:t>
      </w:r>
      <w:r w:rsidR="00960986" w:rsidRPr="00A15802">
        <w:rPr>
          <w:sz w:val="24"/>
        </w:rPr>
        <w:t xml:space="preserve">  </w:t>
      </w:r>
      <w:r w:rsidR="00960986" w:rsidRPr="00A15802">
        <w:rPr>
          <w:rFonts w:eastAsia="Times New Roman" w:cstheme="minorHAnsi"/>
          <w:sz w:val="24"/>
          <w:szCs w:val="24"/>
          <w:lang w:eastAsia="en-GB"/>
        </w:rPr>
        <w:t xml:space="preserve"> </w:t>
      </w:r>
    </w:p>
    <w:p w14:paraId="0C40ADD6" w14:textId="77777777" w:rsidR="00960986" w:rsidRPr="00AF027B" w:rsidRDefault="00960986" w:rsidP="00960986">
      <w:pPr>
        <w:spacing w:after="0" w:line="480" w:lineRule="auto"/>
        <w:rPr>
          <w:sz w:val="24"/>
        </w:rPr>
      </w:pPr>
    </w:p>
    <w:p w14:paraId="18D0DB9E" w14:textId="7622BCE6" w:rsidR="00740D17" w:rsidRPr="00BA7E8B" w:rsidRDefault="00B62A74" w:rsidP="00740D17">
      <w:pPr>
        <w:spacing w:after="0" w:line="480" w:lineRule="auto"/>
        <w:rPr>
          <w:rFonts w:cstheme="minorHAnsi"/>
          <w:sz w:val="24"/>
          <w:szCs w:val="24"/>
        </w:rPr>
      </w:pPr>
      <w:r>
        <w:rPr>
          <w:rFonts w:eastAsia="Times New Roman" w:cstheme="minorHAnsi"/>
          <w:sz w:val="24"/>
          <w:szCs w:val="24"/>
          <w:lang w:eastAsia="en-GB"/>
        </w:rPr>
        <w:t>W</w:t>
      </w:r>
      <w:r w:rsidR="00960986" w:rsidRPr="00E055B9">
        <w:rPr>
          <w:rFonts w:eastAsia="Times New Roman" w:cstheme="minorHAnsi"/>
          <w:sz w:val="24"/>
          <w:szCs w:val="24"/>
          <w:lang w:eastAsia="en-GB"/>
        </w:rPr>
        <w:t>e were unable to detect a</w:t>
      </w:r>
      <w:r w:rsidR="00821FDB">
        <w:rPr>
          <w:rFonts w:eastAsia="Times New Roman" w:cstheme="minorHAnsi"/>
          <w:sz w:val="24"/>
          <w:szCs w:val="24"/>
          <w:lang w:eastAsia="en-GB"/>
        </w:rPr>
        <w:t xml:space="preserve"> </w:t>
      </w:r>
      <w:r w:rsidR="00960986" w:rsidRPr="00E055B9">
        <w:rPr>
          <w:rFonts w:eastAsia="Times New Roman" w:cstheme="minorHAnsi"/>
          <w:sz w:val="24"/>
          <w:szCs w:val="24"/>
          <w:lang w:eastAsia="en-GB"/>
        </w:rPr>
        <w:t xml:space="preserve">relationship between plasma or intrapulmonary </w:t>
      </w:r>
      <w:r w:rsidR="00F96836">
        <w:rPr>
          <w:rFonts w:eastAsia="Times New Roman" w:cstheme="minorHAnsi"/>
          <w:sz w:val="24"/>
          <w:szCs w:val="24"/>
          <w:lang w:eastAsia="en-GB"/>
        </w:rPr>
        <w:t>pharmacokinetics</w:t>
      </w:r>
      <w:r w:rsidR="00F96836" w:rsidRPr="00E055B9">
        <w:rPr>
          <w:rFonts w:eastAsia="Times New Roman" w:cstheme="minorHAnsi"/>
          <w:sz w:val="24"/>
          <w:szCs w:val="24"/>
          <w:lang w:eastAsia="en-GB"/>
        </w:rPr>
        <w:t xml:space="preserve"> </w:t>
      </w:r>
      <w:r w:rsidR="00960986" w:rsidRPr="00E055B9">
        <w:rPr>
          <w:rFonts w:eastAsia="Times New Roman" w:cstheme="minorHAnsi"/>
          <w:sz w:val="24"/>
          <w:szCs w:val="24"/>
          <w:lang w:eastAsia="en-GB"/>
        </w:rPr>
        <w:t>and treatment response in this cohort</w:t>
      </w:r>
      <w:r w:rsidR="00153BA3">
        <w:rPr>
          <w:rFonts w:eastAsia="Times New Roman" w:cstheme="minorHAnsi"/>
          <w:sz w:val="24"/>
          <w:szCs w:val="24"/>
          <w:lang w:eastAsia="en-GB"/>
        </w:rPr>
        <w:t xml:space="preserve"> using standard approaches</w:t>
      </w:r>
      <w:r w:rsidR="0078306F">
        <w:rPr>
          <w:sz w:val="24"/>
        </w:rPr>
        <w:t xml:space="preserve">. </w:t>
      </w:r>
      <w:r w:rsidR="00C82387">
        <w:rPr>
          <w:rFonts w:eastAsia="Times New Roman" w:cstheme="minorHAnsi"/>
          <w:sz w:val="24"/>
          <w:szCs w:val="24"/>
          <w:lang w:eastAsia="en-GB"/>
        </w:rPr>
        <w:t xml:space="preserve">Exploratory methods such as those based on machine learning might offer further insights into these relationships and may form the basis of future work. </w:t>
      </w:r>
      <w:r w:rsidR="00C51F2F">
        <w:rPr>
          <w:rFonts w:cstheme="minorHAnsi"/>
          <w:sz w:val="24"/>
          <w:szCs w:val="24"/>
        </w:rPr>
        <w:t>G</w:t>
      </w:r>
      <w:r w:rsidR="00740D17" w:rsidRPr="00AF027B">
        <w:rPr>
          <w:sz w:val="24"/>
        </w:rPr>
        <w:t>iven a relatively narrow exposure across a constant mg/kg range</w:t>
      </w:r>
      <w:r w:rsidR="0010559D">
        <w:rPr>
          <w:sz w:val="24"/>
        </w:rPr>
        <w:t xml:space="preserve"> </w:t>
      </w:r>
      <w:r w:rsidR="00C2728B">
        <w:rPr>
          <w:sz w:val="24"/>
        </w:rPr>
        <w:t>using</w:t>
      </w:r>
      <w:r w:rsidR="0010559D">
        <w:rPr>
          <w:sz w:val="24"/>
        </w:rPr>
        <w:t xml:space="preserve"> weight-banded dosing</w:t>
      </w:r>
      <w:r w:rsidR="00740D17" w:rsidRPr="00AF027B">
        <w:rPr>
          <w:sz w:val="24"/>
        </w:rPr>
        <w:t xml:space="preserve">, studies assessing a greater range of dosing may be required to fully delineate relationships between pharmacokinetics and binary clinical outcomes. Alternatively, </w:t>
      </w:r>
      <w:r w:rsidR="000F55E0">
        <w:rPr>
          <w:sz w:val="24"/>
        </w:rPr>
        <w:t xml:space="preserve">modelled </w:t>
      </w:r>
      <w:r w:rsidR="00B92B1C">
        <w:rPr>
          <w:sz w:val="24"/>
        </w:rPr>
        <w:t>b</w:t>
      </w:r>
      <w:r w:rsidR="00740D17" w:rsidRPr="00AF027B">
        <w:rPr>
          <w:sz w:val="24"/>
        </w:rPr>
        <w:t xml:space="preserve">acillary elimination rates, </w:t>
      </w:r>
      <w:r w:rsidR="00EA6DA0">
        <w:rPr>
          <w:sz w:val="24"/>
        </w:rPr>
        <w:t>as</w:t>
      </w:r>
      <w:r w:rsidR="00740D17" w:rsidRPr="00AF027B">
        <w:rPr>
          <w:sz w:val="24"/>
        </w:rPr>
        <w:t xml:space="preserve"> a continuous measure of treatment response</w:t>
      </w:r>
      <w:r w:rsidR="00EA6DA0">
        <w:rPr>
          <w:sz w:val="24"/>
        </w:rPr>
        <w:t xml:space="preserve">, </w:t>
      </w:r>
      <w:r w:rsidR="00740D17" w:rsidRPr="00AF027B">
        <w:rPr>
          <w:sz w:val="24"/>
        </w:rPr>
        <w:t>may identify pharmacokinetic-pharmacodynamic relationships from studies of fewer participants</w:t>
      </w:r>
      <w:r w:rsidR="00E055B9">
        <w:rPr>
          <w:sz w:val="24"/>
        </w:rPr>
        <w:t xml:space="preserve"> </w:t>
      </w:r>
      <w:r w:rsidR="00E055B9">
        <w:rPr>
          <w:sz w:val="24"/>
        </w:rPr>
        <w:fldChar w:fldCharType="begin" w:fldLock="1"/>
      </w:r>
      <w:r w:rsidR="00DE300B">
        <w:rPr>
          <w:sz w:val="24"/>
        </w:rPr>
        <w:instrText>ADDIN CSL_CITATION {"citationItems":[{"id":"ITEM-1","itemData":{"DOI":"10.1093/infdis/jiy242","ISBN":"0022-1899","PMID":"29718390","abstract":"Background: The current rifampicin dose (10 mg/kg) is sub-optimal for treating tuberculosis. The PanACEA HIGHRIF1 trial evaluated pharmacokinetics and early bactericidal activity with rifampicin doses up to 40 mg/kg. Conventional statistics revealed no significant exposure-response relationship. Our objective was to explore exposure-response for high dose rifampicin using pharmacokinetic-pharmacodynamic modeling and to predict early bactericidal activity of 50 mg/kg rifampicin. Methods: Data included time-to-positivity of sputum in liquid culture from 83 tuberculosis patients treated with 10 (n=8), 20, 25, 30, 35 or 40 (n=15/group) mg/kg rifampicin for 7 days (clinicaltrials.gov, NCT01392911). We used a semi-mechanistic time-to-event approach to model the time-to-positivity data. Rifampicin exposure and baseline time-to-positivity were explored as covariates. Results: Baseline time-to-positivity was a significant covariate on the predicted initial bacterial load and rifampicin exposure was significant on bacterial kill in sputum giving increased early bactericidal activity. The 90% prediction interval for the predicted median day 7 increase in time-to-positivity for 50 mg/kg rifampicin was 7.25-10.3 days. Conclusions: A significant exposure-response relationship was found between rifampicin exposure and early bactericidal activity. Clinical trial simulations showed greater early bactericidal activity for 50 mg/kg rifampicin.","author":[{"dropping-particle":"","family":"Svensson","given":"R J","non-dropping-particle":"","parse-names":false,"suffix":""},{"dropping-particle":"","family":"Svensson","given":"E M","non-dropping-particle":"","parse-names":false,"suffix":""},{"dropping-particle":"","family":"Aarnoutse","given":"R E","non-dropping-particle":"","parse-names":false,"suffix":""},{"dropping-particle":"","family":"Diacon","given":"A H","non-dropping-particle":"","parse-names":false,"suffix":""},{"dropping-particle":"","family":"Dawson","given":"R","non-dropping-particle":"","parse-names":false,"suffix":""},{"dropping-particle":"","family":"Gillespie","given":"S H","non-dropping-particle":"","parse-names":false,"suffix":""},{"dropping-particle":"","family":"Moodley","given":"M","non-dropping-particle":"","parse-names":false,"suffix":""},{"dropping-particle":"","family":"Boeree","given":"M J","non-dropping-particle":"","parse-names":false,"suffix":""},{"dropping-particle":"","family":"Simonsson","given":"U S H","non-dropping-particle":"","parse-names":false,"suffix":""}],"container-title":"J Infect Dis","edition":"2018/05/03","id":"ITEM-1","issued":{"date-parts":[["2018"]]},"language":"eng","note":"1537-6613\nSvensson, Robin J\nSvensson, Elin M\nAarnoutse, Rob E\nDiacon, Andreas H\nDawson, Rodney\nGillespie, Stephen H\nMoodley, Mischka\nBoeree, Martin J\nSimonsson, Ulrika S H\nJournal Article\nUnited States\nJ Infect Dis. 2018 Apr 28. pii: 4989841. doi: 10.1093/infdis/jiy242.","title":"Greater early bactericidal activity at higher rifampicin doses revealed by modeling and clinical trial simulations","type":"article-journal"},"uris":["http://www.mendeley.com/documents/?uuid=377dc9e9-bf21-4f72-bf85-dc1b24057a94"]},{"id":"ITEM-2","itemData":{"DOI":"10.1093/cid/civ195","ISBN":"1058-4838","PMID":"25778753","abstract":"BACKGROUND: Antibiotic tolerant bacterial persistence prevents treatment shortening in drug susceptible tuberculosis (TB) and accumulation of intracellular lipid bodies has been proposed to identify a persister phenotype of Mycobacterium tuberculosis cells. In Malawi, we modelled Bacillary Elimination Rates (BERs) from sputum cultures and calculated the percentage of lipid body positive acid fast bacilli (%LB+AFB) on sputum smears. We assessed whether these putative measurements of persistence predict unfavourable outcomes (treatment failure/relapse). METHODS: Adults with pulmonary TB received standard 6 month therapy. Sputum samples were collected during the first 8 weeks for Serial Sputum Colony Counting (SSCC) on agar and Time to Positivity (TTP) measurement in BACTEC MGIT broth. BERs were extracted from non-linear and linear mixed effects models fitted respectively to these datasets. %LB+AFB counts were assessed by fluorescence microscopy. Patients were followed until one year post-treatment. Individual BERs and %LB+AFB counts were related to final outcomes. RESULTS: 133 patients (56% HIV co-infected) participated and 15 unfavourable outcomes were reported. These were inversely associated with faster sterilisation phase bacillary elimination from the SSCC model (Odds Ratio [OR]: 0.39, 95% Confidence interval [CI]: 0.22-0.70) and a faster BER from the TTP model (OR: 0.71, 95% CI: 0.55-0.94). Higher %LB+AFB counts on day 21-28 were recorded in patients who suffered unfavourable final outcomes compared to those who achieved stable cure (p=0.008). CONCLUSIONS: Modelling BERs predicts final outcome and high %LB+AFB counts 3-4 weeks into therapy may identify a persister bacterial phenotype. These methods deserve further evaluation as surrogate endpoints for clinical trials.","author":[{"dropping-particle":"","family":"Sloan","given":"D J","non-dropping-particle":"","parse-names":false,"suffix":""},{"dropping-particle":"","family":"Mwandumba","given":"H C","non-dropping-particle":"","parse-names":false,"suffix":""},{"dropping-particle":"","family":"Garton","given":"N J","non-dropping-particle":"","parse-names":false,"suffix":""},{"dropping-particle":"","family":"Khoo","given":"S H","non-dropping-particle":"","parse-names":false,"suffix":""},{"dropping-particle":"","family":"Butterworth","given":"A E","non-dropping-particle":"","parse-names":false,"suffix":""},{"dropping-particle":"","family":"Allain","given":"T J","non-dropping-particle":"","parse-names":false,"suffix":""},{"dropping-particle":"","family":"Heyderman","given":"R S","non-dropping-particle":"","parse-names":false,"suffix":""},{"dropping-particle":"","family":"Corbett","given":"E L","non-dropping-particle":"","parse-names":false,"suffix":""},{"dropping-particle":"","family":"Barer","given":"M R","non-dropping-particle":"","parse-names":false,"suffix":""},{"dropping-particle":"","family":"Davies","given":"G R","non-dropping-particle":"","parse-names":false,"suffix":""}],"container-title":"Clin Infect Dis","edition":"2015/03/18","id":"ITEM-2","issued":{"date-parts":[["2015"]]},"language":"Eng","note":"1537-6591\nSloan, D J\nMwandumba, H C\nGarton, N J\nKhoo, S H\nButterworth, A E\nAllain, T J\nHeyderman, R S\nCorbett, E L\nBarer, M R\nDavies, Geraint R\nJournal article\nClin Infect Dis. 2015 Mar 16. pii: civ195.","title":"Pharmacodynamic modelling of bacillary elimination rates and detection of bacterial lipid bodies in sputum to predict and understand outcomes in treatment of pulmonary tuberculosis","type":"article-journal"},"uris":["http://www.mendeley.com/documents/?uuid=47cbce55-a680-49aa-b0a4-d544f957e6b8"]}],"mendeley":{"formattedCitation":"[41,43]","plainTextFormattedCitation":"[41,43]","previouslyFormattedCitation":"[39,41]"},"properties":{"noteIndex":0},"schema":"https://github.com/citation-style-language/schema/raw/master/csl-citation.json"}</w:instrText>
      </w:r>
      <w:r w:rsidR="00E055B9">
        <w:rPr>
          <w:sz w:val="24"/>
        </w:rPr>
        <w:fldChar w:fldCharType="separate"/>
      </w:r>
      <w:r w:rsidR="00DE300B" w:rsidRPr="00DE300B">
        <w:rPr>
          <w:noProof/>
          <w:sz w:val="24"/>
        </w:rPr>
        <w:t>[41,43]</w:t>
      </w:r>
      <w:r w:rsidR="00E055B9">
        <w:rPr>
          <w:sz w:val="24"/>
        </w:rPr>
        <w:fldChar w:fldCharType="end"/>
      </w:r>
      <w:r w:rsidR="00740D17" w:rsidRPr="00AF027B">
        <w:rPr>
          <w:sz w:val="24"/>
        </w:rPr>
        <w:t>. Even if dose refinement is not associated with improved rates of relapse-free cure, identification of factors associated with more rapid bacillary elimination may be important for interruption of transmission and reduction of post-TB lung disease.</w:t>
      </w:r>
    </w:p>
    <w:p w14:paraId="5F061BE7" w14:textId="693BCBAD" w:rsidR="00740D17" w:rsidRDefault="00740D17" w:rsidP="00740D17">
      <w:pPr>
        <w:spacing w:after="0" w:line="480" w:lineRule="auto"/>
        <w:rPr>
          <w:rFonts w:cstheme="minorHAnsi"/>
          <w:sz w:val="24"/>
          <w:szCs w:val="24"/>
        </w:rPr>
      </w:pPr>
    </w:p>
    <w:p w14:paraId="41BFC322" w14:textId="4F8A977D" w:rsidR="00E055B9" w:rsidRPr="00AF027B" w:rsidRDefault="00E055B9" w:rsidP="00E055B9">
      <w:pPr>
        <w:spacing w:after="0" w:line="480" w:lineRule="auto"/>
        <w:rPr>
          <w:sz w:val="24"/>
        </w:rPr>
      </w:pPr>
      <w:r w:rsidRPr="00AF027B">
        <w:rPr>
          <w:sz w:val="24"/>
        </w:rPr>
        <w:t xml:space="preserve">There were several limitations to our study. Bronchoalveolar lavage may result in drug efflux from macrophages, but these effects were minimised by placing samples on ice, and rapid centrifugation. The cell pellet obtained from bronchoalveolar lavage contains a mixture of alveolar macrophages, epithelial cells, lymphocytes and </w:t>
      </w:r>
      <w:r w:rsidR="006D63E8">
        <w:rPr>
          <w:sz w:val="24"/>
        </w:rPr>
        <w:t xml:space="preserve">other </w:t>
      </w:r>
      <w:r w:rsidRPr="00AF027B">
        <w:rPr>
          <w:sz w:val="24"/>
        </w:rPr>
        <w:t xml:space="preserve">leukocytes, and the drug concentration is recorded in </w:t>
      </w:r>
      <w:proofErr w:type="spellStart"/>
      <w:r w:rsidRPr="00AF027B">
        <w:rPr>
          <w:sz w:val="24"/>
        </w:rPr>
        <w:t>μg</w:t>
      </w:r>
      <w:proofErr w:type="spellEnd"/>
      <w:r w:rsidRPr="00AF027B">
        <w:rPr>
          <w:sz w:val="24"/>
        </w:rPr>
        <w:t xml:space="preserve">/ml of cells.  Alveolar macrophages represent more than 80% </w:t>
      </w:r>
      <w:r w:rsidRPr="00AF027B">
        <w:rPr>
          <w:sz w:val="24"/>
        </w:rPr>
        <w:lastRenderedPageBreak/>
        <w:t xml:space="preserve">of cells in lavage, and are the largest cells retrieved </w:t>
      </w:r>
      <w:r>
        <w:rPr>
          <w:sz w:val="24"/>
        </w:rPr>
        <w:fldChar w:fldCharType="begin" w:fldLock="1"/>
      </w:r>
      <w:r w:rsidR="00DE300B">
        <w:rPr>
          <w:sz w:val="24"/>
        </w:rPr>
        <w:instrText>ADDIN CSL_CITATION {"citationItems":[{"id":"ITEM-1","itemData":{"DOI":"10.3791/4345","ISBN":"1940-087X (Electronic)\r1940-087X (Linking)","PMID":"24686157","abstract":"We describe a research technique for fiberoptic bronchoscopy with bronchoalveolar lavage (BAL) using manual hand held suction in order to remove nonadherent cells and lung lining fluid from the mucosal surface. In research environments, BAL allows sampling of innate (lung macrophage), cellular (B- and T- cells), and humoral (immunoglobulin) responses within the lung. BAL is internationally accepted for research purposes and since 1999 the technique has been performed in &gt; 1,000 subjects in the UK and Malawi by our group. Our technique uses gentle hand-held suction of instilled fluid; this is designed to maximize BAL volume returned and apply minimum shear force on ciliated epithelia in order to preserve the structure and function of cells within the BAL fluid and to preserve viability to facilitate the growth of cells in ex vivo culture. The research technique therefore uses a larger volume instillate (typically in the order of 200 ml) and employs manual suction to reduce cell damage. Patients are given local anesthetic, offered conscious sedation (midazolam), and tolerate the procedure well with minimal side effects. Verbal and written subject information improves tolerance and written informed consent is mandatory. Safety of the subject is paramount. Subjects are carefully selected using clear inclusion and exclusion criteria. This protocol includes a description of the potential risks, and the steps taken to mitigate them, a list of contraindications, pre- and post-procedure checks, as well as precise bronchoscopy and laboratory techniques.","author":[{"dropping-particle":"","family":"Collins","given":"A M","non-dropping-particle":"","parse-names":false,"suffix":""},{"dropping-particle":"","family":"Rylance","given":"J","non-dropping-particle":"","parse-names":false,"suffix":""},{"dropping-particle":"","family":"Wootton","given":"D G","non-dropping-particle":"","parse-names":false,"suffix":""},{"dropping-particle":"","family":"Wright","given":"A D","non-dropping-particle":"","parse-names":false,"suffix":""},{"dropping-particle":"","family":"Wright","given":"A K","non-dropping-particle":"","parse-names":false,"suffix":""},{"dropping-particle":"","family":"Fullerton","given":"D G","non-dropping-particle":"","parse-names":false,"suffix":""},{"dropping-particle":"","family":"Gordon","given":"S B","non-dropping-particle":"","parse-names":false,"suffix":""}],"container-title":"J Vis Exp","id":"ITEM-1","issue":"85","issued":{"date-parts":[["2014"]]},"note":"Collins, Andrea M\nRylance, Jamie\nWootton, Daniel G\nWright, Angela D\nWright, Adam K A\nFullerton, Duncan G\nGordon, Stephen B\neng\n100890/Wellcome Trust/United Kingdom\n101113/Wellcome Trust/United Kingdom\nDRF-2010-03-154/Department of Health/United Kingdom\nVideo-Audio Media\n2014/04/02 06:00\nJ Vis Exp. 2014 Mar 24;(85). doi: 10.3791/4345.","title":"Bronchoalveolar lavage (BAL) for research; obtaining adequate sample yield","type":"article-journal"},"uris":["http://www.mendeley.com/documents/?uuid=1222a1a0-982d-4769-bcbb-4ac189e8414a"]}],"mendeley":{"formattedCitation":"[23]","plainTextFormattedCitation":"[23]","previouslyFormattedCitation":"[19]"},"properties":{"noteIndex":0},"schema":"https://github.com/citation-style-language/schema/raw/master/csl-citation.json"}</w:instrText>
      </w:r>
      <w:r>
        <w:rPr>
          <w:sz w:val="24"/>
        </w:rPr>
        <w:fldChar w:fldCharType="separate"/>
      </w:r>
      <w:r w:rsidR="00DE300B" w:rsidRPr="00DE300B">
        <w:rPr>
          <w:noProof/>
          <w:sz w:val="24"/>
        </w:rPr>
        <w:t>[23]</w:t>
      </w:r>
      <w:r>
        <w:rPr>
          <w:sz w:val="24"/>
        </w:rPr>
        <w:fldChar w:fldCharType="end"/>
      </w:r>
      <w:r w:rsidRPr="00AF027B">
        <w:rPr>
          <w:sz w:val="24"/>
        </w:rPr>
        <w:t>, and as such, the alveolar cell concentrations are more likely to be an underestimation of macrophage drug concentration.</w:t>
      </w:r>
      <w:r w:rsidR="00723467">
        <w:rPr>
          <w:sz w:val="24"/>
        </w:rPr>
        <w:t xml:space="preserve"> </w:t>
      </w:r>
      <w:r w:rsidR="00A277F2">
        <w:rPr>
          <w:sz w:val="24"/>
        </w:rPr>
        <w:t xml:space="preserve">Finally, we were only able to measure </w:t>
      </w:r>
      <w:r w:rsidR="00723467">
        <w:rPr>
          <w:sz w:val="24"/>
        </w:rPr>
        <w:t xml:space="preserve">MICs from a subset of </w:t>
      </w:r>
      <w:r w:rsidR="00A277F2">
        <w:rPr>
          <w:sz w:val="24"/>
        </w:rPr>
        <w:t xml:space="preserve">baseline isolates, instead using summary estimates to describe AUC/MIC and </w:t>
      </w:r>
      <w:proofErr w:type="spellStart"/>
      <w:r w:rsidR="00A277F2">
        <w:rPr>
          <w:sz w:val="24"/>
        </w:rPr>
        <w:t>C</w:t>
      </w:r>
      <w:r w:rsidR="00A277F2">
        <w:rPr>
          <w:sz w:val="24"/>
          <w:vertAlign w:val="subscript"/>
        </w:rPr>
        <w:t>max</w:t>
      </w:r>
      <w:proofErr w:type="spellEnd"/>
      <w:r w:rsidR="00A277F2">
        <w:rPr>
          <w:sz w:val="24"/>
        </w:rPr>
        <w:t xml:space="preserve">/MIC </w:t>
      </w:r>
      <w:r w:rsidR="00E35A60">
        <w:rPr>
          <w:sz w:val="24"/>
        </w:rPr>
        <w:t xml:space="preserve">distributions </w:t>
      </w:r>
      <w:r w:rsidR="00A277F2">
        <w:rPr>
          <w:sz w:val="24"/>
        </w:rPr>
        <w:t xml:space="preserve">for </w:t>
      </w:r>
      <w:r w:rsidR="00723467">
        <w:rPr>
          <w:sz w:val="24"/>
        </w:rPr>
        <w:t xml:space="preserve">the cohort. </w:t>
      </w:r>
    </w:p>
    <w:p w14:paraId="74ADC657" w14:textId="77777777" w:rsidR="00E055B9" w:rsidRPr="00AF027B" w:rsidRDefault="00E055B9" w:rsidP="00E055B9">
      <w:pPr>
        <w:spacing w:after="0" w:line="480" w:lineRule="auto"/>
        <w:rPr>
          <w:sz w:val="24"/>
        </w:rPr>
      </w:pPr>
    </w:p>
    <w:p w14:paraId="66C559A7" w14:textId="6A802B56" w:rsidR="00723467" w:rsidRDefault="00E055B9" w:rsidP="00E055B9">
      <w:pPr>
        <w:spacing w:after="0" w:line="480" w:lineRule="auto"/>
        <w:rPr>
          <w:sz w:val="24"/>
        </w:rPr>
      </w:pPr>
      <w:r w:rsidRPr="00AF027B">
        <w:rPr>
          <w:sz w:val="24"/>
        </w:rPr>
        <w:t>These are the only data describing the steady-state intrapulmonary pharmacokinetics of first-line anti-TB therapy in patients with pulmonary disease. U</w:t>
      </w:r>
      <w:r w:rsidR="00723467">
        <w:rPr>
          <w:sz w:val="24"/>
        </w:rPr>
        <w:t>ltimately, u</w:t>
      </w:r>
      <w:r w:rsidRPr="00AF027B">
        <w:rPr>
          <w:sz w:val="24"/>
        </w:rPr>
        <w:t xml:space="preserve">nderstanding the mismatch in antibiotic exposure between plasma and site of infection may aid dose refinement and </w:t>
      </w:r>
      <w:r w:rsidR="00723467">
        <w:rPr>
          <w:rFonts w:eastAsia="Times New Roman" w:cstheme="minorHAnsi"/>
          <w:sz w:val="24"/>
          <w:szCs w:val="24"/>
          <w:lang w:eastAsia="en-GB"/>
        </w:rPr>
        <w:t>development of optimal pan-TB regimens for both drug-sensitive and drug-resistant disease</w:t>
      </w:r>
      <w:r w:rsidRPr="00AF027B">
        <w:rPr>
          <w:sz w:val="24"/>
        </w:rPr>
        <w:t>.</w:t>
      </w:r>
    </w:p>
    <w:p w14:paraId="7F59DA6A" w14:textId="77777777" w:rsidR="00AF027B" w:rsidRPr="00AF027B" w:rsidRDefault="00AF027B" w:rsidP="00AF027B">
      <w:pPr>
        <w:spacing w:after="0" w:line="480" w:lineRule="auto"/>
        <w:rPr>
          <w:b/>
          <w:bCs/>
          <w:sz w:val="24"/>
        </w:rPr>
      </w:pPr>
    </w:p>
    <w:p w14:paraId="668BCB5A" w14:textId="3120F7EA" w:rsidR="0042227E" w:rsidRDefault="0042227E">
      <w:pPr>
        <w:spacing w:line="259" w:lineRule="auto"/>
        <w:rPr>
          <w:b/>
          <w:bCs/>
          <w:sz w:val="24"/>
        </w:rPr>
      </w:pPr>
      <w:r>
        <w:rPr>
          <w:b/>
          <w:bCs/>
          <w:sz w:val="24"/>
        </w:rPr>
        <w:br w:type="page"/>
      </w:r>
    </w:p>
    <w:p w14:paraId="58D39583" w14:textId="481BA3B2" w:rsidR="00EA6DA0" w:rsidRDefault="00EA6DA0">
      <w:pPr>
        <w:spacing w:line="259" w:lineRule="auto"/>
        <w:rPr>
          <w:b/>
          <w:bCs/>
          <w:sz w:val="24"/>
        </w:rPr>
      </w:pPr>
    </w:p>
    <w:p w14:paraId="351D1E74" w14:textId="7D3E9FF7" w:rsidR="00AF027B" w:rsidRPr="00AF027B" w:rsidRDefault="00AF027B" w:rsidP="00AF027B">
      <w:pPr>
        <w:spacing w:after="0" w:line="480" w:lineRule="auto"/>
        <w:rPr>
          <w:b/>
          <w:bCs/>
          <w:sz w:val="24"/>
        </w:rPr>
      </w:pPr>
      <w:r w:rsidRPr="00AF027B">
        <w:rPr>
          <w:b/>
          <w:bCs/>
          <w:sz w:val="24"/>
        </w:rPr>
        <w:t>Acknowledgements</w:t>
      </w:r>
    </w:p>
    <w:p w14:paraId="39260B0D" w14:textId="2DB5B586" w:rsidR="00AF027B" w:rsidRPr="00AF027B" w:rsidRDefault="00AF027B" w:rsidP="00AF027B">
      <w:pPr>
        <w:spacing w:after="0" w:line="480" w:lineRule="auto"/>
        <w:rPr>
          <w:sz w:val="24"/>
        </w:rPr>
      </w:pPr>
      <w:r w:rsidRPr="00AF027B">
        <w:rPr>
          <w:sz w:val="24"/>
        </w:rPr>
        <w:t>We would like to thank the staff of the Clinical Investigation Unit</w:t>
      </w:r>
      <w:r w:rsidR="005D1AE3">
        <w:rPr>
          <w:sz w:val="24"/>
        </w:rPr>
        <w:t xml:space="preserve">, </w:t>
      </w:r>
      <w:r w:rsidRPr="00AF027B">
        <w:rPr>
          <w:sz w:val="24"/>
        </w:rPr>
        <w:t>Ward 3A</w:t>
      </w:r>
      <w:r w:rsidR="005D1AE3">
        <w:rPr>
          <w:sz w:val="24"/>
        </w:rPr>
        <w:t>, and Radiology Department</w:t>
      </w:r>
      <w:r w:rsidR="007E0548">
        <w:rPr>
          <w:sz w:val="24"/>
        </w:rPr>
        <w:t>,</w:t>
      </w:r>
      <w:r w:rsidRPr="00AF027B">
        <w:rPr>
          <w:sz w:val="24"/>
        </w:rPr>
        <w:t xml:space="preserve"> Queen Elizabeth Central Hospital, the TB Officers of the Blantyre District Health Office and the Malawi-Liverpool-</w:t>
      </w:r>
      <w:proofErr w:type="spellStart"/>
      <w:r w:rsidRPr="00AF027B">
        <w:rPr>
          <w:sz w:val="24"/>
        </w:rPr>
        <w:t>Wellcome</w:t>
      </w:r>
      <w:proofErr w:type="spellEnd"/>
      <w:r w:rsidRPr="00AF027B">
        <w:rPr>
          <w:sz w:val="24"/>
        </w:rPr>
        <w:t xml:space="preserve"> Clinical Research Programme for their support and co-operation during the study. </w:t>
      </w:r>
      <w:r w:rsidR="002F2A27">
        <w:rPr>
          <w:sz w:val="24"/>
        </w:rPr>
        <w:t xml:space="preserve">We </w:t>
      </w:r>
      <w:r w:rsidR="00862053">
        <w:rPr>
          <w:sz w:val="24"/>
        </w:rPr>
        <w:t>are grateful to</w:t>
      </w:r>
      <w:r w:rsidR="002F2A27">
        <w:rPr>
          <w:sz w:val="24"/>
        </w:rPr>
        <w:t xml:space="preserve"> </w:t>
      </w:r>
      <w:proofErr w:type="spellStart"/>
      <w:r w:rsidR="002F2A27">
        <w:rPr>
          <w:sz w:val="24"/>
        </w:rPr>
        <w:t>Jehan</w:t>
      </w:r>
      <w:proofErr w:type="spellEnd"/>
      <w:r w:rsidR="002F2A27">
        <w:rPr>
          <w:sz w:val="24"/>
        </w:rPr>
        <w:t xml:space="preserve"> </w:t>
      </w:r>
      <w:proofErr w:type="spellStart"/>
      <w:r w:rsidR="002F2A27">
        <w:rPr>
          <w:sz w:val="24"/>
        </w:rPr>
        <w:t>Ghany</w:t>
      </w:r>
      <w:proofErr w:type="spellEnd"/>
      <w:r w:rsidR="002F2A27">
        <w:rPr>
          <w:sz w:val="24"/>
        </w:rPr>
        <w:t xml:space="preserve"> and </w:t>
      </w:r>
      <w:r w:rsidR="006A4FF0">
        <w:rPr>
          <w:sz w:val="24"/>
        </w:rPr>
        <w:t>Elizabeth Joek</w:t>
      </w:r>
      <w:r w:rsidR="004006C4">
        <w:rPr>
          <w:sz w:val="24"/>
        </w:rPr>
        <w:t xml:space="preserve">es for their work on the chest radiograph scoring. </w:t>
      </w:r>
      <w:r w:rsidRPr="00AF027B">
        <w:rPr>
          <w:sz w:val="24"/>
        </w:rPr>
        <w:t xml:space="preserve">Lisa Stone, Liverpool School of Tropical Medicine, was integral to some of the laboratory work described in this manuscript but sadly passed away before it was completed; we gratefully acknowledge her contribution. Finally, we would like to thank all study participants for their enthusiastic participation in the study, without whom this work would not be possible. </w:t>
      </w:r>
    </w:p>
    <w:p w14:paraId="4CF5F768" w14:textId="77777777" w:rsidR="00AF027B" w:rsidRPr="00AF027B" w:rsidRDefault="00AF027B" w:rsidP="00AF027B">
      <w:pPr>
        <w:spacing w:after="0" w:line="480" w:lineRule="auto"/>
        <w:rPr>
          <w:b/>
          <w:bCs/>
          <w:sz w:val="24"/>
        </w:rPr>
      </w:pPr>
    </w:p>
    <w:p w14:paraId="13211F76" w14:textId="19E3D132" w:rsidR="00AF027B" w:rsidRPr="00AF027B" w:rsidRDefault="00CF477B" w:rsidP="00AF027B">
      <w:pPr>
        <w:spacing w:after="0" w:line="480" w:lineRule="auto"/>
        <w:rPr>
          <w:sz w:val="24"/>
        </w:rPr>
      </w:pPr>
      <w:r>
        <w:rPr>
          <w:b/>
          <w:bCs/>
          <w:sz w:val="24"/>
        </w:rPr>
        <w:t>Funding</w:t>
      </w:r>
    </w:p>
    <w:p w14:paraId="1DC7A2EF" w14:textId="15B1F9BD" w:rsidR="004A2504" w:rsidRDefault="00AF027B" w:rsidP="00372199">
      <w:pPr>
        <w:spacing w:after="0" w:line="480" w:lineRule="auto"/>
        <w:rPr>
          <w:sz w:val="24"/>
        </w:rPr>
      </w:pPr>
      <w:r w:rsidRPr="00AF027B">
        <w:rPr>
          <w:sz w:val="24"/>
        </w:rPr>
        <w:t xml:space="preserve">This work was </w:t>
      </w:r>
      <w:r w:rsidR="00CF477B">
        <w:rPr>
          <w:sz w:val="24"/>
        </w:rPr>
        <w:t>supported</w:t>
      </w:r>
      <w:r w:rsidRPr="00AF027B">
        <w:rPr>
          <w:sz w:val="24"/>
        </w:rPr>
        <w:t xml:space="preserve"> by a </w:t>
      </w:r>
      <w:proofErr w:type="spellStart"/>
      <w:r w:rsidRPr="00AF027B">
        <w:rPr>
          <w:sz w:val="24"/>
        </w:rPr>
        <w:t>Wellcome</w:t>
      </w:r>
      <w:proofErr w:type="spellEnd"/>
      <w:r w:rsidRPr="00AF027B">
        <w:rPr>
          <w:sz w:val="24"/>
        </w:rPr>
        <w:t xml:space="preserve"> Trust Clinical PhD Fellowship (105392/B/14/Z to A.D.M.). The Malawi-Liverpool-</w:t>
      </w:r>
      <w:proofErr w:type="spellStart"/>
      <w:r w:rsidRPr="00AF027B">
        <w:rPr>
          <w:sz w:val="24"/>
        </w:rPr>
        <w:t>Wellcome</w:t>
      </w:r>
      <w:proofErr w:type="spellEnd"/>
      <w:r w:rsidRPr="00AF027B">
        <w:rPr>
          <w:sz w:val="24"/>
        </w:rPr>
        <w:t xml:space="preserve"> Clinical Research Programme is supported by a strategic award from the </w:t>
      </w:r>
      <w:proofErr w:type="spellStart"/>
      <w:r w:rsidRPr="00AF027B">
        <w:rPr>
          <w:sz w:val="24"/>
        </w:rPr>
        <w:t>Wellcome</w:t>
      </w:r>
      <w:proofErr w:type="spellEnd"/>
      <w:r w:rsidRPr="00AF027B">
        <w:rPr>
          <w:sz w:val="24"/>
        </w:rPr>
        <w:t xml:space="preserve"> Trust. We also acknowledge infrastructural support for bioanalysis from the Liverpool Biomedical Research Centre funded by Liverpool Health Partners.</w:t>
      </w:r>
    </w:p>
    <w:p w14:paraId="53774CD2" w14:textId="22CB08BB" w:rsidR="004A2504" w:rsidRDefault="004A2504" w:rsidP="00372199">
      <w:pPr>
        <w:spacing w:after="0" w:line="480" w:lineRule="auto"/>
        <w:rPr>
          <w:sz w:val="24"/>
        </w:rPr>
      </w:pPr>
    </w:p>
    <w:p w14:paraId="621AABBF" w14:textId="40E333A3" w:rsidR="004A2504" w:rsidRDefault="00370D0A" w:rsidP="00370D0A">
      <w:pPr>
        <w:spacing w:after="0" w:line="480" w:lineRule="auto"/>
        <w:rPr>
          <w:sz w:val="24"/>
        </w:rPr>
      </w:pPr>
      <w:r w:rsidRPr="00370D0A">
        <w:rPr>
          <w:b/>
          <w:bCs/>
          <w:sz w:val="24"/>
        </w:rPr>
        <w:t>Potential conflicts of interest</w:t>
      </w:r>
      <w:r w:rsidRPr="00370D0A">
        <w:rPr>
          <w:sz w:val="24"/>
        </w:rPr>
        <w:t xml:space="preserve">. All authors: </w:t>
      </w:r>
      <w:r w:rsidR="008575E4">
        <w:rPr>
          <w:sz w:val="24"/>
        </w:rPr>
        <w:t>n</w:t>
      </w:r>
      <w:r w:rsidRPr="00370D0A">
        <w:rPr>
          <w:sz w:val="24"/>
        </w:rPr>
        <w:t>o potential conflicts of</w:t>
      </w:r>
      <w:r w:rsidR="008575E4">
        <w:rPr>
          <w:sz w:val="24"/>
        </w:rPr>
        <w:t xml:space="preserve"> </w:t>
      </w:r>
      <w:r w:rsidRPr="00370D0A">
        <w:rPr>
          <w:sz w:val="24"/>
        </w:rPr>
        <w:t>interest</w:t>
      </w:r>
      <w:r w:rsidR="008575E4">
        <w:rPr>
          <w:sz w:val="24"/>
        </w:rPr>
        <w:t>.</w:t>
      </w:r>
    </w:p>
    <w:p w14:paraId="7233E239" w14:textId="4B7AA6A2" w:rsidR="004A2504" w:rsidRDefault="004A2504" w:rsidP="00372199">
      <w:pPr>
        <w:spacing w:after="0" w:line="480" w:lineRule="auto"/>
        <w:rPr>
          <w:sz w:val="24"/>
        </w:rPr>
      </w:pPr>
    </w:p>
    <w:p w14:paraId="3B576D7E" w14:textId="77777777" w:rsidR="004A2504" w:rsidRDefault="004A2504" w:rsidP="00372199">
      <w:pPr>
        <w:spacing w:after="0" w:line="480" w:lineRule="auto"/>
        <w:rPr>
          <w:sz w:val="24"/>
        </w:rPr>
      </w:pPr>
    </w:p>
    <w:p w14:paraId="6E907E34" w14:textId="3846784B" w:rsidR="00706EA0" w:rsidRDefault="00706EA0" w:rsidP="00C472E0">
      <w:pPr>
        <w:spacing w:line="480" w:lineRule="auto"/>
        <w:rPr>
          <w:sz w:val="24"/>
          <w:szCs w:val="24"/>
        </w:rPr>
      </w:pPr>
    </w:p>
    <w:p w14:paraId="5737E523" w14:textId="77777777" w:rsidR="00AF027B" w:rsidRDefault="00AF027B" w:rsidP="00C472E0">
      <w:pPr>
        <w:spacing w:line="480" w:lineRule="auto"/>
        <w:rPr>
          <w:b/>
          <w:bCs/>
          <w:sz w:val="24"/>
          <w:szCs w:val="24"/>
        </w:rPr>
      </w:pPr>
      <w:r>
        <w:rPr>
          <w:b/>
          <w:bCs/>
          <w:sz w:val="24"/>
          <w:szCs w:val="24"/>
        </w:rPr>
        <w:br w:type="page"/>
      </w:r>
    </w:p>
    <w:p w14:paraId="0281A234" w14:textId="0AC5897B" w:rsidR="00706EA0" w:rsidRDefault="00706EA0" w:rsidP="00C472E0">
      <w:pPr>
        <w:spacing w:line="480" w:lineRule="auto"/>
        <w:rPr>
          <w:b/>
          <w:bCs/>
          <w:sz w:val="24"/>
          <w:szCs w:val="24"/>
        </w:rPr>
      </w:pPr>
      <w:r>
        <w:rPr>
          <w:b/>
          <w:bCs/>
          <w:sz w:val="24"/>
          <w:szCs w:val="24"/>
        </w:rPr>
        <w:lastRenderedPageBreak/>
        <w:t>References</w:t>
      </w:r>
    </w:p>
    <w:p w14:paraId="70EA41BC" w14:textId="78A8115B" w:rsidR="00DE300B" w:rsidRPr="00DE300B" w:rsidRDefault="00706EA0" w:rsidP="00DE300B">
      <w:pPr>
        <w:widowControl w:val="0"/>
        <w:autoSpaceDE w:val="0"/>
        <w:autoSpaceDN w:val="0"/>
        <w:adjustRightInd w:val="0"/>
        <w:spacing w:line="480" w:lineRule="auto"/>
        <w:ind w:left="640" w:hanging="640"/>
        <w:rPr>
          <w:rFonts w:ascii="Calibri" w:hAnsi="Calibri" w:cs="Calibri"/>
          <w:noProof/>
          <w:szCs w:val="24"/>
        </w:rPr>
      </w:pPr>
      <w:r>
        <w:rPr>
          <w:b/>
          <w:bCs/>
        </w:rPr>
        <w:fldChar w:fldCharType="begin" w:fldLock="1"/>
      </w:r>
      <w:r>
        <w:rPr>
          <w:b/>
          <w:bCs/>
        </w:rPr>
        <w:instrText xml:space="preserve">ADDIN Mendeley Bibliography CSL_BIBLIOGRAPHY </w:instrText>
      </w:r>
      <w:r>
        <w:rPr>
          <w:b/>
          <w:bCs/>
        </w:rPr>
        <w:fldChar w:fldCharType="separate"/>
      </w:r>
      <w:r w:rsidR="00DE300B" w:rsidRPr="00DE300B">
        <w:rPr>
          <w:rFonts w:ascii="Calibri" w:hAnsi="Calibri" w:cs="Calibri"/>
          <w:noProof/>
          <w:szCs w:val="24"/>
        </w:rPr>
        <w:t xml:space="preserve">1. </w:t>
      </w:r>
      <w:r w:rsidR="00DE300B" w:rsidRPr="00DE300B">
        <w:rPr>
          <w:rFonts w:ascii="Calibri" w:hAnsi="Calibri" w:cs="Calibri"/>
          <w:noProof/>
          <w:szCs w:val="24"/>
        </w:rPr>
        <w:tab/>
        <w:t xml:space="preserve">World Health Organization. Global Tuberculosis Report 2019. 2019; </w:t>
      </w:r>
    </w:p>
    <w:p w14:paraId="65E8C706" w14:textId="77777777" w:rsidR="00DE300B" w:rsidRPr="00DE300B" w:rsidRDefault="00DE300B" w:rsidP="00DE300B">
      <w:pPr>
        <w:widowControl w:val="0"/>
        <w:autoSpaceDE w:val="0"/>
        <w:autoSpaceDN w:val="0"/>
        <w:adjustRightInd w:val="0"/>
        <w:spacing w:line="480" w:lineRule="auto"/>
        <w:ind w:left="640" w:hanging="640"/>
        <w:rPr>
          <w:rFonts w:ascii="Calibri" w:hAnsi="Calibri" w:cs="Calibri"/>
          <w:noProof/>
          <w:szCs w:val="24"/>
        </w:rPr>
      </w:pPr>
      <w:r w:rsidRPr="00DE300B">
        <w:rPr>
          <w:rFonts w:ascii="Calibri" w:hAnsi="Calibri" w:cs="Calibri"/>
          <w:noProof/>
          <w:szCs w:val="24"/>
        </w:rPr>
        <w:t xml:space="preserve">2. </w:t>
      </w:r>
      <w:r w:rsidRPr="00DE300B">
        <w:rPr>
          <w:rFonts w:ascii="Calibri" w:hAnsi="Calibri" w:cs="Calibri"/>
          <w:noProof/>
          <w:szCs w:val="24"/>
        </w:rPr>
        <w:tab/>
        <w:t xml:space="preserve">Wilkins JJ, Langdon G, McIlleron H, Pillai G, Smith PJ, Simonsson US. Variability in the population pharmacokinetics of isoniazid in South African tuberculosis patients. Br J Clin Pharmacol </w:t>
      </w:r>
      <w:r w:rsidRPr="00DE300B">
        <w:rPr>
          <w:rFonts w:ascii="Calibri" w:hAnsi="Calibri" w:cs="Calibri"/>
          <w:b/>
          <w:bCs/>
          <w:noProof/>
          <w:szCs w:val="24"/>
        </w:rPr>
        <w:t>2011</w:t>
      </w:r>
      <w:r w:rsidRPr="00DE300B">
        <w:rPr>
          <w:rFonts w:ascii="Calibri" w:hAnsi="Calibri" w:cs="Calibri"/>
          <w:noProof/>
          <w:szCs w:val="24"/>
        </w:rPr>
        <w:t>; 72:51–62. Available at: https://www.ncbi.nlm.nih.gov/pubmed/21320152.</w:t>
      </w:r>
    </w:p>
    <w:p w14:paraId="2E282997" w14:textId="77777777" w:rsidR="00DE300B" w:rsidRPr="00DE300B" w:rsidRDefault="00DE300B" w:rsidP="00DE300B">
      <w:pPr>
        <w:widowControl w:val="0"/>
        <w:autoSpaceDE w:val="0"/>
        <w:autoSpaceDN w:val="0"/>
        <w:adjustRightInd w:val="0"/>
        <w:spacing w:line="480" w:lineRule="auto"/>
        <w:ind w:left="640" w:hanging="640"/>
        <w:rPr>
          <w:rFonts w:ascii="Calibri" w:hAnsi="Calibri" w:cs="Calibri"/>
          <w:noProof/>
          <w:szCs w:val="24"/>
        </w:rPr>
      </w:pPr>
      <w:r w:rsidRPr="00DE300B">
        <w:rPr>
          <w:rFonts w:ascii="Calibri" w:hAnsi="Calibri" w:cs="Calibri"/>
          <w:noProof/>
          <w:szCs w:val="24"/>
        </w:rPr>
        <w:t xml:space="preserve">3. </w:t>
      </w:r>
      <w:r w:rsidRPr="00DE300B">
        <w:rPr>
          <w:rFonts w:ascii="Calibri" w:hAnsi="Calibri" w:cs="Calibri"/>
          <w:noProof/>
          <w:szCs w:val="24"/>
        </w:rPr>
        <w:tab/>
        <w:t xml:space="preserve">Jonsson S, Davidse A, Wilkins J, et al. Population pharmacokinetics of ethambutol in South African tuberculosis patients. Antimicrob Agents Chemother </w:t>
      </w:r>
      <w:r w:rsidRPr="00DE300B">
        <w:rPr>
          <w:rFonts w:ascii="Calibri" w:hAnsi="Calibri" w:cs="Calibri"/>
          <w:b/>
          <w:bCs/>
          <w:noProof/>
          <w:szCs w:val="24"/>
        </w:rPr>
        <w:t>2011</w:t>
      </w:r>
      <w:r w:rsidRPr="00DE300B">
        <w:rPr>
          <w:rFonts w:ascii="Calibri" w:hAnsi="Calibri" w:cs="Calibri"/>
          <w:noProof/>
          <w:szCs w:val="24"/>
        </w:rPr>
        <w:t>; 55:4230–4237. Available at: https://www.ncbi.nlm.nih.gov/pubmed/21690284.</w:t>
      </w:r>
    </w:p>
    <w:p w14:paraId="55D05BB9" w14:textId="77777777" w:rsidR="00DE300B" w:rsidRPr="00DE300B" w:rsidRDefault="00DE300B" w:rsidP="00DE300B">
      <w:pPr>
        <w:widowControl w:val="0"/>
        <w:autoSpaceDE w:val="0"/>
        <w:autoSpaceDN w:val="0"/>
        <w:adjustRightInd w:val="0"/>
        <w:spacing w:line="480" w:lineRule="auto"/>
        <w:ind w:left="640" w:hanging="640"/>
        <w:rPr>
          <w:rFonts w:ascii="Calibri" w:hAnsi="Calibri" w:cs="Calibri"/>
          <w:noProof/>
          <w:szCs w:val="24"/>
        </w:rPr>
      </w:pPr>
      <w:r w:rsidRPr="00DE300B">
        <w:rPr>
          <w:rFonts w:ascii="Calibri" w:hAnsi="Calibri" w:cs="Calibri"/>
          <w:noProof/>
          <w:szCs w:val="24"/>
        </w:rPr>
        <w:t xml:space="preserve">4. </w:t>
      </w:r>
      <w:r w:rsidRPr="00DE300B">
        <w:rPr>
          <w:rFonts w:ascii="Calibri" w:hAnsi="Calibri" w:cs="Calibri"/>
          <w:noProof/>
          <w:szCs w:val="24"/>
        </w:rPr>
        <w:tab/>
        <w:t xml:space="preserve">Wilkins JJ, Savic RM, Karlsson MO, et al. Population pharmacokinetics of rifampin in pulmonary tuberculosis patients, including a semimechanistic model to describe variable absorption. Antimicrob Agents Chemother </w:t>
      </w:r>
      <w:r w:rsidRPr="00DE300B">
        <w:rPr>
          <w:rFonts w:ascii="Calibri" w:hAnsi="Calibri" w:cs="Calibri"/>
          <w:b/>
          <w:bCs/>
          <w:noProof/>
          <w:szCs w:val="24"/>
        </w:rPr>
        <w:t>2008</w:t>
      </w:r>
      <w:r w:rsidRPr="00DE300B">
        <w:rPr>
          <w:rFonts w:ascii="Calibri" w:hAnsi="Calibri" w:cs="Calibri"/>
          <w:noProof/>
          <w:szCs w:val="24"/>
        </w:rPr>
        <w:t>; 52:2138–2148. Available at: https://www.ncbi.nlm.nih.gov/pubmed/18391026.</w:t>
      </w:r>
    </w:p>
    <w:p w14:paraId="355BA831" w14:textId="77777777" w:rsidR="00DE300B" w:rsidRPr="00DE300B" w:rsidRDefault="00DE300B" w:rsidP="00DE300B">
      <w:pPr>
        <w:widowControl w:val="0"/>
        <w:autoSpaceDE w:val="0"/>
        <w:autoSpaceDN w:val="0"/>
        <w:adjustRightInd w:val="0"/>
        <w:spacing w:line="480" w:lineRule="auto"/>
        <w:ind w:left="640" w:hanging="640"/>
        <w:rPr>
          <w:rFonts w:ascii="Calibri" w:hAnsi="Calibri" w:cs="Calibri"/>
          <w:noProof/>
          <w:szCs w:val="24"/>
        </w:rPr>
      </w:pPr>
      <w:r w:rsidRPr="00DE300B">
        <w:rPr>
          <w:rFonts w:ascii="Calibri" w:hAnsi="Calibri" w:cs="Calibri"/>
          <w:noProof/>
          <w:szCs w:val="24"/>
        </w:rPr>
        <w:t xml:space="preserve">5. </w:t>
      </w:r>
      <w:r w:rsidRPr="00DE300B">
        <w:rPr>
          <w:rFonts w:ascii="Calibri" w:hAnsi="Calibri" w:cs="Calibri"/>
          <w:noProof/>
          <w:szCs w:val="24"/>
        </w:rPr>
        <w:tab/>
        <w:t xml:space="preserve">Wilkins JJ, Langdon G, McIlleron H, Pillai GC, Smith PJ, Simonsson US. Variability in the population pharmacokinetics of pyrazinamide in South African tuberculosis patients. Eur J Clin Pharmacol </w:t>
      </w:r>
      <w:r w:rsidRPr="00DE300B">
        <w:rPr>
          <w:rFonts w:ascii="Calibri" w:hAnsi="Calibri" w:cs="Calibri"/>
          <w:b/>
          <w:bCs/>
          <w:noProof/>
          <w:szCs w:val="24"/>
        </w:rPr>
        <w:t>2006</w:t>
      </w:r>
      <w:r w:rsidRPr="00DE300B">
        <w:rPr>
          <w:rFonts w:ascii="Calibri" w:hAnsi="Calibri" w:cs="Calibri"/>
          <w:noProof/>
          <w:szCs w:val="24"/>
        </w:rPr>
        <w:t>; 62:727–735. Available at: https://www.ncbi.nlm.nih.gov/pubmed/16685561.</w:t>
      </w:r>
    </w:p>
    <w:p w14:paraId="18502D6E" w14:textId="77777777" w:rsidR="00DE300B" w:rsidRPr="00DE300B" w:rsidRDefault="00DE300B" w:rsidP="00DE300B">
      <w:pPr>
        <w:widowControl w:val="0"/>
        <w:autoSpaceDE w:val="0"/>
        <w:autoSpaceDN w:val="0"/>
        <w:adjustRightInd w:val="0"/>
        <w:spacing w:line="480" w:lineRule="auto"/>
        <w:ind w:left="640" w:hanging="640"/>
        <w:rPr>
          <w:rFonts w:ascii="Calibri" w:hAnsi="Calibri" w:cs="Calibri"/>
          <w:noProof/>
          <w:szCs w:val="24"/>
        </w:rPr>
      </w:pPr>
      <w:r w:rsidRPr="00DE300B">
        <w:rPr>
          <w:rFonts w:ascii="Calibri" w:hAnsi="Calibri" w:cs="Calibri"/>
          <w:noProof/>
          <w:szCs w:val="24"/>
        </w:rPr>
        <w:t xml:space="preserve">6. </w:t>
      </w:r>
      <w:r w:rsidRPr="00DE300B">
        <w:rPr>
          <w:rFonts w:ascii="Calibri" w:hAnsi="Calibri" w:cs="Calibri"/>
          <w:noProof/>
          <w:szCs w:val="24"/>
        </w:rPr>
        <w:tab/>
        <w:t xml:space="preserve">Swaminathan S, Pasipanodya JG, Ramachandran G, et al. Drug concentration thresholds predictive of therapy failure and death in children with tuberculosis: bread crumb trails in random forests. Clin Infect Dis </w:t>
      </w:r>
      <w:r w:rsidRPr="00DE300B">
        <w:rPr>
          <w:rFonts w:ascii="Calibri" w:hAnsi="Calibri" w:cs="Calibri"/>
          <w:b/>
          <w:bCs/>
          <w:noProof/>
          <w:szCs w:val="24"/>
        </w:rPr>
        <w:t>2016</w:t>
      </w:r>
      <w:r w:rsidRPr="00DE300B">
        <w:rPr>
          <w:rFonts w:ascii="Calibri" w:hAnsi="Calibri" w:cs="Calibri"/>
          <w:noProof/>
          <w:szCs w:val="24"/>
        </w:rPr>
        <w:t>; 63:S63–S74. Available at: https://www.ncbi.nlm.nih.gov/pubmed/27742636.</w:t>
      </w:r>
    </w:p>
    <w:p w14:paraId="56EB8F54" w14:textId="77777777" w:rsidR="00DE300B" w:rsidRPr="00DE300B" w:rsidRDefault="00DE300B" w:rsidP="00DE300B">
      <w:pPr>
        <w:widowControl w:val="0"/>
        <w:autoSpaceDE w:val="0"/>
        <w:autoSpaceDN w:val="0"/>
        <w:adjustRightInd w:val="0"/>
        <w:spacing w:line="480" w:lineRule="auto"/>
        <w:ind w:left="640" w:hanging="640"/>
        <w:rPr>
          <w:rFonts w:ascii="Calibri" w:hAnsi="Calibri" w:cs="Calibri"/>
          <w:noProof/>
          <w:szCs w:val="24"/>
        </w:rPr>
      </w:pPr>
      <w:r w:rsidRPr="00DE300B">
        <w:rPr>
          <w:rFonts w:ascii="Calibri" w:hAnsi="Calibri" w:cs="Calibri"/>
          <w:noProof/>
          <w:szCs w:val="24"/>
        </w:rPr>
        <w:t xml:space="preserve">7. </w:t>
      </w:r>
      <w:r w:rsidRPr="00DE300B">
        <w:rPr>
          <w:rFonts w:ascii="Calibri" w:hAnsi="Calibri" w:cs="Calibri"/>
          <w:noProof/>
          <w:szCs w:val="24"/>
        </w:rPr>
        <w:tab/>
        <w:t xml:space="preserve">Pasipanodya JG, McIlleron H, Burger A, Wash PA, Smith P, Gumbo T. Serum drug concentrations predictive of pulmonary tuberculosis outcomes. J Infect Dis </w:t>
      </w:r>
      <w:r w:rsidRPr="00DE300B">
        <w:rPr>
          <w:rFonts w:ascii="Calibri" w:hAnsi="Calibri" w:cs="Calibri"/>
          <w:b/>
          <w:bCs/>
          <w:noProof/>
          <w:szCs w:val="24"/>
        </w:rPr>
        <w:t>2013</w:t>
      </w:r>
      <w:r w:rsidRPr="00DE300B">
        <w:rPr>
          <w:rFonts w:ascii="Calibri" w:hAnsi="Calibri" w:cs="Calibri"/>
          <w:noProof/>
          <w:szCs w:val="24"/>
        </w:rPr>
        <w:t>; 208:1464–1473. Available at: https://www.ncbi.nlm.nih.gov/pubmed/23901086.</w:t>
      </w:r>
    </w:p>
    <w:p w14:paraId="25E67677" w14:textId="77777777" w:rsidR="00DE300B" w:rsidRPr="00DE300B" w:rsidRDefault="00DE300B" w:rsidP="00DE300B">
      <w:pPr>
        <w:widowControl w:val="0"/>
        <w:autoSpaceDE w:val="0"/>
        <w:autoSpaceDN w:val="0"/>
        <w:adjustRightInd w:val="0"/>
        <w:spacing w:line="480" w:lineRule="auto"/>
        <w:ind w:left="640" w:hanging="640"/>
        <w:rPr>
          <w:rFonts w:ascii="Calibri" w:hAnsi="Calibri" w:cs="Calibri"/>
          <w:noProof/>
          <w:szCs w:val="24"/>
        </w:rPr>
      </w:pPr>
      <w:r w:rsidRPr="00DE300B">
        <w:rPr>
          <w:rFonts w:ascii="Calibri" w:hAnsi="Calibri" w:cs="Calibri"/>
          <w:noProof/>
          <w:szCs w:val="24"/>
        </w:rPr>
        <w:t xml:space="preserve">8. </w:t>
      </w:r>
      <w:r w:rsidRPr="00DE300B">
        <w:rPr>
          <w:rFonts w:ascii="Calibri" w:hAnsi="Calibri" w:cs="Calibri"/>
          <w:noProof/>
          <w:szCs w:val="24"/>
        </w:rPr>
        <w:tab/>
        <w:t xml:space="preserve">Chigutsa E, Pasipanodya JG, Visser ME, et al. Impact of nonlinear interactions of pharmacokinetics and MICs on sputum bacillary kill rates as a marker of sterilizing effect in tuberculosis. Antimicrob Agents Chemother </w:t>
      </w:r>
      <w:r w:rsidRPr="00DE300B">
        <w:rPr>
          <w:rFonts w:ascii="Calibri" w:hAnsi="Calibri" w:cs="Calibri"/>
          <w:b/>
          <w:bCs/>
          <w:noProof/>
          <w:szCs w:val="24"/>
        </w:rPr>
        <w:t>2015</w:t>
      </w:r>
      <w:r w:rsidRPr="00DE300B">
        <w:rPr>
          <w:rFonts w:ascii="Calibri" w:hAnsi="Calibri" w:cs="Calibri"/>
          <w:noProof/>
          <w:szCs w:val="24"/>
        </w:rPr>
        <w:t>; 59:38–45. Available at: https://www.ncbi.nlm.nih.gov/pubmed/25313213.</w:t>
      </w:r>
    </w:p>
    <w:p w14:paraId="155B6AC1" w14:textId="77777777" w:rsidR="00DE300B" w:rsidRPr="00DE300B" w:rsidRDefault="00DE300B" w:rsidP="00DE300B">
      <w:pPr>
        <w:widowControl w:val="0"/>
        <w:autoSpaceDE w:val="0"/>
        <w:autoSpaceDN w:val="0"/>
        <w:adjustRightInd w:val="0"/>
        <w:spacing w:line="480" w:lineRule="auto"/>
        <w:ind w:left="640" w:hanging="640"/>
        <w:rPr>
          <w:rFonts w:ascii="Calibri" w:hAnsi="Calibri" w:cs="Calibri"/>
          <w:noProof/>
          <w:szCs w:val="24"/>
        </w:rPr>
      </w:pPr>
      <w:r w:rsidRPr="00DE300B">
        <w:rPr>
          <w:rFonts w:ascii="Calibri" w:hAnsi="Calibri" w:cs="Calibri"/>
          <w:noProof/>
          <w:szCs w:val="24"/>
        </w:rPr>
        <w:t xml:space="preserve">9. </w:t>
      </w:r>
      <w:r w:rsidRPr="00DE300B">
        <w:rPr>
          <w:rFonts w:ascii="Calibri" w:hAnsi="Calibri" w:cs="Calibri"/>
          <w:noProof/>
          <w:szCs w:val="24"/>
        </w:rPr>
        <w:tab/>
        <w:t xml:space="preserve">Rockwood N, Pasipanodya JG, Denti P, et al. Concentration-dependent antagonism and culture </w:t>
      </w:r>
      <w:r w:rsidRPr="00DE300B">
        <w:rPr>
          <w:rFonts w:ascii="Calibri" w:hAnsi="Calibri" w:cs="Calibri"/>
          <w:noProof/>
          <w:szCs w:val="24"/>
        </w:rPr>
        <w:lastRenderedPageBreak/>
        <w:t xml:space="preserve">conversion in pulmonary tuberculosis. Clin Infect Dis </w:t>
      </w:r>
      <w:r w:rsidRPr="00DE300B">
        <w:rPr>
          <w:rFonts w:ascii="Calibri" w:hAnsi="Calibri" w:cs="Calibri"/>
          <w:b/>
          <w:bCs/>
          <w:noProof/>
          <w:szCs w:val="24"/>
        </w:rPr>
        <w:t>2017</w:t>
      </w:r>
      <w:r w:rsidRPr="00DE300B">
        <w:rPr>
          <w:rFonts w:ascii="Calibri" w:hAnsi="Calibri" w:cs="Calibri"/>
          <w:noProof/>
          <w:szCs w:val="24"/>
        </w:rPr>
        <w:t>; 64:1350–1359. Available at: https://watermark.silverchair.com/cix158.pdf?token=AQECAHi208BE49Ooan9kkhW_Ercy7Dm3ZL_9Cf3qfKAc485ysgAAAaMwggGfBgkqhkiG9w0BBwagggGQMIIBjAIBADCCAYUGCSqGSIb3DQEHATAeBglghkgBZQMEAS4wEQQMRAmRApCojrgcIyMiAgEQgIIBVhxC5naUckSiOO733ceobJW4EwlkWYQ1zkl1FfjtKp9MnrMF.</w:t>
      </w:r>
    </w:p>
    <w:p w14:paraId="6F1B3871" w14:textId="77777777" w:rsidR="00DE300B" w:rsidRPr="00DE300B" w:rsidRDefault="00DE300B" w:rsidP="00DE300B">
      <w:pPr>
        <w:widowControl w:val="0"/>
        <w:autoSpaceDE w:val="0"/>
        <w:autoSpaceDN w:val="0"/>
        <w:adjustRightInd w:val="0"/>
        <w:spacing w:line="480" w:lineRule="auto"/>
        <w:ind w:left="640" w:hanging="640"/>
        <w:rPr>
          <w:rFonts w:ascii="Calibri" w:hAnsi="Calibri" w:cs="Calibri"/>
          <w:noProof/>
          <w:szCs w:val="24"/>
        </w:rPr>
      </w:pPr>
      <w:r w:rsidRPr="00DE300B">
        <w:rPr>
          <w:rFonts w:ascii="Calibri" w:hAnsi="Calibri" w:cs="Calibri"/>
          <w:noProof/>
          <w:szCs w:val="24"/>
        </w:rPr>
        <w:t xml:space="preserve">10. </w:t>
      </w:r>
      <w:r w:rsidRPr="00DE300B">
        <w:rPr>
          <w:rFonts w:ascii="Calibri" w:hAnsi="Calibri" w:cs="Calibri"/>
          <w:noProof/>
          <w:szCs w:val="24"/>
        </w:rPr>
        <w:tab/>
        <w:t xml:space="preserve">McCallum AD, Sloan DJ. The importance of clinical pharmacokinetic–pharmacodynamic studies in unraveling the determinants of early and late tuberculosis outcomes. Int J Pharmacokinet </w:t>
      </w:r>
      <w:r w:rsidRPr="00DE300B">
        <w:rPr>
          <w:rFonts w:ascii="Calibri" w:hAnsi="Calibri" w:cs="Calibri"/>
          <w:b/>
          <w:bCs/>
          <w:noProof/>
          <w:szCs w:val="24"/>
        </w:rPr>
        <w:t>2017</w:t>
      </w:r>
      <w:r w:rsidRPr="00DE300B">
        <w:rPr>
          <w:rFonts w:ascii="Calibri" w:hAnsi="Calibri" w:cs="Calibri"/>
          <w:noProof/>
          <w:szCs w:val="24"/>
        </w:rPr>
        <w:t>; 2:195–212. Available at: http://europepmc.org/articles/PMC6161803.</w:t>
      </w:r>
    </w:p>
    <w:p w14:paraId="02512816" w14:textId="77777777" w:rsidR="00DE300B" w:rsidRPr="00DE300B" w:rsidRDefault="00DE300B" w:rsidP="00DE300B">
      <w:pPr>
        <w:widowControl w:val="0"/>
        <w:autoSpaceDE w:val="0"/>
        <w:autoSpaceDN w:val="0"/>
        <w:adjustRightInd w:val="0"/>
        <w:spacing w:line="480" w:lineRule="auto"/>
        <w:ind w:left="640" w:hanging="640"/>
        <w:rPr>
          <w:rFonts w:ascii="Calibri" w:hAnsi="Calibri" w:cs="Calibri"/>
          <w:noProof/>
          <w:szCs w:val="24"/>
        </w:rPr>
      </w:pPr>
      <w:r w:rsidRPr="00DE300B">
        <w:rPr>
          <w:rFonts w:ascii="Calibri" w:hAnsi="Calibri" w:cs="Calibri"/>
          <w:noProof/>
          <w:szCs w:val="24"/>
        </w:rPr>
        <w:t xml:space="preserve">11. </w:t>
      </w:r>
      <w:r w:rsidRPr="00DE300B">
        <w:rPr>
          <w:rFonts w:ascii="Calibri" w:hAnsi="Calibri" w:cs="Calibri"/>
          <w:noProof/>
          <w:szCs w:val="24"/>
        </w:rPr>
        <w:tab/>
        <w:t xml:space="preserve">Prideaux B, Via LE, Zimmerman MD, et al. The association between sterilizing activity and drug distribution into tuberculosis lesions. Nat Med </w:t>
      </w:r>
      <w:r w:rsidRPr="00DE300B">
        <w:rPr>
          <w:rFonts w:ascii="Calibri" w:hAnsi="Calibri" w:cs="Calibri"/>
          <w:b/>
          <w:bCs/>
          <w:noProof/>
          <w:szCs w:val="24"/>
        </w:rPr>
        <w:t>2015</w:t>
      </w:r>
      <w:r w:rsidRPr="00DE300B">
        <w:rPr>
          <w:rFonts w:ascii="Calibri" w:hAnsi="Calibri" w:cs="Calibri"/>
          <w:noProof/>
          <w:szCs w:val="24"/>
        </w:rPr>
        <w:t>; 21:1223–1227. Available at: https://www.ncbi.nlm.nih.gov/pubmed/26343800.</w:t>
      </w:r>
    </w:p>
    <w:p w14:paraId="7E7B9028" w14:textId="77777777" w:rsidR="00DE300B" w:rsidRPr="00DE300B" w:rsidRDefault="00DE300B" w:rsidP="00DE300B">
      <w:pPr>
        <w:widowControl w:val="0"/>
        <w:autoSpaceDE w:val="0"/>
        <w:autoSpaceDN w:val="0"/>
        <w:adjustRightInd w:val="0"/>
        <w:spacing w:line="480" w:lineRule="auto"/>
        <w:ind w:left="640" w:hanging="640"/>
        <w:rPr>
          <w:rFonts w:ascii="Calibri" w:hAnsi="Calibri" w:cs="Calibri"/>
          <w:noProof/>
          <w:szCs w:val="24"/>
        </w:rPr>
      </w:pPr>
      <w:r w:rsidRPr="00DE300B">
        <w:rPr>
          <w:rFonts w:ascii="Calibri" w:hAnsi="Calibri" w:cs="Calibri"/>
          <w:noProof/>
          <w:szCs w:val="24"/>
        </w:rPr>
        <w:t xml:space="preserve">12. </w:t>
      </w:r>
      <w:r w:rsidRPr="00DE300B">
        <w:rPr>
          <w:rFonts w:ascii="Calibri" w:hAnsi="Calibri" w:cs="Calibri"/>
          <w:noProof/>
          <w:szCs w:val="24"/>
        </w:rPr>
        <w:tab/>
        <w:t xml:space="preserve">Dheda K, Lenders L, Magombedze G, et al. Drug-Penetration Gradients Associated with Acquired Drug Resistance in Patients with Tuberculosis. Am J Respir Crit Care Med </w:t>
      </w:r>
      <w:r w:rsidRPr="00DE300B">
        <w:rPr>
          <w:rFonts w:ascii="Calibri" w:hAnsi="Calibri" w:cs="Calibri"/>
          <w:b/>
          <w:bCs/>
          <w:noProof/>
          <w:szCs w:val="24"/>
        </w:rPr>
        <w:t>2018</w:t>
      </w:r>
      <w:r w:rsidRPr="00DE300B">
        <w:rPr>
          <w:rFonts w:ascii="Calibri" w:hAnsi="Calibri" w:cs="Calibri"/>
          <w:noProof/>
          <w:szCs w:val="24"/>
        </w:rPr>
        <w:t xml:space="preserve">; 198:1208–1219. </w:t>
      </w:r>
    </w:p>
    <w:p w14:paraId="65564944" w14:textId="77777777" w:rsidR="00DE300B" w:rsidRPr="00DE300B" w:rsidRDefault="00DE300B" w:rsidP="00DE300B">
      <w:pPr>
        <w:widowControl w:val="0"/>
        <w:autoSpaceDE w:val="0"/>
        <w:autoSpaceDN w:val="0"/>
        <w:adjustRightInd w:val="0"/>
        <w:spacing w:line="480" w:lineRule="auto"/>
        <w:ind w:left="640" w:hanging="640"/>
        <w:rPr>
          <w:rFonts w:ascii="Calibri" w:hAnsi="Calibri" w:cs="Calibri"/>
          <w:noProof/>
          <w:szCs w:val="24"/>
        </w:rPr>
      </w:pPr>
      <w:r w:rsidRPr="00DE300B">
        <w:rPr>
          <w:rFonts w:ascii="Calibri" w:hAnsi="Calibri" w:cs="Calibri"/>
          <w:noProof/>
          <w:szCs w:val="24"/>
        </w:rPr>
        <w:t xml:space="preserve">13. </w:t>
      </w:r>
      <w:r w:rsidRPr="00DE300B">
        <w:rPr>
          <w:rFonts w:ascii="Calibri" w:hAnsi="Calibri" w:cs="Calibri"/>
          <w:noProof/>
          <w:szCs w:val="24"/>
        </w:rPr>
        <w:tab/>
        <w:t xml:space="preserve">Rodvold KA, Yoo L, George JM. Penetration of anti-infective agents into pulmonary epithelial lining fluid: focus on antifungal, antitubercular and miscellaneous anti-infective agents. Clin Pharmacokinet </w:t>
      </w:r>
      <w:r w:rsidRPr="00DE300B">
        <w:rPr>
          <w:rFonts w:ascii="Calibri" w:hAnsi="Calibri" w:cs="Calibri"/>
          <w:b/>
          <w:bCs/>
          <w:noProof/>
          <w:szCs w:val="24"/>
        </w:rPr>
        <w:t>2011</w:t>
      </w:r>
      <w:r w:rsidRPr="00DE300B">
        <w:rPr>
          <w:rFonts w:ascii="Calibri" w:hAnsi="Calibri" w:cs="Calibri"/>
          <w:noProof/>
          <w:szCs w:val="24"/>
        </w:rPr>
        <w:t>; 50:689–704. Available at: https://www.ncbi.nlm.nih.gov/pubmed/21973267.</w:t>
      </w:r>
    </w:p>
    <w:p w14:paraId="3A45947D" w14:textId="77777777" w:rsidR="00DE300B" w:rsidRPr="00DE300B" w:rsidRDefault="00DE300B" w:rsidP="00DE300B">
      <w:pPr>
        <w:widowControl w:val="0"/>
        <w:autoSpaceDE w:val="0"/>
        <w:autoSpaceDN w:val="0"/>
        <w:adjustRightInd w:val="0"/>
        <w:spacing w:line="480" w:lineRule="auto"/>
        <w:ind w:left="640" w:hanging="640"/>
        <w:rPr>
          <w:rFonts w:ascii="Calibri" w:hAnsi="Calibri" w:cs="Calibri"/>
          <w:noProof/>
          <w:szCs w:val="24"/>
        </w:rPr>
      </w:pPr>
      <w:r w:rsidRPr="00DE300B">
        <w:rPr>
          <w:rFonts w:ascii="Calibri" w:hAnsi="Calibri" w:cs="Calibri"/>
          <w:noProof/>
          <w:szCs w:val="24"/>
        </w:rPr>
        <w:t xml:space="preserve">14. </w:t>
      </w:r>
      <w:r w:rsidRPr="00DE300B">
        <w:rPr>
          <w:rFonts w:ascii="Calibri" w:hAnsi="Calibri" w:cs="Calibri"/>
          <w:noProof/>
          <w:szCs w:val="24"/>
        </w:rPr>
        <w:tab/>
        <w:t xml:space="preserve">Rodvold KA, George JM, Yoo L. Penetration of anti-infective agents into pulmonary epithelial lining fluid: focus on antibacterial agents. Clin Pharmacokinet </w:t>
      </w:r>
      <w:r w:rsidRPr="00DE300B">
        <w:rPr>
          <w:rFonts w:ascii="Calibri" w:hAnsi="Calibri" w:cs="Calibri"/>
          <w:b/>
          <w:bCs/>
          <w:noProof/>
          <w:szCs w:val="24"/>
        </w:rPr>
        <w:t>2011</w:t>
      </w:r>
      <w:r w:rsidRPr="00DE300B">
        <w:rPr>
          <w:rFonts w:ascii="Calibri" w:hAnsi="Calibri" w:cs="Calibri"/>
          <w:noProof/>
          <w:szCs w:val="24"/>
        </w:rPr>
        <w:t>; 50:637–664. Available at: https://www.ncbi.nlm.nih.gov/pubmed/21895037.</w:t>
      </w:r>
    </w:p>
    <w:p w14:paraId="1A5E50A3" w14:textId="77777777" w:rsidR="00DE300B" w:rsidRPr="00DE300B" w:rsidRDefault="00DE300B" w:rsidP="00DE300B">
      <w:pPr>
        <w:widowControl w:val="0"/>
        <w:autoSpaceDE w:val="0"/>
        <w:autoSpaceDN w:val="0"/>
        <w:adjustRightInd w:val="0"/>
        <w:spacing w:line="480" w:lineRule="auto"/>
        <w:ind w:left="640" w:hanging="640"/>
        <w:rPr>
          <w:rFonts w:ascii="Calibri" w:hAnsi="Calibri" w:cs="Calibri"/>
          <w:noProof/>
          <w:szCs w:val="24"/>
        </w:rPr>
      </w:pPr>
      <w:r w:rsidRPr="00DE300B">
        <w:rPr>
          <w:rFonts w:ascii="Calibri" w:hAnsi="Calibri" w:cs="Calibri"/>
          <w:noProof/>
          <w:szCs w:val="24"/>
        </w:rPr>
        <w:t xml:space="preserve">15. </w:t>
      </w:r>
      <w:r w:rsidRPr="00DE300B">
        <w:rPr>
          <w:rFonts w:ascii="Calibri" w:hAnsi="Calibri" w:cs="Calibri"/>
          <w:noProof/>
          <w:szCs w:val="24"/>
        </w:rPr>
        <w:tab/>
        <w:t xml:space="preserve">Lodise TP, Drusano GL, Butterfield JM, Scoville J, Gotfried M, Rodvold KA. Penetration of vancomycin into epithelial lining fluid in healthy volunteers. Antimicrob Agents Chemother </w:t>
      </w:r>
      <w:r w:rsidRPr="00DE300B">
        <w:rPr>
          <w:rFonts w:ascii="Calibri" w:hAnsi="Calibri" w:cs="Calibri"/>
          <w:b/>
          <w:bCs/>
          <w:noProof/>
          <w:szCs w:val="24"/>
        </w:rPr>
        <w:t>2011</w:t>
      </w:r>
      <w:r w:rsidRPr="00DE300B">
        <w:rPr>
          <w:rFonts w:ascii="Calibri" w:hAnsi="Calibri" w:cs="Calibri"/>
          <w:noProof/>
          <w:szCs w:val="24"/>
        </w:rPr>
        <w:t>; 55:5507–5511. Available at: https://www.ncbi.nlm.nih.gov/pubmed/21911567.</w:t>
      </w:r>
    </w:p>
    <w:p w14:paraId="2F482CCC" w14:textId="77777777" w:rsidR="00DE300B" w:rsidRPr="00DE300B" w:rsidRDefault="00DE300B" w:rsidP="00DE300B">
      <w:pPr>
        <w:widowControl w:val="0"/>
        <w:autoSpaceDE w:val="0"/>
        <w:autoSpaceDN w:val="0"/>
        <w:adjustRightInd w:val="0"/>
        <w:spacing w:line="480" w:lineRule="auto"/>
        <w:ind w:left="640" w:hanging="640"/>
        <w:rPr>
          <w:rFonts w:ascii="Calibri" w:hAnsi="Calibri" w:cs="Calibri"/>
          <w:noProof/>
          <w:szCs w:val="24"/>
        </w:rPr>
      </w:pPr>
      <w:r w:rsidRPr="00DE300B">
        <w:rPr>
          <w:rFonts w:ascii="Calibri" w:hAnsi="Calibri" w:cs="Calibri"/>
          <w:noProof/>
          <w:szCs w:val="24"/>
        </w:rPr>
        <w:t xml:space="preserve">16. </w:t>
      </w:r>
      <w:r w:rsidRPr="00DE300B">
        <w:rPr>
          <w:rFonts w:ascii="Calibri" w:hAnsi="Calibri" w:cs="Calibri"/>
          <w:noProof/>
          <w:szCs w:val="24"/>
        </w:rPr>
        <w:tab/>
        <w:t xml:space="preserve">Boselli E, Breilh D, Rimmele T, et al. Pharmacokinetics and intrapulmonary concentrations of linezolid administered to critically ill patients with ventilator-associated pneumonia. Crit Care Med </w:t>
      </w:r>
      <w:r w:rsidRPr="00DE300B">
        <w:rPr>
          <w:rFonts w:ascii="Calibri" w:hAnsi="Calibri" w:cs="Calibri"/>
          <w:b/>
          <w:bCs/>
          <w:noProof/>
          <w:szCs w:val="24"/>
        </w:rPr>
        <w:t>2005</w:t>
      </w:r>
      <w:r w:rsidRPr="00DE300B">
        <w:rPr>
          <w:rFonts w:ascii="Calibri" w:hAnsi="Calibri" w:cs="Calibri"/>
          <w:noProof/>
          <w:szCs w:val="24"/>
        </w:rPr>
        <w:t xml:space="preserve">; 33:1529–1533. </w:t>
      </w:r>
    </w:p>
    <w:p w14:paraId="7EEB4EB2" w14:textId="77777777" w:rsidR="00DE300B" w:rsidRPr="00DE300B" w:rsidRDefault="00DE300B" w:rsidP="00DE300B">
      <w:pPr>
        <w:widowControl w:val="0"/>
        <w:autoSpaceDE w:val="0"/>
        <w:autoSpaceDN w:val="0"/>
        <w:adjustRightInd w:val="0"/>
        <w:spacing w:line="480" w:lineRule="auto"/>
        <w:ind w:left="640" w:hanging="640"/>
        <w:rPr>
          <w:rFonts w:ascii="Calibri" w:hAnsi="Calibri" w:cs="Calibri"/>
          <w:noProof/>
          <w:szCs w:val="24"/>
        </w:rPr>
      </w:pPr>
      <w:r w:rsidRPr="00DE300B">
        <w:rPr>
          <w:rFonts w:ascii="Calibri" w:hAnsi="Calibri" w:cs="Calibri"/>
          <w:noProof/>
          <w:szCs w:val="24"/>
        </w:rPr>
        <w:t xml:space="preserve">17. </w:t>
      </w:r>
      <w:r w:rsidRPr="00DE300B">
        <w:rPr>
          <w:rFonts w:ascii="Calibri" w:hAnsi="Calibri" w:cs="Calibri"/>
          <w:noProof/>
          <w:szCs w:val="24"/>
        </w:rPr>
        <w:tab/>
        <w:t xml:space="preserve">Conte JE, Golden JA, Kipps JE, Lin ET, Zurlinden E. Effect of sex and AIDS status on the plasma and </w:t>
      </w:r>
      <w:r w:rsidRPr="00DE300B">
        <w:rPr>
          <w:rFonts w:ascii="Calibri" w:hAnsi="Calibri" w:cs="Calibri"/>
          <w:noProof/>
          <w:szCs w:val="24"/>
        </w:rPr>
        <w:lastRenderedPageBreak/>
        <w:t xml:space="preserve">intrapulmonary pharmacokinetics of rifampicin. Clin Pharmacokinet </w:t>
      </w:r>
      <w:r w:rsidRPr="00DE300B">
        <w:rPr>
          <w:rFonts w:ascii="Calibri" w:hAnsi="Calibri" w:cs="Calibri"/>
          <w:b/>
          <w:bCs/>
          <w:noProof/>
          <w:szCs w:val="24"/>
        </w:rPr>
        <w:t>2004</w:t>
      </w:r>
      <w:r w:rsidRPr="00DE300B">
        <w:rPr>
          <w:rFonts w:ascii="Calibri" w:hAnsi="Calibri" w:cs="Calibri"/>
          <w:noProof/>
          <w:szCs w:val="24"/>
        </w:rPr>
        <w:t>; 43:395–404. Available at: https://www.ncbi.nlm.nih.gov/pubmed/15086276.</w:t>
      </w:r>
    </w:p>
    <w:p w14:paraId="2436F289" w14:textId="77777777" w:rsidR="00DE300B" w:rsidRPr="00DE300B" w:rsidRDefault="00DE300B" w:rsidP="00DE300B">
      <w:pPr>
        <w:widowControl w:val="0"/>
        <w:autoSpaceDE w:val="0"/>
        <w:autoSpaceDN w:val="0"/>
        <w:adjustRightInd w:val="0"/>
        <w:spacing w:line="480" w:lineRule="auto"/>
        <w:ind w:left="640" w:hanging="640"/>
        <w:rPr>
          <w:rFonts w:ascii="Calibri" w:hAnsi="Calibri" w:cs="Calibri"/>
          <w:noProof/>
          <w:szCs w:val="24"/>
        </w:rPr>
      </w:pPr>
      <w:r w:rsidRPr="00DE300B">
        <w:rPr>
          <w:rFonts w:ascii="Calibri" w:hAnsi="Calibri" w:cs="Calibri"/>
          <w:noProof/>
          <w:szCs w:val="24"/>
        </w:rPr>
        <w:t xml:space="preserve">18. </w:t>
      </w:r>
      <w:r w:rsidRPr="00DE300B">
        <w:rPr>
          <w:rFonts w:ascii="Calibri" w:hAnsi="Calibri" w:cs="Calibri"/>
          <w:noProof/>
          <w:szCs w:val="24"/>
        </w:rPr>
        <w:tab/>
        <w:t xml:space="preserve">Conte  Jr. JE, Golden JA, McQuitty M, et al. Effects of gender, AIDS, and acetylator status on intrapulmonary concentrations of isoniazid. Antimicrob Agents Chemother </w:t>
      </w:r>
      <w:r w:rsidRPr="00DE300B">
        <w:rPr>
          <w:rFonts w:ascii="Calibri" w:hAnsi="Calibri" w:cs="Calibri"/>
          <w:b/>
          <w:bCs/>
          <w:noProof/>
          <w:szCs w:val="24"/>
        </w:rPr>
        <w:t>2002</w:t>
      </w:r>
      <w:r w:rsidRPr="00DE300B">
        <w:rPr>
          <w:rFonts w:ascii="Calibri" w:hAnsi="Calibri" w:cs="Calibri"/>
          <w:noProof/>
          <w:szCs w:val="24"/>
        </w:rPr>
        <w:t>; 46:2358–2364. Available at: https://www.ncbi.nlm.nih.gov/pubmed/12121905.</w:t>
      </w:r>
    </w:p>
    <w:p w14:paraId="6B032C96" w14:textId="77777777" w:rsidR="00DE300B" w:rsidRPr="00DE300B" w:rsidRDefault="00DE300B" w:rsidP="00DE300B">
      <w:pPr>
        <w:widowControl w:val="0"/>
        <w:autoSpaceDE w:val="0"/>
        <w:autoSpaceDN w:val="0"/>
        <w:adjustRightInd w:val="0"/>
        <w:spacing w:line="480" w:lineRule="auto"/>
        <w:ind w:left="640" w:hanging="640"/>
        <w:rPr>
          <w:rFonts w:ascii="Calibri" w:hAnsi="Calibri" w:cs="Calibri"/>
          <w:noProof/>
          <w:szCs w:val="24"/>
        </w:rPr>
      </w:pPr>
      <w:r w:rsidRPr="00DE300B">
        <w:rPr>
          <w:rFonts w:ascii="Calibri" w:hAnsi="Calibri" w:cs="Calibri"/>
          <w:noProof/>
          <w:szCs w:val="24"/>
        </w:rPr>
        <w:t xml:space="preserve">19. </w:t>
      </w:r>
      <w:r w:rsidRPr="00DE300B">
        <w:rPr>
          <w:rFonts w:ascii="Calibri" w:hAnsi="Calibri" w:cs="Calibri"/>
          <w:noProof/>
          <w:szCs w:val="24"/>
        </w:rPr>
        <w:tab/>
        <w:t xml:space="preserve">Conte  Jr. JE, Golden JA, Duncan S, McKenna E, Zurlinden E. Intrapulmonary concentrations of pyrazinamide. Antimicrob Agents Chemother </w:t>
      </w:r>
      <w:r w:rsidRPr="00DE300B">
        <w:rPr>
          <w:rFonts w:ascii="Calibri" w:hAnsi="Calibri" w:cs="Calibri"/>
          <w:b/>
          <w:bCs/>
          <w:noProof/>
          <w:szCs w:val="24"/>
        </w:rPr>
        <w:t>1999</w:t>
      </w:r>
      <w:r w:rsidRPr="00DE300B">
        <w:rPr>
          <w:rFonts w:ascii="Calibri" w:hAnsi="Calibri" w:cs="Calibri"/>
          <w:noProof/>
          <w:szCs w:val="24"/>
        </w:rPr>
        <w:t>; 43:1329–1333. Available at: https://www.ncbi.nlm.nih.gov/pubmed/10348747.</w:t>
      </w:r>
    </w:p>
    <w:p w14:paraId="73D266E2" w14:textId="77777777" w:rsidR="00DE300B" w:rsidRPr="00DE300B" w:rsidRDefault="00DE300B" w:rsidP="00DE300B">
      <w:pPr>
        <w:widowControl w:val="0"/>
        <w:autoSpaceDE w:val="0"/>
        <w:autoSpaceDN w:val="0"/>
        <w:adjustRightInd w:val="0"/>
        <w:spacing w:line="480" w:lineRule="auto"/>
        <w:ind w:left="640" w:hanging="640"/>
        <w:rPr>
          <w:rFonts w:ascii="Calibri" w:hAnsi="Calibri" w:cs="Calibri"/>
          <w:noProof/>
          <w:szCs w:val="24"/>
        </w:rPr>
      </w:pPr>
      <w:r w:rsidRPr="00DE300B">
        <w:rPr>
          <w:rFonts w:ascii="Calibri" w:hAnsi="Calibri" w:cs="Calibri"/>
          <w:noProof/>
          <w:szCs w:val="24"/>
        </w:rPr>
        <w:t xml:space="preserve">20. </w:t>
      </w:r>
      <w:r w:rsidRPr="00DE300B">
        <w:rPr>
          <w:rFonts w:ascii="Calibri" w:hAnsi="Calibri" w:cs="Calibri"/>
          <w:noProof/>
          <w:szCs w:val="24"/>
        </w:rPr>
        <w:tab/>
        <w:t xml:space="preserve">Conte  Jr. JE, Golden JA, Kipps J, Lin ET, Zurlinden E. Effects of AIDS and gender on steady-state plasma and intrapulmonary ethambutol concentrations. Antimicrob Agents Chemother </w:t>
      </w:r>
      <w:r w:rsidRPr="00DE300B">
        <w:rPr>
          <w:rFonts w:ascii="Calibri" w:hAnsi="Calibri" w:cs="Calibri"/>
          <w:b/>
          <w:bCs/>
          <w:noProof/>
          <w:szCs w:val="24"/>
        </w:rPr>
        <w:t>2001</w:t>
      </w:r>
      <w:r w:rsidRPr="00DE300B">
        <w:rPr>
          <w:rFonts w:ascii="Calibri" w:hAnsi="Calibri" w:cs="Calibri"/>
          <w:noProof/>
          <w:szCs w:val="24"/>
        </w:rPr>
        <w:t>; 45:2891–2896. Available at: https://www.ncbi.nlm.nih.gov/pubmed/11557486.</w:t>
      </w:r>
    </w:p>
    <w:p w14:paraId="69C1D79F" w14:textId="77777777" w:rsidR="00DE300B" w:rsidRPr="00DE300B" w:rsidRDefault="00DE300B" w:rsidP="00DE300B">
      <w:pPr>
        <w:widowControl w:val="0"/>
        <w:autoSpaceDE w:val="0"/>
        <w:autoSpaceDN w:val="0"/>
        <w:adjustRightInd w:val="0"/>
        <w:spacing w:line="480" w:lineRule="auto"/>
        <w:ind w:left="640" w:hanging="640"/>
        <w:rPr>
          <w:rFonts w:ascii="Calibri" w:hAnsi="Calibri" w:cs="Calibri"/>
          <w:noProof/>
          <w:szCs w:val="24"/>
        </w:rPr>
      </w:pPr>
      <w:r w:rsidRPr="00DE300B">
        <w:rPr>
          <w:rFonts w:ascii="Calibri" w:hAnsi="Calibri" w:cs="Calibri"/>
          <w:noProof/>
          <w:szCs w:val="24"/>
        </w:rPr>
        <w:t xml:space="preserve">21. </w:t>
      </w:r>
      <w:r w:rsidRPr="00DE300B">
        <w:rPr>
          <w:rFonts w:ascii="Calibri" w:hAnsi="Calibri" w:cs="Calibri"/>
          <w:noProof/>
          <w:szCs w:val="24"/>
        </w:rPr>
        <w:tab/>
        <w:t xml:space="preserve">Ziglam HM, Baldwin DR, Daniels I, Andrew JM, Finch RG. Rifampicin concentrations in bronchial mucosa, epithelial lining fluid, alveolar macrophages and serum following a single 600 mg oral dose in patients undergoing fibre-optic bronchoscopy. J Antimicrob Chemother </w:t>
      </w:r>
      <w:r w:rsidRPr="00DE300B">
        <w:rPr>
          <w:rFonts w:ascii="Calibri" w:hAnsi="Calibri" w:cs="Calibri"/>
          <w:b/>
          <w:bCs/>
          <w:noProof/>
          <w:szCs w:val="24"/>
        </w:rPr>
        <w:t>2002</w:t>
      </w:r>
      <w:r w:rsidRPr="00DE300B">
        <w:rPr>
          <w:rFonts w:ascii="Calibri" w:hAnsi="Calibri" w:cs="Calibri"/>
          <w:noProof/>
          <w:szCs w:val="24"/>
        </w:rPr>
        <w:t>; 50:1011–1015. Available at: https://www.ncbi.nlm.nih.gov/pubmed/12461025.</w:t>
      </w:r>
    </w:p>
    <w:p w14:paraId="4C79E1C7" w14:textId="77777777" w:rsidR="00DE300B" w:rsidRPr="00DE300B" w:rsidRDefault="00DE300B" w:rsidP="00DE300B">
      <w:pPr>
        <w:widowControl w:val="0"/>
        <w:autoSpaceDE w:val="0"/>
        <w:autoSpaceDN w:val="0"/>
        <w:adjustRightInd w:val="0"/>
        <w:spacing w:line="480" w:lineRule="auto"/>
        <w:ind w:left="640" w:hanging="640"/>
        <w:rPr>
          <w:rFonts w:ascii="Calibri" w:hAnsi="Calibri" w:cs="Calibri"/>
          <w:noProof/>
          <w:szCs w:val="24"/>
        </w:rPr>
      </w:pPr>
      <w:r w:rsidRPr="00DE300B">
        <w:rPr>
          <w:rFonts w:ascii="Calibri" w:hAnsi="Calibri" w:cs="Calibri"/>
          <w:noProof/>
          <w:szCs w:val="24"/>
        </w:rPr>
        <w:t xml:space="preserve">22. </w:t>
      </w:r>
      <w:r w:rsidRPr="00DE300B">
        <w:rPr>
          <w:rFonts w:ascii="Calibri" w:hAnsi="Calibri" w:cs="Calibri"/>
          <w:noProof/>
          <w:szCs w:val="24"/>
        </w:rPr>
        <w:tab/>
        <w:t xml:space="preserve">Goutelle S, Bourguignon L, Jelliffe RW, Conte  Jr. JE, Maire P. Mathematical modeling of pulmonary tuberculosis therapy: Insights from a prototype model with rifampin. J Theor Biol </w:t>
      </w:r>
      <w:r w:rsidRPr="00DE300B">
        <w:rPr>
          <w:rFonts w:ascii="Calibri" w:hAnsi="Calibri" w:cs="Calibri"/>
          <w:b/>
          <w:bCs/>
          <w:noProof/>
          <w:szCs w:val="24"/>
        </w:rPr>
        <w:t>2011</w:t>
      </w:r>
      <w:r w:rsidRPr="00DE300B">
        <w:rPr>
          <w:rFonts w:ascii="Calibri" w:hAnsi="Calibri" w:cs="Calibri"/>
          <w:noProof/>
          <w:szCs w:val="24"/>
        </w:rPr>
        <w:t>; 282:80–92. Available at: https://www.ncbi.nlm.nih.gov/pubmed/21605569.</w:t>
      </w:r>
    </w:p>
    <w:p w14:paraId="7AD76229" w14:textId="77777777" w:rsidR="00DE300B" w:rsidRPr="00DE300B" w:rsidRDefault="00DE300B" w:rsidP="00DE300B">
      <w:pPr>
        <w:widowControl w:val="0"/>
        <w:autoSpaceDE w:val="0"/>
        <w:autoSpaceDN w:val="0"/>
        <w:adjustRightInd w:val="0"/>
        <w:spacing w:line="480" w:lineRule="auto"/>
        <w:ind w:left="640" w:hanging="640"/>
        <w:rPr>
          <w:rFonts w:ascii="Calibri" w:hAnsi="Calibri" w:cs="Calibri"/>
          <w:noProof/>
          <w:szCs w:val="24"/>
        </w:rPr>
      </w:pPr>
      <w:r w:rsidRPr="00DE300B">
        <w:rPr>
          <w:rFonts w:ascii="Calibri" w:hAnsi="Calibri" w:cs="Calibri"/>
          <w:noProof/>
          <w:szCs w:val="24"/>
        </w:rPr>
        <w:t xml:space="preserve">23. </w:t>
      </w:r>
      <w:r w:rsidRPr="00DE300B">
        <w:rPr>
          <w:rFonts w:ascii="Calibri" w:hAnsi="Calibri" w:cs="Calibri"/>
          <w:noProof/>
          <w:szCs w:val="24"/>
        </w:rPr>
        <w:tab/>
        <w:t xml:space="preserve">Collins AM, Rylance J, Wootton DG, et al. Bronchoalveolar lavage (BAL) for research; obtaining adequate sample yield. J Vis Exp </w:t>
      </w:r>
      <w:r w:rsidRPr="00DE300B">
        <w:rPr>
          <w:rFonts w:ascii="Calibri" w:hAnsi="Calibri" w:cs="Calibri"/>
          <w:b/>
          <w:bCs/>
          <w:noProof/>
          <w:szCs w:val="24"/>
        </w:rPr>
        <w:t>2014</w:t>
      </w:r>
      <w:r w:rsidRPr="00DE300B">
        <w:rPr>
          <w:rFonts w:ascii="Calibri" w:hAnsi="Calibri" w:cs="Calibri"/>
          <w:noProof/>
          <w:szCs w:val="24"/>
        </w:rPr>
        <w:t>; Available at: https://www.ncbi.nlm.nih.gov/pubmed/24686157.</w:t>
      </w:r>
    </w:p>
    <w:p w14:paraId="33DDBB0D" w14:textId="77777777" w:rsidR="00DE300B" w:rsidRPr="00DE300B" w:rsidRDefault="00DE300B" w:rsidP="00DE300B">
      <w:pPr>
        <w:widowControl w:val="0"/>
        <w:autoSpaceDE w:val="0"/>
        <w:autoSpaceDN w:val="0"/>
        <w:adjustRightInd w:val="0"/>
        <w:spacing w:line="480" w:lineRule="auto"/>
        <w:ind w:left="640" w:hanging="640"/>
        <w:rPr>
          <w:rFonts w:ascii="Calibri" w:hAnsi="Calibri" w:cs="Calibri"/>
          <w:noProof/>
          <w:szCs w:val="24"/>
        </w:rPr>
      </w:pPr>
      <w:r w:rsidRPr="00DE300B">
        <w:rPr>
          <w:rFonts w:ascii="Calibri" w:hAnsi="Calibri" w:cs="Calibri"/>
          <w:noProof/>
          <w:szCs w:val="24"/>
        </w:rPr>
        <w:t xml:space="preserve">24. </w:t>
      </w:r>
      <w:r w:rsidRPr="00DE300B">
        <w:rPr>
          <w:rFonts w:ascii="Calibri" w:hAnsi="Calibri" w:cs="Calibri"/>
          <w:noProof/>
          <w:szCs w:val="24"/>
        </w:rPr>
        <w:tab/>
        <w:t xml:space="preserve">Ralph AP, Ardian M, Wiguna A, et al. A simple, valid, numerical score for grading chest X-ray severity in adult smear-positive pulmonary tuberculosis. Thorax </w:t>
      </w:r>
      <w:r w:rsidRPr="00DE300B">
        <w:rPr>
          <w:rFonts w:ascii="Calibri" w:hAnsi="Calibri" w:cs="Calibri"/>
          <w:b/>
          <w:bCs/>
          <w:noProof/>
          <w:szCs w:val="24"/>
        </w:rPr>
        <w:t>2010</w:t>
      </w:r>
      <w:r w:rsidRPr="00DE300B">
        <w:rPr>
          <w:rFonts w:ascii="Calibri" w:hAnsi="Calibri" w:cs="Calibri"/>
          <w:noProof/>
          <w:szCs w:val="24"/>
        </w:rPr>
        <w:t>; 65:863–869. Available at: https://www.ncbi.nlm.nih.gov/pubmed/20861290.</w:t>
      </w:r>
    </w:p>
    <w:p w14:paraId="5C5DBAD0" w14:textId="77777777" w:rsidR="00DE300B" w:rsidRPr="00DE300B" w:rsidRDefault="00DE300B" w:rsidP="00DE300B">
      <w:pPr>
        <w:widowControl w:val="0"/>
        <w:autoSpaceDE w:val="0"/>
        <w:autoSpaceDN w:val="0"/>
        <w:adjustRightInd w:val="0"/>
        <w:spacing w:line="480" w:lineRule="auto"/>
        <w:ind w:left="640" w:hanging="640"/>
        <w:rPr>
          <w:rFonts w:ascii="Calibri" w:hAnsi="Calibri" w:cs="Calibri"/>
          <w:noProof/>
          <w:szCs w:val="24"/>
        </w:rPr>
      </w:pPr>
      <w:r w:rsidRPr="00DE300B">
        <w:rPr>
          <w:rFonts w:ascii="Calibri" w:hAnsi="Calibri" w:cs="Calibri"/>
          <w:noProof/>
          <w:szCs w:val="24"/>
        </w:rPr>
        <w:t xml:space="preserve">25. </w:t>
      </w:r>
      <w:r w:rsidRPr="00DE300B">
        <w:rPr>
          <w:rFonts w:ascii="Calibri" w:hAnsi="Calibri" w:cs="Calibri"/>
          <w:noProof/>
          <w:szCs w:val="24"/>
        </w:rPr>
        <w:tab/>
        <w:t xml:space="preserve">Ministry of Health Malawi. National Tuberculosis Control Programme Manual 7th Edition. </w:t>
      </w:r>
      <w:r w:rsidRPr="00DE300B">
        <w:rPr>
          <w:rFonts w:ascii="Calibri" w:hAnsi="Calibri" w:cs="Calibri"/>
          <w:b/>
          <w:bCs/>
          <w:noProof/>
          <w:szCs w:val="24"/>
        </w:rPr>
        <w:t>2012</w:t>
      </w:r>
      <w:r w:rsidRPr="00DE300B">
        <w:rPr>
          <w:rFonts w:ascii="Calibri" w:hAnsi="Calibri" w:cs="Calibri"/>
          <w:noProof/>
          <w:szCs w:val="24"/>
        </w:rPr>
        <w:t xml:space="preserve">; </w:t>
      </w:r>
    </w:p>
    <w:p w14:paraId="12D49648" w14:textId="77777777" w:rsidR="00DE300B" w:rsidRPr="00DE300B" w:rsidRDefault="00DE300B" w:rsidP="00DE300B">
      <w:pPr>
        <w:widowControl w:val="0"/>
        <w:autoSpaceDE w:val="0"/>
        <w:autoSpaceDN w:val="0"/>
        <w:adjustRightInd w:val="0"/>
        <w:spacing w:line="480" w:lineRule="auto"/>
        <w:ind w:left="640" w:hanging="640"/>
        <w:rPr>
          <w:rFonts w:ascii="Calibri" w:hAnsi="Calibri" w:cs="Calibri"/>
          <w:noProof/>
          <w:szCs w:val="24"/>
        </w:rPr>
      </w:pPr>
      <w:r w:rsidRPr="00DE300B">
        <w:rPr>
          <w:rFonts w:ascii="Calibri" w:hAnsi="Calibri" w:cs="Calibri"/>
          <w:noProof/>
          <w:szCs w:val="24"/>
        </w:rPr>
        <w:t xml:space="preserve">26. </w:t>
      </w:r>
      <w:r w:rsidRPr="00DE300B">
        <w:rPr>
          <w:rFonts w:ascii="Calibri" w:hAnsi="Calibri" w:cs="Calibri"/>
          <w:noProof/>
          <w:szCs w:val="24"/>
        </w:rPr>
        <w:tab/>
        <w:t xml:space="preserve">Ministry of Health Malawi. Clinical Management of HIV in Children and Adults. 2014. </w:t>
      </w:r>
    </w:p>
    <w:p w14:paraId="0095FE09" w14:textId="77777777" w:rsidR="00DE300B" w:rsidRPr="00DE300B" w:rsidRDefault="00DE300B" w:rsidP="00DE300B">
      <w:pPr>
        <w:widowControl w:val="0"/>
        <w:autoSpaceDE w:val="0"/>
        <w:autoSpaceDN w:val="0"/>
        <w:adjustRightInd w:val="0"/>
        <w:spacing w:line="480" w:lineRule="auto"/>
        <w:ind w:left="640" w:hanging="640"/>
        <w:rPr>
          <w:rFonts w:ascii="Calibri" w:hAnsi="Calibri" w:cs="Calibri"/>
          <w:noProof/>
          <w:szCs w:val="24"/>
        </w:rPr>
      </w:pPr>
      <w:r w:rsidRPr="00DE300B">
        <w:rPr>
          <w:rFonts w:ascii="Calibri" w:hAnsi="Calibri" w:cs="Calibri"/>
          <w:noProof/>
          <w:szCs w:val="24"/>
        </w:rPr>
        <w:lastRenderedPageBreak/>
        <w:t xml:space="preserve">27. </w:t>
      </w:r>
      <w:r w:rsidRPr="00DE300B">
        <w:rPr>
          <w:rFonts w:ascii="Calibri" w:hAnsi="Calibri" w:cs="Calibri"/>
          <w:noProof/>
          <w:szCs w:val="24"/>
        </w:rPr>
        <w:tab/>
        <w:t xml:space="preserve">Kiem S, Schentag JJ. Interpretation of antibiotic concentration ratios measured in epithelial lining fluid. Antimicrob Agents Chemother </w:t>
      </w:r>
      <w:r w:rsidRPr="00DE300B">
        <w:rPr>
          <w:rFonts w:ascii="Calibri" w:hAnsi="Calibri" w:cs="Calibri"/>
          <w:b/>
          <w:bCs/>
          <w:noProof/>
          <w:szCs w:val="24"/>
        </w:rPr>
        <w:t>2008</w:t>
      </w:r>
      <w:r w:rsidRPr="00DE300B">
        <w:rPr>
          <w:rFonts w:ascii="Calibri" w:hAnsi="Calibri" w:cs="Calibri"/>
          <w:noProof/>
          <w:szCs w:val="24"/>
        </w:rPr>
        <w:t>; 52:24–36. Available at: https://www.ncbi.nlm.nih.gov/pubmed/17846133.</w:t>
      </w:r>
    </w:p>
    <w:p w14:paraId="153F4363" w14:textId="77777777" w:rsidR="00DE300B" w:rsidRPr="00DE300B" w:rsidRDefault="00DE300B" w:rsidP="00DE300B">
      <w:pPr>
        <w:widowControl w:val="0"/>
        <w:autoSpaceDE w:val="0"/>
        <w:autoSpaceDN w:val="0"/>
        <w:adjustRightInd w:val="0"/>
        <w:spacing w:line="480" w:lineRule="auto"/>
        <w:ind w:left="640" w:hanging="640"/>
        <w:rPr>
          <w:rFonts w:ascii="Calibri" w:hAnsi="Calibri" w:cs="Calibri"/>
          <w:noProof/>
          <w:szCs w:val="24"/>
        </w:rPr>
      </w:pPr>
      <w:r w:rsidRPr="00DE300B">
        <w:rPr>
          <w:rFonts w:ascii="Calibri" w:hAnsi="Calibri" w:cs="Calibri"/>
          <w:noProof/>
          <w:szCs w:val="24"/>
        </w:rPr>
        <w:t xml:space="preserve">28. </w:t>
      </w:r>
      <w:r w:rsidRPr="00DE300B">
        <w:rPr>
          <w:rFonts w:ascii="Calibri" w:hAnsi="Calibri" w:cs="Calibri"/>
          <w:noProof/>
          <w:szCs w:val="24"/>
        </w:rPr>
        <w:tab/>
        <w:t xml:space="preserve">Grigg J, Kleinert S, Woods RL, et al. Alveolar epithelial lining fluid cellularity, protein and endothelin-1 in children with congenital heart disease. Eur Respir J </w:t>
      </w:r>
      <w:r w:rsidRPr="00DE300B">
        <w:rPr>
          <w:rFonts w:ascii="Calibri" w:hAnsi="Calibri" w:cs="Calibri"/>
          <w:b/>
          <w:bCs/>
          <w:noProof/>
          <w:szCs w:val="24"/>
        </w:rPr>
        <w:t>1996</w:t>
      </w:r>
      <w:r w:rsidRPr="00DE300B">
        <w:rPr>
          <w:rFonts w:ascii="Calibri" w:hAnsi="Calibri" w:cs="Calibri"/>
          <w:noProof/>
          <w:szCs w:val="24"/>
        </w:rPr>
        <w:t xml:space="preserve">; 9:1381–1388. </w:t>
      </w:r>
    </w:p>
    <w:p w14:paraId="3708F593" w14:textId="77777777" w:rsidR="00DE300B" w:rsidRPr="00DE300B" w:rsidRDefault="00DE300B" w:rsidP="00DE300B">
      <w:pPr>
        <w:widowControl w:val="0"/>
        <w:autoSpaceDE w:val="0"/>
        <w:autoSpaceDN w:val="0"/>
        <w:adjustRightInd w:val="0"/>
        <w:spacing w:line="480" w:lineRule="auto"/>
        <w:ind w:left="640" w:hanging="640"/>
        <w:rPr>
          <w:rFonts w:ascii="Calibri" w:hAnsi="Calibri" w:cs="Calibri"/>
          <w:noProof/>
          <w:szCs w:val="24"/>
        </w:rPr>
      </w:pPr>
      <w:r w:rsidRPr="00DE300B">
        <w:rPr>
          <w:rFonts w:ascii="Calibri" w:hAnsi="Calibri" w:cs="Calibri"/>
          <w:noProof/>
          <w:szCs w:val="24"/>
        </w:rPr>
        <w:t xml:space="preserve">29. </w:t>
      </w:r>
      <w:r w:rsidRPr="00DE300B">
        <w:rPr>
          <w:rFonts w:ascii="Calibri" w:hAnsi="Calibri" w:cs="Calibri"/>
          <w:noProof/>
          <w:szCs w:val="24"/>
        </w:rPr>
        <w:tab/>
        <w:t xml:space="preserve">Alsultan A, Peloquin CA. Therapeutic drug monitoring in the treatment of tuberculosis: an update. Drugs </w:t>
      </w:r>
      <w:r w:rsidRPr="00DE300B">
        <w:rPr>
          <w:rFonts w:ascii="Calibri" w:hAnsi="Calibri" w:cs="Calibri"/>
          <w:b/>
          <w:bCs/>
          <w:noProof/>
          <w:szCs w:val="24"/>
        </w:rPr>
        <w:t>2014</w:t>
      </w:r>
      <w:r w:rsidRPr="00DE300B">
        <w:rPr>
          <w:rFonts w:ascii="Calibri" w:hAnsi="Calibri" w:cs="Calibri"/>
          <w:noProof/>
          <w:szCs w:val="24"/>
        </w:rPr>
        <w:t>; 74:839–854. Available at: https://www.ncbi.nlm.nih.gov/pubmed/24846578.</w:t>
      </w:r>
    </w:p>
    <w:p w14:paraId="6DC1C7C0" w14:textId="77777777" w:rsidR="00DE300B" w:rsidRPr="00DE300B" w:rsidRDefault="00DE300B" w:rsidP="00DE300B">
      <w:pPr>
        <w:widowControl w:val="0"/>
        <w:autoSpaceDE w:val="0"/>
        <w:autoSpaceDN w:val="0"/>
        <w:adjustRightInd w:val="0"/>
        <w:spacing w:line="480" w:lineRule="auto"/>
        <w:ind w:left="640" w:hanging="640"/>
        <w:rPr>
          <w:rFonts w:ascii="Calibri" w:hAnsi="Calibri" w:cs="Calibri"/>
          <w:noProof/>
          <w:szCs w:val="24"/>
        </w:rPr>
      </w:pPr>
      <w:r w:rsidRPr="00DE300B">
        <w:rPr>
          <w:rFonts w:ascii="Calibri" w:hAnsi="Calibri" w:cs="Calibri"/>
          <w:noProof/>
          <w:szCs w:val="24"/>
        </w:rPr>
        <w:t xml:space="preserve">30. </w:t>
      </w:r>
      <w:r w:rsidRPr="00DE300B">
        <w:rPr>
          <w:rFonts w:ascii="Calibri" w:hAnsi="Calibri" w:cs="Calibri"/>
          <w:noProof/>
          <w:szCs w:val="24"/>
        </w:rPr>
        <w:tab/>
        <w:t xml:space="preserve">Chideya S, Winston CA, Peloquin CA, et al. Isoniazid, rifampin, ethambutol, and pyrazinamide pharmacokinetics and treatment outcomes among a predominantly HIV-infected cohort of adults with tuberculosis from Botswana. Clin Infect Dis </w:t>
      </w:r>
      <w:r w:rsidRPr="00DE300B">
        <w:rPr>
          <w:rFonts w:ascii="Calibri" w:hAnsi="Calibri" w:cs="Calibri"/>
          <w:b/>
          <w:bCs/>
          <w:noProof/>
          <w:szCs w:val="24"/>
        </w:rPr>
        <w:t>2009</w:t>
      </w:r>
      <w:r w:rsidRPr="00DE300B">
        <w:rPr>
          <w:rFonts w:ascii="Calibri" w:hAnsi="Calibri" w:cs="Calibri"/>
          <w:noProof/>
          <w:szCs w:val="24"/>
        </w:rPr>
        <w:t>; 48:1685–1694. Available at: https://www.ncbi.nlm.nih.gov/pubmed/19432554.</w:t>
      </w:r>
    </w:p>
    <w:p w14:paraId="3E1913E0" w14:textId="77777777" w:rsidR="00DE300B" w:rsidRPr="00DE300B" w:rsidRDefault="00DE300B" w:rsidP="00DE300B">
      <w:pPr>
        <w:widowControl w:val="0"/>
        <w:autoSpaceDE w:val="0"/>
        <w:autoSpaceDN w:val="0"/>
        <w:adjustRightInd w:val="0"/>
        <w:spacing w:line="480" w:lineRule="auto"/>
        <w:ind w:left="640" w:hanging="640"/>
        <w:rPr>
          <w:rFonts w:ascii="Calibri" w:hAnsi="Calibri" w:cs="Calibri"/>
          <w:noProof/>
          <w:szCs w:val="24"/>
        </w:rPr>
      </w:pPr>
      <w:r w:rsidRPr="00DE300B">
        <w:rPr>
          <w:rFonts w:ascii="Calibri" w:hAnsi="Calibri" w:cs="Calibri"/>
          <w:noProof/>
          <w:szCs w:val="24"/>
        </w:rPr>
        <w:t xml:space="preserve">31. </w:t>
      </w:r>
      <w:r w:rsidRPr="00DE300B">
        <w:rPr>
          <w:rFonts w:ascii="Calibri" w:hAnsi="Calibri" w:cs="Calibri"/>
          <w:noProof/>
          <w:szCs w:val="24"/>
        </w:rPr>
        <w:tab/>
        <w:t xml:space="preserve">World Health Organization. Guidelines for treatment of tuberculosis. Geneva: WHO, 2010. </w:t>
      </w:r>
    </w:p>
    <w:p w14:paraId="631C4D6B" w14:textId="77777777" w:rsidR="00DE300B" w:rsidRPr="00DE300B" w:rsidRDefault="00DE300B" w:rsidP="00DE300B">
      <w:pPr>
        <w:widowControl w:val="0"/>
        <w:autoSpaceDE w:val="0"/>
        <w:autoSpaceDN w:val="0"/>
        <w:adjustRightInd w:val="0"/>
        <w:spacing w:line="480" w:lineRule="auto"/>
        <w:ind w:left="640" w:hanging="640"/>
        <w:rPr>
          <w:rFonts w:ascii="Calibri" w:hAnsi="Calibri" w:cs="Calibri"/>
          <w:noProof/>
          <w:szCs w:val="24"/>
        </w:rPr>
      </w:pPr>
      <w:r w:rsidRPr="00DE300B">
        <w:rPr>
          <w:rFonts w:ascii="Calibri" w:hAnsi="Calibri" w:cs="Calibri"/>
          <w:noProof/>
          <w:szCs w:val="24"/>
        </w:rPr>
        <w:t xml:space="preserve">32. </w:t>
      </w:r>
      <w:r w:rsidRPr="00DE300B">
        <w:rPr>
          <w:rFonts w:ascii="Calibri" w:hAnsi="Calibri" w:cs="Calibri"/>
          <w:noProof/>
          <w:szCs w:val="24"/>
        </w:rPr>
        <w:tab/>
        <w:t xml:space="preserve">Stott KE, Pertinez H, Sturkenboom MGG, et al. Pharmacokinetics of rifampicin in adult TB patients and healthy volunteers: a systematic review and meta-analysis. J Antimicrob Chemother </w:t>
      </w:r>
      <w:r w:rsidRPr="00DE300B">
        <w:rPr>
          <w:rFonts w:ascii="Calibri" w:hAnsi="Calibri" w:cs="Calibri"/>
          <w:b/>
          <w:bCs/>
          <w:noProof/>
          <w:szCs w:val="24"/>
        </w:rPr>
        <w:t>2018</w:t>
      </w:r>
      <w:r w:rsidRPr="00DE300B">
        <w:rPr>
          <w:rFonts w:ascii="Calibri" w:hAnsi="Calibri" w:cs="Calibri"/>
          <w:noProof/>
          <w:szCs w:val="24"/>
        </w:rPr>
        <w:t>; Available at: https://watermark.silverchair.com/dky152.pdf?token=AQECAHi208BE49Ooan9kkhW_Ercy7Dm3ZL_9Cf3qfKAc485ysgAAAbIwggGuBgkqhkiG9w0BBwagggGfMIIBmwIBADCCAZQGCSqGSIb3DQEHATAeBglghkgBZQMEAS4wEQQMRUVNAVG7N992XQjYAgEQgIIBZdFDS6Ko7OVZYRUqzsArVssOBWNcXbcmOi7gP2P-D_X3kFdh.</w:t>
      </w:r>
    </w:p>
    <w:p w14:paraId="4FD2E1EE" w14:textId="77777777" w:rsidR="00DE300B" w:rsidRPr="00DE300B" w:rsidRDefault="00DE300B" w:rsidP="00DE300B">
      <w:pPr>
        <w:widowControl w:val="0"/>
        <w:autoSpaceDE w:val="0"/>
        <w:autoSpaceDN w:val="0"/>
        <w:adjustRightInd w:val="0"/>
        <w:spacing w:line="480" w:lineRule="auto"/>
        <w:ind w:left="640" w:hanging="640"/>
        <w:rPr>
          <w:rFonts w:ascii="Calibri" w:hAnsi="Calibri" w:cs="Calibri"/>
          <w:noProof/>
          <w:szCs w:val="24"/>
        </w:rPr>
      </w:pPr>
      <w:r w:rsidRPr="00DE300B">
        <w:rPr>
          <w:rFonts w:ascii="Calibri" w:hAnsi="Calibri" w:cs="Calibri"/>
          <w:noProof/>
          <w:szCs w:val="24"/>
        </w:rPr>
        <w:t xml:space="preserve">33. </w:t>
      </w:r>
      <w:r w:rsidRPr="00DE300B">
        <w:rPr>
          <w:rFonts w:ascii="Calibri" w:hAnsi="Calibri" w:cs="Calibri"/>
          <w:noProof/>
          <w:szCs w:val="24"/>
        </w:rPr>
        <w:tab/>
        <w:t xml:space="preserve">van Oosterhout JJ, Dzinjalamala FK, Dimba A, et al. Pharmacokinetics of Antituberculosis Drugs in HIV-Positive and HIV-Negative Adults in Malawi. Antimicrob Agents Chemother </w:t>
      </w:r>
      <w:r w:rsidRPr="00DE300B">
        <w:rPr>
          <w:rFonts w:ascii="Calibri" w:hAnsi="Calibri" w:cs="Calibri"/>
          <w:b/>
          <w:bCs/>
          <w:noProof/>
          <w:szCs w:val="24"/>
        </w:rPr>
        <w:t>2015</w:t>
      </w:r>
      <w:r w:rsidRPr="00DE300B">
        <w:rPr>
          <w:rFonts w:ascii="Calibri" w:hAnsi="Calibri" w:cs="Calibri"/>
          <w:noProof/>
          <w:szCs w:val="24"/>
        </w:rPr>
        <w:t>; 59:6175–6180. Available at: https://www.ncbi.nlm.nih.gov/pubmed/26248378.</w:t>
      </w:r>
    </w:p>
    <w:p w14:paraId="68323C0E" w14:textId="77777777" w:rsidR="00DE300B" w:rsidRPr="00DE300B" w:rsidRDefault="00DE300B" w:rsidP="00DE300B">
      <w:pPr>
        <w:widowControl w:val="0"/>
        <w:autoSpaceDE w:val="0"/>
        <w:autoSpaceDN w:val="0"/>
        <w:adjustRightInd w:val="0"/>
        <w:spacing w:line="480" w:lineRule="auto"/>
        <w:ind w:left="640" w:hanging="640"/>
        <w:rPr>
          <w:rFonts w:ascii="Calibri" w:hAnsi="Calibri" w:cs="Calibri"/>
          <w:noProof/>
          <w:szCs w:val="24"/>
        </w:rPr>
      </w:pPr>
      <w:r w:rsidRPr="00DE300B">
        <w:rPr>
          <w:rFonts w:ascii="Calibri" w:hAnsi="Calibri" w:cs="Calibri"/>
          <w:noProof/>
          <w:szCs w:val="24"/>
        </w:rPr>
        <w:t xml:space="preserve">34. </w:t>
      </w:r>
      <w:r w:rsidRPr="00DE300B">
        <w:rPr>
          <w:rFonts w:ascii="Calibri" w:hAnsi="Calibri" w:cs="Calibri"/>
          <w:noProof/>
          <w:szCs w:val="24"/>
        </w:rPr>
        <w:tab/>
        <w:t xml:space="preserve">McIlleron H, Wash P, Burger A, Norman J, Folb PI, Smith P. Determinants of rifampin, isoniazid, pyrazinamide, and ethambutol pharmacokinetics in a cohort of tuberculosis patients. Antimicrob Agents Chemother </w:t>
      </w:r>
      <w:r w:rsidRPr="00DE300B">
        <w:rPr>
          <w:rFonts w:ascii="Calibri" w:hAnsi="Calibri" w:cs="Calibri"/>
          <w:b/>
          <w:bCs/>
          <w:noProof/>
          <w:szCs w:val="24"/>
        </w:rPr>
        <w:t>2006</w:t>
      </w:r>
      <w:r w:rsidRPr="00DE300B">
        <w:rPr>
          <w:rFonts w:ascii="Calibri" w:hAnsi="Calibri" w:cs="Calibri"/>
          <w:noProof/>
          <w:szCs w:val="24"/>
        </w:rPr>
        <w:t>; 50:1170–1177. Available at: https://www.ncbi.nlm.nih.gov/pmc/articles/PMC1426981/pdf/0719-05.pdf.</w:t>
      </w:r>
    </w:p>
    <w:p w14:paraId="6A36C1B2" w14:textId="77777777" w:rsidR="00DE300B" w:rsidRPr="00DE300B" w:rsidRDefault="00DE300B" w:rsidP="00DE300B">
      <w:pPr>
        <w:widowControl w:val="0"/>
        <w:autoSpaceDE w:val="0"/>
        <w:autoSpaceDN w:val="0"/>
        <w:adjustRightInd w:val="0"/>
        <w:spacing w:line="480" w:lineRule="auto"/>
        <w:ind w:left="640" w:hanging="640"/>
        <w:rPr>
          <w:rFonts w:ascii="Calibri" w:hAnsi="Calibri" w:cs="Calibri"/>
          <w:noProof/>
          <w:szCs w:val="24"/>
        </w:rPr>
      </w:pPr>
      <w:r w:rsidRPr="00DE300B">
        <w:rPr>
          <w:rFonts w:ascii="Calibri" w:hAnsi="Calibri" w:cs="Calibri"/>
          <w:noProof/>
          <w:szCs w:val="24"/>
        </w:rPr>
        <w:t xml:space="preserve">35. </w:t>
      </w:r>
      <w:r w:rsidRPr="00DE300B">
        <w:rPr>
          <w:rFonts w:ascii="Calibri" w:hAnsi="Calibri" w:cs="Calibri"/>
          <w:noProof/>
          <w:szCs w:val="24"/>
        </w:rPr>
        <w:tab/>
        <w:t xml:space="preserve">Denti P, Jeremiah K, Chigutsa E, et al. Pharmacokinetics of isoniazid, pyrazinamide, and ethambutol in </w:t>
      </w:r>
      <w:r w:rsidRPr="00DE300B">
        <w:rPr>
          <w:rFonts w:ascii="Calibri" w:hAnsi="Calibri" w:cs="Calibri"/>
          <w:noProof/>
          <w:szCs w:val="24"/>
        </w:rPr>
        <w:lastRenderedPageBreak/>
        <w:t xml:space="preserve">newly diagnosed pulmonary TB patients in Tanzania. PLoS One </w:t>
      </w:r>
      <w:r w:rsidRPr="00DE300B">
        <w:rPr>
          <w:rFonts w:ascii="Calibri" w:hAnsi="Calibri" w:cs="Calibri"/>
          <w:b/>
          <w:bCs/>
          <w:noProof/>
          <w:szCs w:val="24"/>
        </w:rPr>
        <w:t>2015</w:t>
      </w:r>
      <w:r w:rsidRPr="00DE300B">
        <w:rPr>
          <w:rFonts w:ascii="Calibri" w:hAnsi="Calibri" w:cs="Calibri"/>
          <w:noProof/>
          <w:szCs w:val="24"/>
        </w:rPr>
        <w:t>; 10:e0141002. Available at: https://www.ncbi.nlm.nih.gov/pubmed/26501782.</w:t>
      </w:r>
    </w:p>
    <w:p w14:paraId="51B1B6FC" w14:textId="77777777" w:rsidR="00DE300B" w:rsidRPr="00DE300B" w:rsidRDefault="00DE300B" w:rsidP="00DE300B">
      <w:pPr>
        <w:widowControl w:val="0"/>
        <w:autoSpaceDE w:val="0"/>
        <w:autoSpaceDN w:val="0"/>
        <w:adjustRightInd w:val="0"/>
        <w:spacing w:line="480" w:lineRule="auto"/>
        <w:ind w:left="640" w:hanging="640"/>
        <w:rPr>
          <w:rFonts w:ascii="Calibri" w:hAnsi="Calibri" w:cs="Calibri"/>
          <w:noProof/>
          <w:szCs w:val="24"/>
        </w:rPr>
      </w:pPr>
      <w:r w:rsidRPr="00DE300B">
        <w:rPr>
          <w:rFonts w:ascii="Calibri" w:hAnsi="Calibri" w:cs="Calibri"/>
          <w:noProof/>
          <w:szCs w:val="24"/>
        </w:rPr>
        <w:t xml:space="preserve">36. </w:t>
      </w:r>
      <w:r w:rsidRPr="00DE300B">
        <w:rPr>
          <w:rFonts w:ascii="Calibri" w:hAnsi="Calibri" w:cs="Calibri"/>
          <w:noProof/>
          <w:szCs w:val="24"/>
        </w:rPr>
        <w:tab/>
        <w:t xml:space="preserve">Gumbo T, Dona CS, Meek C, Leff R. Pharmacokinetics-pharmacodynamics of pyrazinamide in a novel in vitro model of tuberculosis for sterilizing effect: a paradigm for faster assessment of new antituberculosis drugs. Antimicrob Agents Chemother </w:t>
      </w:r>
      <w:r w:rsidRPr="00DE300B">
        <w:rPr>
          <w:rFonts w:ascii="Calibri" w:hAnsi="Calibri" w:cs="Calibri"/>
          <w:b/>
          <w:bCs/>
          <w:noProof/>
          <w:szCs w:val="24"/>
        </w:rPr>
        <w:t>2009</w:t>
      </w:r>
      <w:r w:rsidRPr="00DE300B">
        <w:rPr>
          <w:rFonts w:ascii="Calibri" w:hAnsi="Calibri" w:cs="Calibri"/>
          <w:noProof/>
          <w:szCs w:val="24"/>
        </w:rPr>
        <w:t>; 53:3197–3204. Available at: https://www.ncbi.nlm.nih.gov/pubmed/19451303.</w:t>
      </w:r>
    </w:p>
    <w:p w14:paraId="29C5BBE9" w14:textId="77777777" w:rsidR="00DE300B" w:rsidRPr="00DE300B" w:rsidRDefault="00DE300B" w:rsidP="00DE300B">
      <w:pPr>
        <w:widowControl w:val="0"/>
        <w:autoSpaceDE w:val="0"/>
        <w:autoSpaceDN w:val="0"/>
        <w:adjustRightInd w:val="0"/>
        <w:spacing w:line="480" w:lineRule="auto"/>
        <w:ind w:left="640" w:hanging="640"/>
        <w:rPr>
          <w:rFonts w:ascii="Calibri" w:hAnsi="Calibri" w:cs="Calibri"/>
          <w:noProof/>
          <w:szCs w:val="24"/>
        </w:rPr>
      </w:pPr>
      <w:r w:rsidRPr="00DE300B">
        <w:rPr>
          <w:rFonts w:ascii="Calibri" w:hAnsi="Calibri" w:cs="Calibri"/>
          <w:noProof/>
          <w:szCs w:val="24"/>
        </w:rPr>
        <w:t xml:space="preserve">37. </w:t>
      </w:r>
      <w:r w:rsidRPr="00DE300B">
        <w:rPr>
          <w:rFonts w:ascii="Calibri" w:hAnsi="Calibri" w:cs="Calibri"/>
          <w:noProof/>
          <w:szCs w:val="24"/>
        </w:rPr>
        <w:tab/>
        <w:t xml:space="preserve">Gumbo T, Louie A, Liu W, et al. Isoniazid bactericidal activity and resistance emergence: integrating pharmacodynamics and pharmacogenomics to predict efficacy in different ethnic populations. Antimicrob Agents Chemother </w:t>
      </w:r>
      <w:r w:rsidRPr="00DE300B">
        <w:rPr>
          <w:rFonts w:ascii="Calibri" w:hAnsi="Calibri" w:cs="Calibri"/>
          <w:b/>
          <w:bCs/>
          <w:noProof/>
          <w:szCs w:val="24"/>
        </w:rPr>
        <w:t>2007</w:t>
      </w:r>
      <w:r w:rsidRPr="00DE300B">
        <w:rPr>
          <w:rFonts w:ascii="Calibri" w:hAnsi="Calibri" w:cs="Calibri"/>
          <w:noProof/>
          <w:szCs w:val="24"/>
        </w:rPr>
        <w:t>; 51:2329–2336. Available at: https://www.ncbi.nlm.nih.gov/pubmed/17438043.</w:t>
      </w:r>
    </w:p>
    <w:p w14:paraId="21C6B5BC" w14:textId="77777777" w:rsidR="00DE300B" w:rsidRPr="00DE300B" w:rsidRDefault="00DE300B" w:rsidP="00DE300B">
      <w:pPr>
        <w:widowControl w:val="0"/>
        <w:autoSpaceDE w:val="0"/>
        <w:autoSpaceDN w:val="0"/>
        <w:adjustRightInd w:val="0"/>
        <w:spacing w:line="480" w:lineRule="auto"/>
        <w:ind w:left="640" w:hanging="640"/>
        <w:rPr>
          <w:rFonts w:ascii="Calibri" w:hAnsi="Calibri" w:cs="Calibri"/>
          <w:noProof/>
          <w:szCs w:val="24"/>
        </w:rPr>
      </w:pPr>
      <w:r w:rsidRPr="00DE300B">
        <w:rPr>
          <w:rFonts w:ascii="Calibri" w:hAnsi="Calibri" w:cs="Calibri"/>
          <w:noProof/>
          <w:szCs w:val="24"/>
        </w:rPr>
        <w:t xml:space="preserve">38. </w:t>
      </w:r>
      <w:r w:rsidRPr="00DE300B">
        <w:rPr>
          <w:rFonts w:ascii="Calibri" w:hAnsi="Calibri" w:cs="Calibri"/>
          <w:noProof/>
          <w:szCs w:val="24"/>
        </w:rPr>
        <w:tab/>
        <w:t xml:space="preserve">Gumbo T, Louie A, Deziel MR, et al. Concentration-dependent Mycobacterium tuberculosis killing and prevention of resistance by rifampin. Antimicrob Agents Chemother </w:t>
      </w:r>
      <w:r w:rsidRPr="00DE300B">
        <w:rPr>
          <w:rFonts w:ascii="Calibri" w:hAnsi="Calibri" w:cs="Calibri"/>
          <w:b/>
          <w:bCs/>
          <w:noProof/>
          <w:szCs w:val="24"/>
        </w:rPr>
        <w:t>2007</w:t>
      </w:r>
      <w:r w:rsidRPr="00DE300B">
        <w:rPr>
          <w:rFonts w:ascii="Calibri" w:hAnsi="Calibri" w:cs="Calibri"/>
          <w:noProof/>
          <w:szCs w:val="24"/>
        </w:rPr>
        <w:t>; 51:3781–3788. Available at: https://www.ncbi.nlm.nih.gov/pubmed/17724157.</w:t>
      </w:r>
    </w:p>
    <w:p w14:paraId="5F36A9D6" w14:textId="77777777" w:rsidR="00DE300B" w:rsidRPr="00DE300B" w:rsidRDefault="00DE300B" w:rsidP="00DE300B">
      <w:pPr>
        <w:widowControl w:val="0"/>
        <w:autoSpaceDE w:val="0"/>
        <w:autoSpaceDN w:val="0"/>
        <w:adjustRightInd w:val="0"/>
        <w:spacing w:line="480" w:lineRule="auto"/>
        <w:ind w:left="640" w:hanging="640"/>
        <w:rPr>
          <w:rFonts w:ascii="Calibri" w:hAnsi="Calibri" w:cs="Calibri"/>
          <w:noProof/>
          <w:szCs w:val="24"/>
        </w:rPr>
      </w:pPr>
      <w:r w:rsidRPr="00DE300B">
        <w:rPr>
          <w:rFonts w:ascii="Calibri" w:hAnsi="Calibri" w:cs="Calibri"/>
          <w:noProof/>
          <w:szCs w:val="24"/>
        </w:rPr>
        <w:t xml:space="preserve">39. </w:t>
      </w:r>
      <w:r w:rsidRPr="00DE300B">
        <w:rPr>
          <w:rFonts w:ascii="Calibri" w:hAnsi="Calibri" w:cs="Calibri"/>
          <w:noProof/>
          <w:szCs w:val="24"/>
        </w:rPr>
        <w:tab/>
        <w:t xml:space="preserve">Srivastava S, Musuka S, Sherman C, Meek C, Leff R, Gumbo T. Efflux-pump-derived multiple drug resistance to ethambutol monotherapy in Mycobacterium tuberculosis and the pharmacokinetics and pharmacodynamics of ethambutol. J Infect Dis </w:t>
      </w:r>
      <w:r w:rsidRPr="00DE300B">
        <w:rPr>
          <w:rFonts w:ascii="Calibri" w:hAnsi="Calibri" w:cs="Calibri"/>
          <w:b/>
          <w:bCs/>
          <w:noProof/>
          <w:szCs w:val="24"/>
        </w:rPr>
        <w:t>2010</w:t>
      </w:r>
      <w:r w:rsidRPr="00DE300B">
        <w:rPr>
          <w:rFonts w:ascii="Calibri" w:hAnsi="Calibri" w:cs="Calibri"/>
          <w:noProof/>
          <w:szCs w:val="24"/>
        </w:rPr>
        <w:t>; 201:1225–1231. Available at: https://www.ncbi.nlm.nih.gov/pubmed/20210628.</w:t>
      </w:r>
    </w:p>
    <w:p w14:paraId="4F1E6DF4" w14:textId="77777777" w:rsidR="00DE300B" w:rsidRPr="00DE300B" w:rsidRDefault="00DE300B" w:rsidP="00DE300B">
      <w:pPr>
        <w:widowControl w:val="0"/>
        <w:autoSpaceDE w:val="0"/>
        <w:autoSpaceDN w:val="0"/>
        <w:adjustRightInd w:val="0"/>
        <w:spacing w:line="480" w:lineRule="auto"/>
        <w:ind w:left="640" w:hanging="640"/>
        <w:rPr>
          <w:rFonts w:ascii="Calibri" w:hAnsi="Calibri" w:cs="Calibri"/>
          <w:noProof/>
          <w:szCs w:val="24"/>
        </w:rPr>
      </w:pPr>
      <w:r w:rsidRPr="00DE300B">
        <w:rPr>
          <w:rFonts w:ascii="Calibri" w:hAnsi="Calibri" w:cs="Calibri"/>
          <w:noProof/>
          <w:szCs w:val="24"/>
        </w:rPr>
        <w:t xml:space="preserve">40. </w:t>
      </w:r>
      <w:r w:rsidRPr="00DE300B">
        <w:rPr>
          <w:rFonts w:ascii="Calibri" w:hAnsi="Calibri" w:cs="Calibri"/>
          <w:noProof/>
          <w:szCs w:val="24"/>
        </w:rPr>
        <w:tab/>
        <w:t xml:space="preserve">Boeree MJ, Diacon AH, Dawson R, et al. A dose-ranging trial to optimize the dose of rifampin in the treatment of tuberculosis. Am J Respir Crit Care Med </w:t>
      </w:r>
      <w:r w:rsidRPr="00DE300B">
        <w:rPr>
          <w:rFonts w:ascii="Calibri" w:hAnsi="Calibri" w:cs="Calibri"/>
          <w:b/>
          <w:bCs/>
          <w:noProof/>
          <w:szCs w:val="24"/>
        </w:rPr>
        <w:t>2015</w:t>
      </w:r>
      <w:r w:rsidRPr="00DE300B">
        <w:rPr>
          <w:rFonts w:ascii="Calibri" w:hAnsi="Calibri" w:cs="Calibri"/>
          <w:noProof/>
          <w:szCs w:val="24"/>
        </w:rPr>
        <w:t>; 191:1058–1065. Available at: https://www.ncbi.nlm.nih.gov/pubmed/25654354.</w:t>
      </w:r>
    </w:p>
    <w:p w14:paraId="5D6D031B" w14:textId="77777777" w:rsidR="00DE300B" w:rsidRPr="00DE300B" w:rsidRDefault="00DE300B" w:rsidP="00DE300B">
      <w:pPr>
        <w:widowControl w:val="0"/>
        <w:autoSpaceDE w:val="0"/>
        <w:autoSpaceDN w:val="0"/>
        <w:adjustRightInd w:val="0"/>
        <w:spacing w:line="480" w:lineRule="auto"/>
        <w:ind w:left="640" w:hanging="640"/>
        <w:rPr>
          <w:rFonts w:ascii="Calibri" w:hAnsi="Calibri" w:cs="Calibri"/>
          <w:noProof/>
          <w:szCs w:val="24"/>
        </w:rPr>
      </w:pPr>
      <w:r w:rsidRPr="00DE300B">
        <w:rPr>
          <w:rFonts w:ascii="Calibri" w:hAnsi="Calibri" w:cs="Calibri"/>
          <w:noProof/>
          <w:szCs w:val="24"/>
        </w:rPr>
        <w:t xml:space="preserve">41. </w:t>
      </w:r>
      <w:r w:rsidRPr="00DE300B">
        <w:rPr>
          <w:rFonts w:ascii="Calibri" w:hAnsi="Calibri" w:cs="Calibri"/>
          <w:noProof/>
          <w:szCs w:val="24"/>
        </w:rPr>
        <w:tab/>
        <w:t xml:space="preserve">Svensson RJ, Svensson EM, Aarnoutse RE, et al. Greater early bactericidal activity at higher rifampicin doses revealed by modeling and clinical trial simulations. J Infect Dis </w:t>
      </w:r>
      <w:r w:rsidRPr="00DE300B">
        <w:rPr>
          <w:rFonts w:ascii="Calibri" w:hAnsi="Calibri" w:cs="Calibri"/>
          <w:b/>
          <w:bCs/>
          <w:noProof/>
          <w:szCs w:val="24"/>
        </w:rPr>
        <w:t>2018</w:t>
      </w:r>
      <w:r w:rsidRPr="00DE300B">
        <w:rPr>
          <w:rFonts w:ascii="Calibri" w:hAnsi="Calibri" w:cs="Calibri"/>
          <w:noProof/>
          <w:szCs w:val="24"/>
        </w:rPr>
        <w:t>; Available at: https://academic.oup.com/jid/advance-article-abstract/doi/10.1093/infdis/jiy242/4989841?redirectedFrom=fulltext.</w:t>
      </w:r>
    </w:p>
    <w:p w14:paraId="3A1CF801" w14:textId="77777777" w:rsidR="00DE300B" w:rsidRPr="00DE300B" w:rsidRDefault="00DE300B" w:rsidP="00DE300B">
      <w:pPr>
        <w:widowControl w:val="0"/>
        <w:autoSpaceDE w:val="0"/>
        <w:autoSpaceDN w:val="0"/>
        <w:adjustRightInd w:val="0"/>
        <w:spacing w:line="480" w:lineRule="auto"/>
        <w:ind w:left="640" w:hanging="640"/>
        <w:rPr>
          <w:rFonts w:ascii="Calibri" w:hAnsi="Calibri" w:cs="Calibri"/>
          <w:noProof/>
          <w:szCs w:val="24"/>
        </w:rPr>
      </w:pPr>
      <w:r w:rsidRPr="00DE300B">
        <w:rPr>
          <w:rFonts w:ascii="Calibri" w:hAnsi="Calibri" w:cs="Calibri"/>
          <w:noProof/>
          <w:szCs w:val="24"/>
        </w:rPr>
        <w:t xml:space="preserve">42. </w:t>
      </w:r>
      <w:r w:rsidRPr="00DE300B">
        <w:rPr>
          <w:rFonts w:ascii="Calibri" w:hAnsi="Calibri" w:cs="Calibri"/>
          <w:noProof/>
          <w:szCs w:val="24"/>
        </w:rPr>
        <w:tab/>
        <w:t xml:space="preserve">Jeremiah K, Denti P, Chigutsa E, et al. Nutritional supplementation increases rifampin exposure among tuberculosis patients coinfected with HIV. Antimicrob Agents Chemother </w:t>
      </w:r>
      <w:r w:rsidRPr="00DE300B">
        <w:rPr>
          <w:rFonts w:ascii="Calibri" w:hAnsi="Calibri" w:cs="Calibri"/>
          <w:b/>
          <w:bCs/>
          <w:noProof/>
          <w:szCs w:val="24"/>
        </w:rPr>
        <w:t>2014</w:t>
      </w:r>
      <w:r w:rsidRPr="00DE300B">
        <w:rPr>
          <w:rFonts w:ascii="Calibri" w:hAnsi="Calibri" w:cs="Calibri"/>
          <w:noProof/>
          <w:szCs w:val="24"/>
        </w:rPr>
        <w:t xml:space="preserve">; 58:3468–3474. </w:t>
      </w:r>
      <w:r w:rsidRPr="00DE300B">
        <w:rPr>
          <w:rFonts w:ascii="Calibri" w:hAnsi="Calibri" w:cs="Calibri"/>
          <w:noProof/>
          <w:szCs w:val="24"/>
        </w:rPr>
        <w:lastRenderedPageBreak/>
        <w:t>Available at: https://www.ncbi.nlm.nih.gov/pmc/articles/PMC4068463/pdf/zac3468.pdf.</w:t>
      </w:r>
    </w:p>
    <w:p w14:paraId="04630600" w14:textId="77777777" w:rsidR="00DE300B" w:rsidRPr="00DE300B" w:rsidRDefault="00DE300B" w:rsidP="00DE300B">
      <w:pPr>
        <w:widowControl w:val="0"/>
        <w:autoSpaceDE w:val="0"/>
        <w:autoSpaceDN w:val="0"/>
        <w:adjustRightInd w:val="0"/>
        <w:spacing w:line="480" w:lineRule="auto"/>
        <w:ind w:left="640" w:hanging="640"/>
        <w:rPr>
          <w:rFonts w:ascii="Calibri" w:hAnsi="Calibri" w:cs="Calibri"/>
          <w:noProof/>
          <w:szCs w:val="24"/>
        </w:rPr>
      </w:pPr>
      <w:r w:rsidRPr="00DE300B">
        <w:rPr>
          <w:rFonts w:ascii="Calibri" w:hAnsi="Calibri" w:cs="Calibri"/>
          <w:noProof/>
          <w:szCs w:val="24"/>
        </w:rPr>
        <w:t xml:space="preserve">43. </w:t>
      </w:r>
      <w:r w:rsidRPr="00DE300B">
        <w:rPr>
          <w:rFonts w:ascii="Calibri" w:hAnsi="Calibri" w:cs="Calibri"/>
          <w:noProof/>
          <w:szCs w:val="24"/>
        </w:rPr>
        <w:tab/>
        <w:t xml:space="preserve">Sloan DJ, Mwandumba HC, Garton NJ, et al. Pharmacodynamic modelling of bacillary elimination rates and detection of bacterial lipid bodies in sputum to predict and understand outcomes in treatment of pulmonary tuberculosis. Clin Infect Dis </w:t>
      </w:r>
      <w:r w:rsidRPr="00DE300B">
        <w:rPr>
          <w:rFonts w:ascii="Calibri" w:hAnsi="Calibri" w:cs="Calibri"/>
          <w:b/>
          <w:bCs/>
          <w:noProof/>
          <w:szCs w:val="24"/>
        </w:rPr>
        <w:t>2015</w:t>
      </w:r>
      <w:r w:rsidRPr="00DE300B">
        <w:rPr>
          <w:rFonts w:ascii="Calibri" w:hAnsi="Calibri" w:cs="Calibri"/>
          <w:noProof/>
          <w:szCs w:val="24"/>
        </w:rPr>
        <w:t>; Available at: http://cid.oxfordjournals.org/content/early/2015/03/31/cid.civ195.full.pdf.</w:t>
      </w:r>
    </w:p>
    <w:p w14:paraId="65E9D3FD" w14:textId="77777777" w:rsidR="00DE300B" w:rsidRPr="00DE300B" w:rsidRDefault="00DE300B" w:rsidP="00DE300B">
      <w:pPr>
        <w:widowControl w:val="0"/>
        <w:autoSpaceDE w:val="0"/>
        <w:autoSpaceDN w:val="0"/>
        <w:adjustRightInd w:val="0"/>
        <w:spacing w:line="480" w:lineRule="auto"/>
        <w:ind w:left="640" w:hanging="640"/>
        <w:rPr>
          <w:rFonts w:ascii="Calibri" w:hAnsi="Calibri" w:cs="Calibri"/>
          <w:noProof/>
        </w:rPr>
      </w:pPr>
      <w:r w:rsidRPr="00DE300B">
        <w:rPr>
          <w:rFonts w:ascii="Calibri" w:hAnsi="Calibri" w:cs="Calibri"/>
          <w:noProof/>
          <w:szCs w:val="24"/>
        </w:rPr>
        <w:t xml:space="preserve">44. </w:t>
      </w:r>
      <w:r w:rsidRPr="00DE300B">
        <w:rPr>
          <w:rFonts w:ascii="Calibri" w:hAnsi="Calibri" w:cs="Calibri"/>
          <w:noProof/>
          <w:szCs w:val="24"/>
        </w:rPr>
        <w:tab/>
        <w:t xml:space="preserve">Schon T, Jureen P, Giske CG, et al. Evaluation of wild-type MIC distributions as a tool for determination of clinical breakpoints for Mycobacterium tuberculosis. J Antimicrob Chemother </w:t>
      </w:r>
      <w:r w:rsidRPr="00DE300B">
        <w:rPr>
          <w:rFonts w:ascii="Calibri" w:hAnsi="Calibri" w:cs="Calibri"/>
          <w:b/>
          <w:bCs/>
          <w:noProof/>
          <w:szCs w:val="24"/>
        </w:rPr>
        <w:t>2009</w:t>
      </w:r>
      <w:r w:rsidRPr="00DE300B">
        <w:rPr>
          <w:rFonts w:ascii="Calibri" w:hAnsi="Calibri" w:cs="Calibri"/>
          <w:noProof/>
          <w:szCs w:val="24"/>
        </w:rPr>
        <w:t>; 64:786–793. Available at: https://www.ncbi.nlm.nih.gov/pubmed/19633001.</w:t>
      </w:r>
    </w:p>
    <w:p w14:paraId="1997FAEC" w14:textId="4569B362" w:rsidR="00706EA0" w:rsidRDefault="00706EA0" w:rsidP="00C472E0">
      <w:pPr>
        <w:spacing w:line="480" w:lineRule="auto"/>
        <w:rPr>
          <w:b/>
          <w:bCs/>
        </w:rPr>
      </w:pPr>
      <w:r>
        <w:rPr>
          <w:b/>
          <w:bCs/>
        </w:rPr>
        <w:fldChar w:fldCharType="end"/>
      </w:r>
    </w:p>
    <w:p w14:paraId="031399D0" w14:textId="2200608F" w:rsidR="00D8728E" w:rsidRDefault="00D8728E" w:rsidP="00C472E0">
      <w:pPr>
        <w:spacing w:line="480" w:lineRule="auto"/>
        <w:rPr>
          <w:b/>
          <w:bCs/>
        </w:rPr>
      </w:pPr>
    </w:p>
    <w:p w14:paraId="038516F0" w14:textId="0F279B59" w:rsidR="00D8728E" w:rsidRDefault="00D8728E" w:rsidP="00C472E0">
      <w:pPr>
        <w:spacing w:line="480" w:lineRule="auto"/>
        <w:rPr>
          <w:b/>
          <w:bCs/>
        </w:rPr>
      </w:pPr>
      <w:r>
        <w:rPr>
          <w:b/>
          <w:bCs/>
        </w:rPr>
        <w:br w:type="page"/>
      </w:r>
    </w:p>
    <w:p w14:paraId="6570DA07" w14:textId="77777777" w:rsidR="005D3912" w:rsidRDefault="005D3912" w:rsidP="00D8728E">
      <w:pPr>
        <w:spacing w:after="0" w:line="480" w:lineRule="auto"/>
        <w:rPr>
          <w:b/>
          <w:sz w:val="24"/>
          <w:szCs w:val="24"/>
        </w:rPr>
        <w:sectPr w:rsidR="005D3912">
          <w:footerReference w:type="default" r:id="rId8"/>
          <w:pgSz w:w="11906" w:h="16838"/>
          <w:pgMar w:top="1440" w:right="1440" w:bottom="1440" w:left="1440" w:header="708" w:footer="708" w:gutter="0"/>
          <w:cols w:space="708"/>
          <w:docGrid w:linePitch="360"/>
        </w:sectPr>
      </w:pPr>
    </w:p>
    <w:p w14:paraId="70C976C5" w14:textId="77777777" w:rsidR="005D3912" w:rsidRDefault="005D3912" w:rsidP="005D3912">
      <w:pPr>
        <w:spacing w:after="0" w:line="480" w:lineRule="auto"/>
        <w:rPr>
          <w:sz w:val="24"/>
        </w:rPr>
      </w:pPr>
      <w:r>
        <w:rPr>
          <w:b/>
          <w:sz w:val="24"/>
        </w:rPr>
        <w:lastRenderedPageBreak/>
        <w:t>Table 1</w:t>
      </w:r>
      <w:r>
        <w:rPr>
          <w:sz w:val="24"/>
        </w:rPr>
        <w:t>: Demographic and clinical description of cohort</w:t>
      </w:r>
    </w:p>
    <w:tbl>
      <w:tblPr>
        <w:tblStyle w:val="TableGrid"/>
        <w:tblW w:w="5000" w:type="pct"/>
        <w:tblLayout w:type="fixed"/>
        <w:tblLook w:val="04A0" w:firstRow="1" w:lastRow="0" w:firstColumn="1" w:lastColumn="0" w:noHBand="0" w:noVBand="1"/>
      </w:tblPr>
      <w:tblGrid>
        <w:gridCol w:w="6517"/>
        <w:gridCol w:w="2477"/>
        <w:gridCol w:w="2477"/>
        <w:gridCol w:w="2477"/>
      </w:tblGrid>
      <w:tr w:rsidR="005D3912" w14:paraId="698A2B8B" w14:textId="77777777" w:rsidTr="001A4983">
        <w:tc>
          <w:tcPr>
            <w:tcW w:w="2336" w:type="pct"/>
          </w:tcPr>
          <w:p w14:paraId="7BDE590D" w14:textId="77777777" w:rsidR="005D3912" w:rsidRPr="00233479" w:rsidRDefault="005D3912" w:rsidP="001A4983">
            <w:pPr>
              <w:spacing w:line="480" w:lineRule="auto"/>
              <w:jc w:val="center"/>
              <w:rPr>
                <w:b/>
                <w:sz w:val="24"/>
              </w:rPr>
            </w:pPr>
            <w:r>
              <w:rPr>
                <w:b/>
                <w:sz w:val="24"/>
              </w:rPr>
              <w:t>Characteristic</w:t>
            </w:r>
          </w:p>
        </w:tc>
        <w:tc>
          <w:tcPr>
            <w:tcW w:w="888" w:type="pct"/>
          </w:tcPr>
          <w:p w14:paraId="1C0B40BC" w14:textId="77777777" w:rsidR="005D3912" w:rsidRDefault="005D3912" w:rsidP="001A4983">
            <w:pPr>
              <w:spacing w:line="480" w:lineRule="auto"/>
              <w:jc w:val="center"/>
              <w:rPr>
                <w:b/>
                <w:sz w:val="24"/>
              </w:rPr>
            </w:pPr>
            <w:r>
              <w:rPr>
                <w:b/>
                <w:sz w:val="24"/>
              </w:rPr>
              <w:t xml:space="preserve">Total </w:t>
            </w:r>
          </w:p>
          <w:p w14:paraId="76BF2D42" w14:textId="77777777" w:rsidR="005D3912" w:rsidRDefault="005D3912" w:rsidP="001A4983">
            <w:pPr>
              <w:spacing w:line="480" w:lineRule="auto"/>
              <w:jc w:val="center"/>
              <w:rPr>
                <w:b/>
                <w:sz w:val="24"/>
              </w:rPr>
            </w:pPr>
            <w:r>
              <w:rPr>
                <w:b/>
                <w:sz w:val="24"/>
              </w:rPr>
              <w:t>(n=157)</w:t>
            </w:r>
          </w:p>
        </w:tc>
        <w:tc>
          <w:tcPr>
            <w:tcW w:w="888" w:type="pct"/>
          </w:tcPr>
          <w:p w14:paraId="1F382953" w14:textId="77777777" w:rsidR="005D3912" w:rsidRDefault="005D3912" w:rsidP="001A4983">
            <w:pPr>
              <w:spacing w:line="480" w:lineRule="auto"/>
              <w:jc w:val="center"/>
              <w:rPr>
                <w:b/>
                <w:sz w:val="24"/>
              </w:rPr>
            </w:pPr>
            <w:r>
              <w:rPr>
                <w:b/>
                <w:sz w:val="24"/>
              </w:rPr>
              <w:t>Intrapulmonary arm (n=51)</w:t>
            </w:r>
          </w:p>
        </w:tc>
        <w:tc>
          <w:tcPr>
            <w:tcW w:w="888" w:type="pct"/>
          </w:tcPr>
          <w:p w14:paraId="489621CE" w14:textId="77777777" w:rsidR="005D3912" w:rsidRDefault="005D3912" w:rsidP="001A4983">
            <w:pPr>
              <w:spacing w:line="480" w:lineRule="auto"/>
              <w:jc w:val="center"/>
              <w:rPr>
                <w:b/>
                <w:sz w:val="24"/>
              </w:rPr>
            </w:pPr>
            <w:r>
              <w:rPr>
                <w:b/>
                <w:sz w:val="24"/>
              </w:rPr>
              <w:t xml:space="preserve">Plasma arm </w:t>
            </w:r>
          </w:p>
          <w:p w14:paraId="429BAEB5" w14:textId="77777777" w:rsidR="005D3912" w:rsidRPr="00233479" w:rsidRDefault="005D3912" w:rsidP="001A4983">
            <w:pPr>
              <w:spacing w:line="480" w:lineRule="auto"/>
              <w:jc w:val="center"/>
              <w:rPr>
                <w:b/>
                <w:sz w:val="24"/>
              </w:rPr>
            </w:pPr>
            <w:r>
              <w:rPr>
                <w:b/>
                <w:sz w:val="24"/>
              </w:rPr>
              <w:t>(n=106)</w:t>
            </w:r>
          </w:p>
        </w:tc>
      </w:tr>
      <w:tr w:rsidR="005D3912" w14:paraId="2744D18B" w14:textId="77777777" w:rsidTr="001A4983">
        <w:tc>
          <w:tcPr>
            <w:tcW w:w="2336" w:type="pct"/>
          </w:tcPr>
          <w:p w14:paraId="74B572DF" w14:textId="77777777" w:rsidR="005D3912" w:rsidRPr="00ED6820" w:rsidRDefault="005D3912" w:rsidP="001A4983">
            <w:pPr>
              <w:spacing w:line="480" w:lineRule="auto"/>
              <w:rPr>
                <w:rFonts w:cstheme="minorHAnsi"/>
                <w:sz w:val="24"/>
                <w:szCs w:val="24"/>
              </w:rPr>
            </w:pPr>
            <w:r w:rsidRPr="00ED6820">
              <w:rPr>
                <w:rFonts w:cstheme="minorHAnsi"/>
                <w:sz w:val="24"/>
                <w:szCs w:val="24"/>
              </w:rPr>
              <w:t>Age</w:t>
            </w:r>
            <w:r>
              <w:rPr>
                <w:rFonts w:cstheme="minorHAnsi"/>
                <w:sz w:val="24"/>
                <w:szCs w:val="24"/>
              </w:rPr>
              <w:t xml:space="preserve"> (</w:t>
            </w:r>
            <w:r w:rsidRPr="00ED6820">
              <w:rPr>
                <w:rFonts w:cstheme="minorHAnsi"/>
                <w:sz w:val="24"/>
                <w:szCs w:val="24"/>
              </w:rPr>
              <w:t>years</w:t>
            </w:r>
            <w:r>
              <w:rPr>
                <w:rFonts w:cstheme="minorHAnsi"/>
                <w:sz w:val="24"/>
                <w:szCs w:val="24"/>
              </w:rPr>
              <w:t>)</w:t>
            </w:r>
            <w:r w:rsidRPr="00ED6820">
              <w:rPr>
                <w:rFonts w:cstheme="minorHAnsi"/>
                <w:sz w:val="24"/>
                <w:szCs w:val="24"/>
              </w:rPr>
              <w:t>, median [IQR]</w:t>
            </w:r>
          </w:p>
        </w:tc>
        <w:tc>
          <w:tcPr>
            <w:tcW w:w="888" w:type="pct"/>
          </w:tcPr>
          <w:p w14:paraId="7004CD1F" w14:textId="77777777" w:rsidR="005D3912" w:rsidRPr="00ED6820" w:rsidRDefault="005D3912" w:rsidP="001A4983">
            <w:pPr>
              <w:spacing w:line="480" w:lineRule="auto"/>
              <w:rPr>
                <w:rFonts w:cstheme="minorHAnsi"/>
                <w:sz w:val="24"/>
                <w:szCs w:val="24"/>
              </w:rPr>
            </w:pPr>
            <w:r w:rsidRPr="00ED6820">
              <w:rPr>
                <w:rFonts w:cstheme="minorHAnsi"/>
                <w:sz w:val="24"/>
                <w:szCs w:val="24"/>
              </w:rPr>
              <w:t>34 [28-39]</w:t>
            </w:r>
          </w:p>
        </w:tc>
        <w:tc>
          <w:tcPr>
            <w:tcW w:w="888" w:type="pct"/>
          </w:tcPr>
          <w:p w14:paraId="033DFEB3" w14:textId="77777777" w:rsidR="005D3912" w:rsidRPr="00ED6820" w:rsidRDefault="005D3912" w:rsidP="001A4983">
            <w:pPr>
              <w:spacing w:line="480" w:lineRule="auto"/>
              <w:rPr>
                <w:rFonts w:cstheme="minorHAnsi"/>
                <w:sz w:val="24"/>
                <w:szCs w:val="24"/>
              </w:rPr>
            </w:pPr>
            <w:r w:rsidRPr="00ED6820">
              <w:rPr>
                <w:rFonts w:cstheme="minorHAnsi"/>
                <w:sz w:val="24"/>
                <w:szCs w:val="24"/>
              </w:rPr>
              <w:t>32 [26-36]</w:t>
            </w:r>
          </w:p>
        </w:tc>
        <w:tc>
          <w:tcPr>
            <w:tcW w:w="888" w:type="pct"/>
          </w:tcPr>
          <w:p w14:paraId="7C60C3CF" w14:textId="77777777" w:rsidR="005D3912" w:rsidRPr="00ED6820" w:rsidRDefault="005D3912" w:rsidP="001A4983">
            <w:pPr>
              <w:spacing w:line="480" w:lineRule="auto"/>
              <w:rPr>
                <w:rFonts w:cstheme="minorHAnsi"/>
                <w:sz w:val="24"/>
                <w:szCs w:val="24"/>
              </w:rPr>
            </w:pPr>
            <w:r w:rsidRPr="00ED6820">
              <w:rPr>
                <w:rFonts w:cstheme="minorHAnsi"/>
                <w:sz w:val="24"/>
                <w:szCs w:val="24"/>
              </w:rPr>
              <w:t>34 [28-41]</w:t>
            </w:r>
          </w:p>
        </w:tc>
      </w:tr>
      <w:tr w:rsidR="005D3912" w14:paraId="3690F395" w14:textId="77777777" w:rsidTr="001A4983">
        <w:tc>
          <w:tcPr>
            <w:tcW w:w="2336" w:type="pct"/>
          </w:tcPr>
          <w:p w14:paraId="162776EC" w14:textId="77777777" w:rsidR="005D3912" w:rsidRPr="00ED6820" w:rsidRDefault="005D3912" w:rsidP="001A4983">
            <w:pPr>
              <w:spacing w:line="480" w:lineRule="auto"/>
              <w:rPr>
                <w:rFonts w:cstheme="minorHAnsi"/>
                <w:sz w:val="24"/>
                <w:szCs w:val="24"/>
              </w:rPr>
            </w:pPr>
            <w:r w:rsidRPr="00ED6820">
              <w:rPr>
                <w:rFonts w:cstheme="minorHAnsi"/>
                <w:sz w:val="24"/>
                <w:szCs w:val="24"/>
              </w:rPr>
              <w:t>Male sex, n (%)</w:t>
            </w:r>
          </w:p>
        </w:tc>
        <w:tc>
          <w:tcPr>
            <w:tcW w:w="888" w:type="pct"/>
          </w:tcPr>
          <w:p w14:paraId="030A02C5" w14:textId="77777777" w:rsidR="005D3912" w:rsidRPr="00ED6820" w:rsidRDefault="005D3912" w:rsidP="001A4983">
            <w:pPr>
              <w:spacing w:line="480" w:lineRule="auto"/>
              <w:rPr>
                <w:rFonts w:cstheme="minorHAnsi"/>
                <w:sz w:val="24"/>
                <w:szCs w:val="24"/>
              </w:rPr>
            </w:pPr>
            <w:r w:rsidRPr="00ED6820">
              <w:rPr>
                <w:rFonts w:cstheme="minorHAnsi"/>
                <w:sz w:val="24"/>
                <w:szCs w:val="24"/>
              </w:rPr>
              <w:t>120 (76.4)</w:t>
            </w:r>
          </w:p>
        </w:tc>
        <w:tc>
          <w:tcPr>
            <w:tcW w:w="888" w:type="pct"/>
          </w:tcPr>
          <w:p w14:paraId="3218FA89" w14:textId="77777777" w:rsidR="005D3912" w:rsidRPr="00ED6820" w:rsidRDefault="005D3912" w:rsidP="001A4983">
            <w:pPr>
              <w:spacing w:line="480" w:lineRule="auto"/>
              <w:rPr>
                <w:rFonts w:cstheme="minorHAnsi"/>
                <w:sz w:val="24"/>
                <w:szCs w:val="24"/>
              </w:rPr>
            </w:pPr>
            <w:r w:rsidRPr="00ED6820">
              <w:rPr>
                <w:rFonts w:cstheme="minorHAnsi"/>
                <w:sz w:val="24"/>
                <w:szCs w:val="24"/>
              </w:rPr>
              <w:t>44 (86.3)</w:t>
            </w:r>
          </w:p>
        </w:tc>
        <w:tc>
          <w:tcPr>
            <w:tcW w:w="888" w:type="pct"/>
          </w:tcPr>
          <w:p w14:paraId="035031BE" w14:textId="77777777" w:rsidR="005D3912" w:rsidRPr="00ED6820" w:rsidRDefault="005D3912" w:rsidP="001A4983">
            <w:pPr>
              <w:spacing w:line="480" w:lineRule="auto"/>
              <w:rPr>
                <w:rFonts w:cstheme="minorHAnsi"/>
                <w:sz w:val="24"/>
                <w:szCs w:val="24"/>
              </w:rPr>
            </w:pPr>
            <w:r w:rsidRPr="00ED6820">
              <w:rPr>
                <w:rFonts w:cstheme="minorHAnsi"/>
                <w:sz w:val="24"/>
                <w:szCs w:val="24"/>
              </w:rPr>
              <w:t>76 (71.7)</w:t>
            </w:r>
          </w:p>
        </w:tc>
      </w:tr>
      <w:tr w:rsidR="005D3912" w14:paraId="7908E308" w14:textId="77777777" w:rsidTr="001A4983">
        <w:tc>
          <w:tcPr>
            <w:tcW w:w="2336" w:type="pct"/>
          </w:tcPr>
          <w:p w14:paraId="71DD5F63" w14:textId="77777777" w:rsidR="005D3912" w:rsidRPr="00ED6820" w:rsidRDefault="005D3912" w:rsidP="001A4983">
            <w:pPr>
              <w:spacing w:line="480" w:lineRule="auto"/>
              <w:rPr>
                <w:rFonts w:cstheme="minorHAnsi"/>
                <w:sz w:val="24"/>
                <w:szCs w:val="24"/>
              </w:rPr>
            </w:pPr>
            <w:r w:rsidRPr="00ED6820">
              <w:rPr>
                <w:rFonts w:cstheme="minorHAnsi"/>
                <w:sz w:val="24"/>
                <w:szCs w:val="24"/>
              </w:rPr>
              <w:t>Weight</w:t>
            </w:r>
            <w:r>
              <w:rPr>
                <w:rFonts w:cstheme="minorHAnsi"/>
                <w:sz w:val="24"/>
                <w:szCs w:val="24"/>
              </w:rPr>
              <w:t xml:space="preserve"> (</w:t>
            </w:r>
            <w:r w:rsidRPr="00ED6820">
              <w:rPr>
                <w:rFonts w:cstheme="minorHAnsi"/>
                <w:sz w:val="24"/>
                <w:szCs w:val="24"/>
              </w:rPr>
              <w:t>kg</w:t>
            </w:r>
            <w:r>
              <w:rPr>
                <w:rFonts w:cstheme="minorHAnsi"/>
                <w:sz w:val="24"/>
                <w:szCs w:val="24"/>
              </w:rPr>
              <w:t>)</w:t>
            </w:r>
            <w:r w:rsidRPr="00ED6820">
              <w:rPr>
                <w:rFonts w:cstheme="minorHAnsi"/>
                <w:sz w:val="24"/>
                <w:szCs w:val="24"/>
              </w:rPr>
              <w:t>, median [IQR]</w:t>
            </w:r>
          </w:p>
        </w:tc>
        <w:tc>
          <w:tcPr>
            <w:tcW w:w="888" w:type="pct"/>
          </w:tcPr>
          <w:p w14:paraId="54A15C03" w14:textId="77777777" w:rsidR="005D3912" w:rsidRPr="00ED6820" w:rsidRDefault="005D3912" w:rsidP="001A4983">
            <w:pPr>
              <w:spacing w:line="480" w:lineRule="auto"/>
              <w:rPr>
                <w:rFonts w:cstheme="minorHAnsi"/>
                <w:sz w:val="24"/>
                <w:szCs w:val="24"/>
              </w:rPr>
            </w:pPr>
            <w:r w:rsidRPr="00ED6820">
              <w:rPr>
                <w:rFonts w:cstheme="minorHAnsi"/>
                <w:sz w:val="24"/>
                <w:szCs w:val="24"/>
              </w:rPr>
              <w:t>51.1 [46.9-55.6]</w:t>
            </w:r>
          </w:p>
        </w:tc>
        <w:tc>
          <w:tcPr>
            <w:tcW w:w="888" w:type="pct"/>
          </w:tcPr>
          <w:p w14:paraId="4D53D374" w14:textId="77777777" w:rsidR="005D3912" w:rsidRPr="00ED6820" w:rsidRDefault="005D3912" w:rsidP="001A4983">
            <w:pPr>
              <w:spacing w:line="480" w:lineRule="auto"/>
              <w:rPr>
                <w:rFonts w:cstheme="minorHAnsi"/>
                <w:sz w:val="24"/>
                <w:szCs w:val="24"/>
              </w:rPr>
            </w:pPr>
            <w:r w:rsidRPr="00ED6820">
              <w:rPr>
                <w:rFonts w:cstheme="minorHAnsi"/>
                <w:sz w:val="24"/>
                <w:szCs w:val="24"/>
              </w:rPr>
              <w:t>50.0 [47.3-53.8]</w:t>
            </w:r>
          </w:p>
        </w:tc>
        <w:tc>
          <w:tcPr>
            <w:tcW w:w="888" w:type="pct"/>
          </w:tcPr>
          <w:p w14:paraId="23E3E65A" w14:textId="77777777" w:rsidR="005D3912" w:rsidRPr="00ED6820" w:rsidRDefault="005D3912" w:rsidP="001A4983">
            <w:pPr>
              <w:spacing w:line="480" w:lineRule="auto"/>
              <w:rPr>
                <w:rFonts w:cstheme="minorHAnsi"/>
                <w:sz w:val="24"/>
                <w:szCs w:val="24"/>
              </w:rPr>
            </w:pPr>
            <w:r w:rsidRPr="00ED6820">
              <w:rPr>
                <w:rFonts w:cstheme="minorHAnsi"/>
                <w:sz w:val="24"/>
                <w:szCs w:val="24"/>
              </w:rPr>
              <w:t>52.0 [46.6-56.5]</w:t>
            </w:r>
          </w:p>
        </w:tc>
      </w:tr>
      <w:tr w:rsidR="005D3912" w14:paraId="6F25987F" w14:textId="77777777" w:rsidTr="001A4983">
        <w:tc>
          <w:tcPr>
            <w:tcW w:w="2336" w:type="pct"/>
          </w:tcPr>
          <w:p w14:paraId="64FAB007" w14:textId="77777777" w:rsidR="005D3912" w:rsidRPr="00ED6820" w:rsidRDefault="005D3912" w:rsidP="001A4983">
            <w:pPr>
              <w:spacing w:line="480" w:lineRule="auto"/>
              <w:rPr>
                <w:rFonts w:cstheme="minorHAnsi"/>
                <w:sz w:val="24"/>
                <w:szCs w:val="24"/>
              </w:rPr>
            </w:pPr>
            <w:r w:rsidRPr="00ED6820">
              <w:rPr>
                <w:rFonts w:cstheme="minorHAnsi"/>
                <w:sz w:val="24"/>
                <w:szCs w:val="24"/>
              </w:rPr>
              <w:t>Body mass index</w:t>
            </w:r>
            <w:r>
              <w:rPr>
                <w:rFonts w:cstheme="minorHAnsi"/>
                <w:sz w:val="24"/>
                <w:szCs w:val="24"/>
              </w:rPr>
              <w:t xml:space="preserve"> (</w:t>
            </w:r>
            <w:r w:rsidRPr="00ED6820">
              <w:rPr>
                <w:rFonts w:cstheme="minorHAnsi"/>
                <w:sz w:val="24"/>
                <w:szCs w:val="24"/>
              </w:rPr>
              <w:t>kg/m</w:t>
            </w:r>
            <w:r w:rsidRPr="00ED6820">
              <w:rPr>
                <w:rFonts w:cstheme="minorHAnsi"/>
                <w:sz w:val="24"/>
                <w:szCs w:val="24"/>
                <w:vertAlign w:val="superscript"/>
              </w:rPr>
              <w:t>2</w:t>
            </w:r>
            <w:r>
              <w:rPr>
                <w:rFonts w:cstheme="minorHAnsi"/>
                <w:sz w:val="24"/>
                <w:szCs w:val="24"/>
              </w:rPr>
              <w:t>)</w:t>
            </w:r>
            <w:r w:rsidRPr="00ED6820">
              <w:rPr>
                <w:rFonts w:cstheme="minorHAnsi"/>
                <w:sz w:val="24"/>
                <w:szCs w:val="24"/>
              </w:rPr>
              <w:t>, median [IQR]</w:t>
            </w:r>
          </w:p>
        </w:tc>
        <w:tc>
          <w:tcPr>
            <w:tcW w:w="888" w:type="pct"/>
          </w:tcPr>
          <w:p w14:paraId="003FDBC8" w14:textId="77777777" w:rsidR="005D3912" w:rsidRPr="00FF6DCB" w:rsidRDefault="005D3912" w:rsidP="001A4983">
            <w:pPr>
              <w:spacing w:line="480" w:lineRule="auto"/>
              <w:rPr>
                <w:rFonts w:cstheme="minorHAnsi"/>
                <w:sz w:val="24"/>
                <w:szCs w:val="24"/>
              </w:rPr>
            </w:pPr>
            <w:r w:rsidRPr="00FF6DCB">
              <w:rPr>
                <w:rFonts w:cstheme="minorHAnsi"/>
                <w:sz w:val="24"/>
                <w:szCs w:val="24"/>
              </w:rPr>
              <w:t>18.4 [17.0-19.8]</w:t>
            </w:r>
          </w:p>
        </w:tc>
        <w:tc>
          <w:tcPr>
            <w:tcW w:w="888" w:type="pct"/>
          </w:tcPr>
          <w:p w14:paraId="2CDF35F7" w14:textId="77777777" w:rsidR="005D3912" w:rsidRPr="00FF6DCB" w:rsidRDefault="005D3912" w:rsidP="001A4983">
            <w:pPr>
              <w:spacing w:line="480" w:lineRule="auto"/>
              <w:rPr>
                <w:rFonts w:cstheme="minorHAnsi"/>
                <w:sz w:val="24"/>
                <w:szCs w:val="24"/>
              </w:rPr>
            </w:pPr>
            <w:r w:rsidRPr="00FF6DCB">
              <w:rPr>
                <w:rFonts w:cstheme="minorHAnsi"/>
                <w:sz w:val="24"/>
                <w:szCs w:val="24"/>
              </w:rPr>
              <w:t>17.9 [16.8-18.9]</w:t>
            </w:r>
          </w:p>
        </w:tc>
        <w:tc>
          <w:tcPr>
            <w:tcW w:w="888" w:type="pct"/>
          </w:tcPr>
          <w:p w14:paraId="0A2601F4" w14:textId="77777777" w:rsidR="005D3912" w:rsidRPr="00FF6DCB" w:rsidRDefault="005D3912" w:rsidP="001A4983">
            <w:pPr>
              <w:spacing w:line="480" w:lineRule="auto"/>
              <w:rPr>
                <w:rFonts w:cstheme="minorHAnsi"/>
                <w:sz w:val="24"/>
                <w:szCs w:val="24"/>
              </w:rPr>
            </w:pPr>
            <w:r w:rsidRPr="00FF6DCB">
              <w:rPr>
                <w:rFonts w:cstheme="minorHAnsi"/>
                <w:sz w:val="24"/>
                <w:szCs w:val="24"/>
              </w:rPr>
              <w:t>18.7 [17.1-20.1]</w:t>
            </w:r>
          </w:p>
        </w:tc>
      </w:tr>
      <w:tr w:rsidR="005D3912" w14:paraId="034467BF" w14:textId="77777777" w:rsidTr="001A4983">
        <w:tc>
          <w:tcPr>
            <w:tcW w:w="2336" w:type="pct"/>
          </w:tcPr>
          <w:p w14:paraId="10583C72" w14:textId="77777777" w:rsidR="005D3912" w:rsidRPr="00ED6820" w:rsidRDefault="005D3912" w:rsidP="001A4983">
            <w:pPr>
              <w:spacing w:line="480" w:lineRule="auto"/>
              <w:rPr>
                <w:rFonts w:cstheme="minorHAnsi"/>
                <w:sz w:val="24"/>
                <w:szCs w:val="24"/>
              </w:rPr>
            </w:pPr>
            <w:r w:rsidRPr="00ED6820">
              <w:rPr>
                <w:rFonts w:cstheme="minorHAnsi"/>
                <w:sz w:val="24"/>
                <w:szCs w:val="24"/>
              </w:rPr>
              <w:t>HIV-infected, n (%)</w:t>
            </w:r>
          </w:p>
        </w:tc>
        <w:tc>
          <w:tcPr>
            <w:tcW w:w="888" w:type="pct"/>
          </w:tcPr>
          <w:p w14:paraId="2413A214" w14:textId="77777777" w:rsidR="005D3912" w:rsidRPr="00FF6DCB" w:rsidRDefault="005D3912" w:rsidP="001A4983">
            <w:pPr>
              <w:spacing w:line="480" w:lineRule="auto"/>
              <w:rPr>
                <w:rFonts w:cstheme="minorHAnsi"/>
                <w:sz w:val="24"/>
                <w:szCs w:val="24"/>
              </w:rPr>
            </w:pPr>
            <w:r w:rsidRPr="00FF6DCB">
              <w:rPr>
                <w:rFonts w:cstheme="minorHAnsi"/>
                <w:sz w:val="24"/>
                <w:szCs w:val="24"/>
              </w:rPr>
              <w:t>91 (58.0)</w:t>
            </w:r>
          </w:p>
        </w:tc>
        <w:tc>
          <w:tcPr>
            <w:tcW w:w="888" w:type="pct"/>
          </w:tcPr>
          <w:p w14:paraId="203DA9BE" w14:textId="77777777" w:rsidR="005D3912" w:rsidRPr="00FF6DCB" w:rsidRDefault="005D3912" w:rsidP="001A4983">
            <w:pPr>
              <w:spacing w:line="480" w:lineRule="auto"/>
              <w:rPr>
                <w:rFonts w:cstheme="minorHAnsi"/>
                <w:sz w:val="24"/>
                <w:szCs w:val="24"/>
              </w:rPr>
            </w:pPr>
            <w:r w:rsidRPr="00FF6DCB">
              <w:rPr>
                <w:rFonts w:cstheme="minorHAnsi"/>
                <w:sz w:val="24"/>
                <w:szCs w:val="24"/>
              </w:rPr>
              <w:t>23 (45.1)</w:t>
            </w:r>
          </w:p>
        </w:tc>
        <w:tc>
          <w:tcPr>
            <w:tcW w:w="888" w:type="pct"/>
          </w:tcPr>
          <w:p w14:paraId="78A594A5" w14:textId="77777777" w:rsidR="005D3912" w:rsidRPr="00FF6DCB" w:rsidRDefault="005D3912" w:rsidP="001A4983">
            <w:pPr>
              <w:spacing w:line="480" w:lineRule="auto"/>
              <w:rPr>
                <w:rFonts w:cstheme="minorHAnsi"/>
                <w:sz w:val="24"/>
                <w:szCs w:val="24"/>
              </w:rPr>
            </w:pPr>
            <w:r w:rsidRPr="00FF6DCB">
              <w:rPr>
                <w:rFonts w:cstheme="minorHAnsi"/>
                <w:sz w:val="24"/>
                <w:szCs w:val="24"/>
              </w:rPr>
              <w:t>68 (64.2)</w:t>
            </w:r>
          </w:p>
        </w:tc>
      </w:tr>
      <w:tr w:rsidR="005D3912" w14:paraId="6FD5418F" w14:textId="77777777" w:rsidTr="001A4983">
        <w:tc>
          <w:tcPr>
            <w:tcW w:w="2336" w:type="pct"/>
          </w:tcPr>
          <w:p w14:paraId="724CA9C7" w14:textId="77777777" w:rsidR="005D3912" w:rsidRPr="00ED6820" w:rsidRDefault="005D3912" w:rsidP="001A4983">
            <w:pPr>
              <w:spacing w:line="480" w:lineRule="auto"/>
              <w:rPr>
                <w:rFonts w:cstheme="minorHAnsi"/>
                <w:sz w:val="24"/>
                <w:szCs w:val="24"/>
              </w:rPr>
            </w:pPr>
            <w:r w:rsidRPr="00ED6820">
              <w:rPr>
                <w:rFonts w:cstheme="minorHAnsi"/>
                <w:sz w:val="24"/>
                <w:szCs w:val="24"/>
              </w:rPr>
              <w:t>Baseline CD4 count in HIV-infected patients</w:t>
            </w:r>
            <w:r>
              <w:rPr>
                <w:rFonts w:cstheme="minorHAnsi"/>
                <w:sz w:val="24"/>
                <w:szCs w:val="24"/>
              </w:rPr>
              <w:t xml:space="preserve"> (</w:t>
            </w:r>
            <w:r w:rsidRPr="00ED6820">
              <w:rPr>
                <w:rFonts w:cstheme="minorHAnsi"/>
                <w:sz w:val="24"/>
                <w:szCs w:val="24"/>
              </w:rPr>
              <w:t>cells/mm</w:t>
            </w:r>
            <w:r w:rsidRPr="00ED6820">
              <w:rPr>
                <w:rFonts w:cstheme="minorHAnsi"/>
                <w:sz w:val="24"/>
                <w:szCs w:val="24"/>
                <w:vertAlign w:val="superscript"/>
              </w:rPr>
              <w:t>3</w:t>
            </w:r>
            <w:r>
              <w:rPr>
                <w:rFonts w:cstheme="minorHAnsi"/>
                <w:sz w:val="24"/>
                <w:szCs w:val="24"/>
              </w:rPr>
              <w:t>),</w:t>
            </w:r>
            <w:r w:rsidRPr="00ED6820">
              <w:rPr>
                <w:rFonts w:cstheme="minorHAnsi"/>
                <w:sz w:val="24"/>
                <w:szCs w:val="24"/>
              </w:rPr>
              <w:t xml:space="preserve"> median [IQR] (n=91)</w:t>
            </w:r>
          </w:p>
        </w:tc>
        <w:tc>
          <w:tcPr>
            <w:tcW w:w="888" w:type="pct"/>
          </w:tcPr>
          <w:p w14:paraId="021A3B9F" w14:textId="77777777" w:rsidR="005D3912" w:rsidRPr="00ED6820" w:rsidRDefault="005D3912" w:rsidP="001A4983">
            <w:pPr>
              <w:spacing w:line="480" w:lineRule="auto"/>
              <w:rPr>
                <w:rFonts w:cstheme="minorHAnsi"/>
                <w:sz w:val="24"/>
                <w:szCs w:val="24"/>
              </w:rPr>
            </w:pPr>
            <w:r w:rsidRPr="00ED6820">
              <w:rPr>
                <w:rFonts w:cstheme="minorHAnsi"/>
                <w:sz w:val="24"/>
                <w:szCs w:val="24"/>
              </w:rPr>
              <w:t>178 [80-285]</w:t>
            </w:r>
          </w:p>
        </w:tc>
        <w:tc>
          <w:tcPr>
            <w:tcW w:w="888" w:type="pct"/>
          </w:tcPr>
          <w:p w14:paraId="436E04C6" w14:textId="77777777" w:rsidR="005D3912" w:rsidRPr="00ED6820" w:rsidRDefault="005D3912" w:rsidP="001A4983">
            <w:pPr>
              <w:spacing w:line="480" w:lineRule="auto"/>
              <w:rPr>
                <w:rFonts w:cstheme="minorHAnsi"/>
                <w:sz w:val="24"/>
                <w:szCs w:val="24"/>
              </w:rPr>
            </w:pPr>
            <w:r w:rsidRPr="00ED6820">
              <w:rPr>
                <w:rFonts w:cstheme="minorHAnsi"/>
                <w:sz w:val="24"/>
                <w:szCs w:val="24"/>
              </w:rPr>
              <w:t>178 [93-273]</w:t>
            </w:r>
          </w:p>
        </w:tc>
        <w:tc>
          <w:tcPr>
            <w:tcW w:w="888" w:type="pct"/>
          </w:tcPr>
          <w:p w14:paraId="6EB9FABE" w14:textId="77777777" w:rsidR="005D3912" w:rsidRPr="00ED6820" w:rsidRDefault="005D3912" w:rsidP="001A4983">
            <w:pPr>
              <w:spacing w:line="480" w:lineRule="auto"/>
              <w:rPr>
                <w:rFonts w:cstheme="minorHAnsi"/>
                <w:sz w:val="24"/>
                <w:szCs w:val="24"/>
              </w:rPr>
            </w:pPr>
            <w:r w:rsidRPr="00ED6820">
              <w:rPr>
                <w:rFonts w:cstheme="minorHAnsi"/>
                <w:sz w:val="24"/>
                <w:szCs w:val="24"/>
              </w:rPr>
              <w:t>175 [77-284]</w:t>
            </w:r>
          </w:p>
        </w:tc>
      </w:tr>
      <w:tr w:rsidR="005D3912" w14:paraId="798379B5" w14:textId="77777777" w:rsidTr="001A4983">
        <w:tc>
          <w:tcPr>
            <w:tcW w:w="2336" w:type="pct"/>
          </w:tcPr>
          <w:p w14:paraId="6340F293" w14:textId="77777777" w:rsidR="005D3912" w:rsidRPr="00ED6820" w:rsidRDefault="005D3912" w:rsidP="001A4983">
            <w:pPr>
              <w:spacing w:line="480" w:lineRule="auto"/>
              <w:rPr>
                <w:rFonts w:cstheme="minorHAnsi"/>
                <w:sz w:val="24"/>
                <w:szCs w:val="24"/>
              </w:rPr>
            </w:pPr>
            <w:r w:rsidRPr="00ED6820">
              <w:rPr>
                <w:rFonts w:cstheme="minorHAnsi"/>
                <w:sz w:val="24"/>
                <w:szCs w:val="24"/>
              </w:rPr>
              <w:t xml:space="preserve">On </w:t>
            </w:r>
            <w:r>
              <w:rPr>
                <w:rFonts w:cstheme="minorHAnsi"/>
                <w:sz w:val="24"/>
                <w:szCs w:val="24"/>
              </w:rPr>
              <w:t>antiretroviral therapy</w:t>
            </w:r>
            <w:r w:rsidRPr="00ED6820">
              <w:rPr>
                <w:rFonts w:cstheme="minorHAnsi"/>
                <w:sz w:val="24"/>
                <w:szCs w:val="24"/>
              </w:rPr>
              <w:t xml:space="preserve"> at baseline if HIV-infected, n (%)</w:t>
            </w:r>
          </w:p>
        </w:tc>
        <w:tc>
          <w:tcPr>
            <w:tcW w:w="888" w:type="pct"/>
          </w:tcPr>
          <w:p w14:paraId="4DA6D355" w14:textId="77777777" w:rsidR="005D3912" w:rsidRPr="00ED6820" w:rsidRDefault="005D3912" w:rsidP="001A4983">
            <w:pPr>
              <w:spacing w:line="480" w:lineRule="auto"/>
              <w:rPr>
                <w:rFonts w:cstheme="minorHAnsi"/>
                <w:sz w:val="24"/>
                <w:szCs w:val="24"/>
              </w:rPr>
            </w:pPr>
            <w:r w:rsidRPr="00ED6820">
              <w:rPr>
                <w:rFonts w:cstheme="minorHAnsi"/>
                <w:sz w:val="24"/>
                <w:szCs w:val="24"/>
              </w:rPr>
              <w:t>39 (42.9)</w:t>
            </w:r>
          </w:p>
        </w:tc>
        <w:tc>
          <w:tcPr>
            <w:tcW w:w="888" w:type="pct"/>
          </w:tcPr>
          <w:p w14:paraId="14064D3B" w14:textId="77777777" w:rsidR="005D3912" w:rsidRPr="00ED6820" w:rsidRDefault="005D3912" w:rsidP="001A4983">
            <w:pPr>
              <w:spacing w:line="480" w:lineRule="auto"/>
              <w:rPr>
                <w:rFonts w:cstheme="minorHAnsi"/>
                <w:sz w:val="24"/>
                <w:szCs w:val="24"/>
              </w:rPr>
            </w:pPr>
            <w:r w:rsidRPr="00ED6820">
              <w:rPr>
                <w:rFonts w:cstheme="minorHAnsi"/>
                <w:sz w:val="24"/>
                <w:szCs w:val="24"/>
              </w:rPr>
              <w:t>10 (43.5)</w:t>
            </w:r>
          </w:p>
        </w:tc>
        <w:tc>
          <w:tcPr>
            <w:tcW w:w="888" w:type="pct"/>
          </w:tcPr>
          <w:p w14:paraId="50CD92BF" w14:textId="77777777" w:rsidR="005D3912" w:rsidRPr="00ED6820" w:rsidRDefault="005D3912" w:rsidP="001A4983">
            <w:pPr>
              <w:spacing w:line="480" w:lineRule="auto"/>
              <w:rPr>
                <w:rFonts w:cstheme="minorHAnsi"/>
                <w:sz w:val="24"/>
                <w:szCs w:val="24"/>
              </w:rPr>
            </w:pPr>
            <w:r w:rsidRPr="00ED6820">
              <w:rPr>
                <w:rFonts w:cstheme="minorHAnsi"/>
                <w:sz w:val="24"/>
                <w:szCs w:val="24"/>
              </w:rPr>
              <w:t>29 (42.6)</w:t>
            </w:r>
          </w:p>
        </w:tc>
      </w:tr>
      <w:tr w:rsidR="005D3912" w14:paraId="69FA138C" w14:textId="77777777" w:rsidTr="001A4983">
        <w:tc>
          <w:tcPr>
            <w:tcW w:w="2336" w:type="pct"/>
          </w:tcPr>
          <w:p w14:paraId="43E10A2B" w14:textId="77777777" w:rsidR="005D3912" w:rsidRPr="00ED6820" w:rsidRDefault="005D3912" w:rsidP="001A4983">
            <w:pPr>
              <w:spacing w:line="480" w:lineRule="auto"/>
              <w:rPr>
                <w:rFonts w:cstheme="minorHAnsi"/>
                <w:sz w:val="24"/>
                <w:szCs w:val="24"/>
              </w:rPr>
            </w:pPr>
            <w:r w:rsidRPr="00ED6820">
              <w:rPr>
                <w:rFonts w:cstheme="minorHAnsi"/>
                <w:sz w:val="24"/>
                <w:szCs w:val="24"/>
              </w:rPr>
              <w:t>R</w:t>
            </w:r>
            <w:r>
              <w:rPr>
                <w:rFonts w:cstheme="minorHAnsi"/>
                <w:sz w:val="24"/>
                <w:szCs w:val="24"/>
              </w:rPr>
              <w:t>ifampicin/isoniazid/pyrazinamide/ethambutol d</w:t>
            </w:r>
            <w:r w:rsidRPr="00ED6820">
              <w:rPr>
                <w:rFonts w:cstheme="minorHAnsi"/>
                <w:sz w:val="24"/>
                <w:szCs w:val="24"/>
              </w:rPr>
              <w:t>ose</w:t>
            </w:r>
            <w:r>
              <w:rPr>
                <w:rFonts w:cstheme="minorHAnsi"/>
                <w:sz w:val="24"/>
                <w:szCs w:val="24"/>
              </w:rPr>
              <w:t xml:space="preserve"> (</w:t>
            </w:r>
            <w:r w:rsidRPr="00ED6820">
              <w:rPr>
                <w:rFonts w:cstheme="minorHAnsi"/>
                <w:sz w:val="24"/>
                <w:szCs w:val="24"/>
              </w:rPr>
              <w:t>mg</w:t>
            </w:r>
            <w:r>
              <w:rPr>
                <w:rFonts w:cstheme="minorHAnsi"/>
                <w:sz w:val="24"/>
                <w:szCs w:val="24"/>
              </w:rPr>
              <w:t>)</w:t>
            </w:r>
            <w:r w:rsidRPr="00ED6820">
              <w:rPr>
                <w:rFonts w:cstheme="minorHAnsi"/>
                <w:sz w:val="24"/>
                <w:szCs w:val="24"/>
              </w:rPr>
              <w:t>, n (%)</w:t>
            </w:r>
          </w:p>
          <w:p w14:paraId="2B4FDF60" w14:textId="77777777" w:rsidR="005D3912" w:rsidRPr="00ED6820" w:rsidRDefault="005D3912" w:rsidP="001A4983">
            <w:pPr>
              <w:spacing w:line="480" w:lineRule="auto"/>
              <w:rPr>
                <w:rFonts w:cstheme="minorHAnsi"/>
                <w:sz w:val="24"/>
                <w:szCs w:val="24"/>
              </w:rPr>
            </w:pPr>
            <w:r w:rsidRPr="00ED6820">
              <w:rPr>
                <w:rFonts w:cstheme="minorHAnsi"/>
                <w:sz w:val="24"/>
                <w:szCs w:val="24"/>
              </w:rPr>
              <w:t>300/150/800/550</w:t>
            </w:r>
          </w:p>
          <w:p w14:paraId="323931DA" w14:textId="77777777" w:rsidR="005D3912" w:rsidRPr="00ED6820" w:rsidRDefault="005D3912" w:rsidP="001A4983">
            <w:pPr>
              <w:spacing w:line="480" w:lineRule="auto"/>
              <w:rPr>
                <w:rFonts w:cstheme="minorHAnsi"/>
                <w:sz w:val="24"/>
                <w:szCs w:val="24"/>
              </w:rPr>
            </w:pPr>
            <w:r w:rsidRPr="00ED6820">
              <w:rPr>
                <w:rFonts w:cstheme="minorHAnsi"/>
                <w:sz w:val="24"/>
                <w:szCs w:val="24"/>
              </w:rPr>
              <w:t>450/225/1200/825</w:t>
            </w:r>
          </w:p>
          <w:p w14:paraId="573A5914" w14:textId="77777777" w:rsidR="005D3912" w:rsidRPr="00ED6820" w:rsidRDefault="005D3912" w:rsidP="001A4983">
            <w:pPr>
              <w:spacing w:line="480" w:lineRule="auto"/>
              <w:rPr>
                <w:rFonts w:cstheme="minorHAnsi"/>
                <w:sz w:val="24"/>
                <w:szCs w:val="24"/>
              </w:rPr>
            </w:pPr>
            <w:r w:rsidRPr="00ED6820">
              <w:rPr>
                <w:rFonts w:cstheme="minorHAnsi"/>
                <w:sz w:val="24"/>
                <w:szCs w:val="24"/>
              </w:rPr>
              <w:t>600/300/1600/1100</w:t>
            </w:r>
          </w:p>
          <w:p w14:paraId="747828C8" w14:textId="77777777" w:rsidR="005D3912" w:rsidRPr="00ED6820" w:rsidRDefault="005D3912" w:rsidP="001A4983">
            <w:pPr>
              <w:spacing w:line="480" w:lineRule="auto"/>
              <w:rPr>
                <w:rFonts w:cstheme="minorHAnsi"/>
                <w:sz w:val="24"/>
                <w:szCs w:val="24"/>
              </w:rPr>
            </w:pPr>
            <w:r w:rsidRPr="00ED6820">
              <w:rPr>
                <w:rFonts w:cstheme="minorHAnsi"/>
                <w:sz w:val="24"/>
                <w:szCs w:val="24"/>
              </w:rPr>
              <w:lastRenderedPageBreak/>
              <w:t>750/375/2000/1375</w:t>
            </w:r>
          </w:p>
        </w:tc>
        <w:tc>
          <w:tcPr>
            <w:tcW w:w="888" w:type="pct"/>
          </w:tcPr>
          <w:p w14:paraId="40C17CAA" w14:textId="77777777" w:rsidR="005D3912" w:rsidRPr="00ED6820" w:rsidRDefault="005D3912" w:rsidP="001A4983">
            <w:pPr>
              <w:spacing w:line="480" w:lineRule="auto"/>
              <w:rPr>
                <w:rFonts w:cstheme="minorHAnsi"/>
                <w:sz w:val="24"/>
                <w:szCs w:val="24"/>
              </w:rPr>
            </w:pPr>
          </w:p>
          <w:p w14:paraId="59D850E9" w14:textId="77777777" w:rsidR="005D3912" w:rsidRPr="00ED6820" w:rsidRDefault="005D3912" w:rsidP="001A4983">
            <w:pPr>
              <w:spacing w:line="480" w:lineRule="auto"/>
              <w:rPr>
                <w:rFonts w:cstheme="minorHAnsi"/>
                <w:sz w:val="24"/>
                <w:szCs w:val="24"/>
              </w:rPr>
            </w:pPr>
            <w:r w:rsidRPr="00ED6820">
              <w:rPr>
                <w:rFonts w:cstheme="minorHAnsi"/>
                <w:sz w:val="24"/>
                <w:szCs w:val="24"/>
              </w:rPr>
              <w:t>3 (1.9)</w:t>
            </w:r>
          </w:p>
          <w:p w14:paraId="5AA4DB9A" w14:textId="77777777" w:rsidR="005D3912" w:rsidRPr="00ED6820" w:rsidRDefault="005D3912" w:rsidP="001A4983">
            <w:pPr>
              <w:spacing w:line="480" w:lineRule="auto"/>
              <w:rPr>
                <w:rFonts w:cstheme="minorHAnsi"/>
                <w:sz w:val="24"/>
                <w:szCs w:val="24"/>
              </w:rPr>
            </w:pPr>
            <w:r w:rsidRPr="00ED6820">
              <w:rPr>
                <w:rFonts w:cstheme="minorHAnsi"/>
                <w:sz w:val="24"/>
                <w:szCs w:val="24"/>
              </w:rPr>
              <w:t>107 (68.2)</w:t>
            </w:r>
          </w:p>
          <w:p w14:paraId="01897E70" w14:textId="77777777" w:rsidR="005D3912" w:rsidRPr="00ED6820" w:rsidRDefault="005D3912" w:rsidP="001A4983">
            <w:pPr>
              <w:spacing w:line="480" w:lineRule="auto"/>
              <w:rPr>
                <w:rFonts w:cstheme="minorHAnsi"/>
                <w:sz w:val="24"/>
                <w:szCs w:val="24"/>
              </w:rPr>
            </w:pPr>
            <w:r w:rsidRPr="00ED6820">
              <w:rPr>
                <w:rFonts w:cstheme="minorHAnsi"/>
                <w:sz w:val="24"/>
                <w:szCs w:val="24"/>
              </w:rPr>
              <w:t>45 (28.7)</w:t>
            </w:r>
          </w:p>
          <w:p w14:paraId="12C439D9" w14:textId="77777777" w:rsidR="005D3912" w:rsidRPr="00ED6820" w:rsidRDefault="005D3912" w:rsidP="001A4983">
            <w:pPr>
              <w:spacing w:line="480" w:lineRule="auto"/>
              <w:rPr>
                <w:rFonts w:cstheme="minorHAnsi"/>
                <w:sz w:val="24"/>
                <w:szCs w:val="24"/>
              </w:rPr>
            </w:pPr>
            <w:r w:rsidRPr="00ED6820">
              <w:rPr>
                <w:rFonts w:cstheme="minorHAnsi"/>
                <w:sz w:val="24"/>
                <w:szCs w:val="24"/>
              </w:rPr>
              <w:lastRenderedPageBreak/>
              <w:t>2 (1.3)</w:t>
            </w:r>
          </w:p>
        </w:tc>
        <w:tc>
          <w:tcPr>
            <w:tcW w:w="888" w:type="pct"/>
          </w:tcPr>
          <w:p w14:paraId="0CEC054A" w14:textId="77777777" w:rsidR="005D3912" w:rsidRPr="00ED6820" w:rsidRDefault="005D3912" w:rsidP="001A4983">
            <w:pPr>
              <w:spacing w:line="480" w:lineRule="auto"/>
              <w:rPr>
                <w:rFonts w:cstheme="minorHAnsi"/>
                <w:sz w:val="24"/>
                <w:szCs w:val="24"/>
              </w:rPr>
            </w:pPr>
          </w:p>
          <w:p w14:paraId="5593A37D" w14:textId="77777777" w:rsidR="005D3912" w:rsidRPr="00ED6820" w:rsidRDefault="005D3912" w:rsidP="001A4983">
            <w:pPr>
              <w:spacing w:line="480" w:lineRule="auto"/>
              <w:rPr>
                <w:rFonts w:cstheme="minorHAnsi"/>
                <w:sz w:val="24"/>
                <w:szCs w:val="24"/>
              </w:rPr>
            </w:pPr>
            <w:r w:rsidRPr="00ED6820">
              <w:rPr>
                <w:rFonts w:cstheme="minorHAnsi"/>
                <w:sz w:val="24"/>
                <w:szCs w:val="24"/>
              </w:rPr>
              <w:t>1 (2.0)</w:t>
            </w:r>
          </w:p>
          <w:p w14:paraId="1BF3CC10" w14:textId="77777777" w:rsidR="005D3912" w:rsidRPr="00ED6820" w:rsidRDefault="005D3912" w:rsidP="001A4983">
            <w:pPr>
              <w:spacing w:line="480" w:lineRule="auto"/>
              <w:rPr>
                <w:rFonts w:cstheme="minorHAnsi"/>
                <w:sz w:val="24"/>
                <w:szCs w:val="24"/>
              </w:rPr>
            </w:pPr>
            <w:r w:rsidRPr="00ED6820">
              <w:rPr>
                <w:rFonts w:cstheme="minorHAnsi"/>
                <w:sz w:val="24"/>
                <w:szCs w:val="24"/>
              </w:rPr>
              <w:t>38 (74.5)</w:t>
            </w:r>
          </w:p>
          <w:p w14:paraId="72E85548" w14:textId="77777777" w:rsidR="005D3912" w:rsidRPr="00ED6820" w:rsidRDefault="005D3912" w:rsidP="001A4983">
            <w:pPr>
              <w:spacing w:line="480" w:lineRule="auto"/>
              <w:rPr>
                <w:rFonts w:cstheme="minorHAnsi"/>
                <w:sz w:val="24"/>
                <w:szCs w:val="24"/>
              </w:rPr>
            </w:pPr>
            <w:r w:rsidRPr="00ED6820">
              <w:rPr>
                <w:rFonts w:cstheme="minorHAnsi"/>
                <w:sz w:val="24"/>
                <w:szCs w:val="24"/>
              </w:rPr>
              <w:t>12 (23.5)</w:t>
            </w:r>
          </w:p>
          <w:p w14:paraId="561C9255" w14:textId="77777777" w:rsidR="005D3912" w:rsidRPr="00ED6820" w:rsidRDefault="005D3912" w:rsidP="001A4983">
            <w:pPr>
              <w:spacing w:line="480" w:lineRule="auto"/>
              <w:rPr>
                <w:rFonts w:cstheme="minorHAnsi"/>
                <w:sz w:val="24"/>
                <w:szCs w:val="24"/>
              </w:rPr>
            </w:pPr>
            <w:r w:rsidRPr="00ED6820">
              <w:rPr>
                <w:rFonts w:cstheme="minorHAnsi"/>
                <w:sz w:val="24"/>
                <w:szCs w:val="24"/>
              </w:rPr>
              <w:lastRenderedPageBreak/>
              <w:t>0 (0.0)</w:t>
            </w:r>
          </w:p>
        </w:tc>
        <w:tc>
          <w:tcPr>
            <w:tcW w:w="888" w:type="pct"/>
          </w:tcPr>
          <w:p w14:paraId="2126A55E" w14:textId="77777777" w:rsidR="005D3912" w:rsidRPr="00ED6820" w:rsidRDefault="005D3912" w:rsidP="001A4983">
            <w:pPr>
              <w:spacing w:line="480" w:lineRule="auto"/>
              <w:rPr>
                <w:rFonts w:cstheme="minorHAnsi"/>
                <w:sz w:val="24"/>
                <w:szCs w:val="24"/>
              </w:rPr>
            </w:pPr>
          </w:p>
          <w:p w14:paraId="62A2BC7F" w14:textId="77777777" w:rsidR="005D3912" w:rsidRPr="00ED6820" w:rsidRDefault="005D3912" w:rsidP="001A4983">
            <w:pPr>
              <w:spacing w:line="480" w:lineRule="auto"/>
              <w:rPr>
                <w:rFonts w:cstheme="minorHAnsi"/>
                <w:sz w:val="24"/>
                <w:szCs w:val="24"/>
              </w:rPr>
            </w:pPr>
            <w:r w:rsidRPr="00ED6820">
              <w:rPr>
                <w:rFonts w:cstheme="minorHAnsi"/>
                <w:sz w:val="24"/>
                <w:szCs w:val="24"/>
              </w:rPr>
              <w:t>2 (1.9)</w:t>
            </w:r>
          </w:p>
          <w:p w14:paraId="18263A91" w14:textId="77777777" w:rsidR="005D3912" w:rsidRPr="00ED6820" w:rsidRDefault="005D3912" w:rsidP="001A4983">
            <w:pPr>
              <w:spacing w:line="480" w:lineRule="auto"/>
              <w:rPr>
                <w:rFonts w:cstheme="minorHAnsi"/>
                <w:sz w:val="24"/>
                <w:szCs w:val="24"/>
              </w:rPr>
            </w:pPr>
            <w:r w:rsidRPr="00ED6820">
              <w:rPr>
                <w:rFonts w:cstheme="minorHAnsi"/>
                <w:sz w:val="24"/>
                <w:szCs w:val="24"/>
              </w:rPr>
              <w:t>69 (65.1)</w:t>
            </w:r>
          </w:p>
          <w:p w14:paraId="0DA18BC5" w14:textId="77777777" w:rsidR="005D3912" w:rsidRPr="00ED6820" w:rsidRDefault="005D3912" w:rsidP="001A4983">
            <w:pPr>
              <w:spacing w:line="480" w:lineRule="auto"/>
              <w:rPr>
                <w:rFonts w:cstheme="minorHAnsi"/>
                <w:sz w:val="24"/>
                <w:szCs w:val="24"/>
              </w:rPr>
            </w:pPr>
            <w:r w:rsidRPr="00ED6820">
              <w:rPr>
                <w:rFonts w:cstheme="minorHAnsi"/>
                <w:sz w:val="24"/>
                <w:szCs w:val="24"/>
              </w:rPr>
              <w:t>33 (31.1)</w:t>
            </w:r>
          </w:p>
          <w:p w14:paraId="097BB5CC" w14:textId="77777777" w:rsidR="005D3912" w:rsidRPr="00ED6820" w:rsidRDefault="005D3912" w:rsidP="001A4983">
            <w:pPr>
              <w:spacing w:line="480" w:lineRule="auto"/>
              <w:rPr>
                <w:rFonts w:cstheme="minorHAnsi"/>
                <w:sz w:val="24"/>
                <w:szCs w:val="24"/>
              </w:rPr>
            </w:pPr>
            <w:r w:rsidRPr="00ED6820">
              <w:rPr>
                <w:rFonts w:cstheme="minorHAnsi"/>
                <w:sz w:val="24"/>
                <w:szCs w:val="24"/>
              </w:rPr>
              <w:lastRenderedPageBreak/>
              <w:t>2 (1.9)</w:t>
            </w:r>
          </w:p>
        </w:tc>
      </w:tr>
      <w:tr w:rsidR="005D3912" w14:paraId="16E121F3" w14:textId="77777777" w:rsidTr="001A4983">
        <w:tc>
          <w:tcPr>
            <w:tcW w:w="2336" w:type="pct"/>
          </w:tcPr>
          <w:p w14:paraId="39CCC3CB" w14:textId="77777777" w:rsidR="005D3912" w:rsidRPr="00ED6820" w:rsidRDefault="005D3912" w:rsidP="001A4983">
            <w:pPr>
              <w:spacing w:line="480" w:lineRule="auto"/>
              <w:rPr>
                <w:rFonts w:cstheme="minorHAnsi"/>
                <w:sz w:val="24"/>
                <w:szCs w:val="24"/>
                <w:vertAlign w:val="superscript"/>
              </w:rPr>
            </w:pPr>
            <w:r w:rsidRPr="00ED6820">
              <w:rPr>
                <w:rFonts w:cstheme="minorHAnsi"/>
                <w:sz w:val="24"/>
                <w:szCs w:val="24"/>
              </w:rPr>
              <w:lastRenderedPageBreak/>
              <w:t xml:space="preserve">Adherence, n (%) </w:t>
            </w:r>
            <w:r w:rsidRPr="004853E4">
              <w:rPr>
                <w:rFonts w:cstheme="minorHAnsi"/>
                <w:sz w:val="24"/>
                <w:szCs w:val="24"/>
                <w:vertAlign w:val="superscript"/>
              </w:rPr>
              <w:t>a</w:t>
            </w:r>
          </w:p>
          <w:p w14:paraId="7F8005BA" w14:textId="77777777" w:rsidR="005D3912" w:rsidRPr="00ED6820" w:rsidRDefault="005D3912" w:rsidP="001A4983">
            <w:pPr>
              <w:spacing w:line="480" w:lineRule="auto"/>
              <w:rPr>
                <w:rFonts w:cstheme="minorHAnsi"/>
                <w:sz w:val="24"/>
                <w:szCs w:val="24"/>
              </w:rPr>
            </w:pPr>
            <w:r w:rsidRPr="00ED6820">
              <w:rPr>
                <w:rFonts w:cstheme="minorHAnsi"/>
                <w:sz w:val="24"/>
                <w:szCs w:val="24"/>
              </w:rPr>
              <w:t xml:space="preserve">    Missed no doses</w:t>
            </w:r>
          </w:p>
          <w:p w14:paraId="6D68BF9B" w14:textId="77777777" w:rsidR="005D3912" w:rsidRPr="00ED6820" w:rsidRDefault="005D3912" w:rsidP="001A4983">
            <w:pPr>
              <w:spacing w:line="480" w:lineRule="auto"/>
              <w:rPr>
                <w:rFonts w:cstheme="minorHAnsi"/>
                <w:sz w:val="24"/>
                <w:szCs w:val="24"/>
              </w:rPr>
            </w:pPr>
            <w:r w:rsidRPr="00ED6820">
              <w:rPr>
                <w:rFonts w:cstheme="minorHAnsi"/>
                <w:sz w:val="24"/>
                <w:szCs w:val="24"/>
              </w:rPr>
              <w:t xml:space="preserve">    Missed 1-2 doses</w:t>
            </w:r>
          </w:p>
          <w:p w14:paraId="668B9411" w14:textId="77777777" w:rsidR="005D3912" w:rsidRPr="00ED6820" w:rsidRDefault="005D3912" w:rsidP="001A4983">
            <w:pPr>
              <w:spacing w:line="480" w:lineRule="auto"/>
              <w:rPr>
                <w:rFonts w:cstheme="minorHAnsi"/>
                <w:sz w:val="24"/>
                <w:szCs w:val="24"/>
              </w:rPr>
            </w:pPr>
            <w:r w:rsidRPr="00ED6820">
              <w:rPr>
                <w:rFonts w:cstheme="minorHAnsi"/>
                <w:sz w:val="24"/>
                <w:szCs w:val="24"/>
              </w:rPr>
              <w:t xml:space="preserve">    Missed &gt;2 doses</w:t>
            </w:r>
          </w:p>
        </w:tc>
        <w:tc>
          <w:tcPr>
            <w:tcW w:w="888" w:type="pct"/>
          </w:tcPr>
          <w:p w14:paraId="13BC4CA2" w14:textId="77777777" w:rsidR="005D3912" w:rsidRPr="00ED6820" w:rsidRDefault="005D3912" w:rsidP="001A4983">
            <w:pPr>
              <w:spacing w:line="480" w:lineRule="auto"/>
              <w:rPr>
                <w:rFonts w:cstheme="minorHAnsi"/>
                <w:sz w:val="24"/>
                <w:szCs w:val="24"/>
              </w:rPr>
            </w:pPr>
          </w:p>
          <w:p w14:paraId="39D4B161" w14:textId="77777777" w:rsidR="005D3912" w:rsidRPr="00ED6820" w:rsidRDefault="005D3912" w:rsidP="001A4983">
            <w:pPr>
              <w:spacing w:line="480" w:lineRule="auto"/>
              <w:rPr>
                <w:rFonts w:cstheme="minorHAnsi"/>
                <w:sz w:val="24"/>
                <w:szCs w:val="24"/>
              </w:rPr>
            </w:pPr>
            <w:r w:rsidRPr="00ED6820">
              <w:rPr>
                <w:rFonts w:cstheme="minorHAnsi"/>
                <w:sz w:val="24"/>
                <w:szCs w:val="24"/>
              </w:rPr>
              <w:t>135 (86.0)</w:t>
            </w:r>
          </w:p>
          <w:p w14:paraId="2FA59781" w14:textId="77777777" w:rsidR="005D3912" w:rsidRPr="00ED6820" w:rsidRDefault="005D3912" w:rsidP="001A4983">
            <w:pPr>
              <w:spacing w:line="480" w:lineRule="auto"/>
              <w:rPr>
                <w:rFonts w:cstheme="minorHAnsi"/>
                <w:sz w:val="24"/>
                <w:szCs w:val="24"/>
              </w:rPr>
            </w:pPr>
            <w:r w:rsidRPr="00ED6820">
              <w:rPr>
                <w:rFonts w:cstheme="minorHAnsi"/>
                <w:sz w:val="24"/>
                <w:szCs w:val="24"/>
              </w:rPr>
              <w:t>14 (8.9)</w:t>
            </w:r>
          </w:p>
          <w:p w14:paraId="7EB1EB5A" w14:textId="77777777" w:rsidR="005D3912" w:rsidRPr="00ED6820" w:rsidRDefault="005D3912" w:rsidP="001A4983">
            <w:pPr>
              <w:spacing w:line="480" w:lineRule="auto"/>
              <w:rPr>
                <w:rFonts w:cstheme="minorHAnsi"/>
                <w:sz w:val="24"/>
                <w:szCs w:val="24"/>
              </w:rPr>
            </w:pPr>
            <w:r w:rsidRPr="00ED6820">
              <w:rPr>
                <w:rFonts w:cstheme="minorHAnsi"/>
                <w:sz w:val="24"/>
                <w:szCs w:val="24"/>
              </w:rPr>
              <w:t>8 (5.1)</w:t>
            </w:r>
          </w:p>
        </w:tc>
        <w:tc>
          <w:tcPr>
            <w:tcW w:w="888" w:type="pct"/>
          </w:tcPr>
          <w:p w14:paraId="0A9EE471" w14:textId="77777777" w:rsidR="005D3912" w:rsidRPr="00ED6820" w:rsidRDefault="005D3912" w:rsidP="001A4983">
            <w:pPr>
              <w:spacing w:line="480" w:lineRule="auto"/>
              <w:rPr>
                <w:rFonts w:cstheme="minorHAnsi"/>
                <w:sz w:val="24"/>
                <w:szCs w:val="24"/>
              </w:rPr>
            </w:pPr>
          </w:p>
          <w:p w14:paraId="0CAE8990" w14:textId="77777777" w:rsidR="005D3912" w:rsidRPr="00ED6820" w:rsidRDefault="005D3912" w:rsidP="001A4983">
            <w:pPr>
              <w:spacing w:line="480" w:lineRule="auto"/>
              <w:rPr>
                <w:rFonts w:cstheme="minorHAnsi"/>
                <w:sz w:val="24"/>
                <w:szCs w:val="24"/>
              </w:rPr>
            </w:pPr>
            <w:r w:rsidRPr="00ED6820">
              <w:rPr>
                <w:rFonts w:cstheme="minorHAnsi"/>
                <w:sz w:val="24"/>
                <w:szCs w:val="24"/>
              </w:rPr>
              <w:t>41 (80.4)</w:t>
            </w:r>
          </w:p>
          <w:p w14:paraId="1EE009DE" w14:textId="77777777" w:rsidR="005D3912" w:rsidRPr="00ED6820" w:rsidRDefault="005D3912" w:rsidP="001A4983">
            <w:pPr>
              <w:spacing w:line="480" w:lineRule="auto"/>
              <w:rPr>
                <w:rFonts w:cstheme="minorHAnsi"/>
                <w:sz w:val="24"/>
                <w:szCs w:val="24"/>
              </w:rPr>
            </w:pPr>
            <w:r w:rsidRPr="00ED6820">
              <w:rPr>
                <w:rFonts w:cstheme="minorHAnsi"/>
                <w:sz w:val="24"/>
                <w:szCs w:val="24"/>
              </w:rPr>
              <w:t>6 (11.8)</w:t>
            </w:r>
          </w:p>
          <w:p w14:paraId="13E7581A" w14:textId="77777777" w:rsidR="005D3912" w:rsidRPr="00ED6820" w:rsidRDefault="005D3912" w:rsidP="001A4983">
            <w:pPr>
              <w:spacing w:line="480" w:lineRule="auto"/>
              <w:rPr>
                <w:rFonts w:cstheme="minorHAnsi"/>
                <w:sz w:val="24"/>
                <w:szCs w:val="24"/>
              </w:rPr>
            </w:pPr>
            <w:r w:rsidRPr="00ED6820">
              <w:rPr>
                <w:rFonts w:cstheme="minorHAnsi"/>
                <w:sz w:val="24"/>
                <w:szCs w:val="24"/>
              </w:rPr>
              <w:t>4 (7.8)</w:t>
            </w:r>
          </w:p>
        </w:tc>
        <w:tc>
          <w:tcPr>
            <w:tcW w:w="888" w:type="pct"/>
          </w:tcPr>
          <w:p w14:paraId="2D2B97BE" w14:textId="77777777" w:rsidR="005D3912" w:rsidRPr="00ED6820" w:rsidRDefault="005D3912" w:rsidP="001A4983">
            <w:pPr>
              <w:spacing w:line="480" w:lineRule="auto"/>
              <w:rPr>
                <w:rFonts w:cstheme="minorHAnsi"/>
                <w:sz w:val="24"/>
                <w:szCs w:val="24"/>
              </w:rPr>
            </w:pPr>
          </w:p>
          <w:p w14:paraId="7C6913A2" w14:textId="77777777" w:rsidR="005D3912" w:rsidRPr="00ED6820" w:rsidRDefault="005D3912" w:rsidP="001A4983">
            <w:pPr>
              <w:spacing w:line="480" w:lineRule="auto"/>
              <w:rPr>
                <w:rFonts w:cstheme="minorHAnsi"/>
                <w:sz w:val="24"/>
                <w:szCs w:val="24"/>
              </w:rPr>
            </w:pPr>
            <w:r w:rsidRPr="00ED6820">
              <w:rPr>
                <w:rFonts w:cstheme="minorHAnsi"/>
                <w:sz w:val="24"/>
                <w:szCs w:val="24"/>
              </w:rPr>
              <w:t>94 (88.7)</w:t>
            </w:r>
          </w:p>
          <w:p w14:paraId="66233638" w14:textId="77777777" w:rsidR="005D3912" w:rsidRPr="00ED6820" w:rsidRDefault="005D3912" w:rsidP="001A4983">
            <w:pPr>
              <w:spacing w:line="480" w:lineRule="auto"/>
              <w:rPr>
                <w:rFonts w:cstheme="minorHAnsi"/>
                <w:sz w:val="24"/>
                <w:szCs w:val="24"/>
              </w:rPr>
            </w:pPr>
            <w:r w:rsidRPr="00ED6820">
              <w:rPr>
                <w:rFonts w:cstheme="minorHAnsi"/>
                <w:sz w:val="24"/>
                <w:szCs w:val="24"/>
              </w:rPr>
              <w:t>8 (7.5)</w:t>
            </w:r>
          </w:p>
          <w:p w14:paraId="6FE3F2A9" w14:textId="77777777" w:rsidR="005D3912" w:rsidRPr="00ED6820" w:rsidRDefault="005D3912" w:rsidP="001A4983">
            <w:pPr>
              <w:spacing w:line="480" w:lineRule="auto"/>
              <w:rPr>
                <w:rFonts w:cstheme="minorHAnsi"/>
                <w:sz w:val="24"/>
                <w:szCs w:val="24"/>
              </w:rPr>
            </w:pPr>
            <w:r w:rsidRPr="00ED6820">
              <w:rPr>
                <w:rFonts w:cstheme="minorHAnsi"/>
                <w:sz w:val="24"/>
                <w:szCs w:val="24"/>
              </w:rPr>
              <w:t>4 (3.8)</w:t>
            </w:r>
          </w:p>
        </w:tc>
      </w:tr>
    </w:tbl>
    <w:p w14:paraId="55E03820" w14:textId="77777777" w:rsidR="005D3912" w:rsidRDefault="005D3912" w:rsidP="005D3912">
      <w:pPr>
        <w:spacing w:after="0" w:line="480" w:lineRule="auto"/>
        <w:rPr>
          <w:sz w:val="24"/>
        </w:rPr>
      </w:pPr>
    </w:p>
    <w:p w14:paraId="15D5FD18" w14:textId="77777777" w:rsidR="005D3912" w:rsidRDefault="005D3912" w:rsidP="005D3912">
      <w:pPr>
        <w:spacing w:after="0" w:line="480" w:lineRule="auto"/>
        <w:rPr>
          <w:sz w:val="24"/>
          <w:vertAlign w:val="superscript"/>
        </w:rPr>
      </w:pPr>
      <w:r>
        <w:rPr>
          <w:sz w:val="24"/>
        </w:rPr>
        <w:t>IQR: interquartile range</w:t>
      </w:r>
      <w:r>
        <w:rPr>
          <w:sz w:val="24"/>
          <w:vertAlign w:val="superscript"/>
        </w:rPr>
        <w:t xml:space="preserve"> </w:t>
      </w:r>
    </w:p>
    <w:p w14:paraId="4D5B308C" w14:textId="3953A392" w:rsidR="005D3912" w:rsidRDefault="005D3912" w:rsidP="005D3912">
      <w:pPr>
        <w:spacing w:after="0" w:line="480" w:lineRule="auto"/>
        <w:rPr>
          <w:sz w:val="24"/>
        </w:rPr>
      </w:pPr>
      <w:proofErr w:type="spellStart"/>
      <w:proofErr w:type="gramStart"/>
      <w:r>
        <w:rPr>
          <w:sz w:val="24"/>
          <w:vertAlign w:val="superscript"/>
        </w:rPr>
        <w:t>a</w:t>
      </w:r>
      <w:proofErr w:type="spellEnd"/>
      <w:proofErr w:type="gramEnd"/>
      <w:r>
        <w:rPr>
          <w:sz w:val="24"/>
        </w:rPr>
        <w:t xml:space="preserve"> Adherence assessed by direct questioning and pill counts</w:t>
      </w:r>
    </w:p>
    <w:p w14:paraId="0668EB34" w14:textId="77777777" w:rsidR="007330C1" w:rsidRDefault="007330C1" w:rsidP="005D3912">
      <w:pPr>
        <w:spacing w:after="0" w:line="480" w:lineRule="auto"/>
        <w:rPr>
          <w:sz w:val="24"/>
        </w:rPr>
      </w:pPr>
    </w:p>
    <w:p w14:paraId="489C8598" w14:textId="0213E277" w:rsidR="007330C1" w:rsidRDefault="007330C1">
      <w:pPr>
        <w:spacing w:line="259" w:lineRule="auto"/>
        <w:rPr>
          <w:sz w:val="24"/>
        </w:rPr>
      </w:pPr>
      <w:r>
        <w:rPr>
          <w:sz w:val="24"/>
        </w:rPr>
        <w:br w:type="page"/>
      </w:r>
    </w:p>
    <w:p w14:paraId="6BB1E23E" w14:textId="77777777" w:rsidR="007330C1" w:rsidRPr="00E914F5" w:rsidRDefault="007330C1" w:rsidP="007330C1">
      <w:pPr>
        <w:spacing w:after="0" w:line="480" w:lineRule="auto"/>
        <w:rPr>
          <w:sz w:val="24"/>
        </w:rPr>
      </w:pPr>
      <w:r>
        <w:rPr>
          <w:b/>
          <w:sz w:val="24"/>
        </w:rPr>
        <w:lastRenderedPageBreak/>
        <w:t>Table 2</w:t>
      </w:r>
      <w:r>
        <w:rPr>
          <w:sz w:val="24"/>
        </w:rPr>
        <w:t xml:space="preserve">: Final steady state parameter estimates </w:t>
      </w:r>
      <w:r w:rsidRPr="00786D1E">
        <w:rPr>
          <w:sz w:val="24"/>
        </w:rPr>
        <w:t xml:space="preserve">for </w:t>
      </w:r>
      <w:r>
        <w:rPr>
          <w:sz w:val="24"/>
        </w:rPr>
        <w:t>drug exposure (</w:t>
      </w:r>
      <w:r w:rsidRPr="00786D1E">
        <w:rPr>
          <w:sz w:val="24"/>
        </w:rPr>
        <w:t xml:space="preserve">AUC and </w:t>
      </w:r>
      <w:proofErr w:type="spellStart"/>
      <w:r w:rsidRPr="00786D1E">
        <w:rPr>
          <w:sz w:val="24"/>
        </w:rPr>
        <w:t>C</w:t>
      </w:r>
      <w:r w:rsidRPr="00786D1E">
        <w:rPr>
          <w:sz w:val="24"/>
          <w:vertAlign w:val="subscript"/>
        </w:rPr>
        <w:t>max</w:t>
      </w:r>
      <w:proofErr w:type="spellEnd"/>
      <w:r>
        <w:rPr>
          <w:sz w:val="24"/>
        </w:rPr>
        <w:t xml:space="preserve">) </w:t>
      </w:r>
      <w:r w:rsidRPr="00786D1E">
        <w:rPr>
          <w:sz w:val="24"/>
        </w:rPr>
        <w:t>in plasma</w:t>
      </w:r>
      <w:r>
        <w:rPr>
          <w:sz w:val="24"/>
        </w:rPr>
        <w:t>, epithelial lining fluid, and alveolar cells</w:t>
      </w:r>
    </w:p>
    <w:tbl>
      <w:tblPr>
        <w:tblStyle w:val="TableGrid"/>
        <w:tblW w:w="5000" w:type="pct"/>
        <w:tblLook w:val="04A0" w:firstRow="1" w:lastRow="0" w:firstColumn="1" w:lastColumn="0" w:noHBand="0" w:noVBand="1"/>
      </w:tblPr>
      <w:tblGrid>
        <w:gridCol w:w="1531"/>
        <w:gridCol w:w="1612"/>
        <w:gridCol w:w="2240"/>
        <w:gridCol w:w="2854"/>
        <w:gridCol w:w="2854"/>
        <w:gridCol w:w="2857"/>
      </w:tblGrid>
      <w:tr w:rsidR="007330C1" w14:paraId="4A39DD5F" w14:textId="77777777" w:rsidTr="001A4983">
        <w:tc>
          <w:tcPr>
            <w:tcW w:w="549" w:type="pct"/>
            <w:vMerge w:val="restart"/>
          </w:tcPr>
          <w:p w14:paraId="2241633B" w14:textId="77777777" w:rsidR="007330C1" w:rsidRPr="00233479" w:rsidRDefault="007330C1" w:rsidP="001A4983">
            <w:pPr>
              <w:spacing w:line="480" w:lineRule="auto"/>
              <w:jc w:val="center"/>
              <w:rPr>
                <w:b/>
                <w:sz w:val="24"/>
              </w:rPr>
            </w:pPr>
            <w:r>
              <w:rPr>
                <w:b/>
                <w:sz w:val="24"/>
              </w:rPr>
              <w:t>Drug</w:t>
            </w:r>
          </w:p>
        </w:tc>
        <w:tc>
          <w:tcPr>
            <w:tcW w:w="578" w:type="pct"/>
            <w:vMerge w:val="restart"/>
          </w:tcPr>
          <w:p w14:paraId="418887E7" w14:textId="77777777" w:rsidR="007330C1" w:rsidRDefault="007330C1" w:rsidP="001A4983">
            <w:pPr>
              <w:spacing w:line="480" w:lineRule="auto"/>
              <w:jc w:val="center"/>
              <w:rPr>
                <w:b/>
                <w:sz w:val="24"/>
              </w:rPr>
            </w:pPr>
            <w:r>
              <w:rPr>
                <w:b/>
                <w:sz w:val="24"/>
              </w:rPr>
              <w:t>Pharmaco-kinetic index</w:t>
            </w:r>
          </w:p>
        </w:tc>
        <w:tc>
          <w:tcPr>
            <w:tcW w:w="803" w:type="pct"/>
            <w:vMerge w:val="restart"/>
          </w:tcPr>
          <w:p w14:paraId="2DD28EF9" w14:textId="29C5E1EA" w:rsidR="007330C1" w:rsidRDefault="007330C1" w:rsidP="001A4983">
            <w:pPr>
              <w:spacing w:line="480" w:lineRule="auto"/>
              <w:jc w:val="center"/>
              <w:rPr>
                <w:b/>
                <w:sz w:val="24"/>
              </w:rPr>
            </w:pPr>
            <w:r>
              <w:rPr>
                <w:b/>
                <w:sz w:val="24"/>
              </w:rPr>
              <w:t>Plasma therapeutic drug mo</w:t>
            </w:r>
            <w:r w:rsidRPr="00C3772F">
              <w:rPr>
                <w:b/>
                <w:sz w:val="24"/>
              </w:rPr>
              <w:t xml:space="preserve">nitoring target </w:t>
            </w:r>
            <w:r w:rsidRPr="00C3772F">
              <w:rPr>
                <w:b/>
                <w:sz w:val="24"/>
              </w:rPr>
              <w:fldChar w:fldCharType="begin" w:fldLock="1"/>
            </w:r>
            <w:r w:rsidR="00DE300B">
              <w:rPr>
                <w:b/>
                <w:sz w:val="24"/>
              </w:rPr>
              <w:instrText>ADDIN CSL_CITATION {"citationItems":[{"id":"ITEM-1","itemData":{"DOI":"10.1007/s40265-014-0222-8","ISBN":"1179-1950 (Electronic)\r0012-6667 (Linking)","PMID":"24846578","abstract":"Tuberculosis (TB) is the world's second leading infectious killer. Cases of multidrug-resistant (MDR-TB) and extremely drug-resistant (XDR-TB) have increased globally. Therapeutic drug monitoring (TDM) remains a standard clinical technique for using plasma drug concentrations to determine dose. For TB patients, TDM provides objective information for the clinician to make informed dosing decisions. Some patients are slow to respond to treatment, and TDM can shorten the time to response and to treatment completion. Normal plasma concentration ranges for the TB drugs have been defined. For practical reasons, only one or two samples are collected post-dose. A 2-h post-dose sample approximates the peak serum drug concentration (Cmax) for most TB drugs. Adding a 6-h sample allows the clinician to distinguish between delayed absorption and malabsorption. TDM requires that samples are promptly centrifuged, and that the serum is promptly harvested and frozen. Isoniazid and ethionamide, in particular, are not stable in human serum at room temperature. Rifampicin is stable for more than 6 h under these conditions. Since our 2002 review, several papers regarding TB drug pharmacokinetics, pharmacodynamics, and TDM have been published. Thus, we have better information regarding the concentrations required for effective TB therapy. In vitro and animal model data clearly show concentration responses for most TB drugs. Recent studies emphasize the importance of rifamycins and pyrazinamide as sterilizing agents. A strong argument can be made for maximizing patient exposure to these drugs, short of toxicity. Further, the very concept behind 'minimal inhibitory concentration' (MIC) implies that one should achieve concentrations above the minimum in order to maximize response. Some, but not all clinical data are consistent with the utility of this approach. The low ends of the TB drug normal ranges set reasonable 'floors' above which plasma concentrations should be maintained. Patients with diabetes and those infected with HIV have a particular risk for poor drug absorption, and for drug-drug interactions. Published guidelines typically describe interactions between two drugs, whereas the clinical situation often is considerably more complex. Under 'real-life' circumstances, TDM often is the best available tool for sorting out these multi-drug interactions, and for providing the patient safe and adequate doses. Plasma concentrations cannot explain all of the variability in …","author":[{"dropping-particle":"","family":"Alsultan","given":"A","non-dropping-particle":"","parse-names":false,"suffix":""},{"dropping-particle":"","family":"Peloquin","given":"C A","non-dropping-particle":"","parse-names":false,"suffix":""}],"container-title":"Drugs","id":"ITEM-1","issue":"8","issued":{"date-parts":[["2014"]]},"note":"Alsultan, Abdullah\nPeloquin, Charles A\neng\nReview\nNew Zealand\n2014/05/23 06:00\nDrugs. 2014 Jun;74(8):839-54. doi: 10.1007/s40265-014-0222-8.","page":"839-854","title":"Therapeutic drug monitoring in the treatment of tuberculosis: an update","type":"article-journal","volume":"74"},"uris":["http://www.mendeley.com/documents/?uuid=e95820ab-9e81-477e-be67-b50b258a82a8"]}],"mendeley":{"formattedCitation":"[29]","plainTextFormattedCitation":"[29]","previouslyFormattedCitation":"[25]"},"properties":{"noteIndex":0},"schema":"https://github.com/citation-style-language/schema/raw/master/csl-citation.json"}</w:instrText>
            </w:r>
            <w:r w:rsidRPr="00C3772F">
              <w:rPr>
                <w:b/>
                <w:sz w:val="24"/>
              </w:rPr>
              <w:fldChar w:fldCharType="separate"/>
            </w:r>
            <w:r w:rsidR="00DE300B" w:rsidRPr="00DE300B">
              <w:rPr>
                <w:noProof/>
                <w:sz w:val="24"/>
              </w:rPr>
              <w:t>[29]</w:t>
            </w:r>
            <w:r w:rsidRPr="00C3772F">
              <w:rPr>
                <w:b/>
                <w:sz w:val="24"/>
              </w:rPr>
              <w:fldChar w:fldCharType="end"/>
            </w:r>
          </w:p>
        </w:tc>
        <w:tc>
          <w:tcPr>
            <w:tcW w:w="3070" w:type="pct"/>
            <w:gridSpan w:val="3"/>
          </w:tcPr>
          <w:p w14:paraId="01C3A913" w14:textId="77777777" w:rsidR="007330C1" w:rsidRDefault="007330C1" w:rsidP="001A4983">
            <w:pPr>
              <w:spacing w:line="480" w:lineRule="auto"/>
              <w:jc w:val="center"/>
              <w:rPr>
                <w:b/>
                <w:sz w:val="24"/>
              </w:rPr>
            </w:pPr>
            <w:r>
              <w:rPr>
                <w:b/>
                <w:sz w:val="24"/>
              </w:rPr>
              <w:t>Matrix</w:t>
            </w:r>
          </w:p>
        </w:tc>
      </w:tr>
      <w:tr w:rsidR="007330C1" w:rsidRPr="00A817C2" w14:paraId="7233E57F" w14:textId="77777777" w:rsidTr="001A4983">
        <w:tc>
          <w:tcPr>
            <w:tcW w:w="549" w:type="pct"/>
            <w:vMerge/>
          </w:tcPr>
          <w:p w14:paraId="28EE6A72" w14:textId="77777777" w:rsidR="007330C1" w:rsidRPr="00FF6DCB" w:rsidRDefault="007330C1" w:rsidP="001A4983">
            <w:pPr>
              <w:spacing w:line="480" w:lineRule="auto"/>
              <w:jc w:val="center"/>
              <w:rPr>
                <w:b/>
                <w:sz w:val="24"/>
                <w:szCs w:val="24"/>
              </w:rPr>
            </w:pPr>
          </w:p>
        </w:tc>
        <w:tc>
          <w:tcPr>
            <w:tcW w:w="578" w:type="pct"/>
            <w:vMerge/>
          </w:tcPr>
          <w:p w14:paraId="5D76553A" w14:textId="77777777" w:rsidR="007330C1" w:rsidRPr="00D5533A" w:rsidRDefault="007330C1" w:rsidP="001A4983">
            <w:pPr>
              <w:spacing w:line="480" w:lineRule="auto"/>
              <w:jc w:val="center"/>
              <w:rPr>
                <w:sz w:val="24"/>
                <w:szCs w:val="24"/>
              </w:rPr>
            </w:pPr>
          </w:p>
        </w:tc>
        <w:tc>
          <w:tcPr>
            <w:tcW w:w="803" w:type="pct"/>
            <w:vMerge/>
          </w:tcPr>
          <w:p w14:paraId="1FB08CA8" w14:textId="77777777" w:rsidR="007330C1" w:rsidRDefault="007330C1" w:rsidP="001A4983">
            <w:pPr>
              <w:spacing w:line="480" w:lineRule="auto"/>
              <w:jc w:val="center"/>
              <w:rPr>
                <w:b/>
                <w:sz w:val="24"/>
                <w:szCs w:val="24"/>
              </w:rPr>
            </w:pPr>
          </w:p>
        </w:tc>
        <w:tc>
          <w:tcPr>
            <w:tcW w:w="1023" w:type="pct"/>
          </w:tcPr>
          <w:p w14:paraId="5310C2CD" w14:textId="77777777" w:rsidR="007330C1" w:rsidRDefault="007330C1" w:rsidP="001A4983">
            <w:pPr>
              <w:spacing w:line="480" w:lineRule="auto"/>
              <w:jc w:val="center"/>
              <w:rPr>
                <w:b/>
                <w:sz w:val="24"/>
                <w:szCs w:val="24"/>
              </w:rPr>
            </w:pPr>
            <w:r>
              <w:rPr>
                <w:b/>
                <w:sz w:val="24"/>
                <w:szCs w:val="24"/>
              </w:rPr>
              <w:t>Plasma</w:t>
            </w:r>
          </w:p>
          <w:p w14:paraId="450E0E09" w14:textId="77777777" w:rsidR="007330C1" w:rsidRPr="00E914F5" w:rsidRDefault="007330C1" w:rsidP="001A4983">
            <w:pPr>
              <w:spacing w:line="480" w:lineRule="auto"/>
              <w:jc w:val="center"/>
              <w:rPr>
                <w:b/>
                <w:sz w:val="24"/>
                <w:szCs w:val="24"/>
              </w:rPr>
            </w:pPr>
            <w:r>
              <w:rPr>
                <w:b/>
                <w:sz w:val="24"/>
                <w:szCs w:val="24"/>
              </w:rPr>
              <w:t>(median [IQR])</w:t>
            </w:r>
          </w:p>
        </w:tc>
        <w:tc>
          <w:tcPr>
            <w:tcW w:w="1023" w:type="pct"/>
          </w:tcPr>
          <w:p w14:paraId="473D47C2" w14:textId="77777777" w:rsidR="007330C1" w:rsidRDefault="007330C1" w:rsidP="001A4983">
            <w:pPr>
              <w:spacing w:line="480" w:lineRule="auto"/>
              <w:jc w:val="center"/>
              <w:rPr>
                <w:b/>
                <w:sz w:val="24"/>
                <w:szCs w:val="24"/>
              </w:rPr>
            </w:pPr>
            <w:r>
              <w:rPr>
                <w:b/>
                <w:sz w:val="24"/>
                <w:szCs w:val="24"/>
              </w:rPr>
              <w:t>Epithelial lining fluid</w:t>
            </w:r>
          </w:p>
          <w:p w14:paraId="14F6CB2D" w14:textId="77777777" w:rsidR="007330C1" w:rsidRPr="00D5533A" w:rsidRDefault="007330C1" w:rsidP="001A4983">
            <w:pPr>
              <w:spacing w:line="480" w:lineRule="auto"/>
              <w:jc w:val="center"/>
              <w:rPr>
                <w:sz w:val="24"/>
                <w:szCs w:val="24"/>
              </w:rPr>
            </w:pPr>
            <w:r>
              <w:rPr>
                <w:b/>
                <w:sz w:val="24"/>
                <w:szCs w:val="24"/>
              </w:rPr>
              <w:t>(median [IQR])</w:t>
            </w:r>
          </w:p>
        </w:tc>
        <w:tc>
          <w:tcPr>
            <w:tcW w:w="1023" w:type="pct"/>
          </w:tcPr>
          <w:p w14:paraId="5ADD2DD3" w14:textId="77777777" w:rsidR="007330C1" w:rsidRPr="00D5533A" w:rsidRDefault="007330C1" w:rsidP="001A4983">
            <w:pPr>
              <w:spacing w:line="480" w:lineRule="auto"/>
              <w:jc w:val="center"/>
              <w:rPr>
                <w:sz w:val="24"/>
                <w:szCs w:val="24"/>
              </w:rPr>
            </w:pPr>
            <w:r>
              <w:rPr>
                <w:b/>
                <w:sz w:val="24"/>
                <w:szCs w:val="24"/>
              </w:rPr>
              <w:t>Alveolar cells (median [IQR])</w:t>
            </w:r>
          </w:p>
        </w:tc>
      </w:tr>
      <w:tr w:rsidR="007330C1" w:rsidRPr="00A817C2" w14:paraId="60D1A0AC" w14:textId="77777777" w:rsidTr="001A4983">
        <w:tc>
          <w:tcPr>
            <w:tcW w:w="549" w:type="pct"/>
          </w:tcPr>
          <w:p w14:paraId="4BF81DEA" w14:textId="77777777" w:rsidR="007330C1" w:rsidRPr="00CA0BA3" w:rsidRDefault="007330C1" w:rsidP="001A4983">
            <w:pPr>
              <w:spacing w:line="480" w:lineRule="auto"/>
              <w:rPr>
                <w:rFonts w:cstheme="minorHAnsi"/>
                <w:b/>
                <w:sz w:val="24"/>
                <w:szCs w:val="24"/>
              </w:rPr>
            </w:pPr>
            <w:r w:rsidRPr="00CA0BA3">
              <w:rPr>
                <w:rFonts w:cstheme="minorHAnsi"/>
                <w:sz w:val="24"/>
                <w:szCs w:val="24"/>
              </w:rPr>
              <w:t>Rifampicin</w:t>
            </w:r>
          </w:p>
        </w:tc>
        <w:tc>
          <w:tcPr>
            <w:tcW w:w="578" w:type="pct"/>
          </w:tcPr>
          <w:p w14:paraId="08A07FB0" w14:textId="77777777" w:rsidR="007330C1" w:rsidRDefault="007330C1" w:rsidP="001A4983">
            <w:pPr>
              <w:spacing w:line="480" w:lineRule="auto"/>
              <w:rPr>
                <w:rFonts w:cstheme="minorHAnsi"/>
                <w:sz w:val="24"/>
                <w:szCs w:val="24"/>
              </w:rPr>
            </w:pPr>
            <w:r w:rsidRPr="00786D1E">
              <w:rPr>
                <w:rFonts w:cstheme="minorHAnsi"/>
                <w:sz w:val="24"/>
                <w:szCs w:val="24"/>
              </w:rPr>
              <w:t>AUC (</w:t>
            </w:r>
            <w:proofErr w:type="spellStart"/>
            <w:r w:rsidRPr="00786D1E">
              <w:rPr>
                <w:rFonts w:cstheme="minorHAnsi"/>
                <w:sz w:val="24"/>
                <w:szCs w:val="24"/>
              </w:rPr>
              <w:t>μg.h</w:t>
            </w:r>
            <w:proofErr w:type="spellEnd"/>
            <w:r w:rsidRPr="00786D1E">
              <w:rPr>
                <w:rFonts w:cstheme="minorHAnsi"/>
                <w:sz w:val="24"/>
                <w:szCs w:val="24"/>
              </w:rPr>
              <w:t>/ml)</w:t>
            </w:r>
          </w:p>
          <w:p w14:paraId="104F4913" w14:textId="77777777" w:rsidR="007330C1" w:rsidRDefault="007330C1" w:rsidP="001A4983">
            <w:pPr>
              <w:spacing w:line="480" w:lineRule="auto"/>
              <w:rPr>
                <w:rFonts w:cstheme="minorHAnsi"/>
                <w:sz w:val="24"/>
                <w:szCs w:val="24"/>
              </w:rPr>
            </w:pPr>
            <w:r w:rsidRPr="00786D1E">
              <w:rPr>
                <w:rFonts w:cstheme="minorHAnsi"/>
                <w:sz w:val="24"/>
                <w:szCs w:val="24"/>
              </w:rPr>
              <w:t>AUC (</w:t>
            </w:r>
            <w:proofErr w:type="spellStart"/>
            <w:r w:rsidRPr="00786D1E">
              <w:rPr>
                <w:rFonts w:cstheme="minorHAnsi"/>
                <w:sz w:val="24"/>
                <w:szCs w:val="24"/>
              </w:rPr>
              <w:t>μg.h</w:t>
            </w:r>
            <w:proofErr w:type="spellEnd"/>
            <w:r w:rsidRPr="00786D1E">
              <w:rPr>
                <w:rFonts w:cstheme="minorHAnsi"/>
                <w:sz w:val="24"/>
                <w:szCs w:val="24"/>
              </w:rPr>
              <w:t>/ml)</w:t>
            </w:r>
          </w:p>
          <w:p w14:paraId="4CB311FA" w14:textId="77777777" w:rsidR="007330C1" w:rsidRDefault="007330C1" w:rsidP="001A4983">
            <w:pPr>
              <w:spacing w:line="480" w:lineRule="auto"/>
              <w:rPr>
                <w:rFonts w:cstheme="minorHAnsi"/>
                <w:sz w:val="24"/>
                <w:szCs w:val="24"/>
              </w:rPr>
            </w:pPr>
            <w:proofErr w:type="spellStart"/>
            <w:r w:rsidRPr="00786D1E">
              <w:rPr>
                <w:rFonts w:cstheme="minorHAnsi"/>
                <w:sz w:val="24"/>
                <w:szCs w:val="24"/>
              </w:rPr>
              <w:t>C</w:t>
            </w:r>
            <w:r w:rsidRPr="00786D1E">
              <w:rPr>
                <w:rFonts w:cstheme="minorHAnsi"/>
                <w:sz w:val="24"/>
                <w:szCs w:val="24"/>
                <w:vertAlign w:val="subscript"/>
              </w:rPr>
              <w:t>max</w:t>
            </w:r>
            <w:proofErr w:type="spellEnd"/>
            <w:r w:rsidRPr="00786D1E">
              <w:rPr>
                <w:rFonts w:cstheme="minorHAnsi"/>
                <w:sz w:val="24"/>
                <w:szCs w:val="24"/>
              </w:rPr>
              <w:t xml:space="preserve"> (</w:t>
            </w:r>
            <w:proofErr w:type="spellStart"/>
            <w:r w:rsidRPr="00786D1E">
              <w:rPr>
                <w:rFonts w:cstheme="minorHAnsi"/>
                <w:sz w:val="24"/>
                <w:szCs w:val="24"/>
              </w:rPr>
              <w:t>μg</w:t>
            </w:r>
            <w:proofErr w:type="spellEnd"/>
            <w:r w:rsidRPr="00786D1E">
              <w:rPr>
                <w:rFonts w:cstheme="minorHAnsi"/>
                <w:sz w:val="24"/>
                <w:szCs w:val="24"/>
              </w:rPr>
              <w:t>/ml)</w:t>
            </w:r>
          </w:p>
          <w:p w14:paraId="0CC586E1" w14:textId="77777777" w:rsidR="007330C1" w:rsidRPr="00786D1E" w:rsidRDefault="007330C1" w:rsidP="001A4983">
            <w:pPr>
              <w:spacing w:line="480" w:lineRule="auto"/>
              <w:rPr>
                <w:rFonts w:cstheme="minorHAnsi"/>
                <w:sz w:val="24"/>
                <w:szCs w:val="24"/>
              </w:rPr>
            </w:pPr>
            <w:proofErr w:type="spellStart"/>
            <w:r w:rsidRPr="00786D1E">
              <w:rPr>
                <w:rFonts w:cstheme="minorHAnsi"/>
                <w:sz w:val="24"/>
                <w:szCs w:val="24"/>
              </w:rPr>
              <w:t>C</w:t>
            </w:r>
            <w:r w:rsidRPr="00786D1E">
              <w:rPr>
                <w:rFonts w:cstheme="minorHAnsi"/>
                <w:sz w:val="24"/>
                <w:szCs w:val="24"/>
                <w:vertAlign w:val="subscript"/>
              </w:rPr>
              <w:t>max</w:t>
            </w:r>
            <w:proofErr w:type="spellEnd"/>
            <w:r w:rsidRPr="00786D1E">
              <w:rPr>
                <w:rFonts w:cstheme="minorHAnsi"/>
                <w:sz w:val="24"/>
                <w:szCs w:val="24"/>
              </w:rPr>
              <w:t xml:space="preserve"> (</w:t>
            </w:r>
            <w:proofErr w:type="spellStart"/>
            <w:r w:rsidRPr="00786D1E">
              <w:rPr>
                <w:rFonts w:cstheme="minorHAnsi"/>
                <w:sz w:val="24"/>
                <w:szCs w:val="24"/>
              </w:rPr>
              <w:t>μg</w:t>
            </w:r>
            <w:proofErr w:type="spellEnd"/>
            <w:r w:rsidRPr="00786D1E">
              <w:rPr>
                <w:rFonts w:cstheme="minorHAnsi"/>
                <w:sz w:val="24"/>
                <w:szCs w:val="24"/>
              </w:rPr>
              <w:t>/ml)</w:t>
            </w:r>
          </w:p>
        </w:tc>
        <w:tc>
          <w:tcPr>
            <w:tcW w:w="803" w:type="pct"/>
          </w:tcPr>
          <w:p w14:paraId="10D41E2A" w14:textId="77777777" w:rsidR="007330C1" w:rsidRDefault="007330C1" w:rsidP="001A4983">
            <w:pPr>
              <w:spacing w:line="480" w:lineRule="auto"/>
              <w:rPr>
                <w:rFonts w:cstheme="minorHAnsi"/>
                <w:sz w:val="24"/>
                <w:szCs w:val="24"/>
              </w:rPr>
            </w:pPr>
            <w:r>
              <w:rPr>
                <w:rFonts w:cstheme="minorHAnsi"/>
                <w:sz w:val="24"/>
                <w:szCs w:val="24"/>
              </w:rPr>
              <w:t>-</w:t>
            </w:r>
          </w:p>
          <w:p w14:paraId="3495DC1E" w14:textId="77777777" w:rsidR="007330C1" w:rsidRDefault="007330C1" w:rsidP="001A4983">
            <w:pPr>
              <w:spacing w:line="480" w:lineRule="auto"/>
              <w:rPr>
                <w:rFonts w:cstheme="minorHAnsi"/>
                <w:sz w:val="24"/>
                <w:szCs w:val="24"/>
              </w:rPr>
            </w:pPr>
            <w:r>
              <w:rPr>
                <w:rFonts w:cstheme="minorHAnsi"/>
                <w:sz w:val="24"/>
                <w:szCs w:val="24"/>
              </w:rPr>
              <w:t>-</w:t>
            </w:r>
          </w:p>
          <w:p w14:paraId="742A40D7" w14:textId="77777777" w:rsidR="007330C1" w:rsidRDefault="007330C1" w:rsidP="001A4983">
            <w:pPr>
              <w:spacing w:line="480" w:lineRule="auto"/>
              <w:rPr>
                <w:rFonts w:cstheme="minorHAnsi"/>
                <w:sz w:val="24"/>
                <w:szCs w:val="24"/>
              </w:rPr>
            </w:pPr>
            <w:r>
              <w:rPr>
                <w:rFonts w:cstheme="minorHAnsi"/>
                <w:sz w:val="24"/>
                <w:szCs w:val="24"/>
              </w:rPr>
              <w:t>-</w:t>
            </w:r>
          </w:p>
          <w:p w14:paraId="14065F0F" w14:textId="77777777" w:rsidR="007330C1" w:rsidRDefault="007330C1" w:rsidP="001A4983">
            <w:pPr>
              <w:spacing w:line="480" w:lineRule="auto"/>
              <w:rPr>
                <w:rFonts w:cstheme="minorHAnsi"/>
                <w:sz w:val="24"/>
                <w:szCs w:val="24"/>
              </w:rPr>
            </w:pPr>
            <w:r>
              <w:rPr>
                <w:rFonts w:cstheme="minorHAnsi"/>
                <w:sz w:val="24"/>
                <w:szCs w:val="24"/>
              </w:rPr>
              <w:t xml:space="preserve">≥ 8 </w:t>
            </w:r>
            <w:proofErr w:type="spellStart"/>
            <w:r w:rsidRPr="00786D1E">
              <w:rPr>
                <w:rFonts w:cstheme="minorHAnsi"/>
                <w:sz w:val="24"/>
                <w:szCs w:val="24"/>
              </w:rPr>
              <w:t>μg</w:t>
            </w:r>
            <w:proofErr w:type="spellEnd"/>
            <w:r w:rsidRPr="00786D1E">
              <w:rPr>
                <w:rFonts w:cstheme="minorHAnsi"/>
                <w:sz w:val="24"/>
                <w:szCs w:val="24"/>
              </w:rPr>
              <w:t>/ml</w:t>
            </w:r>
          </w:p>
        </w:tc>
        <w:tc>
          <w:tcPr>
            <w:tcW w:w="1023" w:type="pct"/>
          </w:tcPr>
          <w:p w14:paraId="53798C1A" w14:textId="77777777" w:rsidR="007330C1" w:rsidRPr="004853E4" w:rsidRDefault="007330C1" w:rsidP="001A4983">
            <w:pPr>
              <w:spacing w:line="480" w:lineRule="auto"/>
              <w:rPr>
                <w:rFonts w:cstheme="minorHAnsi"/>
                <w:sz w:val="24"/>
                <w:szCs w:val="24"/>
                <w:vertAlign w:val="superscript"/>
              </w:rPr>
            </w:pPr>
            <w:r>
              <w:rPr>
                <w:rFonts w:cstheme="minorHAnsi"/>
                <w:sz w:val="24"/>
                <w:szCs w:val="24"/>
              </w:rPr>
              <w:t xml:space="preserve">6.6 [5.6-7.5] </w:t>
            </w:r>
            <w:r>
              <w:rPr>
                <w:rFonts w:cstheme="minorHAnsi"/>
                <w:sz w:val="24"/>
                <w:szCs w:val="24"/>
                <w:vertAlign w:val="superscript"/>
              </w:rPr>
              <w:t>a</w:t>
            </w:r>
          </w:p>
          <w:p w14:paraId="7900B07C" w14:textId="77777777" w:rsidR="007330C1" w:rsidRPr="00D242AD" w:rsidRDefault="007330C1" w:rsidP="001A4983">
            <w:pPr>
              <w:spacing w:line="480" w:lineRule="auto"/>
              <w:rPr>
                <w:rFonts w:cstheme="minorHAnsi"/>
                <w:sz w:val="24"/>
                <w:szCs w:val="24"/>
                <w:vertAlign w:val="superscript"/>
              </w:rPr>
            </w:pPr>
            <w:r>
              <w:rPr>
                <w:rFonts w:cstheme="minorHAnsi"/>
                <w:sz w:val="24"/>
                <w:szCs w:val="24"/>
              </w:rPr>
              <w:t xml:space="preserve">30.6 [27.3-36.7] </w:t>
            </w:r>
            <w:r>
              <w:rPr>
                <w:rFonts w:cstheme="minorHAnsi"/>
                <w:sz w:val="24"/>
                <w:szCs w:val="24"/>
                <w:vertAlign w:val="superscript"/>
              </w:rPr>
              <w:t>b</w:t>
            </w:r>
          </w:p>
          <w:p w14:paraId="2A7F8C98" w14:textId="77777777" w:rsidR="007330C1" w:rsidRDefault="007330C1" w:rsidP="001A4983">
            <w:pPr>
              <w:spacing w:line="480" w:lineRule="auto"/>
              <w:rPr>
                <w:rFonts w:cstheme="minorHAnsi"/>
                <w:sz w:val="24"/>
                <w:szCs w:val="24"/>
              </w:rPr>
            </w:pPr>
            <w:r>
              <w:rPr>
                <w:rFonts w:cstheme="minorHAnsi"/>
                <w:sz w:val="24"/>
                <w:szCs w:val="24"/>
              </w:rPr>
              <w:t xml:space="preserve">0.8 [0.3-1.0] </w:t>
            </w:r>
            <w:r>
              <w:rPr>
                <w:rFonts w:cstheme="minorHAnsi"/>
                <w:sz w:val="24"/>
                <w:szCs w:val="24"/>
                <w:vertAlign w:val="superscript"/>
              </w:rPr>
              <w:t>a</w:t>
            </w:r>
            <w:r>
              <w:rPr>
                <w:rFonts w:cstheme="minorHAnsi"/>
                <w:sz w:val="24"/>
                <w:szCs w:val="24"/>
              </w:rPr>
              <w:t xml:space="preserve"> </w:t>
            </w:r>
          </w:p>
          <w:p w14:paraId="7A416D52" w14:textId="77777777" w:rsidR="007330C1" w:rsidRPr="00D242AD" w:rsidRDefault="007330C1" w:rsidP="001A4983">
            <w:pPr>
              <w:spacing w:line="480" w:lineRule="auto"/>
              <w:rPr>
                <w:rFonts w:cstheme="minorHAnsi"/>
                <w:caps/>
                <w:sz w:val="24"/>
                <w:szCs w:val="24"/>
                <w:vertAlign w:val="superscript"/>
              </w:rPr>
            </w:pPr>
            <w:r>
              <w:rPr>
                <w:rFonts w:cstheme="minorHAnsi"/>
                <w:sz w:val="24"/>
                <w:szCs w:val="24"/>
              </w:rPr>
              <w:t xml:space="preserve">4.0 [3.5-4.8] </w:t>
            </w:r>
            <w:r>
              <w:rPr>
                <w:rFonts w:cstheme="minorHAnsi"/>
                <w:sz w:val="24"/>
                <w:szCs w:val="24"/>
                <w:vertAlign w:val="superscript"/>
              </w:rPr>
              <w:t>b</w:t>
            </w:r>
          </w:p>
        </w:tc>
        <w:tc>
          <w:tcPr>
            <w:tcW w:w="1023" w:type="pct"/>
          </w:tcPr>
          <w:p w14:paraId="3B0BD548" w14:textId="77777777" w:rsidR="007330C1" w:rsidRDefault="007330C1" w:rsidP="001A4983">
            <w:pPr>
              <w:spacing w:line="480" w:lineRule="auto"/>
              <w:rPr>
                <w:rFonts w:cstheme="minorHAnsi"/>
                <w:sz w:val="24"/>
                <w:szCs w:val="24"/>
              </w:rPr>
            </w:pPr>
            <w:r>
              <w:rPr>
                <w:rFonts w:cstheme="minorHAnsi"/>
                <w:sz w:val="24"/>
                <w:szCs w:val="24"/>
              </w:rPr>
              <w:t>65.7 [52.4-77.1]</w:t>
            </w:r>
          </w:p>
          <w:p w14:paraId="5001F39C" w14:textId="77777777" w:rsidR="007330C1" w:rsidRDefault="007330C1" w:rsidP="001A4983">
            <w:pPr>
              <w:spacing w:line="480" w:lineRule="auto"/>
              <w:rPr>
                <w:rFonts w:cstheme="minorHAnsi"/>
                <w:sz w:val="24"/>
                <w:szCs w:val="24"/>
              </w:rPr>
            </w:pPr>
          </w:p>
          <w:p w14:paraId="75EB9A4F" w14:textId="77777777" w:rsidR="007330C1" w:rsidRPr="00240478" w:rsidRDefault="007330C1" w:rsidP="001A4983">
            <w:pPr>
              <w:spacing w:line="480" w:lineRule="auto"/>
              <w:rPr>
                <w:rFonts w:cstheme="minorHAnsi"/>
                <w:sz w:val="24"/>
                <w:szCs w:val="24"/>
              </w:rPr>
            </w:pPr>
            <w:r>
              <w:rPr>
                <w:rFonts w:cstheme="minorHAnsi"/>
                <w:sz w:val="24"/>
                <w:szCs w:val="24"/>
              </w:rPr>
              <w:t>7.8 [6.4-10.0]</w:t>
            </w:r>
          </w:p>
        </w:tc>
        <w:tc>
          <w:tcPr>
            <w:tcW w:w="1023" w:type="pct"/>
          </w:tcPr>
          <w:p w14:paraId="6A8BC574" w14:textId="77777777" w:rsidR="007330C1" w:rsidRDefault="007330C1" w:rsidP="001A4983">
            <w:pPr>
              <w:spacing w:line="480" w:lineRule="auto"/>
              <w:rPr>
                <w:rFonts w:cstheme="minorHAnsi"/>
                <w:sz w:val="24"/>
                <w:szCs w:val="24"/>
              </w:rPr>
            </w:pPr>
            <w:r>
              <w:rPr>
                <w:rFonts w:cstheme="minorHAnsi"/>
                <w:sz w:val="24"/>
                <w:szCs w:val="24"/>
              </w:rPr>
              <w:t>46.0 [36.4-55.1]</w:t>
            </w:r>
          </w:p>
          <w:p w14:paraId="0F22DD9E" w14:textId="77777777" w:rsidR="007330C1" w:rsidRDefault="007330C1" w:rsidP="001A4983">
            <w:pPr>
              <w:spacing w:line="480" w:lineRule="auto"/>
              <w:rPr>
                <w:rFonts w:cstheme="minorHAnsi"/>
                <w:sz w:val="24"/>
                <w:szCs w:val="24"/>
              </w:rPr>
            </w:pPr>
          </w:p>
          <w:p w14:paraId="479CAE25" w14:textId="77777777" w:rsidR="007330C1" w:rsidRPr="00CA0BA3" w:rsidRDefault="007330C1" w:rsidP="001A4983">
            <w:pPr>
              <w:spacing w:line="480" w:lineRule="auto"/>
              <w:rPr>
                <w:rFonts w:cstheme="minorHAnsi"/>
                <w:sz w:val="24"/>
                <w:szCs w:val="24"/>
              </w:rPr>
            </w:pPr>
            <w:r>
              <w:rPr>
                <w:rFonts w:cstheme="minorHAnsi"/>
                <w:sz w:val="24"/>
                <w:szCs w:val="24"/>
              </w:rPr>
              <w:t>5.3 [4.4-7.6]</w:t>
            </w:r>
          </w:p>
        </w:tc>
      </w:tr>
      <w:tr w:rsidR="007330C1" w:rsidRPr="00A817C2" w14:paraId="42D90FE6" w14:textId="77777777" w:rsidTr="001A4983">
        <w:tc>
          <w:tcPr>
            <w:tcW w:w="549" w:type="pct"/>
          </w:tcPr>
          <w:p w14:paraId="650DE184" w14:textId="77777777" w:rsidR="007330C1" w:rsidRPr="00CA0BA3" w:rsidRDefault="007330C1" w:rsidP="001A4983">
            <w:pPr>
              <w:spacing w:line="480" w:lineRule="auto"/>
              <w:rPr>
                <w:rFonts w:cstheme="minorHAnsi"/>
                <w:b/>
                <w:sz w:val="24"/>
                <w:szCs w:val="24"/>
              </w:rPr>
            </w:pPr>
            <w:r w:rsidRPr="00CA0BA3">
              <w:rPr>
                <w:rFonts w:cstheme="minorHAnsi"/>
                <w:sz w:val="24"/>
                <w:szCs w:val="24"/>
              </w:rPr>
              <w:t>Isoniazid</w:t>
            </w:r>
          </w:p>
        </w:tc>
        <w:tc>
          <w:tcPr>
            <w:tcW w:w="578" w:type="pct"/>
          </w:tcPr>
          <w:p w14:paraId="60916888" w14:textId="77777777" w:rsidR="007330C1" w:rsidRPr="00786D1E" w:rsidRDefault="007330C1" w:rsidP="001A4983">
            <w:pPr>
              <w:spacing w:line="480" w:lineRule="auto"/>
              <w:rPr>
                <w:rFonts w:cstheme="minorHAnsi"/>
                <w:sz w:val="24"/>
                <w:szCs w:val="24"/>
              </w:rPr>
            </w:pPr>
            <w:r w:rsidRPr="00786D1E">
              <w:rPr>
                <w:rFonts w:cstheme="minorHAnsi"/>
                <w:sz w:val="24"/>
                <w:szCs w:val="24"/>
              </w:rPr>
              <w:t>AUC (</w:t>
            </w:r>
            <w:proofErr w:type="spellStart"/>
            <w:r w:rsidRPr="00786D1E">
              <w:rPr>
                <w:rFonts w:cstheme="minorHAnsi"/>
                <w:sz w:val="24"/>
                <w:szCs w:val="24"/>
              </w:rPr>
              <w:t>μg.h</w:t>
            </w:r>
            <w:proofErr w:type="spellEnd"/>
            <w:r w:rsidRPr="00786D1E">
              <w:rPr>
                <w:rFonts w:cstheme="minorHAnsi"/>
                <w:sz w:val="24"/>
                <w:szCs w:val="24"/>
              </w:rPr>
              <w:t>/ml)</w:t>
            </w:r>
          </w:p>
          <w:p w14:paraId="4564129B" w14:textId="77777777" w:rsidR="007330C1" w:rsidRPr="00786D1E" w:rsidRDefault="007330C1" w:rsidP="001A4983">
            <w:pPr>
              <w:spacing w:line="480" w:lineRule="auto"/>
              <w:rPr>
                <w:rFonts w:cstheme="minorHAnsi"/>
                <w:sz w:val="24"/>
                <w:szCs w:val="24"/>
              </w:rPr>
            </w:pPr>
            <w:proofErr w:type="spellStart"/>
            <w:r w:rsidRPr="00786D1E">
              <w:rPr>
                <w:rFonts w:cstheme="minorHAnsi"/>
                <w:sz w:val="24"/>
                <w:szCs w:val="24"/>
              </w:rPr>
              <w:t>C</w:t>
            </w:r>
            <w:r w:rsidRPr="00786D1E">
              <w:rPr>
                <w:rFonts w:cstheme="minorHAnsi"/>
                <w:sz w:val="24"/>
                <w:szCs w:val="24"/>
                <w:vertAlign w:val="subscript"/>
              </w:rPr>
              <w:t>max</w:t>
            </w:r>
            <w:proofErr w:type="spellEnd"/>
            <w:r w:rsidRPr="00786D1E">
              <w:rPr>
                <w:rFonts w:cstheme="minorHAnsi"/>
                <w:sz w:val="24"/>
                <w:szCs w:val="24"/>
              </w:rPr>
              <w:t xml:space="preserve"> (</w:t>
            </w:r>
            <w:proofErr w:type="spellStart"/>
            <w:r w:rsidRPr="00786D1E">
              <w:rPr>
                <w:rFonts w:cstheme="minorHAnsi"/>
                <w:sz w:val="24"/>
                <w:szCs w:val="24"/>
              </w:rPr>
              <w:t>μg</w:t>
            </w:r>
            <w:proofErr w:type="spellEnd"/>
            <w:r w:rsidRPr="00786D1E">
              <w:rPr>
                <w:rFonts w:cstheme="minorHAnsi"/>
                <w:sz w:val="24"/>
                <w:szCs w:val="24"/>
              </w:rPr>
              <w:t>/ml)</w:t>
            </w:r>
          </w:p>
        </w:tc>
        <w:tc>
          <w:tcPr>
            <w:tcW w:w="803" w:type="pct"/>
          </w:tcPr>
          <w:p w14:paraId="2B2A9F0C" w14:textId="77777777" w:rsidR="007330C1" w:rsidRDefault="007330C1" w:rsidP="001A4983">
            <w:pPr>
              <w:spacing w:line="480" w:lineRule="auto"/>
              <w:rPr>
                <w:rFonts w:cstheme="minorHAnsi"/>
                <w:sz w:val="24"/>
                <w:szCs w:val="24"/>
              </w:rPr>
            </w:pPr>
            <w:r>
              <w:rPr>
                <w:rFonts w:cstheme="minorHAnsi"/>
                <w:sz w:val="24"/>
                <w:szCs w:val="24"/>
              </w:rPr>
              <w:t>-</w:t>
            </w:r>
          </w:p>
          <w:p w14:paraId="1D2467ED" w14:textId="77777777" w:rsidR="007330C1" w:rsidRDefault="007330C1" w:rsidP="001A4983">
            <w:pPr>
              <w:spacing w:line="480" w:lineRule="auto"/>
              <w:rPr>
                <w:rFonts w:cstheme="minorHAnsi"/>
                <w:sz w:val="24"/>
                <w:szCs w:val="24"/>
              </w:rPr>
            </w:pPr>
            <w:r>
              <w:rPr>
                <w:rFonts w:cstheme="minorHAnsi"/>
                <w:sz w:val="24"/>
                <w:szCs w:val="24"/>
              </w:rPr>
              <w:t>≥ 3</w:t>
            </w:r>
            <w:r w:rsidRPr="00786D1E">
              <w:rPr>
                <w:rFonts w:cstheme="minorHAnsi"/>
                <w:sz w:val="24"/>
                <w:szCs w:val="24"/>
              </w:rPr>
              <w:t xml:space="preserve"> </w:t>
            </w:r>
            <w:proofErr w:type="spellStart"/>
            <w:r w:rsidRPr="00786D1E">
              <w:rPr>
                <w:rFonts w:cstheme="minorHAnsi"/>
                <w:sz w:val="24"/>
                <w:szCs w:val="24"/>
              </w:rPr>
              <w:t>μg</w:t>
            </w:r>
            <w:proofErr w:type="spellEnd"/>
            <w:r w:rsidRPr="00786D1E">
              <w:rPr>
                <w:rFonts w:cstheme="minorHAnsi"/>
                <w:sz w:val="24"/>
                <w:szCs w:val="24"/>
              </w:rPr>
              <w:t>/ml</w:t>
            </w:r>
          </w:p>
        </w:tc>
        <w:tc>
          <w:tcPr>
            <w:tcW w:w="1023" w:type="pct"/>
          </w:tcPr>
          <w:p w14:paraId="18B3BD67" w14:textId="77777777" w:rsidR="007330C1" w:rsidRDefault="007330C1" w:rsidP="001A4983">
            <w:pPr>
              <w:spacing w:line="480" w:lineRule="auto"/>
              <w:rPr>
                <w:rFonts w:cstheme="minorHAnsi"/>
                <w:sz w:val="24"/>
                <w:szCs w:val="24"/>
              </w:rPr>
            </w:pPr>
            <w:r>
              <w:rPr>
                <w:rFonts w:cstheme="minorHAnsi"/>
                <w:sz w:val="24"/>
                <w:szCs w:val="24"/>
              </w:rPr>
              <w:t>19.0 [11.9-25.9]</w:t>
            </w:r>
          </w:p>
          <w:p w14:paraId="4275C4C7" w14:textId="77777777" w:rsidR="007330C1" w:rsidRPr="00CA0BA3" w:rsidRDefault="007330C1" w:rsidP="001A4983">
            <w:pPr>
              <w:spacing w:line="480" w:lineRule="auto"/>
              <w:rPr>
                <w:rFonts w:cstheme="minorHAnsi"/>
                <w:sz w:val="24"/>
                <w:szCs w:val="24"/>
              </w:rPr>
            </w:pPr>
            <w:r>
              <w:rPr>
                <w:rFonts w:cstheme="minorHAnsi"/>
                <w:sz w:val="24"/>
                <w:szCs w:val="24"/>
              </w:rPr>
              <w:t>2.6 [2.4-3.0]</w:t>
            </w:r>
          </w:p>
        </w:tc>
        <w:tc>
          <w:tcPr>
            <w:tcW w:w="1023" w:type="pct"/>
          </w:tcPr>
          <w:p w14:paraId="3B0ACE26" w14:textId="77777777" w:rsidR="007330C1" w:rsidRDefault="007330C1" w:rsidP="001A4983">
            <w:pPr>
              <w:spacing w:line="480" w:lineRule="auto"/>
              <w:rPr>
                <w:rFonts w:cstheme="minorHAnsi"/>
                <w:sz w:val="24"/>
                <w:szCs w:val="24"/>
              </w:rPr>
            </w:pPr>
            <w:r>
              <w:rPr>
                <w:rFonts w:cstheme="minorHAnsi"/>
                <w:sz w:val="24"/>
                <w:szCs w:val="24"/>
              </w:rPr>
              <w:t>277.8 [154.9-382.4]</w:t>
            </w:r>
          </w:p>
          <w:p w14:paraId="28936910" w14:textId="77777777" w:rsidR="007330C1" w:rsidRPr="00CA0BA3" w:rsidRDefault="007330C1" w:rsidP="001A4983">
            <w:pPr>
              <w:spacing w:line="480" w:lineRule="auto"/>
              <w:rPr>
                <w:rFonts w:cstheme="minorHAnsi"/>
                <w:sz w:val="24"/>
                <w:szCs w:val="24"/>
              </w:rPr>
            </w:pPr>
            <w:r>
              <w:rPr>
                <w:rFonts w:cstheme="minorHAnsi"/>
                <w:sz w:val="24"/>
                <w:szCs w:val="24"/>
              </w:rPr>
              <w:t>38.9 [32.8-46.2]</w:t>
            </w:r>
          </w:p>
        </w:tc>
        <w:tc>
          <w:tcPr>
            <w:tcW w:w="1023" w:type="pct"/>
          </w:tcPr>
          <w:p w14:paraId="3A325BD0" w14:textId="77777777" w:rsidR="007330C1" w:rsidRDefault="007330C1" w:rsidP="001A4983">
            <w:pPr>
              <w:spacing w:line="480" w:lineRule="auto"/>
              <w:rPr>
                <w:rFonts w:cstheme="minorHAnsi"/>
                <w:sz w:val="24"/>
                <w:szCs w:val="24"/>
              </w:rPr>
            </w:pPr>
            <w:r>
              <w:rPr>
                <w:rFonts w:cstheme="minorHAnsi"/>
                <w:sz w:val="24"/>
                <w:szCs w:val="24"/>
              </w:rPr>
              <w:t>24.4 [14.1-34.8]</w:t>
            </w:r>
          </w:p>
          <w:p w14:paraId="38F8FB9A" w14:textId="77777777" w:rsidR="007330C1" w:rsidRPr="00CA0BA3" w:rsidRDefault="007330C1" w:rsidP="001A4983">
            <w:pPr>
              <w:spacing w:line="480" w:lineRule="auto"/>
              <w:rPr>
                <w:rFonts w:cstheme="minorHAnsi"/>
                <w:sz w:val="24"/>
                <w:szCs w:val="24"/>
              </w:rPr>
            </w:pPr>
            <w:r>
              <w:rPr>
                <w:rFonts w:cstheme="minorHAnsi"/>
                <w:sz w:val="24"/>
                <w:szCs w:val="24"/>
              </w:rPr>
              <w:t>3.5 [2.9-4.2]</w:t>
            </w:r>
          </w:p>
        </w:tc>
      </w:tr>
      <w:tr w:rsidR="007330C1" w:rsidRPr="00A817C2" w14:paraId="0EE05C6E" w14:textId="77777777" w:rsidTr="001A4983">
        <w:tc>
          <w:tcPr>
            <w:tcW w:w="549" w:type="pct"/>
          </w:tcPr>
          <w:p w14:paraId="1C43B2F0" w14:textId="77777777" w:rsidR="007330C1" w:rsidRPr="00CA0BA3" w:rsidRDefault="007330C1" w:rsidP="001A4983">
            <w:pPr>
              <w:spacing w:line="480" w:lineRule="auto"/>
              <w:rPr>
                <w:rFonts w:cstheme="minorHAnsi"/>
                <w:b/>
                <w:sz w:val="24"/>
                <w:szCs w:val="24"/>
              </w:rPr>
            </w:pPr>
            <w:r w:rsidRPr="00CA0BA3">
              <w:rPr>
                <w:rFonts w:cstheme="minorHAnsi"/>
                <w:sz w:val="24"/>
                <w:szCs w:val="24"/>
              </w:rPr>
              <w:t>Pyrazinamide</w:t>
            </w:r>
          </w:p>
        </w:tc>
        <w:tc>
          <w:tcPr>
            <w:tcW w:w="578" w:type="pct"/>
          </w:tcPr>
          <w:p w14:paraId="6C34667E" w14:textId="77777777" w:rsidR="007330C1" w:rsidRPr="00786D1E" w:rsidRDefault="007330C1" w:rsidP="001A4983">
            <w:pPr>
              <w:spacing w:line="480" w:lineRule="auto"/>
              <w:rPr>
                <w:rFonts w:cstheme="minorHAnsi"/>
                <w:sz w:val="24"/>
                <w:szCs w:val="24"/>
              </w:rPr>
            </w:pPr>
            <w:r w:rsidRPr="00786D1E">
              <w:rPr>
                <w:rFonts w:cstheme="minorHAnsi"/>
                <w:sz w:val="24"/>
                <w:szCs w:val="24"/>
              </w:rPr>
              <w:t>AUC (</w:t>
            </w:r>
            <w:proofErr w:type="spellStart"/>
            <w:r w:rsidRPr="00786D1E">
              <w:rPr>
                <w:rFonts w:cstheme="minorHAnsi"/>
                <w:sz w:val="24"/>
                <w:szCs w:val="24"/>
              </w:rPr>
              <w:t>μg.h</w:t>
            </w:r>
            <w:proofErr w:type="spellEnd"/>
            <w:r w:rsidRPr="00786D1E">
              <w:rPr>
                <w:rFonts w:cstheme="minorHAnsi"/>
                <w:sz w:val="24"/>
                <w:szCs w:val="24"/>
              </w:rPr>
              <w:t>/ml)</w:t>
            </w:r>
          </w:p>
          <w:p w14:paraId="314CF0A7" w14:textId="77777777" w:rsidR="007330C1" w:rsidRPr="00786D1E" w:rsidRDefault="007330C1" w:rsidP="001A4983">
            <w:pPr>
              <w:spacing w:line="480" w:lineRule="auto"/>
              <w:rPr>
                <w:rFonts w:cstheme="minorHAnsi"/>
                <w:sz w:val="24"/>
                <w:szCs w:val="24"/>
              </w:rPr>
            </w:pPr>
            <w:proofErr w:type="spellStart"/>
            <w:r w:rsidRPr="00786D1E">
              <w:rPr>
                <w:rFonts w:cstheme="minorHAnsi"/>
                <w:sz w:val="24"/>
                <w:szCs w:val="24"/>
              </w:rPr>
              <w:t>C</w:t>
            </w:r>
            <w:r w:rsidRPr="00786D1E">
              <w:rPr>
                <w:rFonts w:cstheme="minorHAnsi"/>
                <w:sz w:val="24"/>
                <w:szCs w:val="24"/>
                <w:vertAlign w:val="subscript"/>
              </w:rPr>
              <w:t>max</w:t>
            </w:r>
            <w:proofErr w:type="spellEnd"/>
            <w:r w:rsidRPr="00786D1E">
              <w:rPr>
                <w:rFonts w:cstheme="minorHAnsi"/>
                <w:sz w:val="24"/>
                <w:szCs w:val="24"/>
              </w:rPr>
              <w:t xml:space="preserve"> (</w:t>
            </w:r>
            <w:proofErr w:type="spellStart"/>
            <w:r w:rsidRPr="00786D1E">
              <w:rPr>
                <w:rFonts w:cstheme="minorHAnsi"/>
                <w:sz w:val="24"/>
                <w:szCs w:val="24"/>
              </w:rPr>
              <w:t>μg</w:t>
            </w:r>
            <w:proofErr w:type="spellEnd"/>
            <w:r w:rsidRPr="00786D1E">
              <w:rPr>
                <w:rFonts w:cstheme="minorHAnsi"/>
                <w:sz w:val="24"/>
                <w:szCs w:val="24"/>
              </w:rPr>
              <w:t>/ml)</w:t>
            </w:r>
          </w:p>
        </w:tc>
        <w:tc>
          <w:tcPr>
            <w:tcW w:w="803" w:type="pct"/>
          </w:tcPr>
          <w:p w14:paraId="6FB8FA53" w14:textId="77777777" w:rsidR="007330C1" w:rsidRDefault="007330C1" w:rsidP="001A4983">
            <w:pPr>
              <w:spacing w:line="480" w:lineRule="auto"/>
              <w:rPr>
                <w:rFonts w:cstheme="minorHAnsi"/>
                <w:sz w:val="24"/>
                <w:szCs w:val="24"/>
              </w:rPr>
            </w:pPr>
            <w:r>
              <w:rPr>
                <w:rFonts w:cstheme="minorHAnsi"/>
                <w:sz w:val="24"/>
                <w:szCs w:val="24"/>
              </w:rPr>
              <w:t>-</w:t>
            </w:r>
          </w:p>
          <w:p w14:paraId="2668432E" w14:textId="53BC6639" w:rsidR="007330C1" w:rsidRPr="00BA7E8B" w:rsidRDefault="007330C1" w:rsidP="001A4983">
            <w:pPr>
              <w:spacing w:line="480" w:lineRule="auto"/>
              <w:rPr>
                <w:rFonts w:cstheme="minorHAnsi"/>
                <w:sz w:val="24"/>
                <w:szCs w:val="24"/>
                <w:vertAlign w:val="superscript"/>
              </w:rPr>
            </w:pPr>
            <w:r>
              <w:rPr>
                <w:rFonts w:cstheme="minorHAnsi"/>
                <w:sz w:val="24"/>
                <w:szCs w:val="24"/>
              </w:rPr>
              <w:t>≥ 20</w:t>
            </w:r>
            <w:r w:rsidRPr="00786D1E">
              <w:rPr>
                <w:rFonts w:cstheme="minorHAnsi"/>
                <w:sz w:val="24"/>
                <w:szCs w:val="24"/>
              </w:rPr>
              <w:t xml:space="preserve"> </w:t>
            </w:r>
            <w:proofErr w:type="spellStart"/>
            <w:r w:rsidRPr="00786D1E">
              <w:rPr>
                <w:rFonts w:cstheme="minorHAnsi"/>
                <w:sz w:val="24"/>
                <w:szCs w:val="24"/>
              </w:rPr>
              <w:t>μg</w:t>
            </w:r>
            <w:proofErr w:type="spellEnd"/>
            <w:r w:rsidRPr="00786D1E">
              <w:rPr>
                <w:rFonts w:cstheme="minorHAnsi"/>
                <w:sz w:val="24"/>
                <w:szCs w:val="24"/>
              </w:rPr>
              <w:t>/ml</w:t>
            </w:r>
            <w:r w:rsidR="000A1DC8">
              <w:rPr>
                <w:rFonts w:cstheme="minorHAnsi"/>
                <w:sz w:val="24"/>
                <w:szCs w:val="24"/>
              </w:rPr>
              <w:t xml:space="preserve"> </w:t>
            </w:r>
            <w:r w:rsidR="000A1DC8">
              <w:rPr>
                <w:rFonts w:cstheme="minorHAnsi"/>
                <w:sz w:val="24"/>
                <w:szCs w:val="24"/>
                <w:vertAlign w:val="superscript"/>
              </w:rPr>
              <w:t>c</w:t>
            </w:r>
          </w:p>
        </w:tc>
        <w:tc>
          <w:tcPr>
            <w:tcW w:w="1023" w:type="pct"/>
          </w:tcPr>
          <w:p w14:paraId="08E60D76" w14:textId="77777777" w:rsidR="007330C1" w:rsidRDefault="007330C1" w:rsidP="001A4983">
            <w:pPr>
              <w:spacing w:line="480" w:lineRule="auto"/>
              <w:rPr>
                <w:rFonts w:cstheme="minorHAnsi"/>
                <w:sz w:val="24"/>
                <w:szCs w:val="24"/>
              </w:rPr>
            </w:pPr>
            <w:r>
              <w:rPr>
                <w:rFonts w:cstheme="minorHAnsi"/>
                <w:sz w:val="24"/>
                <w:szCs w:val="24"/>
              </w:rPr>
              <w:t>319.5 [292.0-384.3]</w:t>
            </w:r>
          </w:p>
          <w:p w14:paraId="7C9F21DC" w14:textId="77777777" w:rsidR="007330C1" w:rsidRPr="00CA0BA3" w:rsidRDefault="007330C1" w:rsidP="001A4983">
            <w:pPr>
              <w:spacing w:line="480" w:lineRule="auto"/>
              <w:rPr>
                <w:rFonts w:cstheme="minorHAnsi"/>
                <w:sz w:val="24"/>
                <w:szCs w:val="24"/>
              </w:rPr>
            </w:pPr>
            <w:r>
              <w:rPr>
                <w:rFonts w:cstheme="minorHAnsi"/>
                <w:sz w:val="24"/>
                <w:szCs w:val="24"/>
              </w:rPr>
              <w:t>24.0 [22.2-26.3]</w:t>
            </w:r>
          </w:p>
        </w:tc>
        <w:tc>
          <w:tcPr>
            <w:tcW w:w="1023" w:type="pct"/>
          </w:tcPr>
          <w:p w14:paraId="7FE2E563" w14:textId="77777777" w:rsidR="007330C1" w:rsidRDefault="007330C1" w:rsidP="001A4983">
            <w:pPr>
              <w:spacing w:line="480" w:lineRule="auto"/>
              <w:rPr>
                <w:rFonts w:cstheme="minorHAnsi"/>
                <w:sz w:val="24"/>
                <w:szCs w:val="24"/>
              </w:rPr>
            </w:pPr>
            <w:r>
              <w:rPr>
                <w:rFonts w:cstheme="minorHAnsi"/>
                <w:sz w:val="24"/>
                <w:szCs w:val="24"/>
              </w:rPr>
              <w:t>16,062 [14,096-19,403]</w:t>
            </w:r>
          </w:p>
          <w:p w14:paraId="3E86F988" w14:textId="77777777" w:rsidR="007330C1" w:rsidRPr="00CA0BA3" w:rsidRDefault="007330C1" w:rsidP="001A4983">
            <w:pPr>
              <w:spacing w:line="480" w:lineRule="auto"/>
              <w:rPr>
                <w:rFonts w:cstheme="minorHAnsi"/>
                <w:sz w:val="24"/>
                <w:szCs w:val="24"/>
              </w:rPr>
            </w:pPr>
            <w:r>
              <w:rPr>
                <w:rFonts w:cstheme="minorHAnsi"/>
                <w:sz w:val="24"/>
                <w:szCs w:val="24"/>
              </w:rPr>
              <w:t>1,195 [1,062-1,361]</w:t>
            </w:r>
          </w:p>
        </w:tc>
        <w:tc>
          <w:tcPr>
            <w:tcW w:w="1023" w:type="pct"/>
          </w:tcPr>
          <w:p w14:paraId="5B1FA5E7" w14:textId="77777777" w:rsidR="007330C1" w:rsidRDefault="007330C1" w:rsidP="001A4983">
            <w:pPr>
              <w:spacing w:line="480" w:lineRule="auto"/>
              <w:rPr>
                <w:rFonts w:cstheme="minorHAnsi"/>
                <w:sz w:val="24"/>
                <w:szCs w:val="24"/>
              </w:rPr>
            </w:pPr>
            <w:r>
              <w:rPr>
                <w:rFonts w:cstheme="minorHAnsi"/>
                <w:sz w:val="24"/>
                <w:szCs w:val="24"/>
              </w:rPr>
              <w:t>1,036 [899-1,272]</w:t>
            </w:r>
          </w:p>
          <w:p w14:paraId="682C8467" w14:textId="77777777" w:rsidR="007330C1" w:rsidRPr="00CA0BA3" w:rsidRDefault="007330C1" w:rsidP="001A4983">
            <w:pPr>
              <w:spacing w:line="480" w:lineRule="auto"/>
              <w:rPr>
                <w:rFonts w:cstheme="minorHAnsi"/>
                <w:sz w:val="24"/>
                <w:szCs w:val="24"/>
              </w:rPr>
            </w:pPr>
            <w:r>
              <w:rPr>
                <w:rFonts w:cstheme="minorHAnsi"/>
                <w:sz w:val="24"/>
                <w:szCs w:val="24"/>
              </w:rPr>
              <w:t>78 [68-94]</w:t>
            </w:r>
          </w:p>
        </w:tc>
      </w:tr>
      <w:tr w:rsidR="007330C1" w:rsidRPr="00A817C2" w14:paraId="139A8689" w14:textId="77777777" w:rsidTr="001A4983">
        <w:tc>
          <w:tcPr>
            <w:tcW w:w="549" w:type="pct"/>
          </w:tcPr>
          <w:p w14:paraId="5046A8D9" w14:textId="77777777" w:rsidR="007330C1" w:rsidRPr="00CA0BA3" w:rsidRDefault="007330C1" w:rsidP="001A4983">
            <w:pPr>
              <w:spacing w:line="480" w:lineRule="auto"/>
              <w:rPr>
                <w:rFonts w:cstheme="minorHAnsi"/>
                <w:b/>
                <w:sz w:val="24"/>
                <w:szCs w:val="24"/>
              </w:rPr>
            </w:pPr>
            <w:r w:rsidRPr="00CA0BA3">
              <w:rPr>
                <w:rFonts w:cstheme="minorHAnsi"/>
                <w:sz w:val="24"/>
                <w:szCs w:val="24"/>
              </w:rPr>
              <w:t>Ethambutol</w:t>
            </w:r>
          </w:p>
        </w:tc>
        <w:tc>
          <w:tcPr>
            <w:tcW w:w="578" w:type="pct"/>
          </w:tcPr>
          <w:p w14:paraId="41C87236" w14:textId="77777777" w:rsidR="007330C1" w:rsidRPr="00786D1E" w:rsidRDefault="007330C1" w:rsidP="001A4983">
            <w:pPr>
              <w:spacing w:line="480" w:lineRule="auto"/>
              <w:rPr>
                <w:rFonts w:cstheme="minorHAnsi"/>
                <w:sz w:val="24"/>
                <w:szCs w:val="24"/>
              </w:rPr>
            </w:pPr>
            <w:r w:rsidRPr="00786D1E">
              <w:rPr>
                <w:rFonts w:cstheme="minorHAnsi"/>
                <w:sz w:val="24"/>
                <w:szCs w:val="24"/>
              </w:rPr>
              <w:t>AUC (</w:t>
            </w:r>
            <w:proofErr w:type="spellStart"/>
            <w:r w:rsidRPr="00786D1E">
              <w:rPr>
                <w:rFonts w:cstheme="minorHAnsi"/>
                <w:sz w:val="24"/>
                <w:szCs w:val="24"/>
              </w:rPr>
              <w:t>μg.h</w:t>
            </w:r>
            <w:proofErr w:type="spellEnd"/>
            <w:r w:rsidRPr="00786D1E">
              <w:rPr>
                <w:rFonts w:cstheme="minorHAnsi"/>
                <w:sz w:val="24"/>
                <w:szCs w:val="24"/>
              </w:rPr>
              <w:t>/ml)</w:t>
            </w:r>
          </w:p>
          <w:p w14:paraId="41D2523E" w14:textId="77777777" w:rsidR="007330C1" w:rsidRPr="00786D1E" w:rsidRDefault="007330C1" w:rsidP="001A4983">
            <w:pPr>
              <w:spacing w:line="480" w:lineRule="auto"/>
              <w:rPr>
                <w:rFonts w:cstheme="minorHAnsi"/>
                <w:sz w:val="24"/>
                <w:szCs w:val="24"/>
              </w:rPr>
            </w:pPr>
            <w:proofErr w:type="spellStart"/>
            <w:r w:rsidRPr="00786D1E">
              <w:rPr>
                <w:rFonts w:cstheme="minorHAnsi"/>
                <w:sz w:val="24"/>
                <w:szCs w:val="24"/>
              </w:rPr>
              <w:t>C</w:t>
            </w:r>
            <w:r w:rsidRPr="00786D1E">
              <w:rPr>
                <w:rFonts w:cstheme="minorHAnsi"/>
                <w:sz w:val="24"/>
                <w:szCs w:val="24"/>
                <w:vertAlign w:val="subscript"/>
              </w:rPr>
              <w:t>max</w:t>
            </w:r>
            <w:proofErr w:type="spellEnd"/>
            <w:r w:rsidRPr="00786D1E">
              <w:rPr>
                <w:rFonts w:cstheme="minorHAnsi"/>
                <w:sz w:val="24"/>
                <w:szCs w:val="24"/>
              </w:rPr>
              <w:t xml:space="preserve"> (</w:t>
            </w:r>
            <w:proofErr w:type="spellStart"/>
            <w:r w:rsidRPr="00786D1E">
              <w:rPr>
                <w:rFonts w:cstheme="minorHAnsi"/>
                <w:sz w:val="24"/>
                <w:szCs w:val="24"/>
              </w:rPr>
              <w:t>μg</w:t>
            </w:r>
            <w:proofErr w:type="spellEnd"/>
            <w:r w:rsidRPr="00786D1E">
              <w:rPr>
                <w:rFonts w:cstheme="minorHAnsi"/>
                <w:sz w:val="24"/>
                <w:szCs w:val="24"/>
              </w:rPr>
              <w:t>/ml)</w:t>
            </w:r>
          </w:p>
        </w:tc>
        <w:tc>
          <w:tcPr>
            <w:tcW w:w="803" w:type="pct"/>
          </w:tcPr>
          <w:p w14:paraId="3CA9D915" w14:textId="77777777" w:rsidR="007330C1" w:rsidRDefault="007330C1" w:rsidP="001A4983">
            <w:pPr>
              <w:spacing w:line="480" w:lineRule="auto"/>
              <w:rPr>
                <w:rFonts w:cstheme="minorHAnsi"/>
                <w:sz w:val="24"/>
                <w:szCs w:val="24"/>
              </w:rPr>
            </w:pPr>
            <w:r>
              <w:rPr>
                <w:rFonts w:cstheme="minorHAnsi"/>
                <w:sz w:val="24"/>
                <w:szCs w:val="24"/>
              </w:rPr>
              <w:t>-</w:t>
            </w:r>
          </w:p>
          <w:p w14:paraId="5AF9DC2F" w14:textId="77777777" w:rsidR="007330C1" w:rsidRDefault="007330C1" w:rsidP="001A4983">
            <w:pPr>
              <w:spacing w:line="480" w:lineRule="auto"/>
              <w:rPr>
                <w:rFonts w:cstheme="minorHAnsi"/>
                <w:sz w:val="24"/>
                <w:szCs w:val="24"/>
              </w:rPr>
            </w:pPr>
            <w:r>
              <w:rPr>
                <w:rFonts w:cstheme="minorHAnsi"/>
                <w:sz w:val="24"/>
                <w:szCs w:val="24"/>
              </w:rPr>
              <w:t>≥ 2</w:t>
            </w:r>
            <w:r w:rsidRPr="00786D1E">
              <w:rPr>
                <w:rFonts w:cstheme="minorHAnsi"/>
                <w:sz w:val="24"/>
                <w:szCs w:val="24"/>
              </w:rPr>
              <w:t xml:space="preserve"> </w:t>
            </w:r>
            <w:proofErr w:type="spellStart"/>
            <w:r w:rsidRPr="00786D1E">
              <w:rPr>
                <w:rFonts w:cstheme="minorHAnsi"/>
                <w:sz w:val="24"/>
                <w:szCs w:val="24"/>
              </w:rPr>
              <w:t>μg</w:t>
            </w:r>
            <w:proofErr w:type="spellEnd"/>
            <w:r w:rsidRPr="00786D1E">
              <w:rPr>
                <w:rFonts w:cstheme="minorHAnsi"/>
                <w:sz w:val="24"/>
                <w:szCs w:val="24"/>
              </w:rPr>
              <w:t>/ml</w:t>
            </w:r>
          </w:p>
        </w:tc>
        <w:tc>
          <w:tcPr>
            <w:tcW w:w="1023" w:type="pct"/>
          </w:tcPr>
          <w:p w14:paraId="3E80E3F2" w14:textId="77777777" w:rsidR="007330C1" w:rsidRDefault="007330C1" w:rsidP="001A4983">
            <w:pPr>
              <w:spacing w:line="480" w:lineRule="auto"/>
              <w:rPr>
                <w:rFonts w:cstheme="minorHAnsi"/>
                <w:sz w:val="24"/>
                <w:szCs w:val="24"/>
              </w:rPr>
            </w:pPr>
            <w:r>
              <w:rPr>
                <w:rFonts w:cstheme="minorHAnsi"/>
                <w:sz w:val="24"/>
                <w:szCs w:val="24"/>
              </w:rPr>
              <w:t>5.4 [2.9-7.4]</w:t>
            </w:r>
          </w:p>
          <w:p w14:paraId="71B591D4" w14:textId="77777777" w:rsidR="007330C1" w:rsidRPr="00CA0BA3" w:rsidRDefault="007330C1" w:rsidP="001A4983">
            <w:pPr>
              <w:spacing w:line="480" w:lineRule="auto"/>
              <w:rPr>
                <w:rFonts w:cstheme="minorHAnsi"/>
                <w:sz w:val="24"/>
                <w:szCs w:val="24"/>
              </w:rPr>
            </w:pPr>
            <w:r>
              <w:rPr>
                <w:rFonts w:cstheme="minorHAnsi"/>
                <w:sz w:val="24"/>
                <w:szCs w:val="24"/>
              </w:rPr>
              <w:t>1.3 [1.1-1.6]</w:t>
            </w:r>
          </w:p>
        </w:tc>
        <w:tc>
          <w:tcPr>
            <w:tcW w:w="1023" w:type="pct"/>
          </w:tcPr>
          <w:p w14:paraId="5DA866D4" w14:textId="77777777" w:rsidR="007330C1" w:rsidRDefault="007330C1" w:rsidP="001A4983">
            <w:pPr>
              <w:spacing w:line="480" w:lineRule="auto"/>
              <w:rPr>
                <w:rFonts w:cstheme="minorHAnsi"/>
                <w:sz w:val="24"/>
                <w:szCs w:val="24"/>
              </w:rPr>
            </w:pPr>
            <w:r>
              <w:rPr>
                <w:rFonts w:cstheme="minorHAnsi"/>
                <w:sz w:val="24"/>
                <w:szCs w:val="24"/>
              </w:rPr>
              <w:t>22.6 [11.7-29.2]</w:t>
            </w:r>
          </w:p>
          <w:p w14:paraId="207DB3C0" w14:textId="77777777" w:rsidR="007330C1" w:rsidRPr="00CA0BA3" w:rsidRDefault="007330C1" w:rsidP="001A4983">
            <w:pPr>
              <w:spacing w:line="480" w:lineRule="auto"/>
              <w:rPr>
                <w:rFonts w:cstheme="minorHAnsi"/>
                <w:sz w:val="24"/>
                <w:szCs w:val="24"/>
              </w:rPr>
            </w:pPr>
            <w:r>
              <w:rPr>
                <w:rFonts w:cstheme="minorHAnsi"/>
                <w:sz w:val="24"/>
                <w:szCs w:val="24"/>
              </w:rPr>
              <w:t>5.2 [4.2-6.6]</w:t>
            </w:r>
          </w:p>
        </w:tc>
        <w:tc>
          <w:tcPr>
            <w:tcW w:w="1023" w:type="pct"/>
          </w:tcPr>
          <w:p w14:paraId="11659356" w14:textId="77777777" w:rsidR="007330C1" w:rsidRDefault="007330C1" w:rsidP="001A4983">
            <w:pPr>
              <w:keepNext/>
              <w:spacing w:line="480" w:lineRule="auto"/>
              <w:rPr>
                <w:rFonts w:cstheme="minorHAnsi"/>
                <w:sz w:val="24"/>
                <w:szCs w:val="24"/>
              </w:rPr>
            </w:pPr>
            <w:r>
              <w:rPr>
                <w:rFonts w:cstheme="minorHAnsi"/>
                <w:sz w:val="24"/>
                <w:szCs w:val="24"/>
              </w:rPr>
              <w:t>83.0 [48.0-110.1]</w:t>
            </w:r>
          </w:p>
          <w:p w14:paraId="00D201C5" w14:textId="77777777" w:rsidR="007330C1" w:rsidRPr="00CA0BA3" w:rsidRDefault="007330C1" w:rsidP="001A4983">
            <w:pPr>
              <w:keepNext/>
              <w:spacing w:line="480" w:lineRule="auto"/>
              <w:rPr>
                <w:rFonts w:cstheme="minorHAnsi"/>
                <w:sz w:val="24"/>
                <w:szCs w:val="24"/>
              </w:rPr>
            </w:pPr>
            <w:r>
              <w:rPr>
                <w:rFonts w:cstheme="minorHAnsi"/>
                <w:sz w:val="24"/>
                <w:szCs w:val="24"/>
              </w:rPr>
              <w:t>20.0 [15.4-25.3]</w:t>
            </w:r>
          </w:p>
        </w:tc>
      </w:tr>
    </w:tbl>
    <w:p w14:paraId="2A27F071" w14:textId="77777777" w:rsidR="007330C1" w:rsidRDefault="007330C1" w:rsidP="007330C1">
      <w:pPr>
        <w:spacing w:after="0" w:line="480" w:lineRule="auto"/>
        <w:rPr>
          <w:sz w:val="24"/>
        </w:rPr>
      </w:pPr>
    </w:p>
    <w:p w14:paraId="593FE6A5" w14:textId="77777777" w:rsidR="007330C1" w:rsidRDefault="007330C1" w:rsidP="007330C1">
      <w:pPr>
        <w:spacing w:after="0" w:line="480" w:lineRule="auto"/>
        <w:rPr>
          <w:sz w:val="24"/>
        </w:rPr>
      </w:pPr>
      <w:r w:rsidRPr="00786D1E">
        <w:rPr>
          <w:sz w:val="24"/>
        </w:rPr>
        <w:lastRenderedPageBreak/>
        <w:t xml:space="preserve">AUC: area under the concentration-time curve; </w:t>
      </w:r>
      <w:proofErr w:type="spellStart"/>
      <w:r w:rsidRPr="00786D1E">
        <w:rPr>
          <w:sz w:val="24"/>
        </w:rPr>
        <w:t>C</w:t>
      </w:r>
      <w:r w:rsidRPr="00786D1E">
        <w:rPr>
          <w:sz w:val="24"/>
          <w:vertAlign w:val="subscript"/>
        </w:rPr>
        <w:t>max</w:t>
      </w:r>
      <w:proofErr w:type="spellEnd"/>
      <w:r w:rsidRPr="00786D1E">
        <w:rPr>
          <w:sz w:val="24"/>
        </w:rPr>
        <w:t>: peak</w:t>
      </w:r>
      <w:r>
        <w:rPr>
          <w:sz w:val="24"/>
        </w:rPr>
        <w:t xml:space="preserve"> concentration; IQR: interquartile range</w:t>
      </w:r>
    </w:p>
    <w:p w14:paraId="038023FF" w14:textId="77777777" w:rsidR="007330C1" w:rsidRDefault="007330C1" w:rsidP="007330C1">
      <w:pPr>
        <w:spacing w:after="0" w:line="480" w:lineRule="auto"/>
        <w:rPr>
          <w:sz w:val="24"/>
        </w:rPr>
      </w:pPr>
      <w:proofErr w:type="spellStart"/>
      <w:proofErr w:type="gramStart"/>
      <w:r w:rsidRPr="004853E4">
        <w:rPr>
          <w:sz w:val="24"/>
          <w:vertAlign w:val="superscript"/>
        </w:rPr>
        <w:t>a</w:t>
      </w:r>
      <w:proofErr w:type="spellEnd"/>
      <w:proofErr w:type="gramEnd"/>
      <w:r>
        <w:rPr>
          <w:sz w:val="24"/>
        </w:rPr>
        <w:t xml:space="preserve"> Estimated unbound fraction of rifampicin in plasma, assuming typical 80% rifampicin protein binding</w:t>
      </w:r>
      <w:r>
        <w:rPr>
          <w:i/>
          <w:sz w:val="24"/>
          <w:vertAlign w:val="subscript"/>
        </w:rPr>
        <w:t xml:space="preserve"> </w:t>
      </w:r>
    </w:p>
    <w:p w14:paraId="0EEDB70D" w14:textId="77777777" w:rsidR="007330C1" w:rsidRDefault="007330C1" w:rsidP="007330C1">
      <w:pPr>
        <w:spacing w:after="0" w:line="480" w:lineRule="auto"/>
        <w:rPr>
          <w:sz w:val="24"/>
        </w:rPr>
      </w:pPr>
      <w:r>
        <w:rPr>
          <w:rFonts w:cstheme="minorHAnsi"/>
          <w:sz w:val="24"/>
          <w:vertAlign w:val="superscript"/>
        </w:rPr>
        <w:t>b</w:t>
      </w:r>
      <w:r>
        <w:rPr>
          <w:sz w:val="24"/>
          <w:vertAlign w:val="superscript"/>
        </w:rPr>
        <w:t xml:space="preserve"> </w:t>
      </w:r>
      <w:r>
        <w:rPr>
          <w:sz w:val="24"/>
        </w:rPr>
        <w:t>Total rifampicin in plasma</w:t>
      </w:r>
    </w:p>
    <w:p w14:paraId="4FE3A807" w14:textId="7A1F201D" w:rsidR="000A1DC8" w:rsidRPr="000A1DC8" w:rsidRDefault="000A1DC8" w:rsidP="007330C1">
      <w:pPr>
        <w:spacing w:after="0" w:line="480" w:lineRule="auto"/>
        <w:rPr>
          <w:sz w:val="24"/>
        </w:rPr>
        <w:sectPr w:rsidR="000A1DC8" w:rsidRPr="000A1DC8" w:rsidSect="005D3912">
          <w:pgSz w:w="16838" w:h="11906" w:orient="landscape"/>
          <w:pgMar w:top="1440" w:right="1440" w:bottom="1440" w:left="1440" w:header="708" w:footer="708" w:gutter="0"/>
          <w:cols w:space="708"/>
          <w:docGrid w:linePitch="360"/>
        </w:sectPr>
      </w:pPr>
      <w:r>
        <w:rPr>
          <w:sz w:val="24"/>
          <w:vertAlign w:val="superscript"/>
        </w:rPr>
        <w:t>c</w:t>
      </w:r>
      <w:r>
        <w:rPr>
          <w:sz w:val="24"/>
        </w:rPr>
        <w:t xml:space="preserve"> </w:t>
      </w:r>
      <w:r w:rsidR="002372F9">
        <w:rPr>
          <w:sz w:val="24"/>
        </w:rPr>
        <w:t xml:space="preserve"> P</w:t>
      </w:r>
      <w:r w:rsidR="002372F9">
        <w:rPr>
          <w:rFonts w:cstheme="minorHAnsi"/>
          <w:sz w:val="24"/>
        </w:rPr>
        <w:t xml:space="preserve">yrazinamide </w:t>
      </w:r>
      <w:proofErr w:type="spellStart"/>
      <w:r w:rsidR="002372F9">
        <w:rPr>
          <w:rFonts w:cstheme="minorHAnsi"/>
          <w:sz w:val="24"/>
        </w:rPr>
        <w:t>C</w:t>
      </w:r>
      <w:r w:rsidR="002372F9">
        <w:rPr>
          <w:rFonts w:cstheme="minorHAnsi"/>
          <w:sz w:val="24"/>
          <w:vertAlign w:val="subscript"/>
        </w:rPr>
        <w:t>max</w:t>
      </w:r>
      <w:proofErr w:type="spellEnd"/>
      <w:r w:rsidR="002372F9">
        <w:rPr>
          <w:rFonts w:cstheme="minorHAnsi"/>
          <w:sz w:val="24"/>
        </w:rPr>
        <w:t xml:space="preserve"> ≥ 35 </w:t>
      </w:r>
      <w:proofErr w:type="spellStart"/>
      <w:r w:rsidR="002372F9">
        <w:rPr>
          <w:rFonts w:cstheme="minorHAnsi"/>
          <w:sz w:val="24"/>
        </w:rPr>
        <w:t>μg</w:t>
      </w:r>
      <w:proofErr w:type="spellEnd"/>
      <w:r w:rsidR="002372F9">
        <w:rPr>
          <w:rFonts w:cstheme="minorHAnsi"/>
          <w:sz w:val="24"/>
        </w:rPr>
        <w:t xml:space="preserve">/ml </w:t>
      </w:r>
      <w:r w:rsidR="00394556">
        <w:rPr>
          <w:rFonts w:cstheme="minorHAnsi"/>
          <w:sz w:val="24"/>
        </w:rPr>
        <w:t xml:space="preserve">has also been proposed as a target due to association with improved outcomes </w:t>
      </w:r>
      <w:r w:rsidR="00394556">
        <w:rPr>
          <w:rFonts w:cstheme="minorHAnsi"/>
          <w:sz w:val="24"/>
        </w:rPr>
        <w:fldChar w:fldCharType="begin" w:fldLock="1"/>
      </w:r>
      <w:r w:rsidR="00DE300B">
        <w:rPr>
          <w:rFonts w:cstheme="minorHAnsi"/>
          <w:sz w:val="24"/>
        </w:rPr>
        <w:instrText>ADDIN CSL_CITATION {"citationItems":[{"id":"ITEM-1","itemData":{"DOI":"10.1086/599040","ISBN":"1537-6591 (Electronic)\r1058-4838 (Linking)","PMID":"19432554","abstract":"BACKGROUND: We explored the association between antituberculosis drug pharmacokinetics and treatment outcomes among patients with pulmonary tuberculosis in Botswana. METHODS: Consenting outpatients with tuberculosis had blood samples collected 1, 2, and 6 h after simultaneous isoniazid, rifampin, ethambutol, and pyrazinamide ingestion. Maximum serum concentrations (C(max)) and areas under the serum concentration time curve were determined. Clinical status was monitored throughout treatment. RESULTS: Of the 225 participants, 36 (16%) experienced poor treatment outcome (treatment failure or death); 155 (69%) were infected with human immunodeficiency virus (HIV). Compared with published standards, low isoniazid C(max) occurred in 84 patients (37%), low rifampin C(max) in 188 (84%), low ethambutol C(max) in 87 (39%), and low pyrazinamide C(max) in 11 (5%). Median rifampin and pyrazinamide levels differed significantly by HIV status and CD4 cell count category. Only pyrazinamide pharmacokinetics were significantly associated with treatment outcome; low pyrazinamide C(max) was associated with a higher risk of documented poor treatment outcome, compared with normal C(max) (50% vs. 16%; P &lt; .01). HIV-infected patients with a CD4 cell count &lt;200 cells/microL had a higher risk of poor treatment outcome (27%) than did HIV-uninfected patients (11%) or HIV-infected patients with a CD4 cell count 200 cells/microL (12%; P = .01). After adjustment for HIV infection and CD4 cell count, patients with low pyrazinamide C(max) were 3 times more likely than patients with normal pyrazinamide C(max) to have poor outcomes (adjusted risk ratio, 3.38; 95% confidence interval, 1.84-6.22). CONCLUSIONS: Lower than expected antituberculosis drug C(max) occurred frequently, and low pyrazinamide C(max) was associated with poor treatment outcome. Exploring the global prevalence and significance of these findings may suggest modifications in treatment regimens that could improve tuberculosis cure rates.","author":[{"dropping-particle":"","family":"Chideya","given":"S","non-dropping-particle":"","parse-names":false,"suffix":""},{"dropping-particle":"","family":"Winston","given":"C A","non-dropping-particle":"","parse-names":false,"suffix":""},{"dropping-particle":"","family":"Peloquin","given":"C A","non-dropping-particle":"","parse-names":false,"suffix":""},{"dropping-particle":"","family":"Bradford","given":"W Z","non-dropping-particle":"","parse-names":false,"suffix":""},{"dropping-particle":"","family":"Hopewell","given":"P C","non-dropping-particle":"","parse-names":false,"suffix":""},{"dropping-particle":"","family":"Wells","given":"C D","non-dropping-particle":"","parse-names":false,"suffix":""},{"dropping-particle":"","family":"Reingold","given":"A L","non-dropping-particle":"","parse-names":false,"suffix":""},{"dropping-particle":"","family":"Kenyon","given":"T A","non-dropping-particle":"","parse-names":false,"suffix":""},{"dropping-particle":"","family":"Moeti","given":"T L","non-dropping-particle":"","parse-names":false,"suffix":""},{"dropping-particle":"","family":"Tappero","given":"J W","non-dropping-particle":"","parse-names":false,"suffix":""}],"container-title":"Clin Infect Dis","id":"ITEM-1","issue":"12","issued":{"date-parts":[["2009"]]},"note":"Chideya, Sekai\nWinston, Carla A\nPeloquin, Charles A\nBradford, William Z\nHopewell, Philip C\nWells, Charles D\nReingold, Arthur L\nKenyon, Thomas A\nMoeti, Themba L\nTappero, Jordan W\neng\nR01 AI037845/AI/NIAID NIH HHS/\nD43 TW000003/TW/FIC NIH HHS/\nD43 TW00003-14/TW/FIC NIH HHS/\nK08 A134238/PHS HHS/\nR01 AI034238/AI/NIAID NIH HHS/\nR01 A134238/PHS HHS/\nResearch Support, N.I.H., Extramural\nResearch Support, U.S. Gov't, P.H.S.\n2009/05/13 09:00\nClin Infect Dis. 2009 Jun 15;48(12):1685-94. doi: 10.1086/599040.","page":"1685-1694","title":"Isoniazid, rifampin, ethambutol, and pyrazinamide pharmacokinetics and treatment outcomes among a predominantly HIV-infected cohort of adults with tuberculosis from Botswana","type":"article-journal","volume":"48"},"uris":["http://www.mendeley.com/documents/?uuid=74695ed7-5eb2-49e1-bb14-376c9e23283e"]}],"mendeley":{"formattedCitation":"[30]","plainTextFormattedCitation":"[30]","previouslyFormattedCitation":"[26]"},"properties":{"noteIndex":0},"schema":"https://github.com/citation-style-language/schema/raw/master/csl-citation.json"}</w:instrText>
      </w:r>
      <w:r w:rsidR="00394556">
        <w:rPr>
          <w:rFonts w:cstheme="minorHAnsi"/>
          <w:sz w:val="24"/>
        </w:rPr>
        <w:fldChar w:fldCharType="separate"/>
      </w:r>
      <w:r w:rsidR="00DE300B" w:rsidRPr="00DE300B">
        <w:rPr>
          <w:rFonts w:cstheme="minorHAnsi"/>
          <w:noProof/>
          <w:sz w:val="24"/>
        </w:rPr>
        <w:t>[30]</w:t>
      </w:r>
      <w:r w:rsidR="00394556">
        <w:rPr>
          <w:rFonts w:cstheme="minorHAnsi"/>
          <w:sz w:val="24"/>
        </w:rPr>
        <w:fldChar w:fldCharType="end"/>
      </w:r>
    </w:p>
    <w:p w14:paraId="37BDEA6A" w14:textId="77777777" w:rsidR="007330C1" w:rsidRDefault="007330C1" w:rsidP="007330C1">
      <w:pPr>
        <w:spacing w:after="0" w:line="480" w:lineRule="auto"/>
        <w:rPr>
          <w:sz w:val="24"/>
        </w:rPr>
      </w:pPr>
      <w:r>
        <w:rPr>
          <w:b/>
          <w:sz w:val="24"/>
        </w:rPr>
        <w:lastRenderedPageBreak/>
        <w:t>Table 3</w:t>
      </w:r>
      <w:r>
        <w:rPr>
          <w:sz w:val="24"/>
        </w:rPr>
        <w:t xml:space="preserve">: </w:t>
      </w:r>
      <w:r w:rsidRPr="00DA7842">
        <w:rPr>
          <w:sz w:val="24"/>
        </w:rPr>
        <w:t xml:space="preserve">Summary of </w:t>
      </w:r>
      <w:r>
        <w:rPr>
          <w:sz w:val="24"/>
        </w:rPr>
        <w:t>pharmacokinetic</w:t>
      </w:r>
      <w:r w:rsidRPr="00DA7842">
        <w:rPr>
          <w:sz w:val="24"/>
        </w:rPr>
        <w:t xml:space="preserve"> indices from modelled plasma data</w:t>
      </w:r>
    </w:p>
    <w:tbl>
      <w:tblPr>
        <w:tblStyle w:val="TableGrid"/>
        <w:tblW w:w="0" w:type="auto"/>
        <w:tblLook w:val="04A0" w:firstRow="1" w:lastRow="0" w:firstColumn="1" w:lastColumn="0" w:noHBand="0" w:noVBand="1"/>
      </w:tblPr>
      <w:tblGrid>
        <w:gridCol w:w="3005"/>
        <w:gridCol w:w="3005"/>
        <w:gridCol w:w="3006"/>
      </w:tblGrid>
      <w:tr w:rsidR="007330C1" w14:paraId="1C15264F" w14:textId="77777777" w:rsidTr="001A4983">
        <w:tc>
          <w:tcPr>
            <w:tcW w:w="3005" w:type="dxa"/>
          </w:tcPr>
          <w:p w14:paraId="0BD6C851" w14:textId="77777777" w:rsidR="007330C1" w:rsidRPr="00DA7842" w:rsidRDefault="007330C1" w:rsidP="001A4983">
            <w:pPr>
              <w:spacing w:line="480" w:lineRule="auto"/>
              <w:jc w:val="center"/>
              <w:rPr>
                <w:b/>
                <w:bCs/>
                <w:sz w:val="24"/>
              </w:rPr>
            </w:pPr>
            <w:r>
              <w:rPr>
                <w:b/>
                <w:bCs/>
                <w:sz w:val="24"/>
              </w:rPr>
              <w:t>Drug</w:t>
            </w:r>
          </w:p>
        </w:tc>
        <w:tc>
          <w:tcPr>
            <w:tcW w:w="3005" w:type="dxa"/>
          </w:tcPr>
          <w:p w14:paraId="49CF7CCE" w14:textId="77777777" w:rsidR="007330C1" w:rsidRPr="00DA7842" w:rsidRDefault="007330C1" w:rsidP="001A4983">
            <w:pPr>
              <w:spacing w:line="480" w:lineRule="auto"/>
              <w:jc w:val="center"/>
              <w:rPr>
                <w:b/>
                <w:bCs/>
                <w:sz w:val="24"/>
              </w:rPr>
            </w:pPr>
            <w:r w:rsidRPr="00DA7842">
              <w:rPr>
                <w:b/>
                <w:bCs/>
                <w:sz w:val="24"/>
                <w:szCs w:val="24"/>
              </w:rPr>
              <w:t>Simulated plasma median AUC/MIC [IQR]</w:t>
            </w:r>
          </w:p>
        </w:tc>
        <w:tc>
          <w:tcPr>
            <w:tcW w:w="3006" w:type="dxa"/>
          </w:tcPr>
          <w:p w14:paraId="37F3B936" w14:textId="77777777" w:rsidR="007330C1" w:rsidRPr="00DA7842" w:rsidRDefault="007330C1" w:rsidP="001A4983">
            <w:pPr>
              <w:spacing w:line="480" w:lineRule="auto"/>
              <w:jc w:val="center"/>
              <w:rPr>
                <w:b/>
                <w:bCs/>
                <w:sz w:val="24"/>
              </w:rPr>
            </w:pPr>
            <w:r w:rsidRPr="00DA7842">
              <w:rPr>
                <w:b/>
                <w:bCs/>
                <w:sz w:val="24"/>
                <w:szCs w:val="24"/>
              </w:rPr>
              <w:t xml:space="preserve">Simulated plasma median </w:t>
            </w:r>
            <w:proofErr w:type="spellStart"/>
            <w:r w:rsidRPr="00DA7842">
              <w:rPr>
                <w:b/>
                <w:bCs/>
                <w:sz w:val="24"/>
                <w:szCs w:val="24"/>
              </w:rPr>
              <w:t>C</w:t>
            </w:r>
            <w:r w:rsidRPr="00DA7842">
              <w:rPr>
                <w:b/>
                <w:bCs/>
                <w:sz w:val="24"/>
                <w:szCs w:val="24"/>
                <w:vertAlign w:val="subscript"/>
              </w:rPr>
              <w:t>max</w:t>
            </w:r>
            <w:proofErr w:type="spellEnd"/>
            <w:r w:rsidRPr="00DA7842">
              <w:rPr>
                <w:b/>
                <w:bCs/>
                <w:sz w:val="24"/>
                <w:szCs w:val="24"/>
              </w:rPr>
              <w:t>/MIC [IQR]</w:t>
            </w:r>
          </w:p>
        </w:tc>
      </w:tr>
      <w:tr w:rsidR="007330C1" w14:paraId="03F2F85B" w14:textId="77777777" w:rsidTr="001A4983">
        <w:tc>
          <w:tcPr>
            <w:tcW w:w="3005" w:type="dxa"/>
          </w:tcPr>
          <w:p w14:paraId="726B686F" w14:textId="77777777" w:rsidR="007330C1" w:rsidRPr="00026A47" w:rsidRDefault="007330C1" w:rsidP="001A4983">
            <w:pPr>
              <w:spacing w:line="480" w:lineRule="auto"/>
              <w:rPr>
                <w:sz w:val="24"/>
                <w:vertAlign w:val="superscript"/>
              </w:rPr>
            </w:pPr>
            <w:r>
              <w:rPr>
                <w:sz w:val="24"/>
              </w:rPr>
              <w:t xml:space="preserve">Rifampicin </w:t>
            </w:r>
            <w:r>
              <w:rPr>
                <w:sz w:val="24"/>
                <w:vertAlign w:val="superscript"/>
              </w:rPr>
              <w:t>a</w:t>
            </w:r>
          </w:p>
        </w:tc>
        <w:tc>
          <w:tcPr>
            <w:tcW w:w="3005" w:type="dxa"/>
          </w:tcPr>
          <w:p w14:paraId="1D924BF5" w14:textId="77777777" w:rsidR="007330C1" w:rsidRDefault="007330C1" w:rsidP="001A4983">
            <w:pPr>
              <w:spacing w:line="480" w:lineRule="auto"/>
              <w:rPr>
                <w:sz w:val="24"/>
              </w:rPr>
            </w:pPr>
            <w:r w:rsidRPr="00B14BD6">
              <w:rPr>
                <w:sz w:val="24"/>
                <w:szCs w:val="24"/>
              </w:rPr>
              <w:t>2</w:t>
            </w:r>
            <w:r>
              <w:rPr>
                <w:sz w:val="24"/>
                <w:szCs w:val="24"/>
              </w:rPr>
              <w:t>,</w:t>
            </w:r>
            <w:r w:rsidRPr="00B14BD6">
              <w:rPr>
                <w:sz w:val="24"/>
                <w:szCs w:val="24"/>
              </w:rPr>
              <w:t>319 [1422</w:t>
            </w:r>
            <w:r>
              <w:rPr>
                <w:sz w:val="24"/>
                <w:szCs w:val="24"/>
              </w:rPr>
              <w:t>-</w:t>
            </w:r>
            <w:r w:rsidRPr="00B14BD6">
              <w:rPr>
                <w:sz w:val="24"/>
                <w:szCs w:val="24"/>
              </w:rPr>
              <w:t>3786]</w:t>
            </w:r>
          </w:p>
        </w:tc>
        <w:tc>
          <w:tcPr>
            <w:tcW w:w="3006" w:type="dxa"/>
          </w:tcPr>
          <w:p w14:paraId="1078C38F" w14:textId="77777777" w:rsidR="007330C1" w:rsidRDefault="007330C1" w:rsidP="001A4983">
            <w:pPr>
              <w:spacing w:line="480" w:lineRule="auto"/>
              <w:rPr>
                <w:sz w:val="24"/>
              </w:rPr>
            </w:pPr>
            <w:r w:rsidRPr="00B14BD6">
              <w:rPr>
                <w:sz w:val="24"/>
                <w:szCs w:val="24"/>
              </w:rPr>
              <w:t>285.0 [178.3</w:t>
            </w:r>
            <w:r>
              <w:rPr>
                <w:sz w:val="24"/>
                <w:szCs w:val="24"/>
              </w:rPr>
              <w:t>-</w:t>
            </w:r>
            <w:r w:rsidRPr="00B14BD6">
              <w:rPr>
                <w:sz w:val="24"/>
                <w:szCs w:val="24"/>
              </w:rPr>
              <w:t>456.2]</w:t>
            </w:r>
          </w:p>
        </w:tc>
      </w:tr>
      <w:tr w:rsidR="007330C1" w14:paraId="11242352" w14:textId="77777777" w:rsidTr="001A4983">
        <w:tc>
          <w:tcPr>
            <w:tcW w:w="3005" w:type="dxa"/>
          </w:tcPr>
          <w:p w14:paraId="1B2E5F67" w14:textId="77777777" w:rsidR="007330C1" w:rsidRDefault="007330C1" w:rsidP="001A4983">
            <w:pPr>
              <w:spacing w:line="480" w:lineRule="auto"/>
              <w:rPr>
                <w:sz w:val="24"/>
              </w:rPr>
            </w:pPr>
            <w:r>
              <w:rPr>
                <w:sz w:val="24"/>
              </w:rPr>
              <w:t>Isoniazid</w:t>
            </w:r>
          </w:p>
        </w:tc>
        <w:tc>
          <w:tcPr>
            <w:tcW w:w="3005" w:type="dxa"/>
          </w:tcPr>
          <w:p w14:paraId="5D0EA990" w14:textId="77777777" w:rsidR="007330C1" w:rsidRDefault="007330C1" w:rsidP="001A4983">
            <w:pPr>
              <w:spacing w:line="480" w:lineRule="auto"/>
              <w:rPr>
                <w:sz w:val="24"/>
              </w:rPr>
            </w:pPr>
            <w:r w:rsidRPr="00B14BD6">
              <w:rPr>
                <w:sz w:val="24"/>
                <w:szCs w:val="24"/>
              </w:rPr>
              <w:t>448 [438</w:t>
            </w:r>
            <w:r>
              <w:rPr>
                <w:sz w:val="24"/>
                <w:szCs w:val="24"/>
              </w:rPr>
              <w:t>-</w:t>
            </w:r>
            <w:r w:rsidRPr="00B14BD6">
              <w:rPr>
                <w:sz w:val="24"/>
                <w:szCs w:val="24"/>
              </w:rPr>
              <w:t>458]</w:t>
            </w:r>
          </w:p>
        </w:tc>
        <w:tc>
          <w:tcPr>
            <w:tcW w:w="3006" w:type="dxa"/>
          </w:tcPr>
          <w:p w14:paraId="168BED87" w14:textId="77777777" w:rsidR="007330C1" w:rsidRDefault="007330C1" w:rsidP="001A4983">
            <w:pPr>
              <w:spacing w:line="480" w:lineRule="auto"/>
              <w:rPr>
                <w:sz w:val="24"/>
              </w:rPr>
            </w:pPr>
            <w:r w:rsidRPr="00B14BD6">
              <w:rPr>
                <w:sz w:val="24"/>
                <w:szCs w:val="24"/>
              </w:rPr>
              <w:t>75.4 [66.7</w:t>
            </w:r>
            <w:r>
              <w:rPr>
                <w:sz w:val="24"/>
                <w:szCs w:val="24"/>
              </w:rPr>
              <w:t>-</w:t>
            </w:r>
            <w:r w:rsidRPr="00B14BD6">
              <w:rPr>
                <w:sz w:val="24"/>
                <w:szCs w:val="24"/>
              </w:rPr>
              <w:t>85.3]</w:t>
            </w:r>
          </w:p>
        </w:tc>
      </w:tr>
      <w:tr w:rsidR="007330C1" w14:paraId="63FD132D" w14:textId="77777777" w:rsidTr="001A4983">
        <w:tc>
          <w:tcPr>
            <w:tcW w:w="3005" w:type="dxa"/>
          </w:tcPr>
          <w:p w14:paraId="326BBB02" w14:textId="77777777" w:rsidR="007330C1" w:rsidRPr="00F93676" w:rsidRDefault="007330C1" w:rsidP="001A4983">
            <w:pPr>
              <w:spacing w:line="480" w:lineRule="auto"/>
              <w:rPr>
                <w:sz w:val="24"/>
                <w:vertAlign w:val="superscript"/>
              </w:rPr>
            </w:pPr>
            <w:r>
              <w:rPr>
                <w:sz w:val="24"/>
              </w:rPr>
              <w:t xml:space="preserve">Pyrazinamide </w:t>
            </w:r>
            <w:r>
              <w:rPr>
                <w:sz w:val="24"/>
                <w:vertAlign w:val="superscript"/>
              </w:rPr>
              <w:t>b</w:t>
            </w:r>
          </w:p>
        </w:tc>
        <w:tc>
          <w:tcPr>
            <w:tcW w:w="3005" w:type="dxa"/>
          </w:tcPr>
          <w:p w14:paraId="69F21ABC" w14:textId="77777777" w:rsidR="007330C1" w:rsidRDefault="007330C1" w:rsidP="001A4983">
            <w:pPr>
              <w:spacing w:line="480" w:lineRule="auto"/>
              <w:rPr>
                <w:sz w:val="24"/>
              </w:rPr>
            </w:pPr>
            <w:r w:rsidRPr="00B14BD6">
              <w:rPr>
                <w:sz w:val="24"/>
                <w:szCs w:val="24"/>
              </w:rPr>
              <w:t>-</w:t>
            </w:r>
          </w:p>
        </w:tc>
        <w:tc>
          <w:tcPr>
            <w:tcW w:w="3006" w:type="dxa"/>
          </w:tcPr>
          <w:p w14:paraId="07F8846E" w14:textId="77777777" w:rsidR="007330C1" w:rsidRDefault="007330C1" w:rsidP="001A4983">
            <w:pPr>
              <w:spacing w:line="480" w:lineRule="auto"/>
              <w:rPr>
                <w:sz w:val="24"/>
              </w:rPr>
            </w:pPr>
            <w:r w:rsidRPr="00B14BD6">
              <w:rPr>
                <w:sz w:val="24"/>
                <w:szCs w:val="24"/>
              </w:rPr>
              <w:t>-</w:t>
            </w:r>
          </w:p>
        </w:tc>
      </w:tr>
      <w:tr w:rsidR="007330C1" w14:paraId="22E9BE11" w14:textId="77777777" w:rsidTr="001A4983">
        <w:tc>
          <w:tcPr>
            <w:tcW w:w="3005" w:type="dxa"/>
          </w:tcPr>
          <w:p w14:paraId="7ED58D6B" w14:textId="77777777" w:rsidR="007330C1" w:rsidRDefault="007330C1" w:rsidP="001A4983">
            <w:pPr>
              <w:spacing w:line="480" w:lineRule="auto"/>
              <w:rPr>
                <w:sz w:val="24"/>
              </w:rPr>
            </w:pPr>
            <w:r>
              <w:rPr>
                <w:sz w:val="24"/>
              </w:rPr>
              <w:t>Ethambutol</w:t>
            </w:r>
          </w:p>
        </w:tc>
        <w:tc>
          <w:tcPr>
            <w:tcW w:w="3005" w:type="dxa"/>
          </w:tcPr>
          <w:p w14:paraId="619F4D89" w14:textId="77777777" w:rsidR="007330C1" w:rsidRDefault="007330C1" w:rsidP="001A4983">
            <w:pPr>
              <w:spacing w:line="480" w:lineRule="auto"/>
              <w:rPr>
                <w:sz w:val="24"/>
              </w:rPr>
            </w:pPr>
            <w:r w:rsidRPr="00B14BD6">
              <w:rPr>
                <w:sz w:val="24"/>
                <w:szCs w:val="24"/>
              </w:rPr>
              <w:t>64 [17</w:t>
            </w:r>
            <w:r>
              <w:rPr>
                <w:sz w:val="24"/>
                <w:szCs w:val="24"/>
              </w:rPr>
              <w:t>-</w:t>
            </w:r>
            <w:r w:rsidRPr="00B14BD6">
              <w:rPr>
                <w:sz w:val="24"/>
                <w:szCs w:val="24"/>
              </w:rPr>
              <w:t>239]</w:t>
            </w:r>
          </w:p>
        </w:tc>
        <w:tc>
          <w:tcPr>
            <w:tcW w:w="3006" w:type="dxa"/>
          </w:tcPr>
          <w:p w14:paraId="376E70CA" w14:textId="77777777" w:rsidR="007330C1" w:rsidRDefault="007330C1" w:rsidP="001A4983">
            <w:pPr>
              <w:spacing w:line="480" w:lineRule="auto"/>
              <w:rPr>
                <w:sz w:val="24"/>
              </w:rPr>
            </w:pPr>
            <w:r w:rsidRPr="00B14BD6">
              <w:rPr>
                <w:sz w:val="24"/>
                <w:szCs w:val="24"/>
              </w:rPr>
              <w:t>4.0 [1.1</w:t>
            </w:r>
            <w:r>
              <w:rPr>
                <w:sz w:val="24"/>
                <w:szCs w:val="24"/>
              </w:rPr>
              <w:t>-</w:t>
            </w:r>
            <w:r w:rsidRPr="00B14BD6">
              <w:rPr>
                <w:sz w:val="24"/>
                <w:szCs w:val="24"/>
              </w:rPr>
              <w:t>14.6]</w:t>
            </w:r>
          </w:p>
        </w:tc>
      </w:tr>
    </w:tbl>
    <w:p w14:paraId="7C2D4CFE" w14:textId="77777777" w:rsidR="007330C1" w:rsidRDefault="007330C1" w:rsidP="007330C1">
      <w:pPr>
        <w:pStyle w:val="Caption"/>
        <w:spacing w:after="0" w:line="480" w:lineRule="auto"/>
        <w:rPr>
          <w:bCs/>
          <w:i w:val="0"/>
          <w:iCs w:val="0"/>
          <w:color w:val="auto"/>
          <w:sz w:val="24"/>
          <w:szCs w:val="24"/>
        </w:rPr>
      </w:pPr>
    </w:p>
    <w:p w14:paraId="70EF9CAA" w14:textId="72674148" w:rsidR="007330C1" w:rsidRPr="00026A47" w:rsidRDefault="007330C1" w:rsidP="007330C1">
      <w:pPr>
        <w:pStyle w:val="Caption"/>
        <w:spacing w:after="0" w:line="480" w:lineRule="auto"/>
        <w:rPr>
          <w:bCs/>
          <w:i w:val="0"/>
          <w:iCs w:val="0"/>
          <w:color w:val="auto"/>
          <w:sz w:val="24"/>
          <w:szCs w:val="24"/>
        </w:rPr>
      </w:pPr>
      <w:r>
        <w:rPr>
          <w:bCs/>
          <w:i w:val="0"/>
          <w:iCs w:val="0"/>
          <w:color w:val="auto"/>
          <w:sz w:val="24"/>
          <w:szCs w:val="24"/>
        </w:rPr>
        <w:t>Minimum inhibitory concentration (</w:t>
      </w:r>
      <w:r w:rsidRPr="00B14BD6">
        <w:rPr>
          <w:bCs/>
          <w:i w:val="0"/>
          <w:iCs w:val="0"/>
          <w:color w:val="auto"/>
          <w:sz w:val="24"/>
          <w:szCs w:val="24"/>
        </w:rPr>
        <w:t>MIC</w:t>
      </w:r>
      <w:r>
        <w:rPr>
          <w:bCs/>
          <w:i w:val="0"/>
          <w:iCs w:val="0"/>
          <w:color w:val="auto"/>
          <w:sz w:val="24"/>
          <w:szCs w:val="24"/>
        </w:rPr>
        <w:t>)</w:t>
      </w:r>
      <w:r w:rsidRPr="00B14BD6">
        <w:rPr>
          <w:bCs/>
          <w:i w:val="0"/>
          <w:iCs w:val="0"/>
          <w:color w:val="auto"/>
          <w:sz w:val="24"/>
          <w:szCs w:val="24"/>
        </w:rPr>
        <w:t xml:space="preserve"> data available from </w:t>
      </w:r>
      <w:r>
        <w:rPr>
          <w:bCs/>
          <w:i w:val="0"/>
          <w:iCs w:val="0"/>
          <w:color w:val="auto"/>
          <w:sz w:val="24"/>
          <w:szCs w:val="24"/>
        </w:rPr>
        <w:t xml:space="preserve">baseline isolates from </w:t>
      </w:r>
      <w:r w:rsidRPr="00B14BD6">
        <w:rPr>
          <w:bCs/>
          <w:i w:val="0"/>
          <w:iCs w:val="0"/>
          <w:color w:val="auto"/>
          <w:sz w:val="24"/>
          <w:szCs w:val="24"/>
        </w:rPr>
        <w:t xml:space="preserve">88 participants. Using the mean and </w:t>
      </w:r>
      <w:r>
        <w:rPr>
          <w:bCs/>
          <w:i w:val="0"/>
          <w:iCs w:val="0"/>
          <w:color w:val="auto"/>
          <w:sz w:val="24"/>
          <w:szCs w:val="24"/>
        </w:rPr>
        <w:t>standard deviation for</w:t>
      </w:r>
      <w:r w:rsidRPr="00B14BD6">
        <w:rPr>
          <w:bCs/>
          <w:i w:val="0"/>
          <w:iCs w:val="0"/>
          <w:color w:val="auto"/>
          <w:sz w:val="24"/>
          <w:szCs w:val="24"/>
        </w:rPr>
        <w:t xml:space="preserve"> AUC, </w:t>
      </w:r>
      <w:proofErr w:type="spellStart"/>
      <w:r w:rsidRPr="00B14BD6">
        <w:rPr>
          <w:bCs/>
          <w:i w:val="0"/>
          <w:iCs w:val="0"/>
          <w:color w:val="auto"/>
          <w:sz w:val="24"/>
          <w:szCs w:val="24"/>
        </w:rPr>
        <w:t>C</w:t>
      </w:r>
      <w:r w:rsidRPr="00B14BD6">
        <w:rPr>
          <w:bCs/>
          <w:i w:val="0"/>
          <w:iCs w:val="0"/>
          <w:color w:val="auto"/>
          <w:sz w:val="24"/>
          <w:szCs w:val="24"/>
          <w:vertAlign w:val="subscript"/>
        </w:rPr>
        <w:t>max</w:t>
      </w:r>
      <w:proofErr w:type="spellEnd"/>
      <w:r w:rsidRPr="00B14BD6">
        <w:rPr>
          <w:bCs/>
          <w:i w:val="0"/>
          <w:iCs w:val="0"/>
          <w:color w:val="auto"/>
          <w:sz w:val="24"/>
          <w:szCs w:val="24"/>
        </w:rPr>
        <w:t xml:space="preserve">, and MIC from this dataset, 100,000 AUC/MIC and </w:t>
      </w:r>
      <w:proofErr w:type="spellStart"/>
      <w:r w:rsidRPr="00B14BD6">
        <w:rPr>
          <w:bCs/>
          <w:i w:val="0"/>
          <w:iCs w:val="0"/>
          <w:color w:val="auto"/>
          <w:sz w:val="24"/>
          <w:szCs w:val="24"/>
        </w:rPr>
        <w:t>C</w:t>
      </w:r>
      <w:r w:rsidRPr="00B14BD6">
        <w:rPr>
          <w:bCs/>
          <w:i w:val="0"/>
          <w:iCs w:val="0"/>
          <w:color w:val="auto"/>
          <w:sz w:val="24"/>
          <w:szCs w:val="24"/>
          <w:vertAlign w:val="subscript"/>
        </w:rPr>
        <w:t>max</w:t>
      </w:r>
      <w:proofErr w:type="spellEnd"/>
      <w:r w:rsidRPr="00B14BD6">
        <w:rPr>
          <w:bCs/>
          <w:i w:val="0"/>
          <w:iCs w:val="0"/>
          <w:color w:val="auto"/>
          <w:sz w:val="24"/>
          <w:szCs w:val="24"/>
        </w:rPr>
        <w:t xml:space="preserve">/MIC pairings generated </w:t>
      </w:r>
      <w:r w:rsidR="007459FA">
        <w:rPr>
          <w:bCs/>
          <w:i w:val="0"/>
          <w:iCs w:val="0"/>
          <w:color w:val="auto"/>
          <w:sz w:val="24"/>
          <w:szCs w:val="24"/>
        </w:rPr>
        <w:t xml:space="preserve">using Monte Carlo simulation </w:t>
      </w:r>
      <w:r w:rsidRPr="00B14BD6">
        <w:rPr>
          <w:bCs/>
          <w:i w:val="0"/>
          <w:iCs w:val="0"/>
          <w:color w:val="auto"/>
          <w:sz w:val="24"/>
          <w:szCs w:val="24"/>
        </w:rPr>
        <w:t xml:space="preserve">to estimate the </w:t>
      </w:r>
      <w:r>
        <w:rPr>
          <w:bCs/>
          <w:i w:val="0"/>
          <w:iCs w:val="0"/>
          <w:color w:val="auto"/>
          <w:sz w:val="24"/>
          <w:szCs w:val="24"/>
        </w:rPr>
        <w:t>d</w:t>
      </w:r>
      <w:r w:rsidRPr="00B14BD6">
        <w:rPr>
          <w:bCs/>
          <w:i w:val="0"/>
          <w:iCs w:val="0"/>
          <w:color w:val="auto"/>
          <w:sz w:val="24"/>
          <w:szCs w:val="24"/>
        </w:rPr>
        <w:t xml:space="preserve">ata distribution.  </w:t>
      </w:r>
    </w:p>
    <w:p w14:paraId="335A1148" w14:textId="77777777" w:rsidR="007330C1" w:rsidRPr="00026A47" w:rsidRDefault="007330C1" w:rsidP="007330C1">
      <w:pPr>
        <w:pStyle w:val="Caption"/>
        <w:spacing w:after="0" w:line="480" w:lineRule="auto"/>
        <w:rPr>
          <w:bCs/>
          <w:i w:val="0"/>
          <w:iCs w:val="0"/>
          <w:color w:val="auto"/>
          <w:sz w:val="24"/>
          <w:szCs w:val="24"/>
        </w:rPr>
      </w:pPr>
      <w:r>
        <w:rPr>
          <w:rFonts w:cstheme="minorHAnsi"/>
          <w:bCs/>
          <w:i w:val="0"/>
          <w:iCs w:val="0"/>
          <w:color w:val="auto"/>
          <w:sz w:val="24"/>
          <w:szCs w:val="24"/>
          <w:vertAlign w:val="superscript"/>
        </w:rPr>
        <w:t>a</w:t>
      </w:r>
      <w:r w:rsidRPr="00B14BD6">
        <w:rPr>
          <w:bCs/>
          <w:i w:val="0"/>
          <w:iCs w:val="0"/>
          <w:color w:val="auto"/>
          <w:sz w:val="24"/>
          <w:szCs w:val="24"/>
          <w:vertAlign w:val="superscript"/>
        </w:rPr>
        <w:t xml:space="preserve"> </w:t>
      </w:r>
      <w:r>
        <w:rPr>
          <w:bCs/>
          <w:i w:val="0"/>
          <w:iCs w:val="0"/>
          <w:color w:val="auto"/>
          <w:sz w:val="24"/>
          <w:szCs w:val="24"/>
        </w:rPr>
        <w:t xml:space="preserve">Rifampicin AUC and </w:t>
      </w:r>
      <w:proofErr w:type="spellStart"/>
      <w:r>
        <w:rPr>
          <w:bCs/>
          <w:i w:val="0"/>
          <w:iCs w:val="0"/>
          <w:color w:val="auto"/>
          <w:sz w:val="24"/>
          <w:szCs w:val="24"/>
        </w:rPr>
        <w:t>C</w:t>
      </w:r>
      <w:r>
        <w:rPr>
          <w:bCs/>
          <w:i w:val="0"/>
          <w:iCs w:val="0"/>
          <w:color w:val="auto"/>
          <w:sz w:val="24"/>
          <w:szCs w:val="24"/>
          <w:vertAlign w:val="subscript"/>
        </w:rPr>
        <w:t>max</w:t>
      </w:r>
      <w:proofErr w:type="spellEnd"/>
      <w:r>
        <w:rPr>
          <w:bCs/>
          <w:i w:val="0"/>
          <w:iCs w:val="0"/>
          <w:color w:val="auto"/>
          <w:sz w:val="24"/>
          <w:szCs w:val="24"/>
        </w:rPr>
        <w:t xml:space="preserve"> based on total (protein bound + unbound) drug</w:t>
      </w:r>
    </w:p>
    <w:p w14:paraId="58B6EAFC" w14:textId="7245AF11" w:rsidR="007330C1" w:rsidRDefault="007330C1" w:rsidP="007330C1">
      <w:pPr>
        <w:spacing w:after="0" w:line="480" w:lineRule="auto"/>
        <w:rPr>
          <w:bCs/>
          <w:sz w:val="24"/>
          <w:szCs w:val="24"/>
        </w:rPr>
      </w:pPr>
      <w:r>
        <w:rPr>
          <w:bCs/>
          <w:sz w:val="24"/>
          <w:szCs w:val="24"/>
          <w:vertAlign w:val="superscript"/>
        </w:rPr>
        <w:t xml:space="preserve">b </w:t>
      </w:r>
      <w:r w:rsidRPr="00B14BD6">
        <w:rPr>
          <w:bCs/>
          <w:sz w:val="24"/>
          <w:szCs w:val="24"/>
        </w:rPr>
        <w:t>MIC data not available for pyrazinamide</w:t>
      </w:r>
    </w:p>
    <w:p w14:paraId="574956E2" w14:textId="77777777" w:rsidR="007330C1" w:rsidRDefault="007330C1" w:rsidP="007330C1">
      <w:pPr>
        <w:spacing w:after="0" w:line="480" w:lineRule="auto"/>
        <w:rPr>
          <w:sz w:val="24"/>
        </w:rPr>
        <w:sectPr w:rsidR="007330C1" w:rsidSect="007330C1">
          <w:pgSz w:w="11906" w:h="16838"/>
          <w:pgMar w:top="1440" w:right="1440" w:bottom="1440" w:left="1440" w:header="708" w:footer="708" w:gutter="0"/>
          <w:cols w:space="708"/>
          <w:docGrid w:linePitch="360"/>
        </w:sectPr>
      </w:pPr>
    </w:p>
    <w:p w14:paraId="0F28E36C" w14:textId="77777777" w:rsidR="007330C1" w:rsidRDefault="007330C1" w:rsidP="007330C1">
      <w:pPr>
        <w:spacing w:line="259" w:lineRule="auto"/>
        <w:rPr>
          <w:sz w:val="24"/>
        </w:rPr>
      </w:pPr>
      <w:r>
        <w:rPr>
          <w:b/>
          <w:sz w:val="24"/>
        </w:rPr>
        <w:lastRenderedPageBreak/>
        <w:t>Table 4</w:t>
      </w:r>
      <w:r>
        <w:rPr>
          <w:sz w:val="24"/>
        </w:rPr>
        <w:t>: Pharmacokinetic indices and treatment response</w:t>
      </w:r>
    </w:p>
    <w:tbl>
      <w:tblPr>
        <w:tblStyle w:val="TableGrid"/>
        <w:tblW w:w="5000" w:type="pct"/>
        <w:tblLayout w:type="fixed"/>
        <w:tblLook w:val="04A0" w:firstRow="1" w:lastRow="0" w:firstColumn="1" w:lastColumn="0" w:noHBand="0" w:noVBand="1"/>
      </w:tblPr>
      <w:tblGrid>
        <w:gridCol w:w="1555"/>
        <w:gridCol w:w="2553"/>
        <w:gridCol w:w="2269"/>
        <w:gridCol w:w="2692"/>
        <w:gridCol w:w="1096"/>
        <w:gridCol w:w="2731"/>
        <w:gridCol w:w="1052"/>
      </w:tblGrid>
      <w:tr w:rsidR="007330C1" w:rsidRPr="00EE04D8" w14:paraId="4BD39C99" w14:textId="77777777" w:rsidTr="001A4983">
        <w:tc>
          <w:tcPr>
            <w:tcW w:w="2285" w:type="pct"/>
            <w:gridSpan w:val="3"/>
          </w:tcPr>
          <w:p w14:paraId="2EA971C3" w14:textId="77777777" w:rsidR="007330C1" w:rsidRPr="00EE04D8" w:rsidRDefault="007330C1" w:rsidP="001A4983">
            <w:pPr>
              <w:spacing w:line="480" w:lineRule="auto"/>
              <w:jc w:val="center"/>
              <w:rPr>
                <w:rFonts w:cstheme="minorHAnsi"/>
                <w:b/>
                <w:sz w:val="24"/>
                <w:szCs w:val="24"/>
              </w:rPr>
            </w:pPr>
            <w:r w:rsidRPr="00EE04D8">
              <w:rPr>
                <w:rFonts w:cstheme="minorHAnsi"/>
                <w:b/>
                <w:sz w:val="24"/>
                <w:szCs w:val="24"/>
              </w:rPr>
              <w:t>P</w:t>
            </w:r>
            <w:r>
              <w:rPr>
                <w:rFonts w:cstheme="minorHAnsi"/>
                <w:b/>
                <w:sz w:val="24"/>
                <w:szCs w:val="24"/>
              </w:rPr>
              <w:t>harmacokinetic</w:t>
            </w:r>
            <w:r w:rsidRPr="00EE04D8">
              <w:rPr>
                <w:rFonts w:cstheme="minorHAnsi"/>
                <w:b/>
                <w:sz w:val="24"/>
                <w:szCs w:val="24"/>
              </w:rPr>
              <w:t xml:space="preserve"> parameter</w:t>
            </w:r>
          </w:p>
        </w:tc>
        <w:tc>
          <w:tcPr>
            <w:tcW w:w="965" w:type="pct"/>
            <w:vMerge w:val="restart"/>
          </w:tcPr>
          <w:p w14:paraId="357E2347" w14:textId="77777777" w:rsidR="007330C1" w:rsidRDefault="007330C1" w:rsidP="001A4983">
            <w:pPr>
              <w:spacing w:line="480" w:lineRule="auto"/>
              <w:jc w:val="center"/>
              <w:rPr>
                <w:rFonts w:cstheme="minorHAnsi"/>
                <w:b/>
                <w:sz w:val="24"/>
                <w:szCs w:val="24"/>
              </w:rPr>
            </w:pPr>
            <w:r w:rsidRPr="00EE04D8">
              <w:rPr>
                <w:rFonts w:cstheme="minorHAnsi"/>
                <w:b/>
                <w:sz w:val="24"/>
                <w:szCs w:val="24"/>
              </w:rPr>
              <w:t>O</w:t>
            </w:r>
            <w:r>
              <w:rPr>
                <w:rFonts w:cstheme="minorHAnsi"/>
                <w:b/>
                <w:sz w:val="24"/>
                <w:szCs w:val="24"/>
              </w:rPr>
              <w:t xml:space="preserve">dds ratio </w:t>
            </w:r>
            <w:r w:rsidRPr="00EE04D8">
              <w:rPr>
                <w:rFonts w:cstheme="minorHAnsi"/>
                <w:b/>
                <w:sz w:val="24"/>
                <w:szCs w:val="24"/>
              </w:rPr>
              <w:t xml:space="preserve">for 2-month culture conversion </w:t>
            </w:r>
          </w:p>
          <w:p w14:paraId="431C21AD" w14:textId="77777777" w:rsidR="007330C1" w:rsidRPr="00EE04D8" w:rsidRDefault="007330C1" w:rsidP="001A4983">
            <w:pPr>
              <w:spacing w:line="480" w:lineRule="auto"/>
              <w:jc w:val="center"/>
              <w:rPr>
                <w:rFonts w:cstheme="minorHAnsi"/>
                <w:b/>
                <w:sz w:val="24"/>
                <w:szCs w:val="24"/>
              </w:rPr>
            </w:pPr>
            <w:r w:rsidRPr="00EE04D8">
              <w:rPr>
                <w:rFonts w:cstheme="minorHAnsi"/>
                <w:b/>
                <w:sz w:val="24"/>
                <w:szCs w:val="24"/>
              </w:rPr>
              <w:t>(95% CI)</w:t>
            </w:r>
          </w:p>
        </w:tc>
        <w:tc>
          <w:tcPr>
            <w:tcW w:w="393" w:type="pct"/>
            <w:vMerge w:val="restart"/>
          </w:tcPr>
          <w:p w14:paraId="2944BD3F" w14:textId="77777777" w:rsidR="007330C1" w:rsidRPr="00EE04D8" w:rsidRDefault="007330C1" w:rsidP="001A4983">
            <w:pPr>
              <w:spacing w:line="480" w:lineRule="auto"/>
              <w:jc w:val="center"/>
              <w:rPr>
                <w:rFonts w:cstheme="minorHAnsi"/>
                <w:b/>
                <w:sz w:val="24"/>
                <w:szCs w:val="24"/>
              </w:rPr>
            </w:pPr>
            <w:r w:rsidRPr="00EE04D8">
              <w:rPr>
                <w:rFonts w:cstheme="minorHAnsi"/>
                <w:b/>
                <w:i/>
                <w:sz w:val="24"/>
                <w:szCs w:val="24"/>
              </w:rPr>
              <w:t>P</w:t>
            </w:r>
            <w:r w:rsidRPr="00EE04D8">
              <w:rPr>
                <w:rFonts w:cstheme="minorHAnsi"/>
                <w:b/>
                <w:sz w:val="24"/>
                <w:szCs w:val="24"/>
              </w:rPr>
              <w:t xml:space="preserve"> value</w:t>
            </w:r>
          </w:p>
        </w:tc>
        <w:tc>
          <w:tcPr>
            <w:tcW w:w="979" w:type="pct"/>
            <w:vMerge w:val="restart"/>
          </w:tcPr>
          <w:p w14:paraId="4D1CD3BB" w14:textId="77777777" w:rsidR="007330C1" w:rsidRPr="00EE04D8" w:rsidRDefault="007330C1" w:rsidP="001A4983">
            <w:pPr>
              <w:spacing w:line="480" w:lineRule="auto"/>
              <w:jc w:val="center"/>
              <w:rPr>
                <w:rFonts w:cstheme="minorHAnsi"/>
                <w:b/>
                <w:sz w:val="24"/>
                <w:szCs w:val="24"/>
              </w:rPr>
            </w:pPr>
            <w:r w:rsidRPr="00EE04D8">
              <w:rPr>
                <w:rFonts w:cstheme="minorHAnsi"/>
                <w:b/>
                <w:sz w:val="24"/>
                <w:szCs w:val="24"/>
              </w:rPr>
              <w:t>O</w:t>
            </w:r>
            <w:r>
              <w:rPr>
                <w:rFonts w:cstheme="minorHAnsi"/>
                <w:b/>
                <w:sz w:val="24"/>
                <w:szCs w:val="24"/>
              </w:rPr>
              <w:t xml:space="preserve">dds ratio </w:t>
            </w:r>
            <w:r w:rsidRPr="00EE04D8">
              <w:rPr>
                <w:rFonts w:cstheme="minorHAnsi"/>
                <w:b/>
                <w:sz w:val="24"/>
                <w:szCs w:val="24"/>
              </w:rPr>
              <w:t>for favourable outcome (95% CI)</w:t>
            </w:r>
          </w:p>
        </w:tc>
        <w:tc>
          <w:tcPr>
            <w:tcW w:w="377" w:type="pct"/>
            <w:vMerge w:val="restart"/>
          </w:tcPr>
          <w:p w14:paraId="65F38F76" w14:textId="77777777" w:rsidR="007330C1" w:rsidRPr="00EE04D8" w:rsidRDefault="007330C1" w:rsidP="001A4983">
            <w:pPr>
              <w:spacing w:line="480" w:lineRule="auto"/>
              <w:jc w:val="center"/>
              <w:rPr>
                <w:rFonts w:cstheme="minorHAnsi"/>
                <w:b/>
                <w:sz w:val="24"/>
                <w:szCs w:val="24"/>
              </w:rPr>
            </w:pPr>
            <w:r w:rsidRPr="00EE04D8">
              <w:rPr>
                <w:rFonts w:cstheme="minorHAnsi"/>
                <w:b/>
                <w:i/>
                <w:sz w:val="24"/>
                <w:szCs w:val="24"/>
              </w:rPr>
              <w:t xml:space="preserve">P </w:t>
            </w:r>
            <w:r w:rsidRPr="00EE04D8">
              <w:rPr>
                <w:rFonts w:cstheme="minorHAnsi"/>
                <w:b/>
                <w:sz w:val="24"/>
                <w:szCs w:val="24"/>
              </w:rPr>
              <w:t>value</w:t>
            </w:r>
          </w:p>
        </w:tc>
      </w:tr>
      <w:tr w:rsidR="007330C1" w:rsidRPr="00EE04D8" w14:paraId="494831DF" w14:textId="77777777" w:rsidTr="001A4983">
        <w:tc>
          <w:tcPr>
            <w:tcW w:w="557" w:type="pct"/>
          </w:tcPr>
          <w:p w14:paraId="102B87A8" w14:textId="77777777" w:rsidR="007330C1" w:rsidRPr="00EE04D8" w:rsidRDefault="007330C1" w:rsidP="001A4983">
            <w:pPr>
              <w:spacing w:line="480" w:lineRule="auto"/>
              <w:jc w:val="center"/>
              <w:rPr>
                <w:rFonts w:cstheme="minorHAnsi"/>
                <w:b/>
                <w:sz w:val="24"/>
                <w:szCs w:val="24"/>
              </w:rPr>
            </w:pPr>
            <w:r w:rsidRPr="00EE04D8">
              <w:rPr>
                <w:rFonts w:cstheme="minorHAnsi"/>
                <w:b/>
                <w:sz w:val="24"/>
                <w:szCs w:val="24"/>
              </w:rPr>
              <w:t>Drug</w:t>
            </w:r>
          </w:p>
        </w:tc>
        <w:tc>
          <w:tcPr>
            <w:tcW w:w="915" w:type="pct"/>
          </w:tcPr>
          <w:p w14:paraId="70FFE4FC" w14:textId="77777777" w:rsidR="007330C1" w:rsidRPr="00EE04D8" w:rsidRDefault="007330C1" w:rsidP="001A4983">
            <w:pPr>
              <w:spacing w:line="480" w:lineRule="auto"/>
              <w:jc w:val="center"/>
              <w:rPr>
                <w:rFonts w:cstheme="minorHAnsi"/>
                <w:b/>
                <w:sz w:val="24"/>
                <w:szCs w:val="24"/>
              </w:rPr>
            </w:pPr>
            <w:r w:rsidRPr="00EE04D8">
              <w:rPr>
                <w:rFonts w:cstheme="minorHAnsi"/>
                <w:b/>
                <w:sz w:val="24"/>
                <w:szCs w:val="24"/>
              </w:rPr>
              <w:t>Matrix</w:t>
            </w:r>
          </w:p>
        </w:tc>
        <w:tc>
          <w:tcPr>
            <w:tcW w:w="813" w:type="pct"/>
          </w:tcPr>
          <w:p w14:paraId="24009727" w14:textId="77777777" w:rsidR="007330C1" w:rsidRPr="00EE04D8" w:rsidRDefault="007330C1" w:rsidP="001A4983">
            <w:pPr>
              <w:spacing w:line="480" w:lineRule="auto"/>
              <w:jc w:val="center"/>
              <w:rPr>
                <w:rFonts w:cstheme="minorHAnsi"/>
                <w:b/>
                <w:sz w:val="24"/>
                <w:szCs w:val="24"/>
              </w:rPr>
            </w:pPr>
            <w:r w:rsidRPr="00EE04D8">
              <w:rPr>
                <w:rFonts w:cstheme="minorHAnsi"/>
                <w:b/>
                <w:sz w:val="24"/>
                <w:szCs w:val="24"/>
              </w:rPr>
              <w:t>P</w:t>
            </w:r>
            <w:r>
              <w:rPr>
                <w:rFonts w:cstheme="minorHAnsi"/>
                <w:b/>
                <w:sz w:val="24"/>
                <w:szCs w:val="24"/>
              </w:rPr>
              <w:t>harmacokinetic</w:t>
            </w:r>
            <w:r w:rsidRPr="00EE04D8">
              <w:rPr>
                <w:rFonts w:cstheme="minorHAnsi"/>
                <w:b/>
                <w:sz w:val="24"/>
                <w:szCs w:val="24"/>
              </w:rPr>
              <w:t xml:space="preserve"> index</w:t>
            </w:r>
          </w:p>
        </w:tc>
        <w:tc>
          <w:tcPr>
            <w:tcW w:w="965" w:type="pct"/>
            <w:vMerge/>
          </w:tcPr>
          <w:p w14:paraId="45B37388" w14:textId="77777777" w:rsidR="007330C1" w:rsidRPr="00EE04D8" w:rsidRDefault="007330C1" w:rsidP="001A4983">
            <w:pPr>
              <w:spacing w:line="480" w:lineRule="auto"/>
              <w:jc w:val="center"/>
              <w:rPr>
                <w:rFonts w:cstheme="minorHAnsi"/>
                <w:b/>
                <w:sz w:val="24"/>
                <w:szCs w:val="24"/>
              </w:rPr>
            </w:pPr>
          </w:p>
        </w:tc>
        <w:tc>
          <w:tcPr>
            <w:tcW w:w="393" w:type="pct"/>
            <w:vMerge/>
          </w:tcPr>
          <w:p w14:paraId="1064035F" w14:textId="77777777" w:rsidR="007330C1" w:rsidRPr="00EE04D8" w:rsidRDefault="007330C1" w:rsidP="001A4983">
            <w:pPr>
              <w:spacing w:line="480" w:lineRule="auto"/>
              <w:jc w:val="center"/>
              <w:rPr>
                <w:rFonts w:cstheme="minorHAnsi"/>
                <w:b/>
                <w:i/>
                <w:sz w:val="24"/>
                <w:szCs w:val="24"/>
              </w:rPr>
            </w:pPr>
          </w:p>
        </w:tc>
        <w:tc>
          <w:tcPr>
            <w:tcW w:w="979" w:type="pct"/>
            <w:vMerge/>
          </w:tcPr>
          <w:p w14:paraId="67E21A9E" w14:textId="77777777" w:rsidR="007330C1" w:rsidRPr="00EE04D8" w:rsidRDefault="007330C1" w:rsidP="001A4983">
            <w:pPr>
              <w:spacing w:line="480" w:lineRule="auto"/>
              <w:jc w:val="center"/>
              <w:rPr>
                <w:rFonts w:cstheme="minorHAnsi"/>
                <w:b/>
                <w:sz w:val="24"/>
                <w:szCs w:val="24"/>
              </w:rPr>
            </w:pPr>
          </w:p>
        </w:tc>
        <w:tc>
          <w:tcPr>
            <w:tcW w:w="377" w:type="pct"/>
            <w:vMerge/>
          </w:tcPr>
          <w:p w14:paraId="682407B2" w14:textId="77777777" w:rsidR="007330C1" w:rsidRPr="00EE04D8" w:rsidRDefault="007330C1" w:rsidP="001A4983">
            <w:pPr>
              <w:spacing w:line="480" w:lineRule="auto"/>
              <w:jc w:val="center"/>
              <w:rPr>
                <w:rFonts w:cstheme="minorHAnsi"/>
                <w:b/>
                <w:i/>
                <w:sz w:val="24"/>
                <w:szCs w:val="24"/>
              </w:rPr>
            </w:pPr>
          </w:p>
        </w:tc>
      </w:tr>
      <w:tr w:rsidR="007330C1" w:rsidRPr="00EE04D8" w14:paraId="6D25AA32" w14:textId="77777777" w:rsidTr="001A4983">
        <w:tc>
          <w:tcPr>
            <w:tcW w:w="557" w:type="pct"/>
            <w:vMerge w:val="restart"/>
          </w:tcPr>
          <w:p w14:paraId="71AE1BAA" w14:textId="77777777" w:rsidR="007330C1" w:rsidRPr="00EE04D8" w:rsidRDefault="007330C1" w:rsidP="001A4983">
            <w:pPr>
              <w:spacing w:line="480" w:lineRule="auto"/>
              <w:rPr>
                <w:rFonts w:cstheme="minorHAnsi"/>
                <w:sz w:val="24"/>
                <w:szCs w:val="24"/>
              </w:rPr>
            </w:pPr>
            <w:r w:rsidRPr="00EE04D8">
              <w:rPr>
                <w:rFonts w:cstheme="minorHAnsi"/>
                <w:sz w:val="24"/>
                <w:szCs w:val="24"/>
              </w:rPr>
              <w:t>Rifampicin</w:t>
            </w:r>
          </w:p>
        </w:tc>
        <w:tc>
          <w:tcPr>
            <w:tcW w:w="915" w:type="pct"/>
            <w:vMerge w:val="restart"/>
          </w:tcPr>
          <w:p w14:paraId="3F6838ED" w14:textId="77777777" w:rsidR="007330C1" w:rsidRPr="00EE04D8" w:rsidRDefault="007330C1" w:rsidP="001A4983">
            <w:pPr>
              <w:spacing w:line="480" w:lineRule="auto"/>
              <w:rPr>
                <w:rFonts w:cstheme="minorHAnsi"/>
                <w:sz w:val="24"/>
                <w:szCs w:val="24"/>
              </w:rPr>
            </w:pPr>
            <w:r w:rsidRPr="00EE04D8">
              <w:rPr>
                <w:rFonts w:cstheme="minorHAnsi"/>
                <w:sz w:val="24"/>
                <w:szCs w:val="24"/>
              </w:rPr>
              <w:t>Plasma</w:t>
            </w:r>
          </w:p>
        </w:tc>
        <w:tc>
          <w:tcPr>
            <w:tcW w:w="813" w:type="pct"/>
          </w:tcPr>
          <w:p w14:paraId="1C5CB2CB" w14:textId="77777777" w:rsidR="007330C1" w:rsidRPr="00EE04D8" w:rsidRDefault="007330C1" w:rsidP="001A4983">
            <w:pPr>
              <w:spacing w:line="480" w:lineRule="auto"/>
              <w:rPr>
                <w:rFonts w:cstheme="minorHAnsi"/>
                <w:sz w:val="24"/>
                <w:szCs w:val="24"/>
              </w:rPr>
            </w:pPr>
            <w:r w:rsidRPr="00EE04D8">
              <w:rPr>
                <w:rFonts w:cstheme="minorHAnsi"/>
                <w:sz w:val="24"/>
                <w:szCs w:val="24"/>
              </w:rPr>
              <w:t>AUC (</w:t>
            </w:r>
            <w:proofErr w:type="spellStart"/>
            <w:r w:rsidRPr="00EE04D8">
              <w:rPr>
                <w:rFonts w:cstheme="minorHAnsi"/>
                <w:sz w:val="24"/>
                <w:szCs w:val="24"/>
              </w:rPr>
              <w:t>μg.h</w:t>
            </w:r>
            <w:proofErr w:type="spellEnd"/>
            <w:r w:rsidRPr="00EE04D8">
              <w:rPr>
                <w:rFonts w:cstheme="minorHAnsi"/>
                <w:sz w:val="24"/>
                <w:szCs w:val="24"/>
              </w:rPr>
              <w:t>/ml)</w:t>
            </w:r>
          </w:p>
        </w:tc>
        <w:tc>
          <w:tcPr>
            <w:tcW w:w="965" w:type="pct"/>
          </w:tcPr>
          <w:p w14:paraId="2B43CF4B" w14:textId="77777777" w:rsidR="007330C1" w:rsidRPr="00EE04D8" w:rsidRDefault="007330C1" w:rsidP="001A4983">
            <w:pPr>
              <w:spacing w:line="480" w:lineRule="auto"/>
              <w:rPr>
                <w:rFonts w:cstheme="minorHAnsi"/>
                <w:sz w:val="24"/>
                <w:szCs w:val="24"/>
              </w:rPr>
            </w:pPr>
            <w:r w:rsidRPr="00EE04D8">
              <w:rPr>
                <w:rFonts w:cstheme="minorHAnsi"/>
                <w:sz w:val="24"/>
                <w:szCs w:val="24"/>
              </w:rPr>
              <w:t>1.01 (0.95-1.07)</w:t>
            </w:r>
          </w:p>
        </w:tc>
        <w:tc>
          <w:tcPr>
            <w:tcW w:w="393" w:type="pct"/>
          </w:tcPr>
          <w:p w14:paraId="637436E7" w14:textId="77777777" w:rsidR="007330C1" w:rsidRPr="00EE04D8" w:rsidRDefault="007330C1" w:rsidP="001A4983">
            <w:pPr>
              <w:spacing w:line="480" w:lineRule="auto"/>
              <w:rPr>
                <w:rFonts w:cstheme="minorHAnsi"/>
                <w:sz w:val="24"/>
                <w:szCs w:val="24"/>
              </w:rPr>
            </w:pPr>
            <w:r w:rsidRPr="00EE04D8">
              <w:rPr>
                <w:rFonts w:cstheme="minorHAnsi"/>
                <w:sz w:val="24"/>
                <w:szCs w:val="24"/>
              </w:rPr>
              <w:t>0.815</w:t>
            </w:r>
          </w:p>
        </w:tc>
        <w:tc>
          <w:tcPr>
            <w:tcW w:w="979" w:type="pct"/>
          </w:tcPr>
          <w:p w14:paraId="7C6B20C5" w14:textId="77777777" w:rsidR="007330C1" w:rsidRPr="00EE04D8" w:rsidRDefault="007330C1" w:rsidP="001A4983">
            <w:pPr>
              <w:spacing w:line="480" w:lineRule="auto"/>
              <w:rPr>
                <w:rFonts w:cstheme="minorHAnsi"/>
                <w:sz w:val="24"/>
                <w:szCs w:val="24"/>
              </w:rPr>
            </w:pPr>
            <w:r w:rsidRPr="00EE04D8">
              <w:rPr>
                <w:rFonts w:cstheme="minorHAnsi"/>
                <w:sz w:val="24"/>
                <w:szCs w:val="24"/>
              </w:rPr>
              <w:t>1.03 (0.95-1.14)</w:t>
            </w:r>
          </w:p>
        </w:tc>
        <w:tc>
          <w:tcPr>
            <w:tcW w:w="377" w:type="pct"/>
          </w:tcPr>
          <w:p w14:paraId="34D51223" w14:textId="77777777" w:rsidR="007330C1" w:rsidRPr="00EE04D8" w:rsidRDefault="007330C1" w:rsidP="001A4983">
            <w:pPr>
              <w:spacing w:line="480" w:lineRule="auto"/>
              <w:rPr>
                <w:rFonts w:cstheme="minorHAnsi"/>
                <w:sz w:val="24"/>
                <w:szCs w:val="24"/>
              </w:rPr>
            </w:pPr>
            <w:r w:rsidRPr="00EE04D8">
              <w:rPr>
                <w:rFonts w:cstheme="minorHAnsi"/>
                <w:sz w:val="24"/>
                <w:szCs w:val="24"/>
              </w:rPr>
              <w:t>0.488</w:t>
            </w:r>
          </w:p>
        </w:tc>
      </w:tr>
      <w:tr w:rsidR="007330C1" w:rsidRPr="00EE04D8" w14:paraId="3E423EFB" w14:textId="77777777" w:rsidTr="001A4983">
        <w:tc>
          <w:tcPr>
            <w:tcW w:w="557" w:type="pct"/>
            <w:vMerge/>
          </w:tcPr>
          <w:p w14:paraId="58FF2611" w14:textId="77777777" w:rsidR="007330C1" w:rsidRPr="00EE04D8" w:rsidRDefault="007330C1" w:rsidP="001A4983">
            <w:pPr>
              <w:spacing w:line="480" w:lineRule="auto"/>
              <w:rPr>
                <w:rFonts w:cstheme="minorHAnsi"/>
                <w:sz w:val="24"/>
                <w:szCs w:val="24"/>
              </w:rPr>
            </w:pPr>
          </w:p>
        </w:tc>
        <w:tc>
          <w:tcPr>
            <w:tcW w:w="915" w:type="pct"/>
            <w:vMerge/>
          </w:tcPr>
          <w:p w14:paraId="4F643537" w14:textId="77777777" w:rsidR="007330C1" w:rsidRPr="00EE04D8" w:rsidRDefault="007330C1" w:rsidP="001A4983">
            <w:pPr>
              <w:spacing w:line="480" w:lineRule="auto"/>
              <w:rPr>
                <w:rFonts w:cstheme="minorHAnsi"/>
                <w:sz w:val="24"/>
                <w:szCs w:val="24"/>
              </w:rPr>
            </w:pPr>
          </w:p>
        </w:tc>
        <w:tc>
          <w:tcPr>
            <w:tcW w:w="813" w:type="pct"/>
          </w:tcPr>
          <w:p w14:paraId="525A4D0E" w14:textId="77777777" w:rsidR="007330C1" w:rsidRPr="00EE04D8" w:rsidRDefault="007330C1" w:rsidP="001A4983">
            <w:pPr>
              <w:spacing w:line="480" w:lineRule="auto"/>
              <w:rPr>
                <w:rFonts w:cstheme="minorHAnsi"/>
                <w:sz w:val="24"/>
                <w:szCs w:val="24"/>
              </w:rPr>
            </w:pPr>
            <w:proofErr w:type="spellStart"/>
            <w:r w:rsidRPr="00EE04D8">
              <w:rPr>
                <w:rFonts w:cstheme="minorHAnsi"/>
                <w:sz w:val="24"/>
                <w:szCs w:val="24"/>
              </w:rPr>
              <w:t>C</w:t>
            </w:r>
            <w:r w:rsidRPr="00EE04D8">
              <w:rPr>
                <w:rFonts w:cstheme="minorHAnsi"/>
                <w:sz w:val="24"/>
                <w:szCs w:val="24"/>
                <w:vertAlign w:val="subscript"/>
              </w:rPr>
              <w:softHyphen/>
              <w:t>max</w:t>
            </w:r>
            <w:proofErr w:type="spellEnd"/>
            <w:r w:rsidRPr="00EE04D8">
              <w:rPr>
                <w:rFonts w:cstheme="minorHAnsi"/>
                <w:sz w:val="24"/>
                <w:szCs w:val="24"/>
                <w:vertAlign w:val="subscript"/>
              </w:rPr>
              <w:softHyphen/>
            </w:r>
            <w:r w:rsidRPr="00EE04D8">
              <w:rPr>
                <w:rFonts w:cstheme="minorHAnsi"/>
                <w:sz w:val="24"/>
                <w:szCs w:val="24"/>
              </w:rPr>
              <w:t xml:space="preserve"> (</w:t>
            </w:r>
            <w:proofErr w:type="spellStart"/>
            <w:r w:rsidRPr="00EE04D8">
              <w:rPr>
                <w:rFonts w:cstheme="minorHAnsi"/>
                <w:sz w:val="24"/>
                <w:szCs w:val="24"/>
              </w:rPr>
              <w:t>μg</w:t>
            </w:r>
            <w:proofErr w:type="spellEnd"/>
            <w:r w:rsidRPr="00EE04D8">
              <w:rPr>
                <w:rFonts w:cstheme="minorHAnsi"/>
                <w:sz w:val="24"/>
                <w:szCs w:val="24"/>
              </w:rPr>
              <w:t>/ml)</w:t>
            </w:r>
          </w:p>
        </w:tc>
        <w:tc>
          <w:tcPr>
            <w:tcW w:w="965" w:type="pct"/>
          </w:tcPr>
          <w:p w14:paraId="6D4AF643" w14:textId="77777777" w:rsidR="007330C1" w:rsidRPr="00EE04D8" w:rsidRDefault="007330C1" w:rsidP="001A4983">
            <w:pPr>
              <w:spacing w:line="480" w:lineRule="auto"/>
              <w:rPr>
                <w:rFonts w:cstheme="minorHAnsi"/>
                <w:sz w:val="24"/>
                <w:szCs w:val="24"/>
              </w:rPr>
            </w:pPr>
            <w:r w:rsidRPr="00EE04D8">
              <w:rPr>
                <w:rFonts w:cstheme="minorHAnsi"/>
                <w:sz w:val="24"/>
                <w:szCs w:val="24"/>
              </w:rPr>
              <w:t>1.02 (0.73-1.44)</w:t>
            </w:r>
          </w:p>
        </w:tc>
        <w:tc>
          <w:tcPr>
            <w:tcW w:w="393" w:type="pct"/>
          </w:tcPr>
          <w:p w14:paraId="6FD662EC" w14:textId="77777777" w:rsidR="007330C1" w:rsidRPr="00EE04D8" w:rsidRDefault="007330C1" w:rsidP="001A4983">
            <w:pPr>
              <w:spacing w:line="480" w:lineRule="auto"/>
              <w:rPr>
                <w:rFonts w:cstheme="minorHAnsi"/>
                <w:sz w:val="24"/>
                <w:szCs w:val="24"/>
              </w:rPr>
            </w:pPr>
            <w:r w:rsidRPr="00EE04D8">
              <w:rPr>
                <w:rFonts w:cstheme="minorHAnsi"/>
                <w:sz w:val="24"/>
                <w:szCs w:val="24"/>
              </w:rPr>
              <w:t>0.918</w:t>
            </w:r>
          </w:p>
        </w:tc>
        <w:tc>
          <w:tcPr>
            <w:tcW w:w="979" w:type="pct"/>
          </w:tcPr>
          <w:p w14:paraId="0E9DD7DF" w14:textId="77777777" w:rsidR="007330C1" w:rsidRPr="00EE04D8" w:rsidRDefault="007330C1" w:rsidP="001A4983">
            <w:pPr>
              <w:spacing w:line="480" w:lineRule="auto"/>
              <w:rPr>
                <w:rFonts w:cstheme="minorHAnsi"/>
                <w:sz w:val="24"/>
                <w:szCs w:val="24"/>
              </w:rPr>
            </w:pPr>
            <w:r w:rsidRPr="00EE04D8">
              <w:rPr>
                <w:rFonts w:cstheme="minorHAnsi"/>
                <w:sz w:val="24"/>
                <w:szCs w:val="24"/>
              </w:rPr>
              <w:t>1.68 (0.91-3.47)</w:t>
            </w:r>
          </w:p>
        </w:tc>
        <w:tc>
          <w:tcPr>
            <w:tcW w:w="377" w:type="pct"/>
          </w:tcPr>
          <w:p w14:paraId="586F3B49" w14:textId="77777777" w:rsidR="007330C1" w:rsidRPr="00EE04D8" w:rsidRDefault="007330C1" w:rsidP="001A4983">
            <w:pPr>
              <w:spacing w:line="480" w:lineRule="auto"/>
              <w:rPr>
                <w:rFonts w:cstheme="minorHAnsi"/>
                <w:sz w:val="24"/>
                <w:szCs w:val="24"/>
              </w:rPr>
            </w:pPr>
            <w:r w:rsidRPr="00EE04D8">
              <w:rPr>
                <w:rFonts w:cstheme="minorHAnsi"/>
                <w:sz w:val="24"/>
                <w:szCs w:val="24"/>
              </w:rPr>
              <w:t>0.125</w:t>
            </w:r>
          </w:p>
        </w:tc>
      </w:tr>
      <w:tr w:rsidR="007330C1" w:rsidRPr="00EE04D8" w14:paraId="22CDF85F" w14:textId="77777777" w:rsidTr="001A4983">
        <w:tc>
          <w:tcPr>
            <w:tcW w:w="557" w:type="pct"/>
            <w:vMerge/>
          </w:tcPr>
          <w:p w14:paraId="0E76E666" w14:textId="77777777" w:rsidR="007330C1" w:rsidRPr="00EE04D8" w:rsidRDefault="007330C1" w:rsidP="001A4983">
            <w:pPr>
              <w:spacing w:line="480" w:lineRule="auto"/>
              <w:rPr>
                <w:rFonts w:cstheme="minorHAnsi"/>
                <w:sz w:val="24"/>
                <w:szCs w:val="24"/>
              </w:rPr>
            </w:pPr>
          </w:p>
        </w:tc>
        <w:tc>
          <w:tcPr>
            <w:tcW w:w="915" w:type="pct"/>
            <w:vMerge w:val="restart"/>
          </w:tcPr>
          <w:p w14:paraId="027187E9" w14:textId="77777777" w:rsidR="007330C1" w:rsidRPr="00EE04D8" w:rsidRDefault="007330C1" w:rsidP="001A4983">
            <w:pPr>
              <w:spacing w:line="480" w:lineRule="auto"/>
              <w:rPr>
                <w:rFonts w:cstheme="minorHAnsi"/>
                <w:sz w:val="24"/>
                <w:szCs w:val="24"/>
                <w:vertAlign w:val="superscript"/>
              </w:rPr>
            </w:pPr>
            <w:r>
              <w:rPr>
                <w:rFonts w:cstheme="minorHAnsi"/>
                <w:sz w:val="24"/>
                <w:szCs w:val="24"/>
              </w:rPr>
              <w:t>Epithelial lining fluid</w:t>
            </w:r>
            <w:r w:rsidRPr="00EE04D8">
              <w:rPr>
                <w:rFonts w:cstheme="minorHAnsi"/>
                <w:sz w:val="24"/>
                <w:szCs w:val="24"/>
              </w:rPr>
              <w:t xml:space="preserve"> </w:t>
            </w:r>
            <w:r w:rsidRPr="000453CC">
              <w:rPr>
                <w:rFonts w:cstheme="minorHAnsi"/>
                <w:sz w:val="24"/>
                <w:szCs w:val="24"/>
                <w:vertAlign w:val="superscript"/>
              </w:rPr>
              <w:t>a</w:t>
            </w:r>
          </w:p>
        </w:tc>
        <w:tc>
          <w:tcPr>
            <w:tcW w:w="813" w:type="pct"/>
          </w:tcPr>
          <w:p w14:paraId="5877B99A" w14:textId="77777777" w:rsidR="007330C1" w:rsidRPr="00EE04D8" w:rsidRDefault="007330C1" w:rsidP="001A4983">
            <w:pPr>
              <w:spacing w:line="480" w:lineRule="auto"/>
              <w:rPr>
                <w:rFonts w:cstheme="minorHAnsi"/>
                <w:sz w:val="24"/>
                <w:szCs w:val="24"/>
              </w:rPr>
            </w:pPr>
            <w:r w:rsidRPr="00EE04D8">
              <w:rPr>
                <w:rFonts w:cstheme="minorHAnsi"/>
                <w:sz w:val="24"/>
                <w:szCs w:val="24"/>
              </w:rPr>
              <w:t>AUC (</w:t>
            </w:r>
            <w:proofErr w:type="spellStart"/>
            <w:r w:rsidRPr="00EE04D8">
              <w:rPr>
                <w:rFonts w:cstheme="minorHAnsi"/>
                <w:sz w:val="24"/>
                <w:szCs w:val="24"/>
              </w:rPr>
              <w:t>μg.h</w:t>
            </w:r>
            <w:proofErr w:type="spellEnd"/>
            <w:r w:rsidRPr="00EE04D8">
              <w:rPr>
                <w:rFonts w:cstheme="minorHAnsi"/>
                <w:sz w:val="24"/>
                <w:szCs w:val="24"/>
              </w:rPr>
              <w:t>/ml)</w:t>
            </w:r>
          </w:p>
        </w:tc>
        <w:tc>
          <w:tcPr>
            <w:tcW w:w="965" w:type="pct"/>
          </w:tcPr>
          <w:p w14:paraId="04183F7D" w14:textId="77777777" w:rsidR="007330C1" w:rsidRPr="00EE04D8" w:rsidRDefault="007330C1" w:rsidP="001A4983">
            <w:pPr>
              <w:spacing w:line="480" w:lineRule="auto"/>
              <w:rPr>
                <w:rFonts w:cstheme="minorHAnsi"/>
                <w:sz w:val="24"/>
                <w:szCs w:val="24"/>
              </w:rPr>
            </w:pPr>
            <w:r w:rsidRPr="00EE04D8">
              <w:rPr>
                <w:rFonts w:cstheme="minorHAnsi"/>
                <w:sz w:val="24"/>
                <w:szCs w:val="24"/>
              </w:rPr>
              <w:t>1.02 (1.00-1.04)</w:t>
            </w:r>
          </w:p>
        </w:tc>
        <w:tc>
          <w:tcPr>
            <w:tcW w:w="393" w:type="pct"/>
          </w:tcPr>
          <w:p w14:paraId="3148502A" w14:textId="77777777" w:rsidR="007330C1" w:rsidRPr="00EE04D8" w:rsidRDefault="007330C1" w:rsidP="001A4983">
            <w:pPr>
              <w:spacing w:line="480" w:lineRule="auto"/>
              <w:rPr>
                <w:rFonts w:cstheme="minorHAnsi"/>
                <w:sz w:val="24"/>
                <w:szCs w:val="24"/>
              </w:rPr>
            </w:pPr>
            <w:r w:rsidRPr="00EE04D8">
              <w:rPr>
                <w:rFonts w:cstheme="minorHAnsi"/>
                <w:sz w:val="24"/>
                <w:szCs w:val="24"/>
              </w:rPr>
              <w:t>0.118</w:t>
            </w:r>
          </w:p>
        </w:tc>
        <w:tc>
          <w:tcPr>
            <w:tcW w:w="979" w:type="pct"/>
          </w:tcPr>
          <w:p w14:paraId="3E38261D" w14:textId="77777777" w:rsidR="007330C1" w:rsidRPr="00EE04D8" w:rsidRDefault="007330C1" w:rsidP="001A4983">
            <w:pPr>
              <w:spacing w:line="480" w:lineRule="auto"/>
              <w:rPr>
                <w:rFonts w:cstheme="minorHAnsi"/>
                <w:sz w:val="24"/>
                <w:szCs w:val="24"/>
              </w:rPr>
            </w:pPr>
            <w:r w:rsidRPr="00EE04D8">
              <w:rPr>
                <w:rFonts w:cstheme="minorHAnsi"/>
                <w:sz w:val="24"/>
                <w:szCs w:val="24"/>
              </w:rPr>
              <w:t>1.09 (0.99-1.43)</w:t>
            </w:r>
          </w:p>
        </w:tc>
        <w:tc>
          <w:tcPr>
            <w:tcW w:w="377" w:type="pct"/>
          </w:tcPr>
          <w:p w14:paraId="0B1AEB9F" w14:textId="77777777" w:rsidR="007330C1" w:rsidRPr="00EE04D8" w:rsidRDefault="007330C1" w:rsidP="001A4983">
            <w:pPr>
              <w:spacing w:line="480" w:lineRule="auto"/>
              <w:rPr>
                <w:rFonts w:cstheme="minorHAnsi"/>
                <w:sz w:val="24"/>
                <w:szCs w:val="24"/>
              </w:rPr>
            </w:pPr>
            <w:r w:rsidRPr="00EE04D8">
              <w:rPr>
                <w:rFonts w:cstheme="minorHAnsi"/>
                <w:sz w:val="24"/>
                <w:szCs w:val="24"/>
              </w:rPr>
              <w:t>0.321</w:t>
            </w:r>
          </w:p>
        </w:tc>
      </w:tr>
      <w:tr w:rsidR="007330C1" w:rsidRPr="00EE04D8" w14:paraId="01D24404" w14:textId="77777777" w:rsidTr="001A4983">
        <w:tc>
          <w:tcPr>
            <w:tcW w:w="557" w:type="pct"/>
            <w:vMerge/>
          </w:tcPr>
          <w:p w14:paraId="52BE2489" w14:textId="77777777" w:rsidR="007330C1" w:rsidRPr="00EE04D8" w:rsidRDefault="007330C1" w:rsidP="001A4983">
            <w:pPr>
              <w:spacing w:line="480" w:lineRule="auto"/>
              <w:rPr>
                <w:rFonts w:cstheme="minorHAnsi"/>
                <w:sz w:val="24"/>
                <w:szCs w:val="24"/>
              </w:rPr>
            </w:pPr>
          </w:p>
        </w:tc>
        <w:tc>
          <w:tcPr>
            <w:tcW w:w="915" w:type="pct"/>
            <w:vMerge/>
          </w:tcPr>
          <w:p w14:paraId="638C754F" w14:textId="77777777" w:rsidR="007330C1" w:rsidRPr="00EE04D8" w:rsidRDefault="007330C1" w:rsidP="001A4983">
            <w:pPr>
              <w:spacing w:line="480" w:lineRule="auto"/>
              <w:rPr>
                <w:rFonts w:cstheme="minorHAnsi"/>
                <w:sz w:val="24"/>
                <w:szCs w:val="24"/>
              </w:rPr>
            </w:pPr>
          </w:p>
        </w:tc>
        <w:tc>
          <w:tcPr>
            <w:tcW w:w="813" w:type="pct"/>
          </w:tcPr>
          <w:p w14:paraId="1E7D33DD" w14:textId="77777777" w:rsidR="007330C1" w:rsidRPr="00EE04D8" w:rsidRDefault="007330C1" w:rsidP="001A4983">
            <w:pPr>
              <w:spacing w:line="480" w:lineRule="auto"/>
              <w:rPr>
                <w:rFonts w:cstheme="minorHAnsi"/>
                <w:sz w:val="24"/>
                <w:szCs w:val="24"/>
              </w:rPr>
            </w:pPr>
            <w:proofErr w:type="spellStart"/>
            <w:r w:rsidRPr="00EE04D8">
              <w:rPr>
                <w:rFonts w:cstheme="minorHAnsi"/>
                <w:sz w:val="24"/>
                <w:szCs w:val="24"/>
              </w:rPr>
              <w:t>C</w:t>
            </w:r>
            <w:r w:rsidRPr="00EE04D8">
              <w:rPr>
                <w:rFonts w:cstheme="minorHAnsi"/>
                <w:sz w:val="24"/>
                <w:szCs w:val="24"/>
                <w:vertAlign w:val="subscript"/>
              </w:rPr>
              <w:softHyphen/>
              <w:t>max</w:t>
            </w:r>
            <w:proofErr w:type="spellEnd"/>
            <w:r w:rsidRPr="00EE04D8">
              <w:rPr>
                <w:rFonts w:cstheme="minorHAnsi"/>
                <w:sz w:val="24"/>
                <w:szCs w:val="24"/>
                <w:vertAlign w:val="subscript"/>
              </w:rPr>
              <w:softHyphen/>
            </w:r>
            <w:r w:rsidRPr="00EE04D8">
              <w:rPr>
                <w:rFonts w:cstheme="minorHAnsi"/>
                <w:sz w:val="24"/>
                <w:szCs w:val="24"/>
              </w:rPr>
              <w:t xml:space="preserve"> (</w:t>
            </w:r>
            <w:proofErr w:type="spellStart"/>
            <w:r w:rsidRPr="00EE04D8">
              <w:rPr>
                <w:rFonts w:cstheme="minorHAnsi"/>
                <w:sz w:val="24"/>
                <w:szCs w:val="24"/>
              </w:rPr>
              <w:t>μg</w:t>
            </w:r>
            <w:proofErr w:type="spellEnd"/>
            <w:r w:rsidRPr="00EE04D8">
              <w:rPr>
                <w:rFonts w:cstheme="minorHAnsi"/>
                <w:sz w:val="24"/>
                <w:szCs w:val="24"/>
              </w:rPr>
              <w:t>/ml)</w:t>
            </w:r>
          </w:p>
        </w:tc>
        <w:tc>
          <w:tcPr>
            <w:tcW w:w="965" w:type="pct"/>
          </w:tcPr>
          <w:p w14:paraId="443B68CC" w14:textId="77777777" w:rsidR="007330C1" w:rsidRPr="00EE04D8" w:rsidRDefault="007330C1" w:rsidP="001A4983">
            <w:pPr>
              <w:spacing w:line="480" w:lineRule="auto"/>
              <w:rPr>
                <w:rFonts w:cstheme="minorHAnsi"/>
                <w:sz w:val="24"/>
                <w:szCs w:val="24"/>
              </w:rPr>
            </w:pPr>
            <w:r w:rsidRPr="00EE04D8">
              <w:rPr>
                <w:rFonts w:cstheme="minorHAnsi"/>
                <w:sz w:val="24"/>
                <w:szCs w:val="24"/>
              </w:rPr>
              <w:t>1.17 (1.01-1.45)</w:t>
            </w:r>
          </w:p>
        </w:tc>
        <w:tc>
          <w:tcPr>
            <w:tcW w:w="393" w:type="pct"/>
          </w:tcPr>
          <w:p w14:paraId="363026D6" w14:textId="77777777" w:rsidR="007330C1" w:rsidRPr="00EE04D8" w:rsidRDefault="007330C1" w:rsidP="001A4983">
            <w:pPr>
              <w:spacing w:line="480" w:lineRule="auto"/>
              <w:rPr>
                <w:rFonts w:cstheme="minorHAnsi"/>
                <w:sz w:val="24"/>
                <w:szCs w:val="24"/>
              </w:rPr>
            </w:pPr>
            <w:r w:rsidRPr="00EE04D8">
              <w:rPr>
                <w:rFonts w:cstheme="minorHAnsi"/>
                <w:sz w:val="24"/>
                <w:szCs w:val="24"/>
              </w:rPr>
              <w:t>0.085</w:t>
            </w:r>
          </w:p>
        </w:tc>
        <w:tc>
          <w:tcPr>
            <w:tcW w:w="979" w:type="pct"/>
          </w:tcPr>
          <w:p w14:paraId="704EB994" w14:textId="77777777" w:rsidR="007330C1" w:rsidRPr="00EE04D8" w:rsidRDefault="007330C1" w:rsidP="001A4983">
            <w:pPr>
              <w:spacing w:line="480" w:lineRule="auto"/>
              <w:rPr>
                <w:rFonts w:cstheme="minorHAnsi"/>
                <w:sz w:val="24"/>
                <w:szCs w:val="24"/>
              </w:rPr>
            </w:pPr>
            <w:r w:rsidRPr="00EE04D8">
              <w:rPr>
                <w:rFonts w:cstheme="minorHAnsi"/>
                <w:sz w:val="24"/>
                <w:szCs w:val="24"/>
              </w:rPr>
              <w:t>2.03 (0.97-9.24)</w:t>
            </w:r>
          </w:p>
        </w:tc>
        <w:tc>
          <w:tcPr>
            <w:tcW w:w="377" w:type="pct"/>
          </w:tcPr>
          <w:p w14:paraId="17325ACE" w14:textId="77777777" w:rsidR="007330C1" w:rsidRPr="00EE04D8" w:rsidRDefault="007330C1" w:rsidP="001A4983">
            <w:pPr>
              <w:spacing w:line="480" w:lineRule="auto"/>
              <w:rPr>
                <w:rFonts w:cstheme="minorHAnsi"/>
                <w:sz w:val="24"/>
                <w:szCs w:val="24"/>
              </w:rPr>
            </w:pPr>
            <w:r w:rsidRPr="00EE04D8">
              <w:rPr>
                <w:rFonts w:cstheme="minorHAnsi"/>
                <w:sz w:val="24"/>
                <w:szCs w:val="24"/>
              </w:rPr>
              <w:t>0.221</w:t>
            </w:r>
          </w:p>
        </w:tc>
      </w:tr>
      <w:tr w:rsidR="007330C1" w:rsidRPr="00EE04D8" w14:paraId="5DE9DFE5" w14:textId="77777777" w:rsidTr="001A4983">
        <w:tc>
          <w:tcPr>
            <w:tcW w:w="557" w:type="pct"/>
            <w:vMerge/>
          </w:tcPr>
          <w:p w14:paraId="7A880340" w14:textId="77777777" w:rsidR="007330C1" w:rsidRPr="00EE04D8" w:rsidRDefault="007330C1" w:rsidP="001A4983">
            <w:pPr>
              <w:spacing w:line="480" w:lineRule="auto"/>
              <w:rPr>
                <w:rFonts w:cstheme="minorHAnsi"/>
                <w:sz w:val="24"/>
                <w:szCs w:val="24"/>
              </w:rPr>
            </w:pPr>
          </w:p>
        </w:tc>
        <w:tc>
          <w:tcPr>
            <w:tcW w:w="915" w:type="pct"/>
            <w:vMerge w:val="restart"/>
          </w:tcPr>
          <w:p w14:paraId="4EF19820" w14:textId="77777777" w:rsidR="007330C1" w:rsidRPr="00EE04D8" w:rsidRDefault="007330C1" w:rsidP="001A4983">
            <w:pPr>
              <w:spacing w:line="480" w:lineRule="auto"/>
              <w:rPr>
                <w:rFonts w:cstheme="minorHAnsi"/>
                <w:sz w:val="24"/>
                <w:szCs w:val="24"/>
              </w:rPr>
            </w:pPr>
            <w:r w:rsidRPr="00EE04D8">
              <w:rPr>
                <w:rFonts w:cstheme="minorHAnsi"/>
                <w:sz w:val="24"/>
                <w:szCs w:val="24"/>
              </w:rPr>
              <w:t>A</w:t>
            </w:r>
            <w:r>
              <w:rPr>
                <w:rFonts w:cstheme="minorHAnsi"/>
                <w:sz w:val="24"/>
                <w:szCs w:val="24"/>
              </w:rPr>
              <w:t xml:space="preserve">lveolar cells </w:t>
            </w:r>
            <w:r>
              <w:rPr>
                <w:rFonts w:cstheme="minorHAnsi"/>
                <w:sz w:val="24"/>
                <w:szCs w:val="24"/>
                <w:vertAlign w:val="superscript"/>
              </w:rPr>
              <w:t>a</w:t>
            </w:r>
          </w:p>
        </w:tc>
        <w:tc>
          <w:tcPr>
            <w:tcW w:w="813" w:type="pct"/>
          </w:tcPr>
          <w:p w14:paraId="2565E75B" w14:textId="77777777" w:rsidR="007330C1" w:rsidRPr="00EE04D8" w:rsidRDefault="007330C1" w:rsidP="001A4983">
            <w:pPr>
              <w:spacing w:line="480" w:lineRule="auto"/>
              <w:rPr>
                <w:rFonts w:cstheme="minorHAnsi"/>
                <w:sz w:val="24"/>
                <w:szCs w:val="24"/>
              </w:rPr>
            </w:pPr>
            <w:r w:rsidRPr="00EE04D8">
              <w:rPr>
                <w:rFonts w:cstheme="minorHAnsi"/>
                <w:sz w:val="24"/>
                <w:szCs w:val="24"/>
              </w:rPr>
              <w:t>AUC (</w:t>
            </w:r>
            <w:proofErr w:type="spellStart"/>
            <w:r w:rsidRPr="00EE04D8">
              <w:rPr>
                <w:rFonts w:cstheme="minorHAnsi"/>
                <w:sz w:val="24"/>
                <w:szCs w:val="24"/>
              </w:rPr>
              <w:t>μg.h</w:t>
            </w:r>
            <w:proofErr w:type="spellEnd"/>
            <w:r w:rsidRPr="00EE04D8">
              <w:rPr>
                <w:rFonts w:cstheme="minorHAnsi"/>
                <w:sz w:val="24"/>
                <w:szCs w:val="24"/>
              </w:rPr>
              <w:t>/ml)</w:t>
            </w:r>
          </w:p>
        </w:tc>
        <w:tc>
          <w:tcPr>
            <w:tcW w:w="965" w:type="pct"/>
          </w:tcPr>
          <w:p w14:paraId="51695ED5" w14:textId="77777777" w:rsidR="007330C1" w:rsidRPr="00EE04D8" w:rsidRDefault="007330C1" w:rsidP="001A4983">
            <w:pPr>
              <w:spacing w:line="480" w:lineRule="auto"/>
              <w:rPr>
                <w:rFonts w:cstheme="minorHAnsi"/>
                <w:sz w:val="24"/>
                <w:szCs w:val="24"/>
              </w:rPr>
            </w:pPr>
            <w:r w:rsidRPr="00EE04D8">
              <w:rPr>
                <w:rFonts w:cstheme="minorHAnsi"/>
                <w:sz w:val="24"/>
                <w:szCs w:val="24"/>
              </w:rPr>
              <w:t>1.00 (0.99-1.02)</w:t>
            </w:r>
          </w:p>
        </w:tc>
        <w:tc>
          <w:tcPr>
            <w:tcW w:w="393" w:type="pct"/>
          </w:tcPr>
          <w:p w14:paraId="5267E3E0" w14:textId="77777777" w:rsidR="007330C1" w:rsidRPr="00EE04D8" w:rsidRDefault="007330C1" w:rsidP="001A4983">
            <w:pPr>
              <w:spacing w:line="480" w:lineRule="auto"/>
              <w:rPr>
                <w:rFonts w:cstheme="minorHAnsi"/>
                <w:sz w:val="24"/>
                <w:szCs w:val="24"/>
              </w:rPr>
            </w:pPr>
            <w:r w:rsidRPr="00EE04D8">
              <w:rPr>
                <w:rFonts w:cstheme="minorHAnsi"/>
                <w:sz w:val="24"/>
                <w:szCs w:val="24"/>
              </w:rPr>
              <w:t>0.607</w:t>
            </w:r>
          </w:p>
        </w:tc>
        <w:tc>
          <w:tcPr>
            <w:tcW w:w="979" w:type="pct"/>
          </w:tcPr>
          <w:p w14:paraId="769DE1B0" w14:textId="77777777" w:rsidR="007330C1" w:rsidRPr="00EE04D8" w:rsidRDefault="007330C1" w:rsidP="001A4983">
            <w:pPr>
              <w:spacing w:line="480" w:lineRule="auto"/>
              <w:rPr>
                <w:rFonts w:cstheme="minorHAnsi"/>
                <w:sz w:val="24"/>
                <w:szCs w:val="24"/>
              </w:rPr>
            </w:pPr>
            <w:r w:rsidRPr="00EE04D8">
              <w:rPr>
                <w:rFonts w:cstheme="minorHAnsi"/>
                <w:sz w:val="24"/>
                <w:szCs w:val="24"/>
              </w:rPr>
              <w:t>1.00 (0.99-1.05)</w:t>
            </w:r>
          </w:p>
        </w:tc>
        <w:tc>
          <w:tcPr>
            <w:tcW w:w="377" w:type="pct"/>
          </w:tcPr>
          <w:p w14:paraId="21E80A8F" w14:textId="77777777" w:rsidR="007330C1" w:rsidRPr="00EE04D8" w:rsidRDefault="007330C1" w:rsidP="001A4983">
            <w:pPr>
              <w:spacing w:line="480" w:lineRule="auto"/>
              <w:rPr>
                <w:rFonts w:cstheme="minorHAnsi"/>
                <w:sz w:val="24"/>
                <w:szCs w:val="24"/>
              </w:rPr>
            </w:pPr>
            <w:r w:rsidRPr="00EE04D8">
              <w:rPr>
                <w:rFonts w:cstheme="minorHAnsi"/>
                <w:sz w:val="24"/>
                <w:szCs w:val="24"/>
              </w:rPr>
              <w:t>0.836</w:t>
            </w:r>
          </w:p>
        </w:tc>
      </w:tr>
      <w:tr w:rsidR="007330C1" w:rsidRPr="00EE04D8" w14:paraId="5123020E" w14:textId="77777777" w:rsidTr="001A4983">
        <w:tc>
          <w:tcPr>
            <w:tcW w:w="557" w:type="pct"/>
            <w:vMerge/>
          </w:tcPr>
          <w:p w14:paraId="703F4D20" w14:textId="77777777" w:rsidR="007330C1" w:rsidRPr="00EE04D8" w:rsidRDefault="007330C1" w:rsidP="001A4983">
            <w:pPr>
              <w:spacing w:line="480" w:lineRule="auto"/>
              <w:rPr>
                <w:rFonts w:cstheme="minorHAnsi"/>
                <w:sz w:val="24"/>
                <w:szCs w:val="24"/>
              </w:rPr>
            </w:pPr>
          </w:p>
        </w:tc>
        <w:tc>
          <w:tcPr>
            <w:tcW w:w="915" w:type="pct"/>
            <w:vMerge/>
          </w:tcPr>
          <w:p w14:paraId="477EA4E8" w14:textId="77777777" w:rsidR="007330C1" w:rsidRPr="00EE04D8" w:rsidRDefault="007330C1" w:rsidP="001A4983">
            <w:pPr>
              <w:spacing w:line="480" w:lineRule="auto"/>
              <w:rPr>
                <w:rFonts w:cstheme="minorHAnsi"/>
                <w:sz w:val="24"/>
                <w:szCs w:val="24"/>
              </w:rPr>
            </w:pPr>
          </w:p>
        </w:tc>
        <w:tc>
          <w:tcPr>
            <w:tcW w:w="813" w:type="pct"/>
          </w:tcPr>
          <w:p w14:paraId="608941DB" w14:textId="77777777" w:rsidR="007330C1" w:rsidRPr="00EE04D8" w:rsidRDefault="007330C1" w:rsidP="001A4983">
            <w:pPr>
              <w:spacing w:line="480" w:lineRule="auto"/>
              <w:rPr>
                <w:rFonts w:cstheme="minorHAnsi"/>
                <w:sz w:val="24"/>
                <w:szCs w:val="24"/>
              </w:rPr>
            </w:pPr>
            <w:proofErr w:type="spellStart"/>
            <w:r w:rsidRPr="00EE04D8">
              <w:rPr>
                <w:rFonts w:cstheme="minorHAnsi"/>
                <w:sz w:val="24"/>
                <w:szCs w:val="24"/>
              </w:rPr>
              <w:t>C</w:t>
            </w:r>
            <w:r w:rsidRPr="00EE04D8">
              <w:rPr>
                <w:rFonts w:cstheme="minorHAnsi"/>
                <w:sz w:val="24"/>
                <w:szCs w:val="24"/>
                <w:vertAlign w:val="subscript"/>
              </w:rPr>
              <w:softHyphen/>
              <w:t>max</w:t>
            </w:r>
            <w:proofErr w:type="spellEnd"/>
            <w:r w:rsidRPr="00EE04D8">
              <w:rPr>
                <w:rFonts w:cstheme="minorHAnsi"/>
                <w:sz w:val="24"/>
                <w:szCs w:val="24"/>
                <w:vertAlign w:val="subscript"/>
              </w:rPr>
              <w:softHyphen/>
            </w:r>
            <w:r w:rsidRPr="00EE04D8">
              <w:rPr>
                <w:rFonts w:cstheme="minorHAnsi"/>
                <w:sz w:val="24"/>
                <w:szCs w:val="24"/>
              </w:rPr>
              <w:t xml:space="preserve"> (</w:t>
            </w:r>
            <w:proofErr w:type="spellStart"/>
            <w:r w:rsidRPr="00EE04D8">
              <w:rPr>
                <w:rFonts w:cstheme="minorHAnsi"/>
                <w:sz w:val="24"/>
                <w:szCs w:val="24"/>
              </w:rPr>
              <w:t>μg</w:t>
            </w:r>
            <w:proofErr w:type="spellEnd"/>
            <w:r w:rsidRPr="00EE04D8">
              <w:rPr>
                <w:rFonts w:cstheme="minorHAnsi"/>
                <w:sz w:val="24"/>
                <w:szCs w:val="24"/>
              </w:rPr>
              <w:t>/ml)</w:t>
            </w:r>
          </w:p>
        </w:tc>
        <w:tc>
          <w:tcPr>
            <w:tcW w:w="965" w:type="pct"/>
          </w:tcPr>
          <w:p w14:paraId="0CB045C7" w14:textId="77777777" w:rsidR="007330C1" w:rsidRPr="00EE04D8" w:rsidRDefault="007330C1" w:rsidP="001A4983">
            <w:pPr>
              <w:spacing w:line="480" w:lineRule="auto"/>
              <w:rPr>
                <w:rFonts w:cstheme="minorHAnsi"/>
                <w:sz w:val="24"/>
                <w:szCs w:val="24"/>
              </w:rPr>
            </w:pPr>
            <w:r w:rsidRPr="00EE04D8">
              <w:rPr>
                <w:rFonts w:cstheme="minorHAnsi"/>
                <w:sz w:val="24"/>
                <w:szCs w:val="24"/>
              </w:rPr>
              <w:t>1.05 (0.93-1.19)</w:t>
            </w:r>
          </w:p>
        </w:tc>
        <w:tc>
          <w:tcPr>
            <w:tcW w:w="393" w:type="pct"/>
          </w:tcPr>
          <w:p w14:paraId="6171A740" w14:textId="77777777" w:rsidR="007330C1" w:rsidRPr="00EE04D8" w:rsidRDefault="007330C1" w:rsidP="001A4983">
            <w:pPr>
              <w:spacing w:line="480" w:lineRule="auto"/>
              <w:rPr>
                <w:rFonts w:cstheme="minorHAnsi"/>
                <w:sz w:val="24"/>
                <w:szCs w:val="24"/>
              </w:rPr>
            </w:pPr>
            <w:r w:rsidRPr="00EE04D8">
              <w:rPr>
                <w:rFonts w:cstheme="minorHAnsi"/>
                <w:sz w:val="24"/>
                <w:szCs w:val="24"/>
              </w:rPr>
              <w:t>0.429</w:t>
            </w:r>
          </w:p>
        </w:tc>
        <w:tc>
          <w:tcPr>
            <w:tcW w:w="979" w:type="pct"/>
          </w:tcPr>
          <w:p w14:paraId="602A38C9" w14:textId="77777777" w:rsidR="007330C1" w:rsidRPr="00EE04D8" w:rsidRDefault="007330C1" w:rsidP="001A4983">
            <w:pPr>
              <w:spacing w:line="480" w:lineRule="auto"/>
              <w:rPr>
                <w:rFonts w:cstheme="minorHAnsi"/>
                <w:sz w:val="24"/>
                <w:szCs w:val="24"/>
              </w:rPr>
            </w:pPr>
            <w:r w:rsidRPr="00EE04D8">
              <w:rPr>
                <w:rFonts w:cstheme="minorHAnsi"/>
                <w:sz w:val="24"/>
                <w:szCs w:val="24"/>
              </w:rPr>
              <w:t>1.03 (0.89-1.43)</w:t>
            </w:r>
          </w:p>
        </w:tc>
        <w:tc>
          <w:tcPr>
            <w:tcW w:w="377" w:type="pct"/>
          </w:tcPr>
          <w:p w14:paraId="4ED15E7F" w14:textId="77777777" w:rsidR="007330C1" w:rsidRPr="00EE04D8" w:rsidRDefault="007330C1" w:rsidP="001A4983">
            <w:pPr>
              <w:spacing w:line="480" w:lineRule="auto"/>
              <w:rPr>
                <w:rFonts w:cstheme="minorHAnsi"/>
                <w:sz w:val="24"/>
                <w:szCs w:val="24"/>
              </w:rPr>
            </w:pPr>
            <w:r w:rsidRPr="00EE04D8">
              <w:rPr>
                <w:rFonts w:cstheme="minorHAnsi"/>
                <w:sz w:val="24"/>
                <w:szCs w:val="24"/>
              </w:rPr>
              <w:t>0.801</w:t>
            </w:r>
          </w:p>
        </w:tc>
      </w:tr>
      <w:tr w:rsidR="007330C1" w:rsidRPr="00EE04D8" w14:paraId="0B0CCEB3" w14:textId="77777777" w:rsidTr="001A4983">
        <w:tc>
          <w:tcPr>
            <w:tcW w:w="557" w:type="pct"/>
            <w:vMerge w:val="restart"/>
          </w:tcPr>
          <w:p w14:paraId="4712BDB5" w14:textId="77777777" w:rsidR="007330C1" w:rsidRPr="00EE04D8" w:rsidRDefault="007330C1" w:rsidP="001A4983">
            <w:pPr>
              <w:spacing w:line="480" w:lineRule="auto"/>
              <w:rPr>
                <w:rFonts w:cstheme="minorHAnsi"/>
                <w:sz w:val="24"/>
                <w:szCs w:val="24"/>
              </w:rPr>
            </w:pPr>
            <w:r w:rsidRPr="00EE04D8">
              <w:rPr>
                <w:rFonts w:cstheme="minorHAnsi"/>
                <w:sz w:val="24"/>
                <w:szCs w:val="24"/>
              </w:rPr>
              <w:t>Isoniazid</w:t>
            </w:r>
          </w:p>
        </w:tc>
        <w:tc>
          <w:tcPr>
            <w:tcW w:w="915" w:type="pct"/>
            <w:vMerge w:val="restart"/>
          </w:tcPr>
          <w:p w14:paraId="3504B4CD" w14:textId="77777777" w:rsidR="007330C1" w:rsidRPr="00EE04D8" w:rsidRDefault="007330C1" w:rsidP="001A4983">
            <w:pPr>
              <w:spacing w:line="480" w:lineRule="auto"/>
              <w:rPr>
                <w:rFonts w:cstheme="minorHAnsi"/>
                <w:sz w:val="24"/>
                <w:szCs w:val="24"/>
              </w:rPr>
            </w:pPr>
            <w:r w:rsidRPr="00EE04D8">
              <w:rPr>
                <w:rFonts w:cstheme="minorHAnsi"/>
                <w:sz w:val="24"/>
                <w:szCs w:val="24"/>
              </w:rPr>
              <w:t>Plasma</w:t>
            </w:r>
          </w:p>
        </w:tc>
        <w:tc>
          <w:tcPr>
            <w:tcW w:w="813" w:type="pct"/>
          </w:tcPr>
          <w:p w14:paraId="1098F378" w14:textId="77777777" w:rsidR="007330C1" w:rsidRPr="00EE04D8" w:rsidRDefault="007330C1" w:rsidP="001A4983">
            <w:pPr>
              <w:spacing w:line="480" w:lineRule="auto"/>
              <w:rPr>
                <w:rFonts w:cstheme="minorHAnsi"/>
                <w:sz w:val="24"/>
                <w:szCs w:val="24"/>
              </w:rPr>
            </w:pPr>
            <w:r w:rsidRPr="00EE04D8">
              <w:rPr>
                <w:rFonts w:cstheme="minorHAnsi"/>
                <w:sz w:val="24"/>
                <w:szCs w:val="24"/>
              </w:rPr>
              <w:t>AUC (</w:t>
            </w:r>
            <w:proofErr w:type="spellStart"/>
            <w:r w:rsidRPr="00EE04D8">
              <w:rPr>
                <w:rFonts w:cstheme="minorHAnsi"/>
                <w:sz w:val="24"/>
                <w:szCs w:val="24"/>
              </w:rPr>
              <w:t>μg.h</w:t>
            </w:r>
            <w:proofErr w:type="spellEnd"/>
            <w:r w:rsidRPr="00EE04D8">
              <w:rPr>
                <w:rFonts w:cstheme="minorHAnsi"/>
                <w:sz w:val="24"/>
                <w:szCs w:val="24"/>
              </w:rPr>
              <w:t>/ml)</w:t>
            </w:r>
          </w:p>
        </w:tc>
        <w:tc>
          <w:tcPr>
            <w:tcW w:w="965" w:type="pct"/>
          </w:tcPr>
          <w:p w14:paraId="56C0F1A6" w14:textId="77777777" w:rsidR="007330C1" w:rsidRPr="00EE04D8" w:rsidRDefault="007330C1" w:rsidP="001A4983">
            <w:pPr>
              <w:spacing w:line="480" w:lineRule="auto"/>
              <w:rPr>
                <w:rFonts w:cstheme="minorHAnsi"/>
                <w:sz w:val="24"/>
                <w:szCs w:val="24"/>
              </w:rPr>
            </w:pPr>
            <w:r w:rsidRPr="00EE04D8">
              <w:rPr>
                <w:rFonts w:cstheme="minorHAnsi"/>
                <w:sz w:val="24"/>
                <w:szCs w:val="24"/>
              </w:rPr>
              <w:t>0.98 (0.94-1.02)</w:t>
            </w:r>
          </w:p>
        </w:tc>
        <w:tc>
          <w:tcPr>
            <w:tcW w:w="393" w:type="pct"/>
          </w:tcPr>
          <w:p w14:paraId="430349D7" w14:textId="77777777" w:rsidR="007330C1" w:rsidRPr="00EE04D8" w:rsidRDefault="007330C1" w:rsidP="001A4983">
            <w:pPr>
              <w:spacing w:line="480" w:lineRule="auto"/>
              <w:rPr>
                <w:rFonts w:cstheme="minorHAnsi"/>
                <w:sz w:val="24"/>
                <w:szCs w:val="24"/>
              </w:rPr>
            </w:pPr>
            <w:r w:rsidRPr="00EE04D8">
              <w:rPr>
                <w:rFonts w:cstheme="minorHAnsi"/>
                <w:sz w:val="24"/>
                <w:szCs w:val="24"/>
              </w:rPr>
              <w:t>0.281</w:t>
            </w:r>
          </w:p>
        </w:tc>
        <w:tc>
          <w:tcPr>
            <w:tcW w:w="979" w:type="pct"/>
          </w:tcPr>
          <w:p w14:paraId="7034A374" w14:textId="77777777" w:rsidR="007330C1" w:rsidRPr="00EE04D8" w:rsidRDefault="007330C1" w:rsidP="001A4983">
            <w:pPr>
              <w:spacing w:line="480" w:lineRule="auto"/>
              <w:rPr>
                <w:rFonts w:cstheme="minorHAnsi"/>
                <w:sz w:val="24"/>
                <w:szCs w:val="24"/>
              </w:rPr>
            </w:pPr>
            <w:r w:rsidRPr="00EE04D8">
              <w:rPr>
                <w:rFonts w:cstheme="minorHAnsi"/>
                <w:sz w:val="24"/>
                <w:szCs w:val="24"/>
              </w:rPr>
              <w:t>1.07 (0.99-1.18)</w:t>
            </w:r>
          </w:p>
        </w:tc>
        <w:tc>
          <w:tcPr>
            <w:tcW w:w="377" w:type="pct"/>
          </w:tcPr>
          <w:p w14:paraId="2E6F9DFD" w14:textId="77777777" w:rsidR="007330C1" w:rsidRPr="00EE04D8" w:rsidRDefault="007330C1" w:rsidP="001A4983">
            <w:pPr>
              <w:spacing w:line="480" w:lineRule="auto"/>
              <w:rPr>
                <w:rFonts w:cstheme="minorHAnsi"/>
                <w:sz w:val="24"/>
                <w:szCs w:val="24"/>
              </w:rPr>
            </w:pPr>
            <w:r w:rsidRPr="00EE04D8">
              <w:rPr>
                <w:rFonts w:cstheme="minorHAnsi"/>
                <w:sz w:val="24"/>
                <w:szCs w:val="24"/>
              </w:rPr>
              <w:t>0.100</w:t>
            </w:r>
          </w:p>
        </w:tc>
      </w:tr>
      <w:tr w:rsidR="007330C1" w:rsidRPr="00EE04D8" w14:paraId="1608DFEC" w14:textId="77777777" w:rsidTr="001A4983">
        <w:tc>
          <w:tcPr>
            <w:tcW w:w="557" w:type="pct"/>
            <w:vMerge/>
          </w:tcPr>
          <w:p w14:paraId="05627010" w14:textId="77777777" w:rsidR="007330C1" w:rsidRPr="00EE04D8" w:rsidRDefault="007330C1" w:rsidP="001A4983">
            <w:pPr>
              <w:spacing w:line="480" w:lineRule="auto"/>
              <w:rPr>
                <w:rFonts w:cstheme="minorHAnsi"/>
                <w:sz w:val="24"/>
                <w:szCs w:val="24"/>
              </w:rPr>
            </w:pPr>
          </w:p>
        </w:tc>
        <w:tc>
          <w:tcPr>
            <w:tcW w:w="915" w:type="pct"/>
            <w:vMerge/>
          </w:tcPr>
          <w:p w14:paraId="2C71D0C8" w14:textId="77777777" w:rsidR="007330C1" w:rsidRPr="00EE04D8" w:rsidRDefault="007330C1" w:rsidP="001A4983">
            <w:pPr>
              <w:spacing w:line="480" w:lineRule="auto"/>
              <w:rPr>
                <w:rFonts w:cstheme="minorHAnsi"/>
                <w:sz w:val="24"/>
                <w:szCs w:val="24"/>
              </w:rPr>
            </w:pPr>
          </w:p>
        </w:tc>
        <w:tc>
          <w:tcPr>
            <w:tcW w:w="813" w:type="pct"/>
          </w:tcPr>
          <w:p w14:paraId="256360A0" w14:textId="77777777" w:rsidR="007330C1" w:rsidRPr="00EE04D8" w:rsidRDefault="007330C1" w:rsidP="001A4983">
            <w:pPr>
              <w:spacing w:line="480" w:lineRule="auto"/>
              <w:rPr>
                <w:rFonts w:cstheme="minorHAnsi"/>
                <w:sz w:val="24"/>
                <w:szCs w:val="24"/>
              </w:rPr>
            </w:pPr>
            <w:proofErr w:type="spellStart"/>
            <w:r w:rsidRPr="00EE04D8">
              <w:rPr>
                <w:rFonts w:cstheme="minorHAnsi"/>
                <w:sz w:val="24"/>
                <w:szCs w:val="24"/>
              </w:rPr>
              <w:t>C</w:t>
            </w:r>
            <w:r w:rsidRPr="00EE04D8">
              <w:rPr>
                <w:rFonts w:cstheme="minorHAnsi"/>
                <w:sz w:val="24"/>
                <w:szCs w:val="24"/>
                <w:vertAlign w:val="subscript"/>
              </w:rPr>
              <w:softHyphen/>
              <w:t>max</w:t>
            </w:r>
            <w:proofErr w:type="spellEnd"/>
            <w:r w:rsidRPr="00EE04D8">
              <w:rPr>
                <w:rFonts w:cstheme="minorHAnsi"/>
                <w:sz w:val="24"/>
                <w:szCs w:val="24"/>
                <w:vertAlign w:val="subscript"/>
              </w:rPr>
              <w:softHyphen/>
            </w:r>
            <w:r w:rsidRPr="00EE04D8">
              <w:rPr>
                <w:rFonts w:cstheme="minorHAnsi"/>
                <w:sz w:val="24"/>
                <w:szCs w:val="24"/>
              </w:rPr>
              <w:t xml:space="preserve"> (</w:t>
            </w:r>
            <w:proofErr w:type="spellStart"/>
            <w:r w:rsidRPr="00EE04D8">
              <w:rPr>
                <w:rFonts w:cstheme="minorHAnsi"/>
                <w:sz w:val="24"/>
                <w:szCs w:val="24"/>
              </w:rPr>
              <w:t>μg</w:t>
            </w:r>
            <w:proofErr w:type="spellEnd"/>
            <w:r w:rsidRPr="00EE04D8">
              <w:rPr>
                <w:rFonts w:cstheme="minorHAnsi"/>
                <w:sz w:val="24"/>
                <w:szCs w:val="24"/>
              </w:rPr>
              <w:t>/ml)</w:t>
            </w:r>
          </w:p>
        </w:tc>
        <w:tc>
          <w:tcPr>
            <w:tcW w:w="965" w:type="pct"/>
          </w:tcPr>
          <w:p w14:paraId="707E970A" w14:textId="77777777" w:rsidR="007330C1" w:rsidRPr="00EE04D8" w:rsidRDefault="007330C1" w:rsidP="001A4983">
            <w:pPr>
              <w:spacing w:line="480" w:lineRule="auto"/>
              <w:rPr>
                <w:rFonts w:cstheme="minorHAnsi"/>
                <w:sz w:val="24"/>
                <w:szCs w:val="24"/>
              </w:rPr>
            </w:pPr>
            <w:r w:rsidRPr="00EE04D8">
              <w:rPr>
                <w:rFonts w:cstheme="minorHAnsi"/>
                <w:sz w:val="24"/>
                <w:szCs w:val="24"/>
              </w:rPr>
              <w:t>1.24 (0.58-2.68)</w:t>
            </w:r>
          </w:p>
        </w:tc>
        <w:tc>
          <w:tcPr>
            <w:tcW w:w="393" w:type="pct"/>
          </w:tcPr>
          <w:p w14:paraId="43754E52" w14:textId="77777777" w:rsidR="007330C1" w:rsidRPr="00EE04D8" w:rsidRDefault="007330C1" w:rsidP="001A4983">
            <w:pPr>
              <w:spacing w:line="480" w:lineRule="auto"/>
              <w:rPr>
                <w:rFonts w:cstheme="minorHAnsi"/>
                <w:sz w:val="24"/>
                <w:szCs w:val="24"/>
              </w:rPr>
            </w:pPr>
            <w:r w:rsidRPr="00EE04D8">
              <w:rPr>
                <w:rFonts w:cstheme="minorHAnsi"/>
                <w:sz w:val="24"/>
                <w:szCs w:val="24"/>
              </w:rPr>
              <w:t>0.583</w:t>
            </w:r>
          </w:p>
        </w:tc>
        <w:tc>
          <w:tcPr>
            <w:tcW w:w="979" w:type="pct"/>
          </w:tcPr>
          <w:p w14:paraId="064A8B04" w14:textId="77777777" w:rsidR="007330C1" w:rsidRPr="00EE04D8" w:rsidRDefault="007330C1" w:rsidP="001A4983">
            <w:pPr>
              <w:spacing w:line="480" w:lineRule="auto"/>
              <w:rPr>
                <w:rFonts w:cstheme="minorHAnsi"/>
                <w:sz w:val="24"/>
                <w:szCs w:val="24"/>
              </w:rPr>
            </w:pPr>
            <w:r w:rsidRPr="00EE04D8">
              <w:rPr>
                <w:rFonts w:cstheme="minorHAnsi"/>
                <w:sz w:val="24"/>
                <w:szCs w:val="24"/>
              </w:rPr>
              <w:t>3.79 (0.96-17.86)</w:t>
            </w:r>
          </w:p>
        </w:tc>
        <w:tc>
          <w:tcPr>
            <w:tcW w:w="377" w:type="pct"/>
          </w:tcPr>
          <w:p w14:paraId="74C3C927" w14:textId="77777777" w:rsidR="007330C1" w:rsidRPr="00EE04D8" w:rsidRDefault="007330C1" w:rsidP="001A4983">
            <w:pPr>
              <w:spacing w:line="480" w:lineRule="auto"/>
              <w:rPr>
                <w:rFonts w:cstheme="minorHAnsi"/>
                <w:sz w:val="24"/>
                <w:szCs w:val="24"/>
              </w:rPr>
            </w:pPr>
            <w:r w:rsidRPr="00EE04D8">
              <w:rPr>
                <w:rFonts w:cstheme="minorHAnsi"/>
                <w:sz w:val="24"/>
                <w:szCs w:val="24"/>
              </w:rPr>
              <w:t>0.071</w:t>
            </w:r>
          </w:p>
        </w:tc>
      </w:tr>
      <w:tr w:rsidR="007330C1" w:rsidRPr="00EE04D8" w14:paraId="4971B75E" w14:textId="77777777" w:rsidTr="001A4983">
        <w:tc>
          <w:tcPr>
            <w:tcW w:w="557" w:type="pct"/>
            <w:vMerge/>
          </w:tcPr>
          <w:p w14:paraId="6D8312DC" w14:textId="77777777" w:rsidR="007330C1" w:rsidRPr="00EE04D8" w:rsidRDefault="007330C1" w:rsidP="001A4983">
            <w:pPr>
              <w:spacing w:line="480" w:lineRule="auto"/>
              <w:rPr>
                <w:rFonts w:cstheme="minorHAnsi"/>
                <w:sz w:val="24"/>
                <w:szCs w:val="24"/>
              </w:rPr>
            </w:pPr>
          </w:p>
        </w:tc>
        <w:tc>
          <w:tcPr>
            <w:tcW w:w="915" w:type="pct"/>
            <w:vMerge w:val="restart"/>
          </w:tcPr>
          <w:p w14:paraId="58776F9E" w14:textId="77777777" w:rsidR="007330C1" w:rsidRPr="00EE04D8" w:rsidRDefault="007330C1" w:rsidP="001A4983">
            <w:pPr>
              <w:spacing w:line="480" w:lineRule="auto"/>
              <w:rPr>
                <w:rFonts w:cstheme="minorHAnsi"/>
                <w:sz w:val="24"/>
                <w:szCs w:val="24"/>
              </w:rPr>
            </w:pPr>
            <w:r>
              <w:rPr>
                <w:rFonts w:cstheme="minorHAnsi"/>
                <w:sz w:val="24"/>
                <w:szCs w:val="24"/>
              </w:rPr>
              <w:t>Epithelial lining fluid</w:t>
            </w:r>
            <w:r w:rsidRPr="00EE04D8">
              <w:rPr>
                <w:rFonts w:cstheme="minorHAnsi"/>
                <w:sz w:val="24"/>
                <w:szCs w:val="24"/>
              </w:rPr>
              <w:t xml:space="preserve"> </w:t>
            </w:r>
            <w:r w:rsidRPr="000453CC">
              <w:rPr>
                <w:rFonts w:cstheme="minorHAnsi"/>
                <w:sz w:val="24"/>
                <w:szCs w:val="24"/>
                <w:vertAlign w:val="superscript"/>
              </w:rPr>
              <w:t>a</w:t>
            </w:r>
          </w:p>
        </w:tc>
        <w:tc>
          <w:tcPr>
            <w:tcW w:w="813" w:type="pct"/>
          </w:tcPr>
          <w:p w14:paraId="7901D73D" w14:textId="77777777" w:rsidR="007330C1" w:rsidRPr="00EE04D8" w:rsidRDefault="007330C1" w:rsidP="001A4983">
            <w:pPr>
              <w:spacing w:line="480" w:lineRule="auto"/>
              <w:rPr>
                <w:rFonts w:cstheme="minorHAnsi"/>
                <w:sz w:val="24"/>
                <w:szCs w:val="24"/>
              </w:rPr>
            </w:pPr>
            <w:r w:rsidRPr="00EE04D8">
              <w:rPr>
                <w:rFonts w:cstheme="minorHAnsi"/>
                <w:sz w:val="24"/>
                <w:szCs w:val="24"/>
              </w:rPr>
              <w:t>AUC (</w:t>
            </w:r>
            <w:proofErr w:type="spellStart"/>
            <w:r w:rsidRPr="00EE04D8">
              <w:rPr>
                <w:rFonts w:cstheme="minorHAnsi"/>
                <w:sz w:val="24"/>
                <w:szCs w:val="24"/>
              </w:rPr>
              <w:t>μg.h</w:t>
            </w:r>
            <w:proofErr w:type="spellEnd"/>
            <w:r w:rsidRPr="00EE04D8">
              <w:rPr>
                <w:rFonts w:cstheme="minorHAnsi"/>
                <w:sz w:val="24"/>
                <w:szCs w:val="24"/>
              </w:rPr>
              <w:t>/ml)</w:t>
            </w:r>
          </w:p>
        </w:tc>
        <w:tc>
          <w:tcPr>
            <w:tcW w:w="965" w:type="pct"/>
          </w:tcPr>
          <w:p w14:paraId="56AB2D01" w14:textId="77777777" w:rsidR="007330C1" w:rsidRPr="00EE04D8" w:rsidRDefault="007330C1" w:rsidP="001A4983">
            <w:pPr>
              <w:spacing w:line="480" w:lineRule="auto"/>
              <w:rPr>
                <w:rFonts w:cstheme="minorHAnsi"/>
                <w:sz w:val="24"/>
                <w:szCs w:val="24"/>
              </w:rPr>
            </w:pPr>
            <w:r w:rsidRPr="00EE04D8">
              <w:rPr>
                <w:rFonts w:cstheme="minorHAnsi"/>
                <w:sz w:val="24"/>
                <w:szCs w:val="24"/>
              </w:rPr>
              <w:t>1.00 (1.00-1.00)</w:t>
            </w:r>
          </w:p>
        </w:tc>
        <w:tc>
          <w:tcPr>
            <w:tcW w:w="393" w:type="pct"/>
          </w:tcPr>
          <w:p w14:paraId="7FEA644A" w14:textId="77777777" w:rsidR="007330C1" w:rsidRPr="00EE04D8" w:rsidRDefault="007330C1" w:rsidP="001A4983">
            <w:pPr>
              <w:spacing w:line="480" w:lineRule="auto"/>
              <w:rPr>
                <w:rFonts w:cstheme="minorHAnsi"/>
                <w:sz w:val="24"/>
                <w:szCs w:val="24"/>
              </w:rPr>
            </w:pPr>
            <w:r w:rsidRPr="00EE04D8">
              <w:rPr>
                <w:rFonts w:cstheme="minorHAnsi"/>
                <w:sz w:val="24"/>
                <w:szCs w:val="24"/>
              </w:rPr>
              <w:t>0.372</w:t>
            </w:r>
          </w:p>
        </w:tc>
        <w:tc>
          <w:tcPr>
            <w:tcW w:w="979" w:type="pct"/>
          </w:tcPr>
          <w:p w14:paraId="5E165E6C" w14:textId="77777777" w:rsidR="007330C1" w:rsidRPr="00EE04D8" w:rsidRDefault="007330C1" w:rsidP="001A4983">
            <w:pPr>
              <w:spacing w:line="480" w:lineRule="auto"/>
              <w:rPr>
                <w:rFonts w:cstheme="minorHAnsi"/>
                <w:sz w:val="24"/>
                <w:szCs w:val="24"/>
              </w:rPr>
            </w:pPr>
            <w:r w:rsidRPr="00EE04D8">
              <w:rPr>
                <w:rFonts w:cstheme="minorHAnsi"/>
                <w:sz w:val="24"/>
                <w:szCs w:val="24"/>
              </w:rPr>
              <w:t>1.00 (1.00-1.01)</w:t>
            </w:r>
          </w:p>
        </w:tc>
        <w:tc>
          <w:tcPr>
            <w:tcW w:w="377" w:type="pct"/>
          </w:tcPr>
          <w:p w14:paraId="1B3132AC" w14:textId="77777777" w:rsidR="007330C1" w:rsidRPr="00EE04D8" w:rsidRDefault="007330C1" w:rsidP="001A4983">
            <w:pPr>
              <w:spacing w:line="480" w:lineRule="auto"/>
              <w:rPr>
                <w:rFonts w:cstheme="minorHAnsi"/>
                <w:sz w:val="24"/>
                <w:szCs w:val="24"/>
              </w:rPr>
            </w:pPr>
            <w:r w:rsidRPr="00EE04D8">
              <w:rPr>
                <w:rFonts w:cstheme="minorHAnsi"/>
                <w:sz w:val="24"/>
                <w:szCs w:val="24"/>
              </w:rPr>
              <w:t>0.575</w:t>
            </w:r>
          </w:p>
        </w:tc>
      </w:tr>
      <w:tr w:rsidR="007330C1" w:rsidRPr="00EE04D8" w14:paraId="715CEFC5" w14:textId="77777777" w:rsidTr="001A4983">
        <w:tc>
          <w:tcPr>
            <w:tcW w:w="557" w:type="pct"/>
            <w:vMerge/>
          </w:tcPr>
          <w:p w14:paraId="2A94648C" w14:textId="77777777" w:rsidR="007330C1" w:rsidRPr="00EE04D8" w:rsidRDefault="007330C1" w:rsidP="001A4983">
            <w:pPr>
              <w:spacing w:line="480" w:lineRule="auto"/>
              <w:rPr>
                <w:rFonts w:cstheme="minorHAnsi"/>
                <w:sz w:val="24"/>
                <w:szCs w:val="24"/>
              </w:rPr>
            </w:pPr>
          </w:p>
        </w:tc>
        <w:tc>
          <w:tcPr>
            <w:tcW w:w="915" w:type="pct"/>
            <w:vMerge/>
          </w:tcPr>
          <w:p w14:paraId="19E208B5" w14:textId="77777777" w:rsidR="007330C1" w:rsidRPr="00EE04D8" w:rsidRDefault="007330C1" w:rsidP="001A4983">
            <w:pPr>
              <w:spacing w:line="480" w:lineRule="auto"/>
              <w:rPr>
                <w:rFonts w:cstheme="minorHAnsi"/>
                <w:sz w:val="24"/>
                <w:szCs w:val="24"/>
              </w:rPr>
            </w:pPr>
          </w:p>
        </w:tc>
        <w:tc>
          <w:tcPr>
            <w:tcW w:w="813" w:type="pct"/>
          </w:tcPr>
          <w:p w14:paraId="0F74C3ED" w14:textId="77777777" w:rsidR="007330C1" w:rsidRPr="00EE04D8" w:rsidRDefault="007330C1" w:rsidP="001A4983">
            <w:pPr>
              <w:spacing w:line="480" w:lineRule="auto"/>
              <w:rPr>
                <w:rFonts w:cstheme="minorHAnsi"/>
                <w:sz w:val="24"/>
                <w:szCs w:val="24"/>
              </w:rPr>
            </w:pPr>
            <w:proofErr w:type="spellStart"/>
            <w:r w:rsidRPr="00EE04D8">
              <w:rPr>
                <w:rFonts w:cstheme="minorHAnsi"/>
                <w:sz w:val="24"/>
                <w:szCs w:val="24"/>
              </w:rPr>
              <w:t>C</w:t>
            </w:r>
            <w:r w:rsidRPr="00EE04D8">
              <w:rPr>
                <w:rFonts w:cstheme="minorHAnsi"/>
                <w:sz w:val="24"/>
                <w:szCs w:val="24"/>
                <w:vertAlign w:val="subscript"/>
              </w:rPr>
              <w:softHyphen/>
              <w:t>max</w:t>
            </w:r>
            <w:proofErr w:type="spellEnd"/>
            <w:r w:rsidRPr="00EE04D8">
              <w:rPr>
                <w:rFonts w:cstheme="minorHAnsi"/>
                <w:sz w:val="24"/>
                <w:szCs w:val="24"/>
                <w:vertAlign w:val="subscript"/>
              </w:rPr>
              <w:softHyphen/>
            </w:r>
            <w:r w:rsidRPr="00EE04D8">
              <w:rPr>
                <w:rFonts w:cstheme="minorHAnsi"/>
                <w:sz w:val="24"/>
                <w:szCs w:val="24"/>
              </w:rPr>
              <w:t xml:space="preserve"> (</w:t>
            </w:r>
            <w:proofErr w:type="spellStart"/>
            <w:r w:rsidRPr="00EE04D8">
              <w:rPr>
                <w:rFonts w:cstheme="minorHAnsi"/>
                <w:sz w:val="24"/>
                <w:szCs w:val="24"/>
              </w:rPr>
              <w:t>μg</w:t>
            </w:r>
            <w:proofErr w:type="spellEnd"/>
            <w:r w:rsidRPr="00EE04D8">
              <w:rPr>
                <w:rFonts w:cstheme="minorHAnsi"/>
                <w:sz w:val="24"/>
                <w:szCs w:val="24"/>
              </w:rPr>
              <w:t>/ml)</w:t>
            </w:r>
          </w:p>
        </w:tc>
        <w:tc>
          <w:tcPr>
            <w:tcW w:w="965" w:type="pct"/>
          </w:tcPr>
          <w:p w14:paraId="0D8D091B" w14:textId="77777777" w:rsidR="007330C1" w:rsidRPr="00EE04D8" w:rsidRDefault="007330C1" w:rsidP="001A4983">
            <w:pPr>
              <w:spacing w:line="480" w:lineRule="auto"/>
              <w:rPr>
                <w:rFonts w:cstheme="minorHAnsi"/>
                <w:sz w:val="24"/>
                <w:szCs w:val="24"/>
              </w:rPr>
            </w:pPr>
            <w:r w:rsidRPr="00EE04D8">
              <w:rPr>
                <w:rFonts w:cstheme="minorHAnsi"/>
                <w:sz w:val="24"/>
                <w:szCs w:val="24"/>
              </w:rPr>
              <w:t>1.02 (1.00-1.04)</w:t>
            </w:r>
          </w:p>
        </w:tc>
        <w:tc>
          <w:tcPr>
            <w:tcW w:w="393" w:type="pct"/>
          </w:tcPr>
          <w:p w14:paraId="76A31883" w14:textId="77777777" w:rsidR="007330C1" w:rsidRPr="00EE04D8" w:rsidRDefault="007330C1" w:rsidP="001A4983">
            <w:pPr>
              <w:spacing w:line="480" w:lineRule="auto"/>
              <w:rPr>
                <w:rFonts w:cstheme="minorHAnsi"/>
                <w:sz w:val="24"/>
                <w:szCs w:val="24"/>
              </w:rPr>
            </w:pPr>
            <w:r w:rsidRPr="00EE04D8">
              <w:rPr>
                <w:rFonts w:cstheme="minorHAnsi"/>
                <w:sz w:val="24"/>
                <w:szCs w:val="24"/>
              </w:rPr>
              <w:t>0.116</w:t>
            </w:r>
          </w:p>
        </w:tc>
        <w:tc>
          <w:tcPr>
            <w:tcW w:w="979" w:type="pct"/>
          </w:tcPr>
          <w:p w14:paraId="69F05345" w14:textId="77777777" w:rsidR="007330C1" w:rsidRPr="00EE04D8" w:rsidRDefault="007330C1" w:rsidP="001A4983">
            <w:pPr>
              <w:spacing w:line="480" w:lineRule="auto"/>
              <w:rPr>
                <w:rFonts w:cstheme="minorHAnsi"/>
                <w:sz w:val="24"/>
                <w:szCs w:val="24"/>
              </w:rPr>
            </w:pPr>
            <w:r w:rsidRPr="00EE04D8">
              <w:rPr>
                <w:rFonts w:cstheme="minorHAnsi"/>
                <w:sz w:val="24"/>
                <w:szCs w:val="24"/>
              </w:rPr>
              <w:t>1.03 (0.98-1.15)</w:t>
            </w:r>
          </w:p>
        </w:tc>
        <w:tc>
          <w:tcPr>
            <w:tcW w:w="377" w:type="pct"/>
          </w:tcPr>
          <w:p w14:paraId="43B77DAB" w14:textId="77777777" w:rsidR="007330C1" w:rsidRPr="00EE04D8" w:rsidRDefault="007330C1" w:rsidP="001A4983">
            <w:pPr>
              <w:spacing w:line="480" w:lineRule="auto"/>
              <w:rPr>
                <w:rFonts w:cstheme="minorHAnsi"/>
                <w:sz w:val="24"/>
                <w:szCs w:val="24"/>
              </w:rPr>
            </w:pPr>
            <w:r w:rsidRPr="00EE04D8">
              <w:rPr>
                <w:rFonts w:cstheme="minorHAnsi"/>
                <w:sz w:val="24"/>
                <w:szCs w:val="24"/>
              </w:rPr>
              <w:t>0.400</w:t>
            </w:r>
          </w:p>
        </w:tc>
      </w:tr>
      <w:tr w:rsidR="007330C1" w:rsidRPr="00EE04D8" w14:paraId="0EE9A0ED" w14:textId="77777777" w:rsidTr="001A4983">
        <w:tc>
          <w:tcPr>
            <w:tcW w:w="557" w:type="pct"/>
            <w:vMerge/>
          </w:tcPr>
          <w:p w14:paraId="156752ED" w14:textId="77777777" w:rsidR="007330C1" w:rsidRPr="00EE04D8" w:rsidRDefault="007330C1" w:rsidP="001A4983">
            <w:pPr>
              <w:spacing w:line="480" w:lineRule="auto"/>
              <w:rPr>
                <w:rFonts w:cstheme="minorHAnsi"/>
                <w:sz w:val="24"/>
                <w:szCs w:val="24"/>
              </w:rPr>
            </w:pPr>
          </w:p>
        </w:tc>
        <w:tc>
          <w:tcPr>
            <w:tcW w:w="915" w:type="pct"/>
            <w:vMerge w:val="restart"/>
          </w:tcPr>
          <w:p w14:paraId="37E51967" w14:textId="77777777" w:rsidR="007330C1" w:rsidRPr="00EE04D8" w:rsidRDefault="007330C1" w:rsidP="001A4983">
            <w:pPr>
              <w:spacing w:line="480" w:lineRule="auto"/>
              <w:rPr>
                <w:rFonts w:cstheme="minorHAnsi"/>
                <w:sz w:val="24"/>
                <w:szCs w:val="24"/>
              </w:rPr>
            </w:pPr>
            <w:r w:rsidRPr="00EE04D8">
              <w:rPr>
                <w:rFonts w:cstheme="minorHAnsi"/>
                <w:sz w:val="24"/>
                <w:szCs w:val="24"/>
              </w:rPr>
              <w:t>A</w:t>
            </w:r>
            <w:r>
              <w:rPr>
                <w:rFonts w:cstheme="minorHAnsi"/>
                <w:sz w:val="24"/>
                <w:szCs w:val="24"/>
              </w:rPr>
              <w:t xml:space="preserve">lveolar cells </w:t>
            </w:r>
            <w:r>
              <w:rPr>
                <w:rFonts w:cstheme="minorHAnsi"/>
                <w:sz w:val="24"/>
                <w:szCs w:val="24"/>
                <w:vertAlign w:val="superscript"/>
              </w:rPr>
              <w:t>a</w:t>
            </w:r>
          </w:p>
        </w:tc>
        <w:tc>
          <w:tcPr>
            <w:tcW w:w="813" w:type="pct"/>
          </w:tcPr>
          <w:p w14:paraId="6B0C4CF2" w14:textId="77777777" w:rsidR="007330C1" w:rsidRPr="00EE04D8" w:rsidRDefault="007330C1" w:rsidP="001A4983">
            <w:pPr>
              <w:spacing w:line="480" w:lineRule="auto"/>
              <w:rPr>
                <w:rFonts w:cstheme="minorHAnsi"/>
                <w:sz w:val="24"/>
                <w:szCs w:val="24"/>
              </w:rPr>
            </w:pPr>
            <w:r w:rsidRPr="00EE04D8">
              <w:rPr>
                <w:rFonts w:cstheme="minorHAnsi"/>
                <w:sz w:val="24"/>
                <w:szCs w:val="24"/>
              </w:rPr>
              <w:t>AUC (</w:t>
            </w:r>
            <w:proofErr w:type="spellStart"/>
            <w:r w:rsidRPr="00EE04D8">
              <w:rPr>
                <w:rFonts w:cstheme="minorHAnsi"/>
                <w:sz w:val="24"/>
                <w:szCs w:val="24"/>
              </w:rPr>
              <w:t>μg.h</w:t>
            </w:r>
            <w:proofErr w:type="spellEnd"/>
            <w:r w:rsidRPr="00EE04D8">
              <w:rPr>
                <w:rFonts w:cstheme="minorHAnsi"/>
                <w:sz w:val="24"/>
                <w:szCs w:val="24"/>
              </w:rPr>
              <w:t>/ml)</w:t>
            </w:r>
          </w:p>
        </w:tc>
        <w:tc>
          <w:tcPr>
            <w:tcW w:w="965" w:type="pct"/>
          </w:tcPr>
          <w:p w14:paraId="51F0D986" w14:textId="77777777" w:rsidR="007330C1" w:rsidRPr="00EE04D8" w:rsidRDefault="007330C1" w:rsidP="001A4983">
            <w:pPr>
              <w:spacing w:line="480" w:lineRule="auto"/>
              <w:rPr>
                <w:rFonts w:cstheme="minorHAnsi"/>
                <w:sz w:val="24"/>
                <w:szCs w:val="24"/>
              </w:rPr>
            </w:pPr>
            <w:r w:rsidRPr="00EE04D8">
              <w:rPr>
                <w:rFonts w:cstheme="minorHAnsi"/>
                <w:sz w:val="24"/>
                <w:szCs w:val="24"/>
              </w:rPr>
              <w:t>1.00 (0.98-1.02)</w:t>
            </w:r>
          </w:p>
        </w:tc>
        <w:tc>
          <w:tcPr>
            <w:tcW w:w="393" w:type="pct"/>
          </w:tcPr>
          <w:p w14:paraId="1FD5BC07" w14:textId="77777777" w:rsidR="007330C1" w:rsidRPr="00EE04D8" w:rsidRDefault="007330C1" w:rsidP="001A4983">
            <w:pPr>
              <w:spacing w:line="480" w:lineRule="auto"/>
              <w:rPr>
                <w:rFonts w:cstheme="minorHAnsi"/>
                <w:sz w:val="24"/>
                <w:szCs w:val="24"/>
              </w:rPr>
            </w:pPr>
            <w:r w:rsidRPr="00EE04D8">
              <w:rPr>
                <w:rFonts w:cstheme="minorHAnsi"/>
                <w:sz w:val="24"/>
                <w:szCs w:val="24"/>
              </w:rPr>
              <w:t>0.992</w:t>
            </w:r>
          </w:p>
        </w:tc>
        <w:tc>
          <w:tcPr>
            <w:tcW w:w="979" w:type="pct"/>
          </w:tcPr>
          <w:p w14:paraId="659B23EB" w14:textId="77777777" w:rsidR="007330C1" w:rsidRPr="00EE04D8" w:rsidRDefault="007330C1" w:rsidP="001A4983">
            <w:pPr>
              <w:spacing w:line="480" w:lineRule="auto"/>
              <w:rPr>
                <w:rFonts w:cstheme="minorHAnsi"/>
                <w:sz w:val="24"/>
                <w:szCs w:val="24"/>
              </w:rPr>
            </w:pPr>
            <w:r w:rsidRPr="00EE04D8">
              <w:rPr>
                <w:rFonts w:cstheme="minorHAnsi"/>
                <w:sz w:val="24"/>
                <w:szCs w:val="24"/>
              </w:rPr>
              <w:t>1.00 (0.98-1.06)</w:t>
            </w:r>
          </w:p>
        </w:tc>
        <w:tc>
          <w:tcPr>
            <w:tcW w:w="377" w:type="pct"/>
          </w:tcPr>
          <w:p w14:paraId="0BBDE43D" w14:textId="77777777" w:rsidR="007330C1" w:rsidRPr="00EE04D8" w:rsidRDefault="007330C1" w:rsidP="001A4983">
            <w:pPr>
              <w:spacing w:line="480" w:lineRule="auto"/>
              <w:rPr>
                <w:rFonts w:cstheme="minorHAnsi"/>
                <w:sz w:val="24"/>
                <w:szCs w:val="24"/>
              </w:rPr>
            </w:pPr>
            <w:r w:rsidRPr="00EE04D8">
              <w:rPr>
                <w:rFonts w:cstheme="minorHAnsi"/>
                <w:sz w:val="24"/>
                <w:szCs w:val="24"/>
              </w:rPr>
              <w:t>0.980</w:t>
            </w:r>
          </w:p>
        </w:tc>
      </w:tr>
      <w:tr w:rsidR="007330C1" w:rsidRPr="00EE04D8" w14:paraId="4497E0D9" w14:textId="77777777" w:rsidTr="001A4983">
        <w:tc>
          <w:tcPr>
            <w:tcW w:w="557" w:type="pct"/>
            <w:vMerge/>
          </w:tcPr>
          <w:p w14:paraId="33CF5062" w14:textId="77777777" w:rsidR="007330C1" w:rsidRPr="00EE04D8" w:rsidRDefault="007330C1" w:rsidP="001A4983">
            <w:pPr>
              <w:spacing w:line="480" w:lineRule="auto"/>
              <w:rPr>
                <w:rFonts w:cstheme="minorHAnsi"/>
                <w:sz w:val="24"/>
                <w:szCs w:val="24"/>
              </w:rPr>
            </w:pPr>
          </w:p>
        </w:tc>
        <w:tc>
          <w:tcPr>
            <w:tcW w:w="915" w:type="pct"/>
            <w:vMerge/>
          </w:tcPr>
          <w:p w14:paraId="334B807E" w14:textId="77777777" w:rsidR="007330C1" w:rsidRPr="00EE04D8" w:rsidRDefault="007330C1" w:rsidP="001A4983">
            <w:pPr>
              <w:spacing w:line="480" w:lineRule="auto"/>
              <w:rPr>
                <w:rFonts w:cstheme="minorHAnsi"/>
                <w:sz w:val="24"/>
                <w:szCs w:val="24"/>
              </w:rPr>
            </w:pPr>
          </w:p>
        </w:tc>
        <w:tc>
          <w:tcPr>
            <w:tcW w:w="813" w:type="pct"/>
          </w:tcPr>
          <w:p w14:paraId="728D20C9" w14:textId="77777777" w:rsidR="007330C1" w:rsidRPr="00EE04D8" w:rsidRDefault="007330C1" w:rsidP="001A4983">
            <w:pPr>
              <w:spacing w:line="480" w:lineRule="auto"/>
              <w:rPr>
                <w:rFonts w:cstheme="minorHAnsi"/>
                <w:sz w:val="24"/>
                <w:szCs w:val="24"/>
              </w:rPr>
            </w:pPr>
            <w:proofErr w:type="spellStart"/>
            <w:r w:rsidRPr="00EE04D8">
              <w:rPr>
                <w:rFonts w:cstheme="minorHAnsi"/>
                <w:sz w:val="24"/>
                <w:szCs w:val="24"/>
              </w:rPr>
              <w:t>C</w:t>
            </w:r>
            <w:r w:rsidRPr="00EE04D8">
              <w:rPr>
                <w:rFonts w:cstheme="minorHAnsi"/>
                <w:sz w:val="24"/>
                <w:szCs w:val="24"/>
                <w:vertAlign w:val="subscript"/>
              </w:rPr>
              <w:softHyphen/>
              <w:t>max</w:t>
            </w:r>
            <w:proofErr w:type="spellEnd"/>
            <w:r w:rsidRPr="00EE04D8">
              <w:rPr>
                <w:rFonts w:cstheme="minorHAnsi"/>
                <w:sz w:val="24"/>
                <w:szCs w:val="24"/>
                <w:vertAlign w:val="subscript"/>
              </w:rPr>
              <w:softHyphen/>
            </w:r>
            <w:r w:rsidRPr="00EE04D8">
              <w:rPr>
                <w:rFonts w:cstheme="minorHAnsi"/>
                <w:sz w:val="24"/>
                <w:szCs w:val="24"/>
              </w:rPr>
              <w:t xml:space="preserve"> (</w:t>
            </w:r>
            <w:proofErr w:type="spellStart"/>
            <w:r w:rsidRPr="00EE04D8">
              <w:rPr>
                <w:rFonts w:cstheme="minorHAnsi"/>
                <w:sz w:val="24"/>
                <w:szCs w:val="24"/>
              </w:rPr>
              <w:t>μg</w:t>
            </w:r>
            <w:proofErr w:type="spellEnd"/>
            <w:r w:rsidRPr="00EE04D8">
              <w:rPr>
                <w:rFonts w:cstheme="minorHAnsi"/>
                <w:sz w:val="24"/>
                <w:szCs w:val="24"/>
              </w:rPr>
              <w:t>/ml)</w:t>
            </w:r>
          </w:p>
        </w:tc>
        <w:tc>
          <w:tcPr>
            <w:tcW w:w="965" w:type="pct"/>
          </w:tcPr>
          <w:p w14:paraId="2B2FB602" w14:textId="77777777" w:rsidR="007330C1" w:rsidRPr="00EE04D8" w:rsidRDefault="007330C1" w:rsidP="001A4983">
            <w:pPr>
              <w:spacing w:line="480" w:lineRule="auto"/>
              <w:rPr>
                <w:rFonts w:cstheme="minorHAnsi"/>
                <w:sz w:val="24"/>
                <w:szCs w:val="24"/>
              </w:rPr>
            </w:pPr>
            <w:r w:rsidRPr="00EE04D8">
              <w:rPr>
                <w:rFonts w:cstheme="minorHAnsi"/>
                <w:sz w:val="24"/>
                <w:szCs w:val="24"/>
              </w:rPr>
              <w:t>1.04 (0.85-1.30)</w:t>
            </w:r>
          </w:p>
        </w:tc>
        <w:tc>
          <w:tcPr>
            <w:tcW w:w="393" w:type="pct"/>
          </w:tcPr>
          <w:p w14:paraId="60662F49" w14:textId="77777777" w:rsidR="007330C1" w:rsidRPr="00EE04D8" w:rsidRDefault="007330C1" w:rsidP="001A4983">
            <w:pPr>
              <w:spacing w:line="480" w:lineRule="auto"/>
              <w:rPr>
                <w:rFonts w:cstheme="minorHAnsi"/>
                <w:sz w:val="24"/>
                <w:szCs w:val="24"/>
              </w:rPr>
            </w:pPr>
            <w:r w:rsidRPr="00EE04D8">
              <w:rPr>
                <w:rFonts w:cstheme="minorHAnsi"/>
                <w:sz w:val="24"/>
                <w:szCs w:val="24"/>
              </w:rPr>
              <w:t>0.674</w:t>
            </w:r>
          </w:p>
        </w:tc>
        <w:tc>
          <w:tcPr>
            <w:tcW w:w="979" w:type="pct"/>
          </w:tcPr>
          <w:p w14:paraId="4B30E513" w14:textId="77777777" w:rsidR="007330C1" w:rsidRPr="00EE04D8" w:rsidRDefault="007330C1" w:rsidP="001A4983">
            <w:pPr>
              <w:spacing w:line="480" w:lineRule="auto"/>
              <w:rPr>
                <w:rFonts w:cstheme="minorHAnsi"/>
                <w:sz w:val="24"/>
                <w:szCs w:val="24"/>
              </w:rPr>
            </w:pPr>
            <w:r w:rsidRPr="00EE04D8">
              <w:rPr>
                <w:rFonts w:cstheme="minorHAnsi"/>
                <w:sz w:val="24"/>
                <w:szCs w:val="24"/>
              </w:rPr>
              <w:t>1.01 (0.73-1.77)</w:t>
            </w:r>
          </w:p>
        </w:tc>
        <w:tc>
          <w:tcPr>
            <w:tcW w:w="377" w:type="pct"/>
          </w:tcPr>
          <w:p w14:paraId="2DD0F6C6" w14:textId="77777777" w:rsidR="007330C1" w:rsidRPr="00EE04D8" w:rsidRDefault="007330C1" w:rsidP="001A4983">
            <w:pPr>
              <w:spacing w:line="480" w:lineRule="auto"/>
              <w:rPr>
                <w:rFonts w:cstheme="minorHAnsi"/>
                <w:sz w:val="24"/>
                <w:szCs w:val="24"/>
              </w:rPr>
            </w:pPr>
            <w:r w:rsidRPr="00EE04D8">
              <w:rPr>
                <w:rFonts w:cstheme="minorHAnsi"/>
                <w:sz w:val="24"/>
                <w:szCs w:val="24"/>
              </w:rPr>
              <w:t>0.959</w:t>
            </w:r>
          </w:p>
        </w:tc>
      </w:tr>
      <w:tr w:rsidR="007330C1" w:rsidRPr="00EE04D8" w14:paraId="0E153935" w14:textId="77777777" w:rsidTr="001A4983">
        <w:tc>
          <w:tcPr>
            <w:tcW w:w="557" w:type="pct"/>
            <w:vMerge w:val="restart"/>
          </w:tcPr>
          <w:p w14:paraId="1199B349" w14:textId="77777777" w:rsidR="007330C1" w:rsidRPr="00EE04D8" w:rsidRDefault="007330C1" w:rsidP="001A4983">
            <w:pPr>
              <w:spacing w:line="480" w:lineRule="auto"/>
              <w:rPr>
                <w:rFonts w:cstheme="minorHAnsi"/>
                <w:sz w:val="24"/>
                <w:szCs w:val="24"/>
              </w:rPr>
            </w:pPr>
            <w:r w:rsidRPr="00EE04D8">
              <w:rPr>
                <w:rFonts w:cstheme="minorHAnsi"/>
                <w:sz w:val="24"/>
                <w:szCs w:val="24"/>
              </w:rPr>
              <w:t>Pyrazinamide</w:t>
            </w:r>
          </w:p>
        </w:tc>
        <w:tc>
          <w:tcPr>
            <w:tcW w:w="915" w:type="pct"/>
            <w:vMerge w:val="restart"/>
          </w:tcPr>
          <w:p w14:paraId="507FB1D0" w14:textId="77777777" w:rsidR="007330C1" w:rsidRPr="00EE04D8" w:rsidRDefault="007330C1" w:rsidP="001A4983">
            <w:pPr>
              <w:spacing w:line="480" w:lineRule="auto"/>
              <w:rPr>
                <w:rFonts w:cstheme="minorHAnsi"/>
                <w:sz w:val="24"/>
                <w:szCs w:val="24"/>
              </w:rPr>
            </w:pPr>
            <w:r w:rsidRPr="00EE04D8">
              <w:rPr>
                <w:rFonts w:cstheme="minorHAnsi"/>
                <w:sz w:val="24"/>
                <w:szCs w:val="24"/>
              </w:rPr>
              <w:t>Plasma</w:t>
            </w:r>
          </w:p>
        </w:tc>
        <w:tc>
          <w:tcPr>
            <w:tcW w:w="813" w:type="pct"/>
          </w:tcPr>
          <w:p w14:paraId="4DD55E8A" w14:textId="77777777" w:rsidR="007330C1" w:rsidRPr="00EE04D8" w:rsidRDefault="007330C1" w:rsidP="001A4983">
            <w:pPr>
              <w:spacing w:line="480" w:lineRule="auto"/>
              <w:rPr>
                <w:rFonts w:cstheme="minorHAnsi"/>
                <w:sz w:val="24"/>
                <w:szCs w:val="24"/>
              </w:rPr>
            </w:pPr>
            <w:r w:rsidRPr="00EE04D8">
              <w:rPr>
                <w:rFonts w:cstheme="minorHAnsi"/>
                <w:sz w:val="24"/>
                <w:szCs w:val="24"/>
              </w:rPr>
              <w:t>AUC (</w:t>
            </w:r>
            <w:proofErr w:type="spellStart"/>
            <w:r w:rsidRPr="00EE04D8">
              <w:rPr>
                <w:rFonts w:cstheme="minorHAnsi"/>
                <w:sz w:val="24"/>
                <w:szCs w:val="24"/>
              </w:rPr>
              <w:t>μg.h</w:t>
            </w:r>
            <w:proofErr w:type="spellEnd"/>
            <w:r w:rsidRPr="00EE04D8">
              <w:rPr>
                <w:rFonts w:cstheme="minorHAnsi"/>
                <w:sz w:val="24"/>
                <w:szCs w:val="24"/>
              </w:rPr>
              <w:t>/ml)</w:t>
            </w:r>
          </w:p>
        </w:tc>
        <w:tc>
          <w:tcPr>
            <w:tcW w:w="965" w:type="pct"/>
          </w:tcPr>
          <w:p w14:paraId="0D98B624" w14:textId="77777777" w:rsidR="007330C1" w:rsidRPr="00EE04D8" w:rsidRDefault="007330C1" w:rsidP="001A4983">
            <w:pPr>
              <w:spacing w:line="480" w:lineRule="auto"/>
              <w:rPr>
                <w:rFonts w:cstheme="minorHAnsi"/>
                <w:sz w:val="24"/>
                <w:szCs w:val="24"/>
              </w:rPr>
            </w:pPr>
            <w:r w:rsidRPr="00EE04D8">
              <w:rPr>
                <w:rFonts w:cstheme="minorHAnsi"/>
                <w:sz w:val="24"/>
                <w:szCs w:val="24"/>
              </w:rPr>
              <w:t>1.00 (0.99-1.00)</w:t>
            </w:r>
          </w:p>
        </w:tc>
        <w:tc>
          <w:tcPr>
            <w:tcW w:w="393" w:type="pct"/>
          </w:tcPr>
          <w:p w14:paraId="36904D09" w14:textId="77777777" w:rsidR="007330C1" w:rsidRPr="00EE04D8" w:rsidRDefault="007330C1" w:rsidP="001A4983">
            <w:pPr>
              <w:spacing w:line="480" w:lineRule="auto"/>
              <w:rPr>
                <w:rFonts w:cstheme="minorHAnsi"/>
                <w:sz w:val="24"/>
                <w:szCs w:val="24"/>
              </w:rPr>
            </w:pPr>
            <w:r w:rsidRPr="00EE04D8">
              <w:rPr>
                <w:rFonts w:cstheme="minorHAnsi"/>
                <w:sz w:val="24"/>
                <w:szCs w:val="24"/>
              </w:rPr>
              <w:t>0.303</w:t>
            </w:r>
          </w:p>
        </w:tc>
        <w:tc>
          <w:tcPr>
            <w:tcW w:w="979" w:type="pct"/>
          </w:tcPr>
          <w:p w14:paraId="58E81075" w14:textId="77777777" w:rsidR="007330C1" w:rsidRPr="00EE04D8" w:rsidRDefault="007330C1" w:rsidP="001A4983">
            <w:pPr>
              <w:spacing w:line="480" w:lineRule="auto"/>
              <w:rPr>
                <w:rFonts w:cstheme="minorHAnsi"/>
                <w:sz w:val="24"/>
                <w:szCs w:val="24"/>
              </w:rPr>
            </w:pPr>
            <w:r w:rsidRPr="00EE04D8">
              <w:rPr>
                <w:rFonts w:cstheme="minorHAnsi"/>
                <w:sz w:val="24"/>
                <w:szCs w:val="24"/>
              </w:rPr>
              <w:t>1.00 (1.00-1.01)</w:t>
            </w:r>
          </w:p>
        </w:tc>
        <w:tc>
          <w:tcPr>
            <w:tcW w:w="377" w:type="pct"/>
          </w:tcPr>
          <w:p w14:paraId="59CC4F90" w14:textId="77777777" w:rsidR="007330C1" w:rsidRPr="00EE04D8" w:rsidRDefault="007330C1" w:rsidP="001A4983">
            <w:pPr>
              <w:spacing w:line="480" w:lineRule="auto"/>
              <w:rPr>
                <w:rFonts w:cstheme="minorHAnsi"/>
                <w:sz w:val="24"/>
                <w:szCs w:val="24"/>
              </w:rPr>
            </w:pPr>
            <w:r w:rsidRPr="00EE04D8">
              <w:rPr>
                <w:rFonts w:cstheme="minorHAnsi"/>
                <w:sz w:val="24"/>
                <w:szCs w:val="24"/>
              </w:rPr>
              <w:t>0.751</w:t>
            </w:r>
          </w:p>
        </w:tc>
      </w:tr>
      <w:tr w:rsidR="007330C1" w:rsidRPr="00EE04D8" w14:paraId="6958AB0D" w14:textId="77777777" w:rsidTr="001A4983">
        <w:tc>
          <w:tcPr>
            <w:tcW w:w="557" w:type="pct"/>
            <w:vMerge/>
          </w:tcPr>
          <w:p w14:paraId="5F405D53" w14:textId="77777777" w:rsidR="007330C1" w:rsidRPr="00EE04D8" w:rsidRDefault="007330C1" w:rsidP="001A4983">
            <w:pPr>
              <w:spacing w:line="480" w:lineRule="auto"/>
              <w:rPr>
                <w:rFonts w:cstheme="minorHAnsi"/>
                <w:sz w:val="24"/>
                <w:szCs w:val="24"/>
              </w:rPr>
            </w:pPr>
          </w:p>
        </w:tc>
        <w:tc>
          <w:tcPr>
            <w:tcW w:w="915" w:type="pct"/>
            <w:vMerge/>
          </w:tcPr>
          <w:p w14:paraId="43492666" w14:textId="77777777" w:rsidR="007330C1" w:rsidRPr="00EE04D8" w:rsidRDefault="007330C1" w:rsidP="001A4983">
            <w:pPr>
              <w:spacing w:line="480" w:lineRule="auto"/>
              <w:rPr>
                <w:rFonts w:cstheme="minorHAnsi"/>
                <w:sz w:val="24"/>
                <w:szCs w:val="24"/>
              </w:rPr>
            </w:pPr>
          </w:p>
        </w:tc>
        <w:tc>
          <w:tcPr>
            <w:tcW w:w="813" w:type="pct"/>
          </w:tcPr>
          <w:p w14:paraId="6852EA73" w14:textId="77777777" w:rsidR="007330C1" w:rsidRPr="00EE04D8" w:rsidRDefault="007330C1" w:rsidP="001A4983">
            <w:pPr>
              <w:spacing w:line="480" w:lineRule="auto"/>
              <w:rPr>
                <w:rFonts w:cstheme="minorHAnsi"/>
                <w:sz w:val="24"/>
                <w:szCs w:val="24"/>
              </w:rPr>
            </w:pPr>
            <w:proofErr w:type="spellStart"/>
            <w:r w:rsidRPr="00EE04D8">
              <w:rPr>
                <w:rFonts w:cstheme="minorHAnsi"/>
                <w:sz w:val="24"/>
                <w:szCs w:val="24"/>
              </w:rPr>
              <w:t>C</w:t>
            </w:r>
            <w:r w:rsidRPr="00EE04D8">
              <w:rPr>
                <w:rFonts w:cstheme="minorHAnsi"/>
                <w:sz w:val="24"/>
                <w:szCs w:val="24"/>
                <w:vertAlign w:val="subscript"/>
              </w:rPr>
              <w:softHyphen/>
              <w:t>max</w:t>
            </w:r>
            <w:proofErr w:type="spellEnd"/>
            <w:r w:rsidRPr="00EE04D8">
              <w:rPr>
                <w:rFonts w:cstheme="minorHAnsi"/>
                <w:sz w:val="24"/>
                <w:szCs w:val="24"/>
                <w:vertAlign w:val="subscript"/>
              </w:rPr>
              <w:softHyphen/>
            </w:r>
            <w:r w:rsidRPr="00EE04D8">
              <w:rPr>
                <w:rFonts w:cstheme="minorHAnsi"/>
                <w:sz w:val="24"/>
                <w:szCs w:val="24"/>
              </w:rPr>
              <w:t xml:space="preserve"> (</w:t>
            </w:r>
            <w:proofErr w:type="spellStart"/>
            <w:r w:rsidRPr="00EE04D8">
              <w:rPr>
                <w:rFonts w:cstheme="minorHAnsi"/>
                <w:sz w:val="24"/>
                <w:szCs w:val="24"/>
              </w:rPr>
              <w:t>μg</w:t>
            </w:r>
            <w:proofErr w:type="spellEnd"/>
            <w:r w:rsidRPr="00EE04D8">
              <w:rPr>
                <w:rFonts w:cstheme="minorHAnsi"/>
                <w:sz w:val="24"/>
                <w:szCs w:val="24"/>
              </w:rPr>
              <w:t>/ml)</w:t>
            </w:r>
          </w:p>
        </w:tc>
        <w:tc>
          <w:tcPr>
            <w:tcW w:w="965" w:type="pct"/>
          </w:tcPr>
          <w:p w14:paraId="4FF91DFC" w14:textId="77777777" w:rsidR="007330C1" w:rsidRPr="00EE04D8" w:rsidRDefault="007330C1" w:rsidP="001A4983">
            <w:pPr>
              <w:spacing w:line="480" w:lineRule="auto"/>
              <w:rPr>
                <w:rFonts w:cstheme="minorHAnsi"/>
                <w:sz w:val="24"/>
                <w:szCs w:val="24"/>
              </w:rPr>
            </w:pPr>
            <w:r w:rsidRPr="00EE04D8">
              <w:rPr>
                <w:rFonts w:cstheme="minorHAnsi"/>
                <w:sz w:val="24"/>
                <w:szCs w:val="24"/>
              </w:rPr>
              <w:t>1.01 (0.91-1.13)</w:t>
            </w:r>
          </w:p>
        </w:tc>
        <w:tc>
          <w:tcPr>
            <w:tcW w:w="393" w:type="pct"/>
          </w:tcPr>
          <w:p w14:paraId="23002F14" w14:textId="77777777" w:rsidR="007330C1" w:rsidRPr="00EE04D8" w:rsidRDefault="007330C1" w:rsidP="001A4983">
            <w:pPr>
              <w:spacing w:line="480" w:lineRule="auto"/>
              <w:rPr>
                <w:rFonts w:cstheme="minorHAnsi"/>
                <w:sz w:val="24"/>
                <w:szCs w:val="24"/>
              </w:rPr>
            </w:pPr>
            <w:r w:rsidRPr="00EE04D8">
              <w:rPr>
                <w:rFonts w:cstheme="minorHAnsi"/>
                <w:sz w:val="24"/>
                <w:szCs w:val="24"/>
              </w:rPr>
              <w:t>0.869</w:t>
            </w:r>
          </w:p>
        </w:tc>
        <w:tc>
          <w:tcPr>
            <w:tcW w:w="979" w:type="pct"/>
          </w:tcPr>
          <w:p w14:paraId="591AE6A2" w14:textId="77777777" w:rsidR="007330C1" w:rsidRPr="00EE04D8" w:rsidRDefault="007330C1" w:rsidP="001A4983">
            <w:pPr>
              <w:spacing w:line="480" w:lineRule="auto"/>
              <w:rPr>
                <w:rFonts w:cstheme="minorHAnsi"/>
                <w:sz w:val="24"/>
                <w:szCs w:val="24"/>
              </w:rPr>
            </w:pPr>
            <w:r w:rsidRPr="00EE04D8">
              <w:rPr>
                <w:rFonts w:cstheme="minorHAnsi"/>
                <w:sz w:val="24"/>
                <w:szCs w:val="24"/>
              </w:rPr>
              <w:t>1.07 (0.90-1.29)</w:t>
            </w:r>
          </w:p>
        </w:tc>
        <w:tc>
          <w:tcPr>
            <w:tcW w:w="377" w:type="pct"/>
          </w:tcPr>
          <w:p w14:paraId="780EC2EB" w14:textId="77777777" w:rsidR="007330C1" w:rsidRPr="00EE04D8" w:rsidRDefault="007330C1" w:rsidP="001A4983">
            <w:pPr>
              <w:spacing w:line="480" w:lineRule="auto"/>
              <w:rPr>
                <w:rFonts w:cstheme="minorHAnsi"/>
                <w:sz w:val="24"/>
                <w:szCs w:val="24"/>
              </w:rPr>
            </w:pPr>
            <w:r w:rsidRPr="00EE04D8">
              <w:rPr>
                <w:rFonts w:cstheme="minorHAnsi"/>
                <w:sz w:val="24"/>
                <w:szCs w:val="24"/>
              </w:rPr>
              <w:t>0.464</w:t>
            </w:r>
          </w:p>
        </w:tc>
      </w:tr>
      <w:tr w:rsidR="007330C1" w:rsidRPr="00EE04D8" w14:paraId="46352134" w14:textId="77777777" w:rsidTr="001A4983">
        <w:tc>
          <w:tcPr>
            <w:tcW w:w="557" w:type="pct"/>
            <w:vMerge/>
          </w:tcPr>
          <w:p w14:paraId="09A71154" w14:textId="77777777" w:rsidR="007330C1" w:rsidRPr="00EE04D8" w:rsidRDefault="007330C1" w:rsidP="001A4983">
            <w:pPr>
              <w:spacing w:line="480" w:lineRule="auto"/>
              <w:rPr>
                <w:rFonts w:cstheme="minorHAnsi"/>
                <w:sz w:val="24"/>
                <w:szCs w:val="24"/>
              </w:rPr>
            </w:pPr>
          </w:p>
        </w:tc>
        <w:tc>
          <w:tcPr>
            <w:tcW w:w="915" w:type="pct"/>
            <w:vMerge w:val="restart"/>
          </w:tcPr>
          <w:p w14:paraId="695083CD" w14:textId="77777777" w:rsidR="007330C1" w:rsidRPr="00EE04D8" w:rsidRDefault="007330C1" w:rsidP="001A4983">
            <w:pPr>
              <w:spacing w:line="480" w:lineRule="auto"/>
              <w:rPr>
                <w:rFonts w:cstheme="minorHAnsi"/>
                <w:sz w:val="24"/>
                <w:szCs w:val="24"/>
              </w:rPr>
            </w:pPr>
            <w:r>
              <w:rPr>
                <w:rFonts w:cstheme="minorHAnsi"/>
                <w:sz w:val="24"/>
                <w:szCs w:val="24"/>
              </w:rPr>
              <w:t>Epithelial lining fluid</w:t>
            </w:r>
            <w:r w:rsidRPr="00EE04D8">
              <w:rPr>
                <w:rFonts w:cstheme="minorHAnsi"/>
                <w:sz w:val="24"/>
                <w:szCs w:val="24"/>
              </w:rPr>
              <w:t xml:space="preserve"> </w:t>
            </w:r>
            <w:r w:rsidRPr="000453CC">
              <w:rPr>
                <w:rFonts w:cstheme="minorHAnsi"/>
                <w:sz w:val="24"/>
                <w:szCs w:val="24"/>
                <w:vertAlign w:val="superscript"/>
              </w:rPr>
              <w:t>a</w:t>
            </w:r>
          </w:p>
        </w:tc>
        <w:tc>
          <w:tcPr>
            <w:tcW w:w="813" w:type="pct"/>
          </w:tcPr>
          <w:p w14:paraId="50DD49D4" w14:textId="77777777" w:rsidR="007330C1" w:rsidRPr="00EE04D8" w:rsidRDefault="007330C1" w:rsidP="001A4983">
            <w:pPr>
              <w:spacing w:line="480" w:lineRule="auto"/>
              <w:rPr>
                <w:rFonts w:cstheme="minorHAnsi"/>
                <w:sz w:val="24"/>
                <w:szCs w:val="24"/>
              </w:rPr>
            </w:pPr>
            <w:r w:rsidRPr="00EE04D8">
              <w:rPr>
                <w:rFonts w:cstheme="minorHAnsi"/>
                <w:sz w:val="24"/>
                <w:szCs w:val="24"/>
              </w:rPr>
              <w:t>AUC (</w:t>
            </w:r>
            <w:proofErr w:type="spellStart"/>
            <w:r w:rsidRPr="00EE04D8">
              <w:rPr>
                <w:rFonts w:cstheme="minorHAnsi"/>
                <w:sz w:val="24"/>
                <w:szCs w:val="24"/>
              </w:rPr>
              <w:t>μg.h</w:t>
            </w:r>
            <w:proofErr w:type="spellEnd"/>
            <w:r w:rsidRPr="00EE04D8">
              <w:rPr>
                <w:rFonts w:cstheme="minorHAnsi"/>
                <w:sz w:val="24"/>
                <w:szCs w:val="24"/>
              </w:rPr>
              <w:t>/ml)</w:t>
            </w:r>
          </w:p>
        </w:tc>
        <w:tc>
          <w:tcPr>
            <w:tcW w:w="965" w:type="pct"/>
          </w:tcPr>
          <w:p w14:paraId="54663B9B" w14:textId="77777777" w:rsidR="007330C1" w:rsidRPr="00EE04D8" w:rsidRDefault="007330C1" w:rsidP="001A4983">
            <w:pPr>
              <w:spacing w:line="480" w:lineRule="auto"/>
              <w:rPr>
                <w:rFonts w:cstheme="minorHAnsi"/>
                <w:sz w:val="24"/>
                <w:szCs w:val="24"/>
              </w:rPr>
            </w:pPr>
            <w:r w:rsidRPr="00EE04D8">
              <w:rPr>
                <w:rFonts w:cstheme="minorHAnsi"/>
                <w:sz w:val="24"/>
                <w:szCs w:val="24"/>
              </w:rPr>
              <w:t>1.00 (1.00-1.00)</w:t>
            </w:r>
          </w:p>
        </w:tc>
        <w:tc>
          <w:tcPr>
            <w:tcW w:w="393" w:type="pct"/>
          </w:tcPr>
          <w:p w14:paraId="7109913B" w14:textId="77777777" w:rsidR="007330C1" w:rsidRPr="00EE04D8" w:rsidRDefault="007330C1" w:rsidP="001A4983">
            <w:pPr>
              <w:spacing w:line="480" w:lineRule="auto"/>
              <w:rPr>
                <w:rFonts w:cstheme="minorHAnsi"/>
                <w:sz w:val="24"/>
                <w:szCs w:val="24"/>
              </w:rPr>
            </w:pPr>
            <w:r w:rsidRPr="00EE04D8">
              <w:rPr>
                <w:rFonts w:cstheme="minorHAnsi"/>
                <w:sz w:val="24"/>
                <w:szCs w:val="24"/>
              </w:rPr>
              <w:t>0.652</w:t>
            </w:r>
          </w:p>
        </w:tc>
        <w:tc>
          <w:tcPr>
            <w:tcW w:w="979" w:type="pct"/>
          </w:tcPr>
          <w:p w14:paraId="1715822B" w14:textId="77777777" w:rsidR="007330C1" w:rsidRPr="00EE04D8" w:rsidRDefault="007330C1" w:rsidP="001A4983">
            <w:pPr>
              <w:spacing w:line="480" w:lineRule="auto"/>
              <w:rPr>
                <w:rFonts w:cstheme="minorHAnsi"/>
                <w:sz w:val="24"/>
                <w:szCs w:val="24"/>
              </w:rPr>
            </w:pPr>
            <w:r w:rsidRPr="00EE04D8">
              <w:rPr>
                <w:rFonts w:cstheme="minorHAnsi"/>
                <w:sz w:val="24"/>
                <w:szCs w:val="24"/>
              </w:rPr>
              <w:t>1.00 (1.00-1.00)</w:t>
            </w:r>
          </w:p>
        </w:tc>
        <w:tc>
          <w:tcPr>
            <w:tcW w:w="377" w:type="pct"/>
          </w:tcPr>
          <w:p w14:paraId="2F2F574E" w14:textId="77777777" w:rsidR="007330C1" w:rsidRPr="00EE04D8" w:rsidRDefault="007330C1" w:rsidP="001A4983">
            <w:pPr>
              <w:spacing w:line="480" w:lineRule="auto"/>
              <w:rPr>
                <w:rFonts w:cstheme="minorHAnsi"/>
                <w:sz w:val="24"/>
                <w:szCs w:val="24"/>
              </w:rPr>
            </w:pPr>
            <w:r w:rsidRPr="00EE04D8">
              <w:rPr>
                <w:rFonts w:cstheme="minorHAnsi"/>
                <w:sz w:val="24"/>
                <w:szCs w:val="24"/>
              </w:rPr>
              <w:t>0.356</w:t>
            </w:r>
          </w:p>
        </w:tc>
      </w:tr>
      <w:tr w:rsidR="007330C1" w:rsidRPr="00EE04D8" w14:paraId="47DF61CF" w14:textId="77777777" w:rsidTr="001A4983">
        <w:tc>
          <w:tcPr>
            <w:tcW w:w="557" w:type="pct"/>
            <w:vMerge/>
          </w:tcPr>
          <w:p w14:paraId="7F47A7DF" w14:textId="77777777" w:rsidR="007330C1" w:rsidRPr="00EE04D8" w:rsidRDefault="007330C1" w:rsidP="001A4983">
            <w:pPr>
              <w:spacing w:line="480" w:lineRule="auto"/>
              <w:rPr>
                <w:rFonts w:cstheme="minorHAnsi"/>
                <w:sz w:val="24"/>
                <w:szCs w:val="24"/>
              </w:rPr>
            </w:pPr>
          </w:p>
        </w:tc>
        <w:tc>
          <w:tcPr>
            <w:tcW w:w="915" w:type="pct"/>
            <w:vMerge/>
          </w:tcPr>
          <w:p w14:paraId="7B0009FF" w14:textId="77777777" w:rsidR="007330C1" w:rsidRPr="00EE04D8" w:rsidRDefault="007330C1" w:rsidP="001A4983">
            <w:pPr>
              <w:spacing w:line="480" w:lineRule="auto"/>
              <w:rPr>
                <w:rFonts w:cstheme="minorHAnsi"/>
                <w:sz w:val="24"/>
                <w:szCs w:val="24"/>
              </w:rPr>
            </w:pPr>
          </w:p>
        </w:tc>
        <w:tc>
          <w:tcPr>
            <w:tcW w:w="813" w:type="pct"/>
          </w:tcPr>
          <w:p w14:paraId="4B8C82BB" w14:textId="77777777" w:rsidR="007330C1" w:rsidRPr="00EE04D8" w:rsidRDefault="007330C1" w:rsidP="001A4983">
            <w:pPr>
              <w:spacing w:line="480" w:lineRule="auto"/>
              <w:rPr>
                <w:rFonts w:cstheme="minorHAnsi"/>
                <w:sz w:val="24"/>
                <w:szCs w:val="24"/>
              </w:rPr>
            </w:pPr>
            <w:proofErr w:type="spellStart"/>
            <w:r w:rsidRPr="00EE04D8">
              <w:rPr>
                <w:rFonts w:cstheme="minorHAnsi"/>
                <w:sz w:val="24"/>
                <w:szCs w:val="24"/>
              </w:rPr>
              <w:t>C</w:t>
            </w:r>
            <w:r w:rsidRPr="00EE04D8">
              <w:rPr>
                <w:rFonts w:cstheme="minorHAnsi"/>
                <w:sz w:val="24"/>
                <w:szCs w:val="24"/>
                <w:vertAlign w:val="subscript"/>
              </w:rPr>
              <w:softHyphen/>
              <w:t>max</w:t>
            </w:r>
            <w:proofErr w:type="spellEnd"/>
            <w:r w:rsidRPr="00EE04D8">
              <w:rPr>
                <w:rFonts w:cstheme="minorHAnsi"/>
                <w:sz w:val="24"/>
                <w:szCs w:val="24"/>
                <w:vertAlign w:val="subscript"/>
              </w:rPr>
              <w:softHyphen/>
            </w:r>
            <w:r w:rsidRPr="00EE04D8">
              <w:rPr>
                <w:rFonts w:cstheme="minorHAnsi"/>
                <w:sz w:val="24"/>
                <w:szCs w:val="24"/>
              </w:rPr>
              <w:t xml:space="preserve"> (</w:t>
            </w:r>
            <w:proofErr w:type="spellStart"/>
            <w:r w:rsidRPr="00EE04D8">
              <w:rPr>
                <w:rFonts w:cstheme="minorHAnsi"/>
                <w:sz w:val="24"/>
                <w:szCs w:val="24"/>
              </w:rPr>
              <w:t>μg</w:t>
            </w:r>
            <w:proofErr w:type="spellEnd"/>
            <w:r w:rsidRPr="00EE04D8">
              <w:rPr>
                <w:rFonts w:cstheme="minorHAnsi"/>
                <w:sz w:val="24"/>
                <w:szCs w:val="24"/>
              </w:rPr>
              <w:t>/ml)</w:t>
            </w:r>
          </w:p>
        </w:tc>
        <w:tc>
          <w:tcPr>
            <w:tcW w:w="965" w:type="pct"/>
          </w:tcPr>
          <w:p w14:paraId="68802CF4" w14:textId="77777777" w:rsidR="007330C1" w:rsidRPr="00EE04D8" w:rsidRDefault="007330C1" w:rsidP="001A4983">
            <w:pPr>
              <w:spacing w:line="480" w:lineRule="auto"/>
              <w:rPr>
                <w:rFonts w:cstheme="minorHAnsi"/>
                <w:sz w:val="24"/>
                <w:szCs w:val="24"/>
              </w:rPr>
            </w:pPr>
            <w:r w:rsidRPr="00EE04D8">
              <w:rPr>
                <w:rFonts w:cstheme="minorHAnsi"/>
                <w:sz w:val="24"/>
                <w:szCs w:val="24"/>
              </w:rPr>
              <w:t>1.00 (1.00-1.00)</w:t>
            </w:r>
          </w:p>
        </w:tc>
        <w:tc>
          <w:tcPr>
            <w:tcW w:w="393" w:type="pct"/>
          </w:tcPr>
          <w:p w14:paraId="1849717F" w14:textId="77777777" w:rsidR="007330C1" w:rsidRPr="00EE04D8" w:rsidRDefault="007330C1" w:rsidP="001A4983">
            <w:pPr>
              <w:spacing w:line="480" w:lineRule="auto"/>
              <w:rPr>
                <w:rFonts w:cstheme="minorHAnsi"/>
                <w:sz w:val="24"/>
                <w:szCs w:val="24"/>
              </w:rPr>
            </w:pPr>
            <w:r w:rsidRPr="00EE04D8">
              <w:rPr>
                <w:rFonts w:cstheme="minorHAnsi"/>
                <w:sz w:val="24"/>
                <w:szCs w:val="24"/>
              </w:rPr>
              <w:t>0.217</w:t>
            </w:r>
          </w:p>
        </w:tc>
        <w:tc>
          <w:tcPr>
            <w:tcW w:w="979" w:type="pct"/>
          </w:tcPr>
          <w:p w14:paraId="5493DB58" w14:textId="77777777" w:rsidR="007330C1" w:rsidRPr="00EE04D8" w:rsidRDefault="007330C1" w:rsidP="001A4983">
            <w:pPr>
              <w:spacing w:line="480" w:lineRule="auto"/>
              <w:rPr>
                <w:rFonts w:cstheme="minorHAnsi"/>
                <w:sz w:val="24"/>
                <w:szCs w:val="24"/>
              </w:rPr>
            </w:pPr>
            <w:r w:rsidRPr="00EE04D8">
              <w:rPr>
                <w:rFonts w:cstheme="minorHAnsi"/>
                <w:sz w:val="24"/>
                <w:szCs w:val="24"/>
              </w:rPr>
              <w:t>1.00 (1.00-1.01)</w:t>
            </w:r>
          </w:p>
        </w:tc>
        <w:tc>
          <w:tcPr>
            <w:tcW w:w="377" w:type="pct"/>
          </w:tcPr>
          <w:p w14:paraId="4752A060" w14:textId="77777777" w:rsidR="007330C1" w:rsidRPr="00EE04D8" w:rsidRDefault="007330C1" w:rsidP="001A4983">
            <w:pPr>
              <w:spacing w:line="480" w:lineRule="auto"/>
              <w:rPr>
                <w:rFonts w:cstheme="minorHAnsi"/>
                <w:sz w:val="24"/>
                <w:szCs w:val="24"/>
              </w:rPr>
            </w:pPr>
            <w:r w:rsidRPr="00EE04D8">
              <w:rPr>
                <w:rFonts w:cstheme="minorHAnsi"/>
                <w:sz w:val="24"/>
                <w:szCs w:val="24"/>
              </w:rPr>
              <w:t>0.341</w:t>
            </w:r>
          </w:p>
        </w:tc>
      </w:tr>
      <w:tr w:rsidR="007330C1" w:rsidRPr="00EE04D8" w14:paraId="750A85C3" w14:textId="77777777" w:rsidTr="001A4983">
        <w:tc>
          <w:tcPr>
            <w:tcW w:w="557" w:type="pct"/>
            <w:vMerge/>
          </w:tcPr>
          <w:p w14:paraId="5FB8215B" w14:textId="77777777" w:rsidR="007330C1" w:rsidRPr="00EE04D8" w:rsidRDefault="007330C1" w:rsidP="001A4983">
            <w:pPr>
              <w:spacing w:line="480" w:lineRule="auto"/>
              <w:rPr>
                <w:rFonts w:cstheme="minorHAnsi"/>
                <w:sz w:val="24"/>
                <w:szCs w:val="24"/>
              </w:rPr>
            </w:pPr>
          </w:p>
        </w:tc>
        <w:tc>
          <w:tcPr>
            <w:tcW w:w="915" w:type="pct"/>
            <w:vMerge w:val="restart"/>
          </w:tcPr>
          <w:p w14:paraId="35E49420" w14:textId="77777777" w:rsidR="007330C1" w:rsidRPr="00EE04D8" w:rsidRDefault="007330C1" w:rsidP="001A4983">
            <w:pPr>
              <w:spacing w:line="480" w:lineRule="auto"/>
              <w:rPr>
                <w:rFonts w:cstheme="minorHAnsi"/>
                <w:sz w:val="24"/>
                <w:szCs w:val="24"/>
              </w:rPr>
            </w:pPr>
            <w:r w:rsidRPr="00EE04D8">
              <w:rPr>
                <w:rFonts w:cstheme="minorHAnsi"/>
                <w:sz w:val="24"/>
                <w:szCs w:val="24"/>
              </w:rPr>
              <w:t>A</w:t>
            </w:r>
            <w:r>
              <w:rPr>
                <w:rFonts w:cstheme="minorHAnsi"/>
                <w:sz w:val="24"/>
                <w:szCs w:val="24"/>
              </w:rPr>
              <w:t xml:space="preserve">lveolar cells </w:t>
            </w:r>
            <w:r>
              <w:rPr>
                <w:rFonts w:cstheme="minorHAnsi"/>
                <w:sz w:val="24"/>
                <w:szCs w:val="24"/>
                <w:vertAlign w:val="superscript"/>
              </w:rPr>
              <w:t>a</w:t>
            </w:r>
          </w:p>
        </w:tc>
        <w:tc>
          <w:tcPr>
            <w:tcW w:w="813" w:type="pct"/>
          </w:tcPr>
          <w:p w14:paraId="1D1350F7" w14:textId="77777777" w:rsidR="007330C1" w:rsidRPr="00EE04D8" w:rsidRDefault="007330C1" w:rsidP="001A4983">
            <w:pPr>
              <w:spacing w:line="480" w:lineRule="auto"/>
              <w:rPr>
                <w:rFonts w:cstheme="minorHAnsi"/>
                <w:sz w:val="24"/>
                <w:szCs w:val="24"/>
              </w:rPr>
            </w:pPr>
            <w:r w:rsidRPr="00EE04D8">
              <w:rPr>
                <w:rFonts w:cstheme="minorHAnsi"/>
                <w:sz w:val="24"/>
                <w:szCs w:val="24"/>
              </w:rPr>
              <w:t>AUC (</w:t>
            </w:r>
            <w:proofErr w:type="spellStart"/>
            <w:r w:rsidRPr="00EE04D8">
              <w:rPr>
                <w:rFonts w:cstheme="minorHAnsi"/>
                <w:sz w:val="24"/>
                <w:szCs w:val="24"/>
              </w:rPr>
              <w:t>μg.h</w:t>
            </w:r>
            <w:proofErr w:type="spellEnd"/>
            <w:r w:rsidRPr="00EE04D8">
              <w:rPr>
                <w:rFonts w:cstheme="minorHAnsi"/>
                <w:sz w:val="24"/>
                <w:szCs w:val="24"/>
              </w:rPr>
              <w:t>/ml)</w:t>
            </w:r>
          </w:p>
        </w:tc>
        <w:tc>
          <w:tcPr>
            <w:tcW w:w="965" w:type="pct"/>
          </w:tcPr>
          <w:p w14:paraId="0915D632" w14:textId="77777777" w:rsidR="007330C1" w:rsidRPr="00EE04D8" w:rsidRDefault="007330C1" w:rsidP="001A4983">
            <w:pPr>
              <w:spacing w:line="480" w:lineRule="auto"/>
              <w:rPr>
                <w:rFonts w:cstheme="minorHAnsi"/>
                <w:sz w:val="24"/>
                <w:szCs w:val="24"/>
              </w:rPr>
            </w:pPr>
            <w:r w:rsidRPr="00EE04D8">
              <w:rPr>
                <w:rFonts w:cstheme="minorHAnsi"/>
                <w:sz w:val="24"/>
                <w:szCs w:val="24"/>
              </w:rPr>
              <w:t>1.00 (1.00-1.00)</w:t>
            </w:r>
          </w:p>
        </w:tc>
        <w:tc>
          <w:tcPr>
            <w:tcW w:w="393" w:type="pct"/>
          </w:tcPr>
          <w:p w14:paraId="25C6F410" w14:textId="77777777" w:rsidR="007330C1" w:rsidRPr="00EE04D8" w:rsidRDefault="007330C1" w:rsidP="001A4983">
            <w:pPr>
              <w:spacing w:line="480" w:lineRule="auto"/>
              <w:rPr>
                <w:rFonts w:cstheme="minorHAnsi"/>
                <w:sz w:val="24"/>
                <w:szCs w:val="24"/>
              </w:rPr>
            </w:pPr>
            <w:r w:rsidRPr="00EE04D8">
              <w:rPr>
                <w:rFonts w:cstheme="minorHAnsi"/>
                <w:sz w:val="24"/>
                <w:szCs w:val="24"/>
              </w:rPr>
              <w:t>0.276</w:t>
            </w:r>
          </w:p>
        </w:tc>
        <w:tc>
          <w:tcPr>
            <w:tcW w:w="979" w:type="pct"/>
          </w:tcPr>
          <w:p w14:paraId="5C8DD09E" w14:textId="77777777" w:rsidR="007330C1" w:rsidRPr="00EE04D8" w:rsidRDefault="007330C1" w:rsidP="001A4983">
            <w:pPr>
              <w:spacing w:line="480" w:lineRule="auto"/>
              <w:rPr>
                <w:rFonts w:cstheme="minorHAnsi"/>
                <w:sz w:val="24"/>
                <w:szCs w:val="24"/>
              </w:rPr>
            </w:pPr>
            <w:r w:rsidRPr="00EE04D8">
              <w:rPr>
                <w:rFonts w:cstheme="minorHAnsi"/>
                <w:sz w:val="24"/>
                <w:szCs w:val="24"/>
              </w:rPr>
              <w:t>1.00 (1.00-1.00)</w:t>
            </w:r>
          </w:p>
        </w:tc>
        <w:tc>
          <w:tcPr>
            <w:tcW w:w="377" w:type="pct"/>
          </w:tcPr>
          <w:p w14:paraId="47893030" w14:textId="77777777" w:rsidR="007330C1" w:rsidRPr="00EE04D8" w:rsidRDefault="007330C1" w:rsidP="001A4983">
            <w:pPr>
              <w:spacing w:line="480" w:lineRule="auto"/>
              <w:rPr>
                <w:rFonts w:cstheme="minorHAnsi"/>
                <w:sz w:val="24"/>
                <w:szCs w:val="24"/>
              </w:rPr>
            </w:pPr>
            <w:r w:rsidRPr="00EE04D8">
              <w:rPr>
                <w:rFonts w:cstheme="minorHAnsi"/>
                <w:sz w:val="24"/>
                <w:szCs w:val="24"/>
              </w:rPr>
              <w:t>0.443</w:t>
            </w:r>
          </w:p>
        </w:tc>
      </w:tr>
      <w:tr w:rsidR="007330C1" w:rsidRPr="00EE04D8" w14:paraId="1F4C6015" w14:textId="77777777" w:rsidTr="001A4983">
        <w:tc>
          <w:tcPr>
            <w:tcW w:w="557" w:type="pct"/>
            <w:vMerge/>
          </w:tcPr>
          <w:p w14:paraId="2FBA925C" w14:textId="77777777" w:rsidR="007330C1" w:rsidRPr="00EE04D8" w:rsidRDefault="007330C1" w:rsidP="001A4983">
            <w:pPr>
              <w:spacing w:line="480" w:lineRule="auto"/>
              <w:rPr>
                <w:rFonts w:cstheme="minorHAnsi"/>
                <w:sz w:val="24"/>
                <w:szCs w:val="24"/>
              </w:rPr>
            </w:pPr>
          </w:p>
        </w:tc>
        <w:tc>
          <w:tcPr>
            <w:tcW w:w="915" w:type="pct"/>
            <w:vMerge/>
          </w:tcPr>
          <w:p w14:paraId="238DAB77" w14:textId="77777777" w:rsidR="007330C1" w:rsidRPr="00EE04D8" w:rsidRDefault="007330C1" w:rsidP="001A4983">
            <w:pPr>
              <w:spacing w:line="480" w:lineRule="auto"/>
              <w:rPr>
                <w:rFonts w:cstheme="minorHAnsi"/>
                <w:sz w:val="24"/>
                <w:szCs w:val="24"/>
              </w:rPr>
            </w:pPr>
          </w:p>
        </w:tc>
        <w:tc>
          <w:tcPr>
            <w:tcW w:w="813" w:type="pct"/>
          </w:tcPr>
          <w:p w14:paraId="0CF7B81E" w14:textId="77777777" w:rsidR="007330C1" w:rsidRPr="00EE04D8" w:rsidRDefault="007330C1" w:rsidP="001A4983">
            <w:pPr>
              <w:spacing w:line="480" w:lineRule="auto"/>
              <w:rPr>
                <w:rFonts w:cstheme="minorHAnsi"/>
                <w:sz w:val="24"/>
                <w:szCs w:val="24"/>
              </w:rPr>
            </w:pPr>
            <w:proofErr w:type="spellStart"/>
            <w:r w:rsidRPr="00EE04D8">
              <w:rPr>
                <w:rFonts w:cstheme="minorHAnsi"/>
                <w:sz w:val="24"/>
                <w:szCs w:val="24"/>
              </w:rPr>
              <w:t>C</w:t>
            </w:r>
            <w:r w:rsidRPr="00EE04D8">
              <w:rPr>
                <w:rFonts w:cstheme="minorHAnsi"/>
                <w:sz w:val="24"/>
                <w:szCs w:val="24"/>
                <w:vertAlign w:val="subscript"/>
              </w:rPr>
              <w:softHyphen/>
              <w:t>max</w:t>
            </w:r>
            <w:proofErr w:type="spellEnd"/>
            <w:r w:rsidRPr="00EE04D8">
              <w:rPr>
                <w:rFonts w:cstheme="minorHAnsi"/>
                <w:sz w:val="24"/>
                <w:szCs w:val="24"/>
                <w:vertAlign w:val="subscript"/>
              </w:rPr>
              <w:softHyphen/>
            </w:r>
            <w:r w:rsidRPr="00EE04D8">
              <w:rPr>
                <w:rFonts w:cstheme="minorHAnsi"/>
                <w:sz w:val="24"/>
                <w:szCs w:val="24"/>
              </w:rPr>
              <w:t xml:space="preserve"> (</w:t>
            </w:r>
            <w:proofErr w:type="spellStart"/>
            <w:r w:rsidRPr="00EE04D8">
              <w:rPr>
                <w:rFonts w:cstheme="minorHAnsi"/>
                <w:sz w:val="24"/>
                <w:szCs w:val="24"/>
              </w:rPr>
              <w:t>μg</w:t>
            </w:r>
            <w:proofErr w:type="spellEnd"/>
            <w:r w:rsidRPr="00EE04D8">
              <w:rPr>
                <w:rFonts w:cstheme="minorHAnsi"/>
                <w:sz w:val="24"/>
                <w:szCs w:val="24"/>
              </w:rPr>
              <w:t>/ml)</w:t>
            </w:r>
          </w:p>
        </w:tc>
        <w:tc>
          <w:tcPr>
            <w:tcW w:w="965" w:type="pct"/>
          </w:tcPr>
          <w:p w14:paraId="165F201B" w14:textId="77777777" w:rsidR="007330C1" w:rsidRPr="00EE04D8" w:rsidRDefault="007330C1" w:rsidP="001A4983">
            <w:pPr>
              <w:spacing w:line="480" w:lineRule="auto"/>
              <w:rPr>
                <w:rFonts w:cstheme="minorHAnsi"/>
                <w:sz w:val="24"/>
                <w:szCs w:val="24"/>
              </w:rPr>
            </w:pPr>
            <w:r w:rsidRPr="00EE04D8">
              <w:rPr>
                <w:rFonts w:cstheme="minorHAnsi"/>
                <w:sz w:val="24"/>
                <w:szCs w:val="24"/>
              </w:rPr>
              <w:t>1.00 (0.99-1.01)</w:t>
            </w:r>
          </w:p>
        </w:tc>
        <w:tc>
          <w:tcPr>
            <w:tcW w:w="393" w:type="pct"/>
          </w:tcPr>
          <w:p w14:paraId="5A5F710B" w14:textId="77777777" w:rsidR="007330C1" w:rsidRPr="00EE04D8" w:rsidRDefault="007330C1" w:rsidP="001A4983">
            <w:pPr>
              <w:spacing w:line="480" w:lineRule="auto"/>
              <w:rPr>
                <w:rFonts w:cstheme="minorHAnsi"/>
                <w:sz w:val="24"/>
                <w:szCs w:val="24"/>
              </w:rPr>
            </w:pPr>
            <w:r w:rsidRPr="00EE04D8">
              <w:rPr>
                <w:rFonts w:cstheme="minorHAnsi"/>
                <w:sz w:val="24"/>
                <w:szCs w:val="24"/>
              </w:rPr>
              <w:t>0.483</w:t>
            </w:r>
          </w:p>
        </w:tc>
        <w:tc>
          <w:tcPr>
            <w:tcW w:w="979" w:type="pct"/>
          </w:tcPr>
          <w:p w14:paraId="1A80868B" w14:textId="77777777" w:rsidR="007330C1" w:rsidRPr="00EE04D8" w:rsidRDefault="007330C1" w:rsidP="001A4983">
            <w:pPr>
              <w:spacing w:line="480" w:lineRule="auto"/>
              <w:rPr>
                <w:rFonts w:cstheme="minorHAnsi"/>
                <w:sz w:val="24"/>
                <w:szCs w:val="24"/>
              </w:rPr>
            </w:pPr>
            <w:r w:rsidRPr="00EE04D8">
              <w:rPr>
                <w:rFonts w:cstheme="minorHAnsi"/>
                <w:sz w:val="24"/>
                <w:szCs w:val="24"/>
              </w:rPr>
              <w:t>1.01 (0.99-1.06)</w:t>
            </w:r>
          </w:p>
        </w:tc>
        <w:tc>
          <w:tcPr>
            <w:tcW w:w="377" w:type="pct"/>
          </w:tcPr>
          <w:p w14:paraId="4FB64A47" w14:textId="77777777" w:rsidR="007330C1" w:rsidRPr="00EE04D8" w:rsidRDefault="007330C1" w:rsidP="001A4983">
            <w:pPr>
              <w:spacing w:line="480" w:lineRule="auto"/>
              <w:rPr>
                <w:rFonts w:cstheme="minorHAnsi"/>
                <w:sz w:val="24"/>
                <w:szCs w:val="24"/>
              </w:rPr>
            </w:pPr>
            <w:r w:rsidRPr="00EE04D8">
              <w:rPr>
                <w:rFonts w:cstheme="minorHAnsi"/>
                <w:sz w:val="24"/>
                <w:szCs w:val="24"/>
              </w:rPr>
              <w:t>0.489</w:t>
            </w:r>
          </w:p>
        </w:tc>
      </w:tr>
      <w:tr w:rsidR="007330C1" w:rsidRPr="00EE04D8" w14:paraId="7D42FC3E" w14:textId="77777777" w:rsidTr="001A4983">
        <w:tc>
          <w:tcPr>
            <w:tcW w:w="557" w:type="pct"/>
            <w:vMerge w:val="restart"/>
          </w:tcPr>
          <w:p w14:paraId="500EDABF" w14:textId="77777777" w:rsidR="007330C1" w:rsidRPr="00EE04D8" w:rsidRDefault="007330C1" w:rsidP="001A4983">
            <w:pPr>
              <w:spacing w:line="480" w:lineRule="auto"/>
              <w:rPr>
                <w:rFonts w:cstheme="minorHAnsi"/>
                <w:sz w:val="24"/>
                <w:szCs w:val="24"/>
              </w:rPr>
            </w:pPr>
            <w:r w:rsidRPr="00EE04D8">
              <w:rPr>
                <w:rFonts w:cstheme="minorHAnsi"/>
                <w:sz w:val="24"/>
                <w:szCs w:val="24"/>
              </w:rPr>
              <w:t>Ethambutol</w:t>
            </w:r>
          </w:p>
        </w:tc>
        <w:tc>
          <w:tcPr>
            <w:tcW w:w="915" w:type="pct"/>
            <w:vMerge w:val="restart"/>
          </w:tcPr>
          <w:p w14:paraId="64EAB869" w14:textId="77777777" w:rsidR="007330C1" w:rsidRPr="00EE04D8" w:rsidRDefault="007330C1" w:rsidP="001A4983">
            <w:pPr>
              <w:spacing w:line="480" w:lineRule="auto"/>
              <w:rPr>
                <w:rFonts w:cstheme="minorHAnsi"/>
                <w:sz w:val="24"/>
                <w:szCs w:val="24"/>
              </w:rPr>
            </w:pPr>
            <w:r w:rsidRPr="00EE04D8">
              <w:rPr>
                <w:rFonts w:cstheme="minorHAnsi"/>
                <w:sz w:val="24"/>
                <w:szCs w:val="24"/>
              </w:rPr>
              <w:t>Plasma</w:t>
            </w:r>
          </w:p>
        </w:tc>
        <w:tc>
          <w:tcPr>
            <w:tcW w:w="813" w:type="pct"/>
          </w:tcPr>
          <w:p w14:paraId="1BB18AFC" w14:textId="77777777" w:rsidR="007330C1" w:rsidRPr="00EE04D8" w:rsidRDefault="007330C1" w:rsidP="001A4983">
            <w:pPr>
              <w:spacing w:line="480" w:lineRule="auto"/>
              <w:rPr>
                <w:rFonts w:cstheme="minorHAnsi"/>
                <w:sz w:val="24"/>
                <w:szCs w:val="24"/>
              </w:rPr>
            </w:pPr>
            <w:r w:rsidRPr="00EE04D8">
              <w:rPr>
                <w:rFonts w:cstheme="minorHAnsi"/>
                <w:sz w:val="24"/>
                <w:szCs w:val="24"/>
              </w:rPr>
              <w:t>AUC (</w:t>
            </w:r>
            <w:proofErr w:type="spellStart"/>
            <w:r w:rsidRPr="00EE04D8">
              <w:rPr>
                <w:rFonts w:cstheme="minorHAnsi"/>
                <w:sz w:val="24"/>
                <w:szCs w:val="24"/>
              </w:rPr>
              <w:t>μg.h</w:t>
            </w:r>
            <w:proofErr w:type="spellEnd"/>
            <w:r w:rsidRPr="00EE04D8">
              <w:rPr>
                <w:rFonts w:cstheme="minorHAnsi"/>
                <w:sz w:val="24"/>
                <w:szCs w:val="24"/>
              </w:rPr>
              <w:t>/ml)</w:t>
            </w:r>
          </w:p>
        </w:tc>
        <w:tc>
          <w:tcPr>
            <w:tcW w:w="965" w:type="pct"/>
          </w:tcPr>
          <w:p w14:paraId="052D9C2C" w14:textId="77777777" w:rsidR="007330C1" w:rsidRPr="00EE04D8" w:rsidRDefault="007330C1" w:rsidP="001A4983">
            <w:pPr>
              <w:spacing w:line="480" w:lineRule="auto"/>
              <w:rPr>
                <w:rFonts w:cstheme="minorHAnsi"/>
                <w:sz w:val="24"/>
                <w:szCs w:val="24"/>
              </w:rPr>
            </w:pPr>
            <w:r w:rsidRPr="00EE04D8">
              <w:rPr>
                <w:rFonts w:cstheme="minorHAnsi"/>
                <w:sz w:val="24"/>
                <w:szCs w:val="24"/>
              </w:rPr>
              <w:t>1.08 (0.92-1.27)</w:t>
            </w:r>
          </w:p>
        </w:tc>
        <w:tc>
          <w:tcPr>
            <w:tcW w:w="393" w:type="pct"/>
          </w:tcPr>
          <w:p w14:paraId="41CD076C" w14:textId="77777777" w:rsidR="007330C1" w:rsidRPr="00EE04D8" w:rsidRDefault="007330C1" w:rsidP="001A4983">
            <w:pPr>
              <w:spacing w:line="480" w:lineRule="auto"/>
              <w:rPr>
                <w:rFonts w:cstheme="minorHAnsi"/>
                <w:sz w:val="24"/>
                <w:szCs w:val="24"/>
              </w:rPr>
            </w:pPr>
            <w:r w:rsidRPr="00EE04D8">
              <w:rPr>
                <w:rFonts w:cstheme="minorHAnsi"/>
                <w:sz w:val="24"/>
                <w:szCs w:val="24"/>
              </w:rPr>
              <w:t>0.360</w:t>
            </w:r>
          </w:p>
        </w:tc>
        <w:tc>
          <w:tcPr>
            <w:tcW w:w="979" w:type="pct"/>
          </w:tcPr>
          <w:p w14:paraId="71A27FFD" w14:textId="77777777" w:rsidR="007330C1" w:rsidRPr="00EE04D8" w:rsidRDefault="007330C1" w:rsidP="001A4983">
            <w:pPr>
              <w:spacing w:line="480" w:lineRule="auto"/>
              <w:rPr>
                <w:rFonts w:cstheme="minorHAnsi"/>
                <w:sz w:val="24"/>
                <w:szCs w:val="24"/>
              </w:rPr>
            </w:pPr>
            <w:r w:rsidRPr="00EE04D8">
              <w:rPr>
                <w:rFonts w:cstheme="minorHAnsi"/>
                <w:sz w:val="24"/>
                <w:szCs w:val="24"/>
              </w:rPr>
              <w:t>0.91 (0.71-1.17)</w:t>
            </w:r>
          </w:p>
        </w:tc>
        <w:tc>
          <w:tcPr>
            <w:tcW w:w="377" w:type="pct"/>
          </w:tcPr>
          <w:p w14:paraId="0215113D" w14:textId="77777777" w:rsidR="007330C1" w:rsidRPr="00EE04D8" w:rsidRDefault="007330C1" w:rsidP="001A4983">
            <w:pPr>
              <w:spacing w:line="480" w:lineRule="auto"/>
              <w:rPr>
                <w:rFonts w:cstheme="minorHAnsi"/>
                <w:sz w:val="24"/>
                <w:szCs w:val="24"/>
              </w:rPr>
            </w:pPr>
            <w:r w:rsidRPr="00EE04D8">
              <w:rPr>
                <w:rFonts w:cstheme="minorHAnsi"/>
                <w:sz w:val="24"/>
                <w:szCs w:val="24"/>
              </w:rPr>
              <w:t>0.465</w:t>
            </w:r>
          </w:p>
        </w:tc>
      </w:tr>
      <w:tr w:rsidR="007330C1" w:rsidRPr="00EE04D8" w14:paraId="0717DD28" w14:textId="77777777" w:rsidTr="001A4983">
        <w:tc>
          <w:tcPr>
            <w:tcW w:w="557" w:type="pct"/>
            <w:vMerge/>
          </w:tcPr>
          <w:p w14:paraId="0DD3C160" w14:textId="77777777" w:rsidR="007330C1" w:rsidRPr="00EE04D8" w:rsidRDefault="007330C1" w:rsidP="001A4983">
            <w:pPr>
              <w:spacing w:line="480" w:lineRule="auto"/>
              <w:rPr>
                <w:rFonts w:cstheme="minorHAnsi"/>
                <w:sz w:val="24"/>
                <w:szCs w:val="24"/>
              </w:rPr>
            </w:pPr>
          </w:p>
        </w:tc>
        <w:tc>
          <w:tcPr>
            <w:tcW w:w="915" w:type="pct"/>
            <w:vMerge/>
          </w:tcPr>
          <w:p w14:paraId="0FAE4B2E" w14:textId="77777777" w:rsidR="007330C1" w:rsidRPr="00EE04D8" w:rsidRDefault="007330C1" w:rsidP="001A4983">
            <w:pPr>
              <w:spacing w:line="480" w:lineRule="auto"/>
              <w:rPr>
                <w:rFonts w:cstheme="minorHAnsi"/>
                <w:sz w:val="24"/>
                <w:szCs w:val="24"/>
              </w:rPr>
            </w:pPr>
          </w:p>
        </w:tc>
        <w:tc>
          <w:tcPr>
            <w:tcW w:w="813" w:type="pct"/>
          </w:tcPr>
          <w:p w14:paraId="2C86EC3E" w14:textId="77777777" w:rsidR="007330C1" w:rsidRPr="00EE04D8" w:rsidRDefault="007330C1" w:rsidP="001A4983">
            <w:pPr>
              <w:spacing w:line="480" w:lineRule="auto"/>
              <w:rPr>
                <w:rFonts w:cstheme="minorHAnsi"/>
                <w:sz w:val="24"/>
                <w:szCs w:val="24"/>
              </w:rPr>
            </w:pPr>
            <w:proofErr w:type="spellStart"/>
            <w:r w:rsidRPr="00EE04D8">
              <w:rPr>
                <w:rFonts w:cstheme="minorHAnsi"/>
                <w:sz w:val="24"/>
                <w:szCs w:val="24"/>
              </w:rPr>
              <w:t>C</w:t>
            </w:r>
            <w:r w:rsidRPr="00EE04D8">
              <w:rPr>
                <w:rFonts w:cstheme="minorHAnsi"/>
                <w:sz w:val="24"/>
                <w:szCs w:val="24"/>
                <w:vertAlign w:val="subscript"/>
              </w:rPr>
              <w:softHyphen/>
              <w:t>max</w:t>
            </w:r>
            <w:proofErr w:type="spellEnd"/>
            <w:r w:rsidRPr="00EE04D8">
              <w:rPr>
                <w:rFonts w:cstheme="minorHAnsi"/>
                <w:sz w:val="24"/>
                <w:szCs w:val="24"/>
                <w:vertAlign w:val="subscript"/>
              </w:rPr>
              <w:softHyphen/>
            </w:r>
            <w:r w:rsidRPr="00EE04D8">
              <w:rPr>
                <w:rFonts w:cstheme="minorHAnsi"/>
                <w:sz w:val="24"/>
                <w:szCs w:val="24"/>
              </w:rPr>
              <w:t xml:space="preserve"> (</w:t>
            </w:r>
            <w:proofErr w:type="spellStart"/>
            <w:r w:rsidRPr="00EE04D8">
              <w:rPr>
                <w:rFonts w:cstheme="minorHAnsi"/>
                <w:sz w:val="24"/>
                <w:szCs w:val="24"/>
              </w:rPr>
              <w:t>μg</w:t>
            </w:r>
            <w:proofErr w:type="spellEnd"/>
            <w:r w:rsidRPr="00EE04D8">
              <w:rPr>
                <w:rFonts w:cstheme="minorHAnsi"/>
                <w:sz w:val="24"/>
                <w:szCs w:val="24"/>
              </w:rPr>
              <w:t>/ml)</w:t>
            </w:r>
          </w:p>
        </w:tc>
        <w:tc>
          <w:tcPr>
            <w:tcW w:w="965" w:type="pct"/>
          </w:tcPr>
          <w:p w14:paraId="4F21D9C5" w14:textId="77777777" w:rsidR="007330C1" w:rsidRPr="00EE04D8" w:rsidRDefault="007330C1" w:rsidP="001A4983">
            <w:pPr>
              <w:spacing w:line="480" w:lineRule="auto"/>
              <w:rPr>
                <w:rFonts w:cstheme="minorHAnsi"/>
                <w:sz w:val="24"/>
                <w:szCs w:val="24"/>
              </w:rPr>
            </w:pPr>
            <w:r w:rsidRPr="00EE04D8">
              <w:rPr>
                <w:rFonts w:cstheme="minorHAnsi"/>
                <w:sz w:val="24"/>
                <w:szCs w:val="24"/>
              </w:rPr>
              <w:t>0.85 (0.32-2.29)</w:t>
            </w:r>
          </w:p>
        </w:tc>
        <w:tc>
          <w:tcPr>
            <w:tcW w:w="393" w:type="pct"/>
          </w:tcPr>
          <w:p w14:paraId="60AC2CD6" w14:textId="77777777" w:rsidR="007330C1" w:rsidRPr="00EE04D8" w:rsidRDefault="007330C1" w:rsidP="001A4983">
            <w:pPr>
              <w:spacing w:line="480" w:lineRule="auto"/>
              <w:rPr>
                <w:rFonts w:cstheme="minorHAnsi"/>
                <w:sz w:val="24"/>
                <w:szCs w:val="24"/>
              </w:rPr>
            </w:pPr>
            <w:r w:rsidRPr="00EE04D8">
              <w:rPr>
                <w:rFonts w:cstheme="minorHAnsi"/>
                <w:sz w:val="24"/>
                <w:szCs w:val="24"/>
              </w:rPr>
              <w:t>0.743</w:t>
            </w:r>
          </w:p>
        </w:tc>
        <w:tc>
          <w:tcPr>
            <w:tcW w:w="979" w:type="pct"/>
          </w:tcPr>
          <w:p w14:paraId="4840F884" w14:textId="77777777" w:rsidR="007330C1" w:rsidRPr="00EE04D8" w:rsidRDefault="007330C1" w:rsidP="001A4983">
            <w:pPr>
              <w:spacing w:line="480" w:lineRule="auto"/>
              <w:rPr>
                <w:rFonts w:cstheme="minorHAnsi"/>
                <w:sz w:val="24"/>
                <w:szCs w:val="24"/>
              </w:rPr>
            </w:pPr>
            <w:r w:rsidRPr="00EE04D8">
              <w:rPr>
                <w:rFonts w:cstheme="minorHAnsi"/>
                <w:sz w:val="24"/>
                <w:szCs w:val="24"/>
              </w:rPr>
              <w:t>1.12 (0.25-5.86)</w:t>
            </w:r>
          </w:p>
        </w:tc>
        <w:tc>
          <w:tcPr>
            <w:tcW w:w="377" w:type="pct"/>
          </w:tcPr>
          <w:p w14:paraId="7F8AB392" w14:textId="77777777" w:rsidR="007330C1" w:rsidRPr="00EE04D8" w:rsidRDefault="007330C1" w:rsidP="001A4983">
            <w:pPr>
              <w:spacing w:line="480" w:lineRule="auto"/>
              <w:rPr>
                <w:rFonts w:cstheme="minorHAnsi"/>
                <w:sz w:val="24"/>
                <w:szCs w:val="24"/>
              </w:rPr>
            </w:pPr>
            <w:r w:rsidRPr="00EE04D8">
              <w:rPr>
                <w:rFonts w:cstheme="minorHAnsi"/>
                <w:sz w:val="24"/>
                <w:szCs w:val="24"/>
              </w:rPr>
              <w:t>0.889</w:t>
            </w:r>
          </w:p>
        </w:tc>
      </w:tr>
      <w:tr w:rsidR="007330C1" w:rsidRPr="00EE04D8" w14:paraId="39C06158" w14:textId="77777777" w:rsidTr="001A4983">
        <w:tc>
          <w:tcPr>
            <w:tcW w:w="557" w:type="pct"/>
            <w:vMerge/>
          </w:tcPr>
          <w:p w14:paraId="398BF769" w14:textId="77777777" w:rsidR="007330C1" w:rsidRPr="00EE04D8" w:rsidRDefault="007330C1" w:rsidP="001A4983">
            <w:pPr>
              <w:spacing w:line="480" w:lineRule="auto"/>
              <w:rPr>
                <w:rFonts w:cstheme="minorHAnsi"/>
                <w:sz w:val="24"/>
                <w:szCs w:val="24"/>
              </w:rPr>
            </w:pPr>
          </w:p>
        </w:tc>
        <w:tc>
          <w:tcPr>
            <w:tcW w:w="915" w:type="pct"/>
            <w:vMerge w:val="restart"/>
          </w:tcPr>
          <w:p w14:paraId="499F539B" w14:textId="77777777" w:rsidR="007330C1" w:rsidRPr="00EE04D8" w:rsidRDefault="007330C1" w:rsidP="001A4983">
            <w:pPr>
              <w:spacing w:line="480" w:lineRule="auto"/>
              <w:rPr>
                <w:rFonts w:cstheme="minorHAnsi"/>
                <w:sz w:val="24"/>
                <w:szCs w:val="24"/>
              </w:rPr>
            </w:pPr>
            <w:r>
              <w:rPr>
                <w:rFonts w:cstheme="minorHAnsi"/>
                <w:sz w:val="24"/>
                <w:szCs w:val="24"/>
              </w:rPr>
              <w:t>Epithelial lining fluid</w:t>
            </w:r>
            <w:r w:rsidRPr="00EE04D8">
              <w:rPr>
                <w:rFonts w:cstheme="minorHAnsi"/>
                <w:sz w:val="24"/>
                <w:szCs w:val="24"/>
              </w:rPr>
              <w:t xml:space="preserve"> </w:t>
            </w:r>
            <w:r w:rsidRPr="000453CC">
              <w:rPr>
                <w:rFonts w:cstheme="minorHAnsi"/>
                <w:sz w:val="24"/>
                <w:szCs w:val="24"/>
                <w:vertAlign w:val="superscript"/>
              </w:rPr>
              <w:t>a</w:t>
            </w:r>
          </w:p>
        </w:tc>
        <w:tc>
          <w:tcPr>
            <w:tcW w:w="813" w:type="pct"/>
          </w:tcPr>
          <w:p w14:paraId="005740B2" w14:textId="77777777" w:rsidR="007330C1" w:rsidRPr="00EE04D8" w:rsidRDefault="007330C1" w:rsidP="001A4983">
            <w:pPr>
              <w:spacing w:line="480" w:lineRule="auto"/>
              <w:rPr>
                <w:rFonts w:cstheme="minorHAnsi"/>
                <w:sz w:val="24"/>
                <w:szCs w:val="24"/>
              </w:rPr>
            </w:pPr>
            <w:r w:rsidRPr="00EE04D8">
              <w:rPr>
                <w:rFonts w:cstheme="minorHAnsi"/>
                <w:sz w:val="24"/>
                <w:szCs w:val="24"/>
              </w:rPr>
              <w:t>AUC (</w:t>
            </w:r>
            <w:proofErr w:type="spellStart"/>
            <w:r w:rsidRPr="00EE04D8">
              <w:rPr>
                <w:rFonts w:cstheme="minorHAnsi"/>
                <w:sz w:val="24"/>
                <w:szCs w:val="24"/>
              </w:rPr>
              <w:t>μg.h</w:t>
            </w:r>
            <w:proofErr w:type="spellEnd"/>
            <w:r w:rsidRPr="00EE04D8">
              <w:rPr>
                <w:rFonts w:cstheme="minorHAnsi"/>
                <w:sz w:val="24"/>
                <w:szCs w:val="24"/>
              </w:rPr>
              <w:t>/ml)</w:t>
            </w:r>
          </w:p>
        </w:tc>
        <w:tc>
          <w:tcPr>
            <w:tcW w:w="965" w:type="pct"/>
          </w:tcPr>
          <w:p w14:paraId="2E59A8E8" w14:textId="77777777" w:rsidR="007330C1" w:rsidRPr="00EE04D8" w:rsidRDefault="007330C1" w:rsidP="001A4983">
            <w:pPr>
              <w:spacing w:line="480" w:lineRule="auto"/>
              <w:rPr>
                <w:rFonts w:cstheme="minorHAnsi"/>
                <w:sz w:val="24"/>
                <w:szCs w:val="24"/>
              </w:rPr>
            </w:pPr>
            <w:r w:rsidRPr="00EE04D8">
              <w:rPr>
                <w:rFonts w:cstheme="minorHAnsi"/>
                <w:sz w:val="24"/>
                <w:szCs w:val="24"/>
              </w:rPr>
              <w:t>0.97 (0.82-1.12)</w:t>
            </w:r>
          </w:p>
        </w:tc>
        <w:tc>
          <w:tcPr>
            <w:tcW w:w="393" w:type="pct"/>
          </w:tcPr>
          <w:p w14:paraId="40B1A79F" w14:textId="77777777" w:rsidR="007330C1" w:rsidRPr="00EE04D8" w:rsidRDefault="007330C1" w:rsidP="001A4983">
            <w:pPr>
              <w:spacing w:line="480" w:lineRule="auto"/>
              <w:rPr>
                <w:rFonts w:cstheme="minorHAnsi"/>
                <w:sz w:val="24"/>
                <w:szCs w:val="24"/>
              </w:rPr>
            </w:pPr>
            <w:r w:rsidRPr="00EE04D8">
              <w:rPr>
                <w:rFonts w:cstheme="minorHAnsi"/>
                <w:sz w:val="24"/>
                <w:szCs w:val="24"/>
              </w:rPr>
              <w:t>0.658</w:t>
            </w:r>
          </w:p>
        </w:tc>
        <w:tc>
          <w:tcPr>
            <w:tcW w:w="979" w:type="pct"/>
          </w:tcPr>
          <w:p w14:paraId="7A7850BB" w14:textId="77777777" w:rsidR="007330C1" w:rsidRPr="00EE04D8" w:rsidRDefault="007330C1" w:rsidP="001A4983">
            <w:pPr>
              <w:spacing w:line="480" w:lineRule="auto"/>
              <w:rPr>
                <w:rFonts w:cstheme="minorHAnsi"/>
                <w:sz w:val="24"/>
                <w:szCs w:val="24"/>
              </w:rPr>
            </w:pPr>
            <w:r w:rsidRPr="00EE04D8">
              <w:rPr>
                <w:rFonts w:cstheme="minorHAnsi"/>
                <w:sz w:val="24"/>
                <w:szCs w:val="24"/>
              </w:rPr>
              <w:t>1.06 (0.89-1.73)</w:t>
            </w:r>
          </w:p>
        </w:tc>
        <w:tc>
          <w:tcPr>
            <w:tcW w:w="377" w:type="pct"/>
          </w:tcPr>
          <w:p w14:paraId="74BE0B32" w14:textId="77777777" w:rsidR="007330C1" w:rsidRPr="00EE04D8" w:rsidRDefault="007330C1" w:rsidP="001A4983">
            <w:pPr>
              <w:spacing w:line="480" w:lineRule="auto"/>
              <w:rPr>
                <w:rFonts w:cstheme="minorHAnsi"/>
                <w:sz w:val="24"/>
                <w:szCs w:val="24"/>
              </w:rPr>
            </w:pPr>
            <w:r w:rsidRPr="00EE04D8">
              <w:rPr>
                <w:rFonts w:cstheme="minorHAnsi"/>
                <w:sz w:val="24"/>
                <w:szCs w:val="24"/>
              </w:rPr>
              <w:t>0.733</w:t>
            </w:r>
          </w:p>
        </w:tc>
      </w:tr>
      <w:tr w:rsidR="007330C1" w:rsidRPr="00EE04D8" w14:paraId="54E6E113" w14:textId="77777777" w:rsidTr="001A4983">
        <w:tc>
          <w:tcPr>
            <w:tcW w:w="557" w:type="pct"/>
            <w:vMerge/>
          </w:tcPr>
          <w:p w14:paraId="24634144" w14:textId="77777777" w:rsidR="007330C1" w:rsidRPr="00EE04D8" w:rsidRDefault="007330C1" w:rsidP="001A4983">
            <w:pPr>
              <w:spacing w:line="480" w:lineRule="auto"/>
              <w:rPr>
                <w:rFonts w:cstheme="minorHAnsi"/>
                <w:sz w:val="24"/>
                <w:szCs w:val="24"/>
              </w:rPr>
            </w:pPr>
          </w:p>
        </w:tc>
        <w:tc>
          <w:tcPr>
            <w:tcW w:w="915" w:type="pct"/>
            <w:vMerge/>
          </w:tcPr>
          <w:p w14:paraId="0ECB8E72" w14:textId="77777777" w:rsidR="007330C1" w:rsidRPr="00EE04D8" w:rsidRDefault="007330C1" w:rsidP="001A4983">
            <w:pPr>
              <w:spacing w:line="480" w:lineRule="auto"/>
              <w:rPr>
                <w:rFonts w:cstheme="minorHAnsi"/>
                <w:sz w:val="24"/>
                <w:szCs w:val="24"/>
              </w:rPr>
            </w:pPr>
          </w:p>
        </w:tc>
        <w:tc>
          <w:tcPr>
            <w:tcW w:w="813" w:type="pct"/>
          </w:tcPr>
          <w:p w14:paraId="32245C7E" w14:textId="77777777" w:rsidR="007330C1" w:rsidRPr="00EE04D8" w:rsidRDefault="007330C1" w:rsidP="001A4983">
            <w:pPr>
              <w:spacing w:line="480" w:lineRule="auto"/>
              <w:rPr>
                <w:rFonts w:cstheme="minorHAnsi"/>
                <w:sz w:val="24"/>
                <w:szCs w:val="24"/>
              </w:rPr>
            </w:pPr>
            <w:proofErr w:type="spellStart"/>
            <w:r w:rsidRPr="00EE04D8">
              <w:rPr>
                <w:rFonts w:cstheme="minorHAnsi"/>
                <w:sz w:val="24"/>
                <w:szCs w:val="24"/>
              </w:rPr>
              <w:t>C</w:t>
            </w:r>
            <w:r w:rsidRPr="00EE04D8">
              <w:rPr>
                <w:rFonts w:cstheme="minorHAnsi"/>
                <w:sz w:val="24"/>
                <w:szCs w:val="24"/>
                <w:vertAlign w:val="subscript"/>
              </w:rPr>
              <w:softHyphen/>
              <w:t>max</w:t>
            </w:r>
            <w:proofErr w:type="spellEnd"/>
            <w:r w:rsidRPr="00EE04D8">
              <w:rPr>
                <w:rFonts w:cstheme="minorHAnsi"/>
                <w:sz w:val="24"/>
                <w:szCs w:val="24"/>
                <w:vertAlign w:val="subscript"/>
              </w:rPr>
              <w:softHyphen/>
            </w:r>
            <w:r w:rsidRPr="00EE04D8">
              <w:rPr>
                <w:rFonts w:cstheme="minorHAnsi"/>
                <w:sz w:val="24"/>
                <w:szCs w:val="24"/>
              </w:rPr>
              <w:t xml:space="preserve"> (</w:t>
            </w:r>
            <w:proofErr w:type="spellStart"/>
            <w:r w:rsidRPr="00EE04D8">
              <w:rPr>
                <w:rFonts w:cstheme="minorHAnsi"/>
                <w:sz w:val="24"/>
                <w:szCs w:val="24"/>
              </w:rPr>
              <w:t>μg</w:t>
            </w:r>
            <w:proofErr w:type="spellEnd"/>
            <w:r w:rsidRPr="00EE04D8">
              <w:rPr>
                <w:rFonts w:cstheme="minorHAnsi"/>
                <w:sz w:val="24"/>
                <w:szCs w:val="24"/>
              </w:rPr>
              <w:t>/ml)</w:t>
            </w:r>
          </w:p>
        </w:tc>
        <w:tc>
          <w:tcPr>
            <w:tcW w:w="965" w:type="pct"/>
          </w:tcPr>
          <w:p w14:paraId="37FD26A4" w14:textId="77777777" w:rsidR="007330C1" w:rsidRPr="00EE04D8" w:rsidRDefault="007330C1" w:rsidP="001A4983">
            <w:pPr>
              <w:spacing w:line="480" w:lineRule="auto"/>
              <w:rPr>
                <w:rFonts w:cstheme="minorHAnsi"/>
                <w:sz w:val="24"/>
                <w:szCs w:val="24"/>
              </w:rPr>
            </w:pPr>
            <w:r w:rsidRPr="00EE04D8">
              <w:rPr>
                <w:rFonts w:cstheme="minorHAnsi"/>
                <w:sz w:val="24"/>
                <w:szCs w:val="24"/>
              </w:rPr>
              <w:t>0.98 (0.70-1.35)</w:t>
            </w:r>
          </w:p>
        </w:tc>
        <w:tc>
          <w:tcPr>
            <w:tcW w:w="393" w:type="pct"/>
          </w:tcPr>
          <w:p w14:paraId="05C02564" w14:textId="77777777" w:rsidR="007330C1" w:rsidRPr="00EE04D8" w:rsidRDefault="007330C1" w:rsidP="001A4983">
            <w:pPr>
              <w:spacing w:line="480" w:lineRule="auto"/>
              <w:rPr>
                <w:rFonts w:cstheme="minorHAnsi"/>
                <w:sz w:val="24"/>
                <w:szCs w:val="24"/>
              </w:rPr>
            </w:pPr>
            <w:r w:rsidRPr="00EE04D8">
              <w:rPr>
                <w:rFonts w:cstheme="minorHAnsi"/>
                <w:sz w:val="24"/>
                <w:szCs w:val="24"/>
              </w:rPr>
              <w:t>0.878</w:t>
            </w:r>
          </w:p>
        </w:tc>
        <w:tc>
          <w:tcPr>
            <w:tcW w:w="979" w:type="pct"/>
          </w:tcPr>
          <w:p w14:paraId="37672F91" w14:textId="77777777" w:rsidR="007330C1" w:rsidRPr="00EE04D8" w:rsidRDefault="007330C1" w:rsidP="001A4983">
            <w:pPr>
              <w:spacing w:line="480" w:lineRule="auto"/>
              <w:rPr>
                <w:rFonts w:cstheme="minorHAnsi"/>
                <w:sz w:val="24"/>
                <w:szCs w:val="24"/>
              </w:rPr>
            </w:pPr>
            <w:r w:rsidRPr="00EE04D8">
              <w:rPr>
                <w:rFonts w:cstheme="minorHAnsi"/>
                <w:sz w:val="24"/>
                <w:szCs w:val="24"/>
              </w:rPr>
              <w:t>1.05 (0.71-2.32)</w:t>
            </w:r>
          </w:p>
        </w:tc>
        <w:tc>
          <w:tcPr>
            <w:tcW w:w="377" w:type="pct"/>
          </w:tcPr>
          <w:p w14:paraId="0C989709" w14:textId="77777777" w:rsidR="007330C1" w:rsidRPr="00EE04D8" w:rsidRDefault="007330C1" w:rsidP="001A4983">
            <w:pPr>
              <w:spacing w:line="480" w:lineRule="auto"/>
              <w:rPr>
                <w:rFonts w:cstheme="minorHAnsi"/>
                <w:sz w:val="24"/>
                <w:szCs w:val="24"/>
              </w:rPr>
            </w:pPr>
            <w:r w:rsidRPr="00EE04D8">
              <w:rPr>
                <w:rFonts w:cstheme="minorHAnsi"/>
                <w:sz w:val="24"/>
                <w:szCs w:val="24"/>
              </w:rPr>
              <w:t>0.856</w:t>
            </w:r>
          </w:p>
        </w:tc>
      </w:tr>
      <w:tr w:rsidR="007330C1" w:rsidRPr="00EE04D8" w14:paraId="60E6C789" w14:textId="77777777" w:rsidTr="001A4983">
        <w:tc>
          <w:tcPr>
            <w:tcW w:w="557" w:type="pct"/>
            <w:vMerge/>
          </w:tcPr>
          <w:p w14:paraId="38558792" w14:textId="77777777" w:rsidR="007330C1" w:rsidRPr="00EE04D8" w:rsidRDefault="007330C1" w:rsidP="001A4983">
            <w:pPr>
              <w:spacing w:line="480" w:lineRule="auto"/>
              <w:rPr>
                <w:rFonts w:cstheme="minorHAnsi"/>
                <w:sz w:val="24"/>
                <w:szCs w:val="24"/>
              </w:rPr>
            </w:pPr>
          </w:p>
        </w:tc>
        <w:tc>
          <w:tcPr>
            <w:tcW w:w="915" w:type="pct"/>
            <w:vMerge w:val="restart"/>
          </w:tcPr>
          <w:p w14:paraId="443EB492" w14:textId="77777777" w:rsidR="007330C1" w:rsidRPr="00EE04D8" w:rsidRDefault="007330C1" w:rsidP="001A4983">
            <w:pPr>
              <w:spacing w:line="480" w:lineRule="auto"/>
              <w:rPr>
                <w:rFonts w:cstheme="minorHAnsi"/>
                <w:sz w:val="24"/>
                <w:szCs w:val="24"/>
              </w:rPr>
            </w:pPr>
            <w:r w:rsidRPr="00EE04D8">
              <w:rPr>
                <w:rFonts w:cstheme="minorHAnsi"/>
                <w:sz w:val="24"/>
                <w:szCs w:val="24"/>
              </w:rPr>
              <w:t>A</w:t>
            </w:r>
            <w:r>
              <w:rPr>
                <w:rFonts w:cstheme="minorHAnsi"/>
                <w:sz w:val="24"/>
                <w:szCs w:val="24"/>
              </w:rPr>
              <w:t>lveolar cells</w:t>
            </w:r>
            <w:r w:rsidRPr="00EE04D8">
              <w:rPr>
                <w:rFonts w:cstheme="minorHAnsi"/>
                <w:sz w:val="24"/>
                <w:szCs w:val="24"/>
              </w:rPr>
              <w:t xml:space="preserve"> </w:t>
            </w:r>
            <w:r>
              <w:rPr>
                <w:rFonts w:cstheme="minorHAnsi"/>
                <w:sz w:val="24"/>
                <w:szCs w:val="24"/>
                <w:vertAlign w:val="superscript"/>
              </w:rPr>
              <w:t>a</w:t>
            </w:r>
          </w:p>
        </w:tc>
        <w:tc>
          <w:tcPr>
            <w:tcW w:w="813" w:type="pct"/>
          </w:tcPr>
          <w:p w14:paraId="34A21849" w14:textId="77777777" w:rsidR="007330C1" w:rsidRPr="00EE04D8" w:rsidRDefault="007330C1" w:rsidP="001A4983">
            <w:pPr>
              <w:spacing w:line="480" w:lineRule="auto"/>
              <w:rPr>
                <w:rFonts w:cstheme="minorHAnsi"/>
                <w:sz w:val="24"/>
                <w:szCs w:val="24"/>
              </w:rPr>
            </w:pPr>
            <w:r w:rsidRPr="00EE04D8">
              <w:rPr>
                <w:rFonts w:cstheme="minorHAnsi"/>
                <w:sz w:val="24"/>
                <w:szCs w:val="24"/>
              </w:rPr>
              <w:t>AUC (</w:t>
            </w:r>
            <w:proofErr w:type="spellStart"/>
            <w:r w:rsidRPr="00EE04D8">
              <w:rPr>
                <w:rFonts w:cstheme="minorHAnsi"/>
                <w:sz w:val="24"/>
                <w:szCs w:val="24"/>
              </w:rPr>
              <w:t>μg.h</w:t>
            </w:r>
            <w:proofErr w:type="spellEnd"/>
            <w:r w:rsidRPr="00EE04D8">
              <w:rPr>
                <w:rFonts w:cstheme="minorHAnsi"/>
                <w:sz w:val="24"/>
                <w:szCs w:val="24"/>
              </w:rPr>
              <w:t>/ml)</w:t>
            </w:r>
          </w:p>
        </w:tc>
        <w:tc>
          <w:tcPr>
            <w:tcW w:w="965" w:type="pct"/>
          </w:tcPr>
          <w:p w14:paraId="498A7ACA" w14:textId="77777777" w:rsidR="007330C1" w:rsidRPr="00EE04D8" w:rsidRDefault="007330C1" w:rsidP="001A4983">
            <w:pPr>
              <w:spacing w:line="480" w:lineRule="auto"/>
              <w:rPr>
                <w:rFonts w:cstheme="minorHAnsi"/>
                <w:sz w:val="24"/>
                <w:szCs w:val="24"/>
              </w:rPr>
            </w:pPr>
            <w:r w:rsidRPr="00EE04D8">
              <w:rPr>
                <w:rFonts w:cstheme="minorHAnsi"/>
                <w:sz w:val="24"/>
                <w:szCs w:val="24"/>
              </w:rPr>
              <w:t>0.99 (0.95-1.02)</w:t>
            </w:r>
          </w:p>
        </w:tc>
        <w:tc>
          <w:tcPr>
            <w:tcW w:w="393" w:type="pct"/>
          </w:tcPr>
          <w:p w14:paraId="60958227" w14:textId="77777777" w:rsidR="007330C1" w:rsidRPr="00EE04D8" w:rsidRDefault="007330C1" w:rsidP="001A4983">
            <w:pPr>
              <w:spacing w:line="480" w:lineRule="auto"/>
              <w:rPr>
                <w:rFonts w:cstheme="minorHAnsi"/>
                <w:sz w:val="24"/>
                <w:szCs w:val="24"/>
              </w:rPr>
            </w:pPr>
            <w:r w:rsidRPr="00EE04D8">
              <w:rPr>
                <w:rFonts w:cstheme="minorHAnsi"/>
                <w:sz w:val="24"/>
                <w:szCs w:val="24"/>
              </w:rPr>
              <w:t>0.469</w:t>
            </w:r>
          </w:p>
        </w:tc>
        <w:tc>
          <w:tcPr>
            <w:tcW w:w="979" w:type="pct"/>
          </w:tcPr>
          <w:p w14:paraId="62AF0C26" w14:textId="77777777" w:rsidR="007330C1" w:rsidRPr="00EE04D8" w:rsidRDefault="007330C1" w:rsidP="001A4983">
            <w:pPr>
              <w:spacing w:line="480" w:lineRule="auto"/>
              <w:rPr>
                <w:rFonts w:cstheme="minorHAnsi"/>
                <w:sz w:val="24"/>
                <w:szCs w:val="24"/>
              </w:rPr>
            </w:pPr>
            <w:r w:rsidRPr="00EE04D8">
              <w:rPr>
                <w:rFonts w:cstheme="minorHAnsi"/>
                <w:sz w:val="24"/>
                <w:szCs w:val="24"/>
              </w:rPr>
              <w:t>1.07 (0.97-1.28)</w:t>
            </w:r>
          </w:p>
        </w:tc>
        <w:tc>
          <w:tcPr>
            <w:tcW w:w="377" w:type="pct"/>
          </w:tcPr>
          <w:p w14:paraId="707202EA" w14:textId="77777777" w:rsidR="007330C1" w:rsidRPr="00EE04D8" w:rsidRDefault="007330C1" w:rsidP="001A4983">
            <w:pPr>
              <w:spacing w:line="480" w:lineRule="auto"/>
              <w:rPr>
                <w:rFonts w:cstheme="minorHAnsi"/>
                <w:sz w:val="24"/>
                <w:szCs w:val="24"/>
              </w:rPr>
            </w:pPr>
            <w:r w:rsidRPr="00EE04D8">
              <w:rPr>
                <w:rFonts w:cstheme="minorHAnsi"/>
                <w:sz w:val="24"/>
                <w:szCs w:val="24"/>
              </w:rPr>
              <w:t>0.345</w:t>
            </w:r>
          </w:p>
        </w:tc>
      </w:tr>
      <w:tr w:rsidR="007330C1" w:rsidRPr="00EE04D8" w14:paraId="2509E908" w14:textId="77777777" w:rsidTr="001A4983">
        <w:tc>
          <w:tcPr>
            <w:tcW w:w="557" w:type="pct"/>
            <w:vMerge/>
          </w:tcPr>
          <w:p w14:paraId="1081CEC7" w14:textId="77777777" w:rsidR="007330C1" w:rsidRPr="00EE04D8" w:rsidRDefault="007330C1" w:rsidP="001A4983">
            <w:pPr>
              <w:spacing w:line="480" w:lineRule="auto"/>
              <w:rPr>
                <w:rFonts w:cstheme="minorHAnsi"/>
                <w:sz w:val="24"/>
                <w:szCs w:val="24"/>
              </w:rPr>
            </w:pPr>
          </w:p>
        </w:tc>
        <w:tc>
          <w:tcPr>
            <w:tcW w:w="915" w:type="pct"/>
            <w:vMerge/>
          </w:tcPr>
          <w:p w14:paraId="5EE6735F" w14:textId="77777777" w:rsidR="007330C1" w:rsidRPr="00EE04D8" w:rsidRDefault="007330C1" w:rsidP="001A4983">
            <w:pPr>
              <w:spacing w:line="480" w:lineRule="auto"/>
              <w:rPr>
                <w:rFonts w:cstheme="minorHAnsi"/>
                <w:sz w:val="24"/>
                <w:szCs w:val="24"/>
              </w:rPr>
            </w:pPr>
          </w:p>
        </w:tc>
        <w:tc>
          <w:tcPr>
            <w:tcW w:w="813" w:type="pct"/>
          </w:tcPr>
          <w:p w14:paraId="49E4DD80" w14:textId="77777777" w:rsidR="007330C1" w:rsidRPr="00EE04D8" w:rsidRDefault="007330C1" w:rsidP="001A4983">
            <w:pPr>
              <w:spacing w:line="480" w:lineRule="auto"/>
              <w:rPr>
                <w:rFonts w:cstheme="minorHAnsi"/>
                <w:sz w:val="24"/>
                <w:szCs w:val="24"/>
              </w:rPr>
            </w:pPr>
            <w:proofErr w:type="spellStart"/>
            <w:r w:rsidRPr="00EE04D8">
              <w:rPr>
                <w:rFonts w:cstheme="minorHAnsi"/>
                <w:sz w:val="24"/>
                <w:szCs w:val="24"/>
              </w:rPr>
              <w:t>C</w:t>
            </w:r>
            <w:r w:rsidRPr="00EE04D8">
              <w:rPr>
                <w:rFonts w:cstheme="minorHAnsi"/>
                <w:sz w:val="24"/>
                <w:szCs w:val="24"/>
                <w:vertAlign w:val="subscript"/>
              </w:rPr>
              <w:softHyphen/>
              <w:t>max</w:t>
            </w:r>
            <w:proofErr w:type="spellEnd"/>
            <w:r w:rsidRPr="00EE04D8">
              <w:rPr>
                <w:rFonts w:cstheme="minorHAnsi"/>
                <w:sz w:val="24"/>
                <w:szCs w:val="24"/>
                <w:vertAlign w:val="subscript"/>
              </w:rPr>
              <w:softHyphen/>
            </w:r>
            <w:r w:rsidRPr="00EE04D8">
              <w:rPr>
                <w:rFonts w:cstheme="minorHAnsi"/>
                <w:sz w:val="24"/>
                <w:szCs w:val="24"/>
              </w:rPr>
              <w:t xml:space="preserve"> (</w:t>
            </w:r>
            <w:proofErr w:type="spellStart"/>
            <w:r w:rsidRPr="00EE04D8">
              <w:rPr>
                <w:rFonts w:cstheme="minorHAnsi"/>
                <w:sz w:val="24"/>
                <w:szCs w:val="24"/>
              </w:rPr>
              <w:t>μg</w:t>
            </w:r>
            <w:proofErr w:type="spellEnd"/>
            <w:r w:rsidRPr="00EE04D8">
              <w:rPr>
                <w:rFonts w:cstheme="minorHAnsi"/>
                <w:sz w:val="24"/>
                <w:szCs w:val="24"/>
              </w:rPr>
              <w:t>/ml)</w:t>
            </w:r>
          </w:p>
        </w:tc>
        <w:tc>
          <w:tcPr>
            <w:tcW w:w="965" w:type="pct"/>
          </w:tcPr>
          <w:p w14:paraId="6C12571B" w14:textId="77777777" w:rsidR="007330C1" w:rsidRPr="00EE04D8" w:rsidRDefault="007330C1" w:rsidP="001A4983">
            <w:pPr>
              <w:spacing w:line="480" w:lineRule="auto"/>
              <w:rPr>
                <w:rFonts w:cstheme="minorHAnsi"/>
                <w:sz w:val="24"/>
                <w:szCs w:val="24"/>
              </w:rPr>
            </w:pPr>
            <w:r w:rsidRPr="00EE04D8">
              <w:rPr>
                <w:rFonts w:cstheme="minorHAnsi"/>
                <w:sz w:val="24"/>
                <w:szCs w:val="24"/>
              </w:rPr>
              <w:t>0.98 (0.91-1.05)</w:t>
            </w:r>
          </w:p>
        </w:tc>
        <w:tc>
          <w:tcPr>
            <w:tcW w:w="393" w:type="pct"/>
          </w:tcPr>
          <w:p w14:paraId="16A49E52" w14:textId="77777777" w:rsidR="007330C1" w:rsidRPr="00EE04D8" w:rsidRDefault="007330C1" w:rsidP="001A4983">
            <w:pPr>
              <w:spacing w:line="480" w:lineRule="auto"/>
              <w:rPr>
                <w:rFonts w:cstheme="minorHAnsi"/>
                <w:sz w:val="24"/>
                <w:szCs w:val="24"/>
              </w:rPr>
            </w:pPr>
            <w:r w:rsidRPr="00EE04D8">
              <w:rPr>
                <w:rFonts w:cstheme="minorHAnsi"/>
                <w:sz w:val="24"/>
                <w:szCs w:val="24"/>
              </w:rPr>
              <w:t>0.584</w:t>
            </w:r>
          </w:p>
        </w:tc>
        <w:tc>
          <w:tcPr>
            <w:tcW w:w="979" w:type="pct"/>
          </w:tcPr>
          <w:p w14:paraId="445A7ED7" w14:textId="77777777" w:rsidR="007330C1" w:rsidRPr="00EE04D8" w:rsidRDefault="007330C1" w:rsidP="001A4983">
            <w:pPr>
              <w:spacing w:line="480" w:lineRule="auto"/>
              <w:rPr>
                <w:rFonts w:cstheme="minorHAnsi"/>
                <w:sz w:val="24"/>
                <w:szCs w:val="24"/>
              </w:rPr>
            </w:pPr>
            <w:r w:rsidRPr="00EE04D8">
              <w:rPr>
                <w:rFonts w:cstheme="minorHAnsi"/>
                <w:sz w:val="24"/>
                <w:szCs w:val="24"/>
              </w:rPr>
              <w:t>1.11 (0.92-1.55)</w:t>
            </w:r>
          </w:p>
        </w:tc>
        <w:tc>
          <w:tcPr>
            <w:tcW w:w="377" w:type="pct"/>
          </w:tcPr>
          <w:p w14:paraId="5EC0C9C8" w14:textId="77777777" w:rsidR="007330C1" w:rsidRPr="00EE04D8" w:rsidRDefault="007330C1" w:rsidP="001A4983">
            <w:pPr>
              <w:spacing w:line="480" w:lineRule="auto"/>
              <w:rPr>
                <w:rFonts w:cstheme="minorHAnsi"/>
                <w:sz w:val="24"/>
                <w:szCs w:val="24"/>
              </w:rPr>
            </w:pPr>
            <w:r w:rsidRPr="00EE04D8">
              <w:rPr>
                <w:rFonts w:cstheme="minorHAnsi"/>
                <w:sz w:val="24"/>
                <w:szCs w:val="24"/>
              </w:rPr>
              <w:t>0.420</w:t>
            </w:r>
          </w:p>
        </w:tc>
      </w:tr>
    </w:tbl>
    <w:p w14:paraId="083D968D" w14:textId="77777777" w:rsidR="007330C1" w:rsidRPr="00EE04D8" w:rsidRDefault="007330C1" w:rsidP="007330C1">
      <w:pPr>
        <w:spacing w:after="0" w:line="480" w:lineRule="auto"/>
        <w:rPr>
          <w:rFonts w:cstheme="minorHAnsi"/>
          <w:i/>
          <w:sz w:val="24"/>
          <w:szCs w:val="24"/>
        </w:rPr>
      </w:pPr>
    </w:p>
    <w:p w14:paraId="3DC54D01" w14:textId="77777777" w:rsidR="007330C1" w:rsidRDefault="007330C1" w:rsidP="007330C1">
      <w:pPr>
        <w:spacing w:after="0" w:line="480" w:lineRule="auto"/>
        <w:rPr>
          <w:rFonts w:cstheme="minorHAnsi"/>
          <w:sz w:val="24"/>
          <w:szCs w:val="24"/>
        </w:rPr>
      </w:pPr>
      <w:r>
        <w:rPr>
          <w:rFonts w:cstheme="minorHAnsi"/>
          <w:sz w:val="24"/>
          <w:szCs w:val="24"/>
        </w:rPr>
        <w:t xml:space="preserve">AUC: area under the concentration-time curve; </w:t>
      </w:r>
      <w:proofErr w:type="spellStart"/>
      <w:r>
        <w:rPr>
          <w:rFonts w:cstheme="minorHAnsi"/>
          <w:sz w:val="24"/>
          <w:szCs w:val="24"/>
        </w:rPr>
        <w:t>C</w:t>
      </w:r>
      <w:r>
        <w:rPr>
          <w:rFonts w:cstheme="minorHAnsi"/>
          <w:sz w:val="24"/>
          <w:szCs w:val="24"/>
          <w:vertAlign w:val="subscript"/>
        </w:rPr>
        <w:t>max</w:t>
      </w:r>
      <w:proofErr w:type="spellEnd"/>
      <w:r>
        <w:rPr>
          <w:rFonts w:cstheme="minorHAnsi"/>
          <w:sz w:val="24"/>
          <w:szCs w:val="24"/>
        </w:rPr>
        <w:t>: peak concentration</w:t>
      </w:r>
    </w:p>
    <w:p w14:paraId="5527F887" w14:textId="77777777" w:rsidR="007330C1" w:rsidRDefault="007330C1" w:rsidP="007330C1">
      <w:pPr>
        <w:spacing w:after="0" w:line="480" w:lineRule="auto"/>
        <w:rPr>
          <w:rFonts w:cstheme="minorHAnsi"/>
          <w:sz w:val="24"/>
          <w:szCs w:val="24"/>
        </w:rPr>
      </w:pPr>
      <w:proofErr w:type="spellStart"/>
      <w:proofErr w:type="gramStart"/>
      <w:r>
        <w:rPr>
          <w:rFonts w:cstheme="minorHAnsi"/>
          <w:sz w:val="24"/>
          <w:szCs w:val="24"/>
          <w:vertAlign w:val="superscript"/>
        </w:rPr>
        <w:lastRenderedPageBreak/>
        <w:t>a</w:t>
      </w:r>
      <w:proofErr w:type="spellEnd"/>
      <w:proofErr w:type="gramEnd"/>
      <w:r w:rsidRPr="00EE04D8">
        <w:rPr>
          <w:rFonts w:cstheme="minorHAnsi"/>
          <w:sz w:val="24"/>
          <w:szCs w:val="24"/>
        </w:rPr>
        <w:t xml:space="preserve"> Analysis restricted to those in the intrapulmonary grou</w:t>
      </w:r>
      <w:r>
        <w:rPr>
          <w:rFonts w:cstheme="minorHAnsi"/>
          <w:sz w:val="24"/>
          <w:szCs w:val="24"/>
        </w:rPr>
        <w:t>p</w:t>
      </w:r>
    </w:p>
    <w:p w14:paraId="207983FE" w14:textId="77777777" w:rsidR="005D3912" w:rsidRDefault="005D3912" w:rsidP="00D8728E">
      <w:pPr>
        <w:spacing w:after="0" w:line="480" w:lineRule="auto"/>
        <w:rPr>
          <w:b/>
          <w:sz w:val="24"/>
          <w:szCs w:val="24"/>
        </w:rPr>
        <w:sectPr w:rsidR="005D3912" w:rsidSect="007330C1">
          <w:pgSz w:w="16838" w:h="11906" w:orient="landscape"/>
          <w:pgMar w:top="1440" w:right="1440" w:bottom="1440" w:left="1440" w:header="708" w:footer="708" w:gutter="0"/>
          <w:cols w:space="708"/>
          <w:docGrid w:linePitch="360"/>
        </w:sectPr>
      </w:pPr>
    </w:p>
    <w:p w14:paraId="1B3F51B4" w14:textId="35693741" w:rsidR="00D8728E" w:rsidRDefault="00D8728E" w:rsidP="00D8728E">
      <w:pPr>
        <w:spacing w:after="0" w:line="480" w:lineRule="auto"/>
        <w:rPr>
          <w:b/>
          <w:sz w:val="24"/>
          <w:szCs w:val="24"/>
        </w:rPr>
      </w:pPr>
      <w:r>
        <w:rPr>
          <w:b/>
          <w:sz w:val="24"/>
          <w:szCs w:val="24"/>
        </w:rPr>
        <w:lastRenderedPageBreak/>
        <w:t>Figure Legends</w:t>
      </w:r>
    </w:p>
    <w:p w14:paraId="672E19B7" w14:textId="6A8FC2D6" w:rsidR="00D8728E" w:rsidRDefault="00D8728E" w:rsidP="00D8728E">
      <w:pPr>
        <w:spacing w:after="0" w:line="480" w:lineRule="auto"/>
        <w:rPr>
          <w:sz w:val="24"/>
        </w:rPr>
      </w:pPr>
      <w:r>
        <w:rPr>
          <w:b/>
          <w:sz w:val="24"/>
        </w:rPr>
        <w:t>Figure 1</w:t>
      </w:r>
      <w:r>
        <w:rPr>
          <w:sz w:val="24"/>
        </w:rPr>
        <w:t xml:space="preserve">: </w:t>
      </w:r>
      <w:r w:rsidRPr="00E34EF7">
        <w:rPr>
          <w:b/>
          <w:sz w:val="24"/>
        </w:rPr>
        <w:t xml:space="preserve">Concentration-time </w:t>
      </w:r>
      <w:r w:rsidR="00597B0C">
        <w:rPr>
          <w:b/>
          <w:sz w:val="24"/>
        </w:rPr>
        <w:t>plots</w:t>
      </w:r>
      <w:r w:rsidR="00597B0C" w:rsidRPr="00E34EF7">
        <w:rPr>
          <w:b/>
          <w:sz w:val="24"/>
        </w:rPr>
        <w:t xml:space="preserve"> </w:t>
      </w:r>
      <w:r w:rsidRPr="00E34EF7">
        <w:rPr>
          <w:b/>
          <w:sz w:val="24"/>
        </w:rPr>
        <w:t>for rifampicin, isoniazid, pyrazinamide and ethambutol in plasma, epithelial lining fluid, and alveolar cells</w:t>
      </w:r>
    </w:p>
    <w:p w14:paraId="7D7F647F" w14:textId="4D15B0C4" w:rsidR="00D8728E" w:rsidRDefault="00FF4EB4" w:rsidP="00D8728E">
      <w:pPr>
        <w:spacing w:line="480" w:lineRule="auto"/>
        <w:rPr>
          <w:sz w:val="24"/>
          <w:szCs w:val="24"/>
        </w:rPr>
      </w:pPr>
      <w:r>
        <w:rPr>
          <w:sz w:val="24"/>
        </w:rPr>
        <w:t>Summary c</w:t>
      </w:r>
      <w:r w:rsidR="00D8728E">
        <w:rPr>
          <w:sz w:val="24"/>
        </w:rPr>
        <w:t xml:space="preserve">oncentration-time </w:t>
      </w:r>
      <w:r w:rsidR="00597B0C">
        <w:rPr>
          <w:sz w:val="24"/>
        </w:rPr>
        <w:t>plot</w:t>
      </w:r>
      <w:r w:rsidR="000738BC">
        <w:rPr>
          <w:sz w:val="24"/>
        </w:rPr>
        <w:t>s for</w:t>
      </w:r>
      <w:r w:rsidR="00D8728E">
        <w:rPr>
          <w:sz w:val="24"/>
        </w:rPr>
        <w:t xml:space="preserve"> rifampicin, isoniazid, pyrazinamide, and ethambutol in plasma, epithelial lining fluid, and alveolar cells</w:t>
      </w:r>
      <w:r w:rsidR="007C1985" w:rsidRPr="007C1985">
        <w:rPr>
          <w:sz w:val="24"/>
        </w:rPr>
        <w:t xml:space="preserve"> </w:t>
      </w:r>
      <w:r w:rsidR="007C1985">
        <w:rPr>
          <w:sz w:val="24"/>
        </w:rPr>
        <w:t>from population means</w:t>
      </w:r>
      <w:r w:rsidR="00D8728E">
        <w:rPr>
          <w:sz w:val="24"/>
        </w:rPr>
        <w:t xml:space="preserve"> at steady state</w:t>
      </w:r>
      <w:r w:rsidR="007C1985">
        <w:rPr>
          <w:sz w:val="24"/>
        </w:rPr>
        <w:t xml:space="preserve">. </w:t>
      </w:r>
      <w:r w:rsidR="00D8728E">
        <w:rPr>
          <w:sz w:val="24"/>
        </w:rPr>
        <w:t xml:space="preserve">To account for rifampicin protein-binding, the </w:t>
      </w:r>
      <w:r w:rsidR="00971F68">
        <w:rPr>
          <w:sz w:val="24"/>
        </w:rPr>
        <w:t xml:space="preserve">red/pink </w:t>
      </w:r>
      <w:r w:rsidR="00D8728E">
        <w:rPr>
          <w:sz w:val="24"/>
        </w:rPr>
        <w:t xml:space="preserve">shaded area in the top-left panel illustrates plasma drug exposure for total drug (top line) or unbound drug (bottom line), assuming 80% protein-binding in plasma and negligible protein-binding in epithelial lining fluid. Plasma concentrations for isoniazid, pyrazinamide, and ethambutol shown as total drug only. Concentrations at the different timepoints were calculated using the Bayesian posterior pharmacokinetic parameter value estimates, and epithelial lining </w:t>
      </w:r>
      <w:proofErr w:type="spellStart"/>
      <w:proofErr w:type="gramStart"/>
      <w:r w:rsidR="00D8728E">
        <w:rPr>
          <w:sz w:val="24"/>
        </w:rPr>
        <w:t>fluid:plasma</w:t>
      </w:r>
      <w:proofErr w:type="spellEnd"/>
      <w:proofErr w:type="gramEnd"/>
      <w:r w:rsidR="00D8728E">
        <w:rPr>
          <w:sz w:val="24"/>
        </w:rPr>
        <w:t xml:space="preserve"> (</w:t>
      </w:r>
      <w:r w:rsidR="00D8728E">
        <w:rPr>
          <w:i/>
          <w:sz w:val="24"/>
        </w:rPr>
        <w:t>R</w:t>
      </w:r>
      <w:r w:rsidR="00D8728E">
        <w:rPr>
          <w:i/>
          <w:sz w:val="24"/>
          <w:vertAlign w:val="subscript"/>
        </w:rPr>
        <w:t>ELF</w:t>
      </w:r>
      <w:r w:rsidR="00D8728E">
        <w:rPr>
          <w:sz w:val="24"/>
        </w:rPr>
        <w:t xml:space="preserve">) and alveolar </w:t>
      </w:r>
      <w:proofErr w:type="spellStart"/>
      <w:r w:rsidR="00D8728E">
        <w:rPr>
          <w:sz w:val="24"/>
        </w:rPr>
        <w:t>cells:plasma</w:t>
      </w:r>
      <w:proofErr w:type="spellEnd"/>
      <w:r w:rsidR="00D8728E">
        <w:rPr>
          <w:sz w:val="24"/>
        </w:rPr>
        <w:t xml:space="preserve"> (</w:t>
      </w:r>
      <w:r w:rsidR="00D8728E">
        <w:rPr>
          <w:i/>
          <w:sz w:val="24"/>
        </w:rPr>
        <w:t>R</w:t>
      </w:r>
      <w:r w:rsidR="00D8728E">
        <w:rPr>
          <w:i/>
          <w:sz w:val="24"/>
          <w:vertAlign w:val="subscript"/>
        </w:rPr>
        <w:t>AC</w:t>
      </w:r>
      <w:r w:rsidR="00D8728E">
        <w:rPr>
          <w:sz w:val="24"/>
        </w:rPr>
        <w:t xml:space="preserve">) ratios. The horizontal dotted line represents the plasma </w:t>
      </w:r>
      <w:r w:rsidR="00D8728E" w:rsidRPr="00DA0251">
        <w:rPr>
          <w:sz w:val="24"/>
          <w:szCs w:val="24"/>
        </w:rPr>
        <w:t>targets for therapeutic drug monitoring</w:t>
      </w:r>
      <w:r w:rsidR="00D8728E">
        <w:rPr>
          <w:sz w:val="24"/>
          <w:szCs w:val="24"/>
        </w:rPr>
        <w:t xml:space="preserve"> </w:t>
      </w:r>
      <w:r w:rsidR="00D8728E">
        <w:rPr>
          <w:sz w:val="24"/>
          <w:szCs w:val="24"/>
        </w:rPr>
        <w:fldChar w:fldCharType="begin" w:fldLock="1"/>
      </w:r>
      <w:r w:rsidR="00DE300B">
        <w:rPr>
          <w:sz w:val="24"/>
          <w:szCs w:val="24"/>
        </w:rPr>
        <w:instrText>ADDIN CSL_CITATION {"citationItems":[{"id":"ITEM-1","itemData":{"DOI":"10.1007/s40265-014-0222-8","ISBN":"1179-1950 (Electronic)\r0012-6667 (Linking)","PMID":"24846578","abstract":"Tuberculosis (TB) is the world's second leading infectious killer. Cases of multidrug-resistant (MDR-TB) and extremely drug-resistant (XDR-TB) have increased globally. Therapeutic drug monitoring (TDM) remains a standard clinical technique for using plasma drug concentrations to determine dose. For TB patients, TDM provides objective information for the clinician to make informed dosing decisions. Some patients are slow to respond to treatment, and TDM can shorten the time to response and to treatment completion. Normal plasma concentration ranges for the TB drugs have been defined. For practical reasons, only one or two samples are collected post-dose. A 2-h post-dose sample approximates the peak serum drug concentration (Cmax) for most TB drugs. Adding a 6-h sample allows the clinician to distinguish between delayed absorption and malabsorption. TDM requires that samples are promptly centrifuged, and that the serum is promptly harvested and frozen. Isoniazid and ethionamide, in particular, are not stable in human serum at room temperature. Rifampicin is stable for more than 6 h under these conditions. Since our 2002 review, several papers regarding TB drug pharmacokinetics, pharmacodynamics, and TDM have been published. Thus, we have better information regarding the concentrations required for effective TB therapy. In vitro and animal model data clearly show concentration responses for most TB drugs. Recent studies emphasize the importance of rifamycins and pyrazinamide as sterilizing agents. A strong argument can be made for maximizing patient exposure to these drugs, short of toxicity. Further, the very concept behind 'minimal inhibitory concentration' (MIC) implies that one should achieve concentrations above the minimum in order to maximize response. Some, but not all clinical data are consistent with the utility of this approach. The low ends of the TB drug normal ranges set reasonable 'floors' above which plasma concentrations should be maintained. Patients with diabetes and those infected with HIV have a particular risk for poor drug absorption, and for drug-drug interactions. Published guidelines typically describe interactions between two drugs, whereas the clinical situation often is considerably more complex. Under 'real-life' circumstances, TDM often is the best available tool for sorting out these multi-drug interactions, and for providing the patient safe and adequate doses. Plasma concentrations cannot explain all of the variability in …","author":[{"dropping-particle":"","family":"Alsultan","given":"A","non-dropping-particle":"","parse-names":false,"suffix":""},{"dropping-particle":"","family":"Peloquin","given":"C A","non-dropping-particle":"","parse-names":false,"suffix":""}],"container-title":"Drugs","id":"ITEM-1","issue":"8","issued":{"date-parts":[["2014"]]},"note":"Alsultan, Abdullah\nPeloquin, Charles A\neng\nReview\nNew Zealand\n2014/05/23 06:00\nDrugs. 2014 Jun;74(8):839-54. doi: 10.1007/s40265-014-0222-8.","page":"839-854","title":"Therapeutic drug monitoring in the treatment of tuberculosis: an update","type":"article-journal","volume":"74"},"uris":["http://www.mendeley.com/documents/?uuid=e95820ab-9e81-477e-be67-b50b258a82a8"]}],"mendeley":{"formattedCitation":"[29]","plainTextFormattedCitation":"[29]","previouslyFormattedCitation":"[25]"},"properties":{"noteIndex":0},"schema":"https://github.com/citation-style-language/schema/raw/master/csl-citation.json"}</w:instrText>
      </w:r>
      <w:r w:rsidR="00D8728E">
        <w:rPr>
          <w:sz w:val="24"/>
          <w:szCs w:val="24"/>
        </w:rPr>
        <w:fldChar w:fldCharType="separate"/>
      </w:r>
      <w:r w:rsidR="00DE300B" w:rsidRPr="00DE300B">
        <w:rPr>
          <w:noProof/>
          <w:sz w:val="24"/>
          <w:szCs w:val="24"/>
        </w:rPr>
        <w:t>[29]</w:t>
      </w:r>
      <w:r w:rsidR="00D8728E">
        <w:rPr>
          <w:sz w:val="24"/>
          <w:szCs w:val="24"/>
        </w:rPr>
        <w:fldChar w:fldCharType="end"/>
      </w:r>
      <w:r w:rsidR="00D8728E">
        <w:rPr>
          <w:sz w:val="24"/>
          <w:szCs w:val="24"/>
        </w:rPr>
        <w:t>.</w:t>
      </w:r>
    </w:p>
    <w:p w14:paraId="66FB1F2B" w14:textId="7CF65DE5" w:rsidR="00D8728E" w:rsidRDefault="00D8728E" w:rsidP="00D8728E">
      <w:pPr>
        <w:spacing w:line="480" w:lineRule="auto"/>
        <w:rPr>
          <w:sz w:val="24"/>
          <w:szCs w:val="24"/>
        </w:rPr>
      </w:pPr>
    </w:p>
    <w:p w14:paraId="65D1B632" w14:textId="77777777" w:rsidR="00D8728E" w:rsidRDefault="00D8728E" w:rsidP="00D8728E">
      <w:pPr>
        <w:spacing w:after="0" w:line="480" w:lineRule="auto"/>
        <w:rPr>
          <w:b/>
          <w:bCs/>
          <w:sz w:val="24"/>
          <w:szCs w:val="24"/>
        </w:rPr>
      </w:pPr>
      <w:r>
        <w:rPr>
          <w:b/>
          <w:bCs/>
          <w:sz w:val="24"/>
          <w:szCs w:val="24"/>
        </w:rPr>
        <w:t>Figure 2: Baseline drug sensitivity</w:t>
      </w:r>
    </w:p>
    <w:p w14:paraId="37D3A046" w14:textId="5C247AB1" w:rsidR="00D8728E" w:rsidRDefault="00D8728E" w:rsidP="00022061">
      <w:pPr>
        <w:spacing w:line="480" w:lineRule="auto"/>
        <w:rPr>
          <w:rFonts w:cstheme="minorHAnsi"/>
          <w:sz w:val="24"/>
          <w:szCs w:val="24"/>
        </w:rPr>
      </w:pPr>
      <w:r w:rsidRPr="00EE1136">
        <w:rPr>
          <w:rFonts w:cstheme="minorHAnsi"/>
          <w:sz w:val="24"/>
          <w:szCs w:val="24"/>
        </w:rPr>
        <w:t xml:space="preserve">Drug sensitivity in baseline </w:t>
      </w:r>
      <w:r>
        <w:rPr>
          <w:rFonts w:cstheme="minorHAnsi"/>
          <w:sz w:val="24"/>
          <w:szCs w:val="24"/>
        </w:rPr>
        <w:t xml:space="preserve">sputum </w:t>
      </w:r>
      <w:r w:rsidRPr="00CA6D29">
        <w:rPr>
          <w:rFonts w:cstheme="minorHAnsi"/>
          <w:i/>
          <w:iCs/>
          <w:sz w:val="24"/>
          <w:szCs w:val="24"/>
        </w:rPr>
        <w:t>Mycobacterium tuberculosis</w:t>
      </w:r>
      <w:r>
        <w:rPr>
          <w:rFonts w:cstheme="minorHAnsi"/>
          <w:sz w:val="24"/>
          <w:szCs w:val="24"/>
        </w:rPr>
        <w:t xml:space="preserve"> </w:t>
      </w:r>
      <w:r w:rsidRPr="00EE1136">
        <w:rPr>
          <w:rFonts w:cstheme="minorHAnsi"/>
          <w:sz w:val="24"/>
          <w:szCs w:val="24"/>
        </w:rPr>
        <w:t xml:space="preserve">isolates determined using </w:t>
      </w:r>
      <w:proofErr w:type="spellStart"/>
      <w:r w:rsidRPr="00EE1136">
        <w:rPr>
          <w:rFonts w:cstheme="minorHAnsi"/>
          <w:sz w:val="24"/>
          <w:szCs w:val="24"/>
        </w:rPr>
        <w:t>microtitre</w:t>
      </w:r>
      <w:proofErr w:type="spellEnd"/>
      <w:r w:rsidRPr="00EE1136">
        <w:rPr>
          <w:rFonts w:cstheme="minorHAnsi"/>
          <w:sz w:val="24"/>
          <w:szCs w:val="24"/>
        </w:rPr>
        <w:t xml:space="preserve"> plates (n=88). </w:t>
      </w:r>
      <w:r w:rsidRPr="00D25AC8">
        <w:rPr>
          <w:rFonts w:cstheme="minorHAnsi"/>
          <w:sz w:val="24"/>
          <w:szCs w:val="24"/>
        </w:rPr>
        <w:t xml:space="preserve">Pyrazinamide was not assessed due to its’ need for acidic test conditions. The minimum inhibitory concentration (MIC) was recorded as the lowest concentration </w:t>
      </w:r>
      <w:r>
        <w:rPr>
          <w:rFonts w:cstheme="minorHAnsi"/>
          <w:sz w:val="24"/>
          <w:szCs w:val="24"/>
        </w:rPr>
        <w:t xml:space="preserve">in the </w:t>
      </w:r>
      <w:proofErr w:type="spellStart"/>
      <w:r>
        <w:rPr>
          <w:rFonts w:cstheme="minorHAnsi"/>
          <w:sz w:val="24"/>
          <w:szCs w:val="24"/>
        </w:rPr>
        <w:t>microtitre</w:t>
      </w:r>
      <w:proofErr w:type="spellEnd"/>
      <w:r>
        <w:rPr>
          <w:rFonts w:cstheme="minorHAnsi"/>
          <w:sz w:val="24"/>
          <w:szCs w:val="24"/>
        </w:rPr>
        <w:t xml:space="preserve"> plate </w:t>
      </w:r>
      <w:r w:rsidRPr="00D25AC8">
        <w:rPr>
          <w:rFonts w:cstheme="minorHAnsi"/>
          <w:sz w:val="24"/>
          <w:szCs w:val="24"/>
        </w:rPr>
        <w:t xml:space="preserve">with no visible growth </w:t>
      </w:r>
      <w:r>
        <w:rPr>
          <w:rFonts w:cstheme="minorHAnsi"/>
          <w:sz w:val="24"/>
          <w:szCs w:val="24"/>
        </w:rPr>
        <w:t>observed</w:t>
      </w:r>
      <w:r w:rsidRPr="00D25AC8">
        <w:rPr>
          <w:rFonts w:cstheme="minorHAnsi"/>
          <w:sz w:val="24"/>
          <w:szCs w:val="24"/>
        </w:rPr>
        <w:t xml:space="preserve">. </w:t>
      </w:r>
      <w:r w:rsidRPr="00CA6D29">
        <w:rPr>
          <w:rFonts w:cstheme="minorHAnsi"/>
          <w:sz w:val="24"/>
          <w:szCs w:val="24"/>
        </w:rPr>
        <w:t xml:space="preserve">The currently recommended critical concentration (breakpoint) is indicated by </w:t>
      </w:r>
      <w:r>
        <w:rPr>
          <w:rFonts w:cstheme="minorHAnsi"/>
          <w:sz w:val="24"/>
          <w:szCs w:val="24"/>
        </w:rPr>
        <w:t xml:space="preserve">the dashed line </w:t>
      </w:r>
      <w:r>
        <w:rPr>
          <w:rFonts w:cstheme="minorHAnsi"/>
          <w:sz w:val="24"/>
          <w:szCs w:val="24"/>
        </w:rPr>
        <w:fldChar w:fldCharType="begin" w:fldLock="1"/>
      </w:r>
      <w:r w:rsidR="00DE300B">
        <w:rPr>
          <w:rFonts w:cstheme="minorHAnsi"/>
          <w:sz w:val="24"/>
          <w:szCs w:val="24"/>
        </w:rPr>
        <w:instrText>ADDIN CSL_CITATION {"citationItems":[{"id":"ITEM-1","itemData":{"DOI":"10.1093/jac/dkp262","ISBN":"1460-2091 (Electronic)\r0305-7453 (Linking)","PMID":"19633001","abstract":"OBJECTIVES: The aim of this study was to establish wild-type MIC distributions of first-line drugs for Mycobacterium tuberculosis, as well as to explore the usefulness of such distributions when setting clinical breakpoints. METHODS: We determined the MICs of rifampicin, isoniazid and ethambutol for M. tuberculosis using a Middlebrook 7H10 dilution method for 90 consecutive clinical isolates, 8 resistant strains and 16 isolates from the WHO proficiency test panel. M. tuberculosis H37Rv was used for quality control and susceptibility results using 7H10 were compared with the results obtained with BACTEC460. RESULTS: The agreement with BACTEC460 was very high for isoniazid (99.1%) and rifampicin (99.1%) but lower for ethambutol (94.7%). Intra- and inter-assay variation was below one MIC dilution. The MIC distributions for isoniazid and rifampicin provided a clear separation between susceptible and resistant strains. Regarding ethambutol, the current breakpoint for 7H10 (5 mg/L) is close to the wild-type and all strains (n = 6) showing a disagreement between BACTEC460 and 7H10 were distributed very close to the breakpoint (MIC 4-8 mg/L). This problematic relation was confirmed by investigating isolates from the WHO panel with an agreement &lt;95% (64%-88% among 26 laboratories, n = 4) for which the MICs were 4-8 mg/L. CONCLUSIONS: Utilizing the wild-type MIC distribution was found to be as useful in M. tuberculosis as in other bacteria when setting clinical breakpoints. We suggest that the present clinical breakpoints should be re-evaluated, taking into account wild-type MIC distributions and available pharmacokinetic data.","author":[{"dropping-particle":"","family":"Schon","given":"T","non-dropping-particle":"","parse-names":false,"suffix":""},{"dropping-particle":"","family":"Jureen","given":"P","non-dropping-particle":"","parse-names":false,"suffix":""},{"dropping-particle":"","family":"Giske","given":"C G","non-dropping-particle":"","parse-names":false,"suffix":""},{"dropping-particle":"","family":"Chryssanthou","given":"E","non-dropping-particle":"","parse-names":false,"suffix":""},{"dropping-particle":"","family":"Sturegard","given":"E","non-dropping-particle":"","parse-names":false,"suffix":""},{"dropping-particle":"","family":"Werngren","given":"J","non-dropping-particle":"","parse-names":false,"suffix":""},{"dropping-particle":"","family":"Kahlmeter","given":"G","non-dropping-particle":"","parse-names":false,"suffix":""},{"dropping-particle":"","family":"Hoffner","given":"S E","non-dropping-particle":"","parse-names":false,"suffix":""},{"dropping-particle":"","family":"Angeby","given":"K A","non-dropping-particle":"","parse-names":false,"suffix":""}],"container-title":"J Antimicrob Chemother","edition":"2009/07/28","id":"ITEM-1","issue":"4","issued":{"date-parts":[["2009"]]},"language":"eng","note":"Schon, Thomas\nJureen, Pontus\nGiske, Christian G\nChryssanthou, Erja\nSturegard, Erik\nWerngren, Jim\nKahlmeter, Gunnar\nHoffner, Sven E\nAngeby, Kristian A\neng\nResearch Support, Non-U.S. Gov't\nEngland\n2009/07/28 09:00\nJ Antimicrob Chemother. 2009 Oct;64(4):786-93. doi: 10.1093/jac/dkp262. Epub 2009 Jul 23.","page":"786-793","title":"Evaluation of wild-type MIC distributions as a tool for determination of clinical breakpoints for Mycobacterium tuberculosis","type":"article-journal","volume":"64"},"uris":["http://www.mendeley.com/documents/?uuid=15537343-e013-4fac-bba6-a6c91972257c"]}],"mendeley":{"formattedCitation":"[44]","plainTextFormattedCitation":"[44]","previouslyFormattedCitation":"[42]"},"properties":{"noteIndex":0},"schema":"https://github.com/citation-style-language/schema/raw/master/csl-citation.json"}</w:instrText>
      </w:r>
      <w:r>
        <w:rPr>
          <w:rFonts w:cstheme="minorHAnsi"/>
          <w:sz w:val="24"/>
          <w:szCs w:val="24"/>
        </w:rPr>
        <w:fldChar w:fldCharType="separate"/>
      </w:r>
      <w:r w:rsidR="00DE300B" w:rsidRPr="00DE300B">
        <w:rPr>
          <w:rFonts w:cstheme="minorHAnsi"/>
          <w:noProof/>
          <w:sz w:val="24"/>
          <w:szCs w:val="24"/>
        </w:rPr>
        <w:t>[44]</w:t>
      </w:r>
      <w:r>
        <w:rPr>
          <w:rFonts w:cstheme="minorHAnsi"/>
          <w:sz w:val="24"/>
          <w:szCs w:val="24"/>
        </w:rPr>
        <w:fldChar w:fldCharType="end"/>
      </w:r>
      <w:r>
        <w:rPr>
          <w:rFonts w:cstheme="minorHAnsi"/>
          <w:sz w:val="24"/>
          <w:szCs w:val="24"/>
        </w:rPr>
        <w:t>.</w:t>
      </w:r>
    </w:p>
    <w:sectPr w:rsidR="00D8728E" w:rsidSect="000220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EBA9F" w14:textId="77777777" w:rsidR="000168F0" w:rsidRDefault="000168F0" w:rsidP="006946CF">
      <w:pPr>
        <w:spacing w:after="0" w:line="240" w:lineRule="auto"/>
      </w:pPr>
      <w:r>
        <w:separator/>
      </w:r>
    </w:p>
  </w:endnote>
  <w:endnote w:type="continuationSeparator" w:id="0">
    <w:p w14:paraId="239CFA56" w14:textId="77777777" w:rsidR="000168F0" w:rsidRDefault="000168F0" w:rsidP="0069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6004567"/>
      <w:docPartObj>
        <w:docPartGallery w:val="Page Numbers (Bottom of Page)"/>
        <w:docPartUnique/>
      </w:docPartObj>
    </w:sdtPr>
    <w:sdtEndPr>
      <w:rPr>
        <w:noProof/>
      </w:rPr>
    </w:sdtEndPr>
    <w:sdtContent>
      <w:p w14:paraId="523DB1AE" w14:textId="6F2CD77C" w:rsidR="00C3772F" w:rsidRDefault="00C377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A0D982" w14:textId="77777777" w:rsidR="00C3772F" w:rsidRDefault="00C37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6B2D9" w14:textId="77777777" w:rsidR="000168F0" w:rsidRDefault="000168F0" w:rsidP="006946CF">
      <w:pPr>
        <w:spacing w:after="0" w:line="240" w:lineRule="auto"/>
      </w:pPr>
      <w:r>
        <w:separator/>
      </w:r>
    </w:p>
  </w:footnote>
  <w:footnote w:type="continuationSeparator" w:id="0">
    <w:p w14:paraId="2E31A597" w14:textId="77777777" w:rsidR="000168F0" w:rsidRDefault="000168F0" w:rsidP="006946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207BA"/>
    <w:multiLevelType w:val="hybridMultilevel"/>
    <w:tmpl w:val="3DDC7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7923"/>
    <w:multiLevelType w:val="hybridMultilevel"/>
    <w:tmpl w:val="9998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E163E"/>
    <w:multiLevelType w:val="hybridMultilevel"/>
    <w:tmpl w:val="F3A24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33349"/>
    <w:multiLevelType w:val="hybridMultilevel"/>
    <w:tmpl w:val="20326DC0"/>
    <w:lvl w:ilvl="0" w:tplc="193A37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E32455"/>
    <w:multiLevelType w:val="hybridMultilevel"/>
    <w:tmpl w:val="2CD42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A44A8B"/>
    <w:multiLevelType w:val="multilevel"/>
    <w:tmpl w:val="E8F0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FF6A4C"/>
    <w:multiLevelType w:val="multilevel"/>
    <w:tmpl w:val="87A0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081"/>
    <w:rsid w:val="000117FF"/>
    <w:rsid w:val="000168F0"/>
    <w:rsid w:val="00022061"/>
    <w:rsid w:val="00026A47"/>
    <w:rsid w:val="00030A9D"/>
    <w:rsid w:val="000343C0"/>
    <w:rsid w:val="00034CAF"/>
    <w:rsid w:val="000430CC"/>
    <w:rsid w:val="000453CC"/>
    <w:rsid w:val="00060352"/>
    <w:rsid w:val="000738BC"/>
    <w:rsid w:val="00075396"/>
    <w:rsid w:val="00086542"/>
    <w:rsid w:val="000908FC"/>
    <w:rsid w:val="00091443"/>
    <w:rsid w:val="000A1DC8"/>
    <w:rsid w:val="000D058D"/>
    <w:rsid w:val="000D2597"/>
    <w:rsid w:val="000E5FA5"/>
    <w:rsid w:val="000F2CF2"/>
    <w:rsid w:val="000F478F"/>
    <w:rsid w:val="000F55E0"/>
    <w:rsid w:val="0010559D"/>
    <w:rsid w:val="0012492D"/>
    <w:rsid w:val="00124DE8"/>
    <w:rsid w:val="0014003A"/>
    <w:rsid w:val="00142F4B"/>
    <w:rsid w:val="0014309A"/>
    <w:rsid w:val="00147A08"/>
    <w:rsid w:val="00152E71"/>
    <w:rsid w:val="00153123"/>
    <w:rsid w:val="00153503"/>
    <w:rsid w:val="00153BA3"/>
    <w:rsid w:val="0017341D"/>
    <w:rsid w:val="0017357D"/>
    <w:rsid w:val="0018215D"/>
    <w:rsid w:val="0018279E"/>
    <w:rsid w:val="00183FC9"/>
    <w:rsid w:val="001862D3"/>
    <w:rsid w:val="00196F26"/>
    <w:rsid w:val="001B3B64"/>
    <w:rsid w:val="001C1839"/>
    <w:rsid w:val="001D3D17"/>
    <w:rsid w:val="001E5A45"/>
    <w:rsid w:val="001E71CF"/>
    <w:rsid w:val="002044B6"/>
    <w:rsid w:val="00234D2D"/>
    <w:rsid w:val="002365E4"/>
    <w:rsid w:val="002372F9"/>
    <w:rsid w:val="0024089A"/>
    <w:rsid w:val="002529BB"/>
    <w:rsid w:val="002548C4"/>
    <w:rsid w:val="00254C61"/>
    <w:rsid w:val="00273186"/>
    <w:rsid w:val="00273861"/>
    <w:rsid w:val="00275819"/>
    <w:rsid w:val="00282093"/>
    <w:rsid w:val="002841FC"/>
    <w:rsid w:val="002A1380"/>
    <w:rsid w:val="002A1E86"/>
    <w:rsid w:val="002A3873"/>
    <w:rsid w:val="002A504C"/>
    <w:rsid w:val="002A5982"/>
    <w:rsid w:val="002B08FD"/>
    <w:rsid w:val="002B0C3B"/>
    <w:rsid w:val="002B24A2"/>
    <w:rsid w:val="002C217C"/>
    <w:rsid w:val="002C3E59"/>
    <w:rsid w:val="002D457B"/>
    <w:rsid w:val="002D66AD"/>
    <w:rsid w:val="002E44EB"/>
    <w:rsid w:val="002E7C22"/>
    <w:rsid w:val="002F05FF"/>
    <w:rsid w:val="002F2A27"/>
    <w:rsid w:val="00305035"/>
    <w:rsid w:val="003078E7"/>
    <w:rsid w:val="003107DE"/>
    <w:rsid w:val="00325BC5"/>
    <w:rsid w:val="00341F9E"/>
    <w:rsid w:val="00342663"/>
    <w:rsid w:val="00343504"/>
    <w:rsid w:val="00354F78"/>
    <w:rsid w:val="00355837"/>
    <w:rsid w:val="003608A0"/>
    <w:rsid w:val="003636D6"/>
    <w:rsid w:val="00370D0A"/>
    <w:rsid w:val="00371155"/>
    <w:rsid w:val="00372199"/>
    <w:rsid w:val="00390DC8"/>
    <w:rsid w:val="00394556"/>
    <w:rsid w:val="00394708"/>
    <w:rsid w:val="003A0CA3"/>
    <w:rsid w:val="003F52D2"/>
    <w:rsid w:val="004006C4"/>
    <w:rsid w:val="00405695"/>
    <w:rsid w:val="00412771"/>
    <w:rsid w:val="0041486A"/>
    <w:rsid w:val="0041764B"/>
    <w:rsid w:val="004214CF"/>
    <w:rsid w:val="0042227E"/>
    <w:rsid w:val="00424D28"/>
    <w:rsid w:val="00430992"/>
    <w:rsid w:val="00430ACD"/>
    <w:rsid w:val="0044204D"/>
    <w:rsid w:val="0045080F"/>
    <w:rsid w:val="00467141"/>
    <w:rsid w:val="00470EA1"/>
    <w:rsid w:val="004726FC"/>
    <w:rsid w:val="00483149"/>
    <w:rsid w:val="004834C4"/>
    <w:rsid w:val="004850A9"/>
    <w:rsid w:val="00485386"/>
    <w:rsid w:val="004853E4"/>
    <w:rsid w:val="004A2081"/>
    <w:rsid w:val="004A2504"/>
    <w:rsid w:val="004B302E"/>
    <w:rsid w:val="004D52CD"/>
    <w:rsid w:val="004F1D9F"/>
    <w:rsid w:val="004F5A99"/>
    <w:rsid w:val="004F65D6"/>
    <w:rsid w:val="00503D5D"/>
    <w:rsid w:val="0050698C"/>
    <w:rsid w:val="00513CDE"/>
    <w:rsid w:val="00515E1F"/>
    <w:rsid w:val="00537BBC"/>
    <w:rsid w:val="00541D43"/>
    <w:rsid w:val="0056360D"/>
    <w:rsid w:val="00582736"/>
    <w:rsid w:val="00591D4D"/>
    <w:rsid w:val="0059362B"/>
    <w:rsid w:val="005961FE"/>
    <w:rsid w:val="00596408"/>
    <w:rsid w:val="00597B0C"/>
    <w:rsid w:val="005A227C"/>
    <w:rsid w:val="005B0E82"/>
    <w:rsid w:val="005C3EFC"/>
    <w:rsid w:val="005D1AE3"/>
    <w:rsid w:val="005D3912"/>
    <w:rsid w:val="005E0DDD"/>
    <w:rsid w:val="005F047D"/>
    <w:rsid w:val="00613CB3"/>
    <w:rsid w:val="00630CFA"/>
    <w:rsid w:val="006403E9"/>
    <w:rsid w:val="00640DE5"/>
    <w:rsid w:val="006520AE"/>
    <w:rsid w:val="00655E1E"/>
    <w:rsid w:val="006572D4"/>
    <w:rsid w:val="00657879"/>
    <w:rsid w:val="00670C39"/>
    <w:rsid w:val="00671809"/>
    <w:rsid w:val="00676567"/>
    <w:rsid w:val="00677654"/>
    <w:rsid w:val="00684F4D"/>
    <w:rsid w:val="006946CF"/>
    <w:rsid w:val="006A01E2"/>
    <w:rsid w:val="006A4FF0"/>
    <w:rsid w:val="006A6DF5"/>
    <w:rsid w:val="006C2B2F"/>
    <w:rsid w:val="006D0BF4"/>
    <w:rsid w:val="006D214A"/>
    <w:rsid w:val="006D63E8"/>
    <w:rsid w:val="006D7D06"/>
    <w:rsid w:val="006D7F54"/>
    <w:rsid w:val="006E1C6C"/>
    <w:rsid w:val="00700AEE"/>
    <w:rsid w:val="00706EA0"/>
    <w:rsid w:val="00723467"/>
    <w:rsid w:val="0072699B"/>
    <w:rsid w:val="007330C1"/>
    <w:rsid w:val="007332CC"/>
    <w:rsid w:val="00740D17"/>
    <w:rsid w:val="007459FA"/>
    <w:rsid w:val="0076042B"/>
    <w:rsid w:val="00761CA0"/>
    <w:rsid w:val="00762262"/>
    <w:rsid w:val="00781226"/>
    <w:rsid w:val="0078306F"/>
    <w:rsid w:val="00784659"/>
    <w:rsid w:val="00785C42"/>
    <w:rsid w:val="007926F8"/>
    <w:rsid w:val="007A2B7B"/>
    <w:rsid w:val="007A3A70"/>
    <w:rsid w:val="007C06A6"/>
    <w:rsid w:val="007C1803"/>
    <w:rsid w:val="007C1985"/>
    <w:rsid w:val="007C4F81"/>
    <w:rsid w:val="007D259E"/>
    <w:rsid w:val="007E0548"/>
    <w:rsid w:val="007F0587"/>
    <w:rsid w:val="007F4E2E"/>
    <w:rsid w:val="00807A83"/>
    <w:rsid w:val="0082197E"/>
    <w:rsid w:val="00821FDB"/>
    <w:rsid w:val="00830648"/>
    <w:rsid w:val="008350BD"/>
    <w:rsid w:val="00836973"/>
    <w:rsid w:val="008511B6"/>
    <w:rsid w:val="00853212"/>
    <w:rsid w:val="008575E4"/>
    <w:rsid w:val="0086190B"/>
    <w:rsid w:val="00862053"/>
    <w:rsid w:val="00883DFE"/>
    <w:rsid w:val="0089664A"/>
    <w:rsid w:val="008A0447"/>
    <w:rsid w:val="008A04DA"/>
    <w:rsid w:val="008A1898"/>
    <w:rsid w:val="008A76C0"/>
    <w:rsid w:val="008B3E80"/>
    <w:rsid w:val="008B569E"/>
    <w:rsid w:val="008B78AA"/>
    <w:rsid w:val="008C3AC3"/>
    <w:rsid w:val="008D065D"/>
    <w:rsid w:val="008D1980"/>
    <w:rsid w:val="008D544C"/>
    <w:rsid w:val="008D563E"/>
    <w:rsid w:val="008E2DC0"/>
    <w:rsid w:val="008E3D2F"/>
    <w:rsid w:val="008E7BC6"/>
    <w:rsid w:val="008F11D4"/>
    <w:rsid w:val="00917EAB"/>
    <w:rsid w:val="009277E0"/>
    <w:rsid w:val="00936D55"/>
    <w:rsid w:val="009404BB"/>
    <w:rsid w:val="00941EB5"/>
    <w:rsid w:val="00956CA5"/>
    <w:rsid w:val="00960986"/>
    <w:rsid w:val="00961B1F"/>
    <w:rsid w:val="00971F68"/>
    <w:rsid w:val="00977E14"/>
    <w:rsid w:val="00982F51"/>
    <w:rsid w:val="00984C73"/>
    <w:rsid w:val="00986CB6"/>
    <w:rsid w:val="00990906"/>
    <w:rsid w:val="009A3690"/>
    <w:rsid w:val="009B10DE"/>
    <w:rsid w:val="009B3638"/>
    <w:rsid w:val="009C16AB"/>
    <w:rsid w:val="009C3CEE"/>
    <w:rsid w:val="009C400C"/>
    <w:rsid w:val="009D010B"/>
    <w:rsid w:val="009D1F77"/>
    <w:rsid w:val="009D5680"/>
    <w:rsid w:val="009E4E20"/>
    <w:rsid w:val="009E70FF"/>
    <w:rsid w:val="009E78A8"/>
    <w:rsid w:val="009F35E6"/>
    <w:rsid w:val="00A00467"/>
    <w:rsid w:val="00A042F7"/>
    <w:rsid w:val="00A11AEC"/>
    <w:rsid w:val="00A15276"/>
    <w:rsid w:val="00A15802"/>
    <w:rsid w:val="00A277F2"/>
    <w:rsid w:val="00A27BAB"/>
    <w:rsid w:val="00A32821"/>
    <w:rsid w:val="00A32CF2"/>
    <w:rsid w:val="00A42F7A"/>
    <w:rsid w:val="00A4509E"/>
    <w:rsid w:val="00A54EFC"/>
    <w:rsid w:val="00A63BA2"/>
    <w:rsid w:val="00A64359"/>
    <w:rsid w:val="00A6673A"/>
    <w:rsid w:val="00A66EAC"/>
    <w:rsid w:val="00A7718F"/>
    <w:rsid w:val="00A81298"/>
    <w:rsid w:val="00A92286"/>
    <w:rsid w:val="00AA6E4B"/>
    <w:rsid w:val="00AD0179"/>
    <w:rsid w:val="00AF027B"/>
    <w:rsid w:val="00AF1C9C"/>
    <w:rsid w:val="00B03F02"/>
    <w:rsid w:val="00B21A9A"/>
    <w:rsid w:val="00B33464"/>
    <w:rsid w:val="00B34103"/>
    <w:rsid w:val="00B47671"/>
    <w:rsid w:val="00B62A74"/>
    <w:rsid w:val="00B7012B"/>
    <w:rsid w:val="00B83B8B"/>
    <w:rsid w:val="00B92B1C"/>
    <w:rsid w:val="00BA2BB3"/>
    <w:rsid w:val="00BA5505"/>
    <w:rsid w:val="00BA7E8B"/>
    <w:rsid w:val="00BB0819"/>
    <w:rsid w:val="00BB4B0B"/>
    <w:rsid w:val="00BC2385"/>
    <w:rsid w:val="00BC5021"/>
    <w:rsid w:val="00BD7AE5"/>
    <w:rsid w:val="00BF4DBA"/>
    <w:rsid w:val="00BF50E0"/>
    <w:rsid w:val="00BF7D8D"/>
    <w:rsid w:val="00C04831"/>
    <w:rsid w:val="00C05226"/>
    <w:rsid w:val="00C13AE2"/>
    <w:rsid w:val="00C14023"/>
    <w:rsid w:val="00C17C45"/>
    <w:rsid w:val="00C2728B"/>
    <w:rsid w:val="00C33EE2"/>
    <w:rsid w:val="00C35A42"/>
    <w:rsid w:val="00C35C40"/>
    <w:rsid w:val="00C3772F"/>
    <w:rsid w:val="00C410B0"/>
    <w:rsid w:val="00C432FA"/>
    <w:rsid w:val="00C46B5E"/>
    <w:rsid w:val="00C472E0"/>
    <w:rsid w:val="00C47DF1"/>
    <w:rsid w:val="00C51F2F"/>
    <w:rsid w:val="00C82387"/>
    <w:rsid w:val="00C901DC"/>
    <w:rsid w:val="00C90A79"/>
    <w:rsid w:val="00C97BD0"/>
    <w:rsid w:val="00CA3A69"/>
    <w:rsid w:val="00CB3513"/>
    <w:rsid w:val="00CB3973"/>
    <w:rsid w:val="00CC08C0"/>
    <w:rsid w:val="00CC2CC2"/>
    <w:rsid w:val="00CC2F1D"/>
    <w:rsid w:val="00CC7FCA"/>
    <w:rsid w:val="00CD1143"/>
    <w:rsid w:val="00CD3BB2"/>
    <w:rsid w:val="00CE6A01"/>
    <w:rsid w:val="00CF391F"/>
    <w:rsid w:val="00CF477B"/>
    <w:rsid w:val="00D01125"/>
    <w:rsid w:val="00D03BBB"/>
    <w:rsid w:val="00D06299"/>
    <w:rsid w:val="00D078F9"/>
    <w:rsid w:val="00D12980"/>
    <w:rsid w:val="00D15B82"/>
    <w:rsid w:val="00D16DCA"/>
    <w:rsid w:val="00D24036"/>
    <w:rsid w:val="00D27C3C"/>
    <w:rsid w:val="00D31E81"/>
    <w:rsid w:val="00D34B9D"/>
    <w:rsid w:val="00D43E3D"/>
    <w:rsid w:val="00D8728E"/>
    <w:rsid w:val="00D90F09"/>
    <w:rsid w:val="00D96574"/>
    <w:rsid w:val="00DA1CC2"/>
    <w:rsid w:val="00DA7842"/>
    <w:rsid w:val="00DB1A42"/>
    <w:rsid w:val="00DD3F8D"/>
    <w:rsid w:val="00DD643E"/>
    <w:rsid w:val="00DD6D1A"/>
    <w:rsid w:val="00DD73F1"/>
    <w:rsid w:val="00DE0AD5"/>
    <w:rsid w:val="00DE2BB0"/>
    <w:rsid w:val="00DE300B"/>
    <w:rsid w:val="00DE5ED1"/>
    <w:rsid w:val="00DF5A74"/>
    <w:rsid w:val="00E055B9"/>
    <w:rsid w:val="00E07158"/>
    <w:rsid w:val="00E20DED"/>
    <w:rsid w:val="00E23BA1"/>
    <w:rsid w:val="00E2717F"/>
    <w:rsid w:val="00E35A60"/>
    <w:rsid w:val="00E43D58"/>
    <w:rsid w:val="00E631C3"/>
    <w:rsid w:val="00E66B0A"/>
    <w:rsid w:val="00E67B2A"/>
    <w:rsid w:val="00E756B8"/>
    <w:rsid w:val="00E95E54"/>
    <w:rsid w:val="00EA1B27"/>
    <w:rsid w:val="00EA5ED2"/>
    <w:rsid w:val="00EA668C"/>
    <w:rsid w:val="00EA6DA0"/>
    <w:rsid w:val="00EB7790"/>
    <w:rsid w:val="00ED1821"/>
    <w:rsid w:val="00ED3B8D"/>
    <w:rsid w:val="00ED666B"/>
    <w:rsid w:val="00F20FF1"/>
    <w:rsid w:val="00F2203E"/>
    <w:rsid w:val="00F30F34"/>
    <w:rsid w:val="00F33117"/>
    <w:rsid w:val="00F35CA9"/>
    <w:rsid w:val="00F4498F"/>
    <w:rsid w:val="00F50D5E"/>
    <w:rsid w:val="00F60E7B"/>
    <w:rsid w:val="00F653A5"/>
    <w:rsid w:val="00F71516"/>
    <w:rsid w:val="00F73E50"/>
    <w:rsid w:val="00F76E2C"/>
    <w:rsid w:val="00F82C20"/>
    <w:rsid w:val="00F830AE"/>
    <w:rsid w:val="00F906BF"/>
    <w:rsid w:val="00F93676"/>
    <w:rsid w:val="00F93E4E"/>
    <w:rsid w:val="00F94C92"/>
    <w:rsid w:val="00F96836"/>
    <w:rsid w:val="00FA1219"/>
    <w:rsid w:val="00FB1C7C"/>
    <w:rsid w:val="00FB637F"/>
    <w:rsid w:val="00FB69B1"/>
    <w:rsid w:val="00FC6AA8"/>
    <w:rsid w:val="00FC7600"/>
    <w:rsid w:val="00FC764F"/>
    <w:rsid w:val="00FD6DB2"/>
    <w:rsid w:val="00FE2DB1"/>
    <w:rsid w:val="00FF3F9F"/>
    <w:rsid w:val="00FF4EB4"/>
    <w:rsid w:val="00FF5BB3"/>
    <w:rsid w:val="00FF5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C7CE57"/>
  <w15:chartTrackingRefBased/>
  <w15:docId w15:val="{A55F71D9-CA40-4FD4-959D-E2FFD94C7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2E0"/>
    <w:pPr>
      <w:spacing w:line="276"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72E0"/>
    <w:pPr>
      <w:ind w:left="720"/>
      <w:contextualSpacing/>
    </w:pPr>
  </w:style>
  <w:style w:type="character" w:customStyle="1" w:styleId="ListParagraphChar">
    <w:name w:val="List Paragraph Char"/>
    <w:link w:val="ListParagraph"/>
    <w:uiPriority w:val="34"/>
    <w:rsid w:val="00C472E0"/>
    <w:rPr>
      <w:sz w:val="20"/>
    </w:rPr>
  </w:style>
  <w:style w:type="paragraph" w:styleId="BalloonText">
    <w:name w:val="Balloon Text"/>
    <w:basedOn w:val="Normal"/>
    <w:link w:val="BalloonTextChar"/>
    <w:uiPriority w:val="99"/>
    <w:semiHidden/>
    <w:unhideWhenUsed/>
    <w:rsid w:val="009E7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8A8"/>
    <w:rPr>
      <w:rFonts w:ascii="Segoe UI" w:hAnsi="Segoe UI" w:cs="Segoe UI"/>
      <w:sz w:val="18"/>
      <w:szCs w:val="18"/>
    </w:rPr>
  </w:style>
  <w:style w:type="character" w:styleId="CommentReference">
    <w:name w:val="annotation reference"/>
    <w:basedOn w:val="DefaultParagraphFont"/>
    <w:uiPriority w:val="99"/>
    <w:semiHidden/>
    <w:unhideWhenUsed/>
    <w:rsid w:val="009E70FF"/>
    <w:rPr>
      <w:sz w:val="16"/>
      <w:szCs w:val="16"/>
    </w:rPr>
  </w:style>
  <w:style w:type="paragraph" w:styleId="CommentText">
    <w:name w:val="annotation text"/>
    <w:basedOn w:val="Normal"/>
    <w:link w:val="CommentTextChar"/>
    <w:uiPriority w:val="99"/>
    <w:semiHidden/>
    <w:unhideWhenUsed/>
    <w:rsid w:val="009E70FF"/>
    <w:pPr>
      <w:spacing w:line="240" w:lineRule="auto"/>
    </w:pPr>
    <w:rPr>
      <w:szCs w:val="20"/>
    </w:rPr>
  </w:style>
  <w:style w:type="character" w:customStyle="1" w:styleId="CommentTextChar">
    <w:name w:val="Comment Text Char"/>
    <w:basedOn w:val="DefaultParagraphFont"/>
    <w:link w:val="CommentText"/>
    <w:uiPriority w:val="99"/>
    <w:semiHidden/>
    <w:rsid w:val="009E70FF"/>
    <w:rPr>
      <w:sz w:val="20"/>
      <w:szCs w:val="20"/>
    </w:rPr>
  </w:style>
  <w:style w:type="paragraph" w:styleId="CommentSubject">
    <w:name w:val="annotation subject"/>
    <w:basedOn w:val="CommentText"/>
    <w:next w:val="CommentText"/>
    <w:link w:val="CommentSubjectChar"/>
    <w:uiPriority w:val="99"/>
    <w:semiHidden/>
    <w:unhideWhenUsed/>
    <w:rsid w:val="009E70FF"/>
    <w:rPr>
      <w:b/>
      <w:bCs/>
    </w:rPr>
  </w:style>
  <w:style w:type="character" w:customStyle="1" w:styleId="CommentSubjectChar">
    <w:name w:val="Comment Subject Char"/>
    <w:basedOn w:val="CommentTextChar"/>
    <w:link w:val="CommentSubject"/>
    <w:uiPriority w:val="99"/>
    <w:semiHidden/>
    <w:rsid w:val="009E70FF"/>
    <w:rPr>
      <w:b/>
      <w:bCs/>
      <w:sz w:val="20"/>
      <w:szCs w:val="20"/>
    </w:rPr>
  </w:style>
  <w:style w:type="paragraph" w:styleId="Header">
    <w:name w:val="header"/>
    <w:basedOn w:val="Normal"/>
    <w:link w:val="HeaderChar"/>
    <w:uiPriority w:val="99"/>
    <w:unhideWhenUsed/>
    <w:rsid w:val="00694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6CF"/>
    <w:rPr>
      <w:sz w:val="20"/>
    </w:rPr>
  </w:style>
  <w:style w:type="paragraph" w:styleId="Footer">
    <w:name w:val="footer"/>
    <w:basedOn w:val="Normal"/>
    <w:link w:val="FooterChar"/>
    <w:uiPriority w:val="99"/>
    <w:unhideWhenUsed/>
    <w:rsid w:val="00694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6CF"/>
    <w:rPr>
      <w:sz w:val="20"/>
    </w:rPr>
  </w:style>
  <w:style w:type="table" w:styleId="TableGrid">
    <w:name w:val="Table Grid"/>
    <w:basedOn w:val="TableNormal"/>
    <w:uiPriority w:val="39"/>
    <w:rsid w:val="00485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A7842"/>
    <w:pPr>
      <w:spacing w:after="200" w:line="240" w:lineRule="auto"/>
    </w:pPr>
    <w:rPr>
      <w:i/>
      <w:iCs/>
      <w:color w:val="44546A" w:themeColor="text2"/>
      <w:sz w:val="18"/>
      <w:szCs w:val="18"/>
    </w:rPr>
  </w:style>
  <w:style w:type="character" w:styleId="Hyperlink">
    <w:name w:val="Hyperlink"/>
    <w:basedOn w:val="DefaultParagraphFont"/>
    <w:uiPriority w:val="99"/>
    <w:unhideWhenUsed/>
    <w:rsid w:val="00DD73F1"/>
    <w:rPr>
      <w:color w:val="0563C1" w:themeColor="hyperlink"/>
      <w:u w:val="single"/>
    </w:rPr>
  </w:style>
  <w:style w:type="character" w:styleId="UnresolvedMention">
    <w:name w:val="Unresolved Mention"/>
    <w:basedOn w:val="DefaultParagraphFont"/>
    <w:uiPriority w:val="99"/>
    <w:semiHidden/>
    <w:unhideWhenUsed/>
    <w:rsid w:val="00DD73F1"/>
    <w:rPr>
      <w:color w:val="605E5C"/>
      <w:shd w:val="clear" w:color="auto" w:fill="E1DFDD"/>
    </w:rPr>
  </w:style>
  <w:style w:type="paragraph" w:styleId="Revision">
    <w:name w:val="Revision"/>
    <w:hidden/>
    <w:uiPriority w:val="99"/>
    <w:semiHidden/>
    <w:rsid w:val="00A66EAC"/>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B99D3-CF10-2C4D-B826-B4A8191F5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41695</Words>
  <Characters>237665</Characters>
  <Application>Microsoft Office Word</Application>
  <DocSecurity>4</DocSecurity>
  <Lines>1980</Lines>
  <Paragraphs>557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McCallum</dc:creator>
  <cp:keywords/>
  <dc:description/>
  <cp:lastModifiedBy>Julie Franco</cp:lastModifiedBy>
  <cp:revision>2</cp:revision>
  <dcterms:created xsi:type="dcterms:W3CDTF">2020-08-10T09:36:00Z</dcterms:created>
  <dcterms:modified xsi:type="dcterms:W3CDTF">2020-08-10T09:36:00Z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http://www.zotero.org/styles/clinical-infectious-diseases</vt:lpwstr>
  </property>
  <property fmtid="{D5CDD505-2E9C-101B-9397-08002B2CF9AE}" pid="15" name="Mendeley Recent Style Name 6_1">
    <vt:lpwstr>Clinical Infectious Diseases</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c35bf6c4-d892-3b9b-b30d-29fde35d7c1f</vt:lpwstr>
  </property>
  <property fmtid="{D5CDD505-2E9C-101B-9397-08002B2CF9AE}" pid="24" name="Mendeley Citation Style_1">
    <vt:lpwstr>http://www.zotero.org/styles/clinical-infectious-diseases</vt:lpwstr>
  </property>
</Properties>
</file>