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27AFE" w14:textId="77777777" w:rsidR="004D573A" w:rsidRDefault="004D573A" w:rsidP="00660637">
      <w:pPr>
        <w:pStyle w:val="MDPI11articletype"/>
        <w:spacing w:line="276" w:lineRule="auto"/>
      </w:pPr>
      <w:bookmarkStart w:id="0" w:name="_GoBack"/>
      <w:bookmarkEnd w:id="0"/>
      <w:r w:rsidRPr="004D573A">
        <w:t>Review</w:t>
      </w:r>
    </w:p>
    <w:p w14:paraId="77A03893" w14:textId="208C3ED0" w:rsidR="004D573A" w:rsidRPr="00084058" w:rsidRDefault="004D573A" w:rsidP="00660637">
      <w:pPr>
        <w:pStyle w:val="MDPI12title"/>
        <w:spacing w:line="276" w:lineRule="auto"/>
      </w:pPr>
      <w:r w:rsidRPr="00084058">
        <w:t xml:space="preserve">Intestinal schistosomiasis and </w:t>
      </w:r>
      <w:r>
        <w:t>g</w:t>
      </w:r>
      <w:r w:rsidRPr="0010575E">
        <w:t>iardia</w:t>
      </w:r>
      <w:r w:rsidRPr="00084058">
        <w:t>sis co-infection in sub-Saharan Africa: Can a One Health approach improve control of each waterborne parasite simultaneously?</w:t>
      </w:r>
    </w:p>
    <w:p w14:paraId="7E31F7BC" w14:textId="5B63519D" w:rsidR="004D573A" w:rsidRDefault="004D573A" w:rsidP="00660637">
      <w:pPr>
        <w:pStyle w:val="MDPI13authornames"/>
        <w:spacing w:line="276" w:lineRule="auto"/>
      </w:pPr>
      <w:r w:rsidRPr="004A0F66">
        <w:t>John Archer</w:t>
      </w:r>
      <w:r w:rsidRPr="004A0F66">
        <w:rPr>
          <w:vertAlign w:val="superscript"/>
        </w:rPr>
        <w:t>1,2</w:t>
      </w:r>
      <w:r w:rsidRPr="00AB4CD3">
        <w:t xml:space="preserve">, </w:t>
      </w:r>
      <w:r>
        <w:t>Lisa O’Halloran</w:t>
      </w:r>
      <w:r>
        <w:rPr>
          <w:vertAlign w:val="superscript"/>
        </w:rPr>
        <w:t>2</w:t>
      </w:r>
      <w:r>
        <w:t>, Hajri Al-Shehri</w:t>
      </w:r>
      <w:r>
        <w:rPr>
          <w:vertAlign w:val="superscript"/>
        </w:rPr>
        <w:t>2,3</w:t>
      </w:r>
      <w:r>
        <w:t>,</w:t>
      </w:r>
      <w:r>
        <w:rPr>
          <w:vertAlign w:val="superscript"/>
        </w:rPr>
        <w:t xml:space="preserve"> </w:t>
      </w:r>
      <w:r>
        <w:t>Shannan Summers</w:t>
      </w:r>
      <w:r>
        <w:rPr>
          <w:vertAlign w:val="superscript"/>
        </w:rPr>
        <w:t>4</w:t>
      </w:r>
      <w:r>
        <w:t>, Tapan Battacharyya</w:t>
      </w:r>
      <w:r>
        <w:rPr>
          <w:vertAlign w:val="superscript"/>
        </w:rPr>
        <w:t>4</w:t>
      </w:r>
      <w:r>
        <w:t>, Narcis B. Kabaterine</w:t>
      </w:r>
      <w:r>
        <w:rPr>
          <w:vertAlign w:val="superscript"/>
        </w:rPr>
        <w:t>5</w:t>
      </w:r>
      <w:r>
        <w:t>, Aaron Atuhaire</w:t>
      </w:r>
      <w:r>
        <w:rPr>
          <w:vertAlign w:val="superscript"/>
        </w:rPr>
        <w:t>5</w:t>
      </w:r>
      <w:r>
        <w:t>,</w:t>
      </w:r>
      <w:r>
        <w:rPr>
          <w:vertAlign w:val="superscript"/>
        </w:rPr>
        <w:t xml:space="preserve"> </w:t>
      </w:r>
      <w:r>
        <w:t>Moses Adriko</w:t>
      </w:r>
      <w:r>
        <w:rPr>
          <w:vertAlign w:val="superscript"/>
        </w:rPr>
        <w:t>5</w:t>
      </w:r>
      <w:r>
        <w:t>, Moses Arianaitwe</w:t>
      </w:r>
      <w:r>
        <w:rPr>
          <w:vertAlign w:val="superscript"/>
        </w:rPr>
        <w:t>5</w:t>
      </w:r>
      <w:r>
        <w:t>, Martyn Stewart</w:t>
      </w:r>
      <w:r>
        <w:rPr>
          <w:vertAlign w:val="superscript"/>
        </w:rPr>
        <w:t>2</w:t>
      </w:r>
      <w:r>
        <w:t xml:space="preserve">, E. </w:t>
      </w:r>
      <w:r w:rsidRPr="0021428F">
        <w:t>James LaCourse</w:t>
      </w:r>
      <w:r w:rsidRPr="0021428F">
        <w:rPr>
          <w:vertAlign w:val="superscript"/>
        </w:rPr>
        <w:t>2</w:t>
      </w:r>
      <w:r>
        <w:t>,</w:t>
      </w:r>
      <w:r w:rsidRPr="0021428F">
        <w:t xml:space="preserve"> Bonnie </w:t>
      </w:r>
      <w:r>
        <w:t xml:space="preserve">L. </w:t>
      </w:r>
      <w:r w:rsidRPr="0021428F">
        <w:t>Webster</w:t>
      </w:r>
      <w:r w:rsidRPr="0021428F">
        <w:rPr>
          <w:vertAlign w:val="superscript"/>
        </w:rPr>
        <w:t>1</w:t>
      </w:r>
      <w:r>
        <w:t xml:space="preserve">, Amaya L. </w:t>
      </w:r>
      <w:r w:rsidRPr="004A0F66">
        <w:t>Bustinduy</w:t>
      </w:r>
      <w:r w:rsidRPr="004A0F66">
        <w:rPr>
          <w:vertAlign w:val="superscript"/>
        </w:rPr>
        <w:t>4</w:t>
      </w:r>
      <w:r w:rsidRPr="004A0F66">
        <w:t xml:space="preserve"> and </w:t>
      </w:r>
      <w:r w:rsidRPr="0021428F">
        <w:t>J</w:t>
      </w:r>
      <w:r>
        <w:t>. Russell</w:t>
      </w:r>
      <w:r w:rsidRPr="0021428F">
        <w:t xml:space="preserve"> Stothard</w:t>
      </w:r>
      <w:r w:rsidRPr="0021428F">
        <w:rPr>
          <w:vertAlign w:val="superscript"/>
        </w:rPr>
        <w:t>2</w:t>
      </w:r>
      <w:r>
        <w:rPr>
          <w:vertAlign w:val="superscript"/>
        </w:rPr>
        <w:t>,</w:t>
      </w:r>
      <w:r w:rsidRPr="00AB4CD3">
        <w:t>*</w:t>
      </w:r>
    </w:p>
    <w:p w14:paraId="0D2A83E8" w14:textId="77777777" w:rsidR="0090084C" w:rsidRPr="0090084C" w:rsidRDefault="004D573A" w:rsidP="00660637">
      <w:pPr>
        <w:pStyle w:val="MDPI16affiliation"/>
        <w:numPr>
          <w:ilvl w:val="0"/>
          <w:numId w:val="8"/>
        </w:numPr>
        <w:spacing w:line="276" w:lineRule="auto"/>
        <w:ind w:left="41"/>
        <w:rPr>
          <w:vertAlign w:val="superscript"/>
        </w:rPr>
      </w:pPr>
      <w:r w:rsidRPr="00AB4CD3">
        <w:t xml:space="preserve">Wolfson Wellcome Biomedical Laboratories, Department of Zoology, Natural History Museum, </w:t>
      </w:r>
    </w:p>
    <w:p w14:paraId="57C584BA" w14:textId="44BFCD0F" w:rsidR="004D573A" w:rsidRPr="003D1463" w:rsidRDefault="004D573A" w:rsidP="0090084C">
      <w:pPr>
        <w:pStyle w:val="MDPI16affiliation"/>
        <w:spacing w:line="276" w:lineRule="auto"/>
        <w:ind w:left="113" w:firstLine="307"/>
        <w:rPr>
          <w:vertAlign w:val="superscript"/>
        </w:rPr>
      </w:pPr>
      <w:r w:rsidRPr="00AB4CD3">
        <w:t>Cromwell Road, London SW7 5BD</w:t>
      </w:r>
      <w:r w:rsidR="004A0F66">
        <w:t xml:space="preserve"> and </w:t>
      </w:r>
      <w:r w:rsidRPr="00AB4CD3">
        <w:t>UK.</w:t>
      </w:r>
    </w:p>
    <w:p w14:paraId="6171E0BC" w14:textId="77777777" w:rsidR="0090084C" w:rsidRPr="0090084C" w:rsidRDefault="004D573A" w:rsidP="00660637">
      <w:pPr>
        <w:pStyle w:val="MDPI16affiliation"/>
        <w:numPr>
          <w:ilvl w:val="0"/>
          <w:numId w:val="8"/>
        </w:numPr>
        <w:spacing w:line="276" w:lineRule="auto"/>
        <w:ind w:left="41"/>
        <w:rPr>
          <w:vertAlign w:val="superscript"/>
        </w:rPr>
      </w:pPr>
      <w:r w:rsidRPr="0021428F">
        <w:t>Department of Tropical Disease Biology</w:t>
      </w:r>
      <w:r>
        <w:t xml:space="preserve">, </w:t>
      </w:r>
      <w:r w:rsidRPr="0021428F">
        <w:t>Liverpool School of Tropical Medicine,</w:t>
      </w:r>
      <w:r>
        <w:t xml:space="preserve"> </w:t>
      </w:r>
      <w:r w:rsidRPr="0021428F">
        <w:t>Pembroke Place,</w:t>
      </w:r>
    </w:p>
    <w:p w14:paraId="4F81A88A" w14:textId="769A97E8" w:rsidR="004D573A" w:rsidRPr="005170B9" w:rsidRDefault="004D573A" w:rsidP="0090084C">
      <w:pPr>
        <w:pStyle w:val="MDPI16affiliation"/>
        <w:spacing w:line="276" w:lineRule="auto"/>
        <w:ind w:left="113" w:firstLine="307"/>
        <w:rPr>
          <w:vertAlign w:val="superscript"/>
        </w:rPr>
      </w:pPr>
      <w:r w:rsidRPr="0021428F">
        <w:t>Liverpool L3 5QA, UK.</w:t>
      </w:r>
    </w:p>
    <w:p w14:paraId="3C2B8F39" w14:textId="77777777" w:rsidR="004D573A" w:rsidRPr="00EF7E62" w:rsidRDefault="004D573A" w:rsidP="00660637">
      <w:pPr>
        <w:pStyle w:val="MDPI16affiliation"/>
        <w:numPr>
          <w:ilvl w:val="0"/>
          <w:numId w:val="8"/>
        </w:numPr>
        <w:spacing w:line="276" w:lineRule="auto"/>
        <w:ind w:left="41"/>
        <w:rPr>
          <w:vertAlign w:val="superscript"/>
        </w:rPr>
      </w:pPr>
      <w:r>
        <w:t>Department of Tropical Infectious Diseases, Ministry of Health, Asir District. Kingdom of Saudi Arabia.</w:t>
      </w:r>
    </w:p>
    <w:p w14:paraId="691387EC" w14:textId="77777777" w:rsidR="0090084C" w:rsidRPr="0090084C" w:rsidRDefault="004D573A" w:rsidP="00660637">
      <w:pPr>
        <w:pStyle w:val="MDPI16affiliation"/>
        <w:numPr>
          <w:ilvl w:val="0"/>
          <w:numId w:val="8"/>
        </w:numPr>
        <w:spacing w:line="276" w:lineRule="auto"/>
        <w:ind w:left="41"/>
        <w:rPr>
          <w:vertAlign w:val="superscript"/>
        </w:rPr>
      </w:pPr>
      <w:r w:rsidRPr="00AB4CD3">
        <w:t>Department of Clinical Research, London School of Hygiene and Tropical Medicine, Keppel Street,</w:t>
      </w:r>
    </w:p>
    <w:p w14:paraId="6E22566B" w14:textId="61C92A0F" w:rsidR="004D573A" w:rsidRPr="00E956BA" w:rsidRDefault="004D573A" w:rsidP="0090084C">
      <w:pPr>
        <w:pStyle w:val="MDPI16affiliation"/>
        <w:spacing w:line="276" w:lineRule="auto"/>
        <w:ind w:left="113" w:firstLine="0"/>
        <w:rPr>
          <w:vertAlign w:val="superscript"/>
        </w:rPr>
      </w:pPr>
      <w:r w:rsidRPr="00AB4CD3">
        <w:t xml:space="preserve"> </w:t>
      </w:r>
      <w:r w:rsidR="0090084C">
        <w:tab/>
      </w:r>
      <w:r w:rsidRPr="00AB4CD3">
        <w:t>London, WC1E 7HT, UK.</w:t>
      </w:r>
    </w:p>
    <w:p w14:paraId="365A4979" w14:textId="77777777" w:rsidR="004D573A" w:rsidRPr="00AA3831" w:rsidRDefault="004D573A" w:rsidP="00660637">
      <w:pPr>
        <w:pStyle w:val="MDPI16affiliation"/>
        <w:numPr>
          <w:ilvl w:val="0"/>
          <w:numId w:val="8"/>
        </w:numPr>
        <w:spacing w:line="276" w:lineRule="auto"/>
        <w:ind w:left="41"/>
        <w:rPr>
          <w:vertAlign w:val="superscript"/>
        </w:rPr>
      </w:pPr>
      <w:r>
        <w:t>Vector Control Division, Ministry of Health, Kampala, Uganda</w:t>
      </w:r>
    </w:p>
    <w:p w14:paraId="40C17183" w14:textId="7DBAF7DB" w:rsidR="004D573A" w:rsidRPr="00AB4CD3" w:rsidRDefault="00886210" w:rsidP="00660637">
      <w:pPr>
        <w:pStyle w:val="MDPI16affiliation"/>
        <w:spacing w:line="276" w:lineRule="auto"/>
        <w:rPr>
          <w:vertAlign w:val="superscript"/>
        </w:rPr>
      </w:pPr>
      <w:r w:rsidRPr="00886210">
        <w:rPr>
          <w:b/>
        </w:rPr>
        <w:t>*</w:t>
      </w:r>
      <w:r w:rsidRPr="00886210">
        <w:tab/>
        <w:t>Correspondence:</w:t>
      </w:r>
      <w:hyperlink r:id="rId8" w:history="1">
        <w:r w:rsidR="004D573A" w:rsidRPr="00565672">
          <w:rPr>
            <w:rStyle w:val="Hyperlink"/>
            <w:bCs/>
          </w:rPr>
          <w:t>russell.stothard@lstmed.ac.uk</w:t>
        </w:r>
      </w:hyperlink>
      <w:r w:rsidR="004D573A">
        <w:t>; +44 0151 7053724</w:t>
      </w:r>
      <w:r w:rsidR="004D573A" w:rsidRPr="00AB4CD3">
        <w:t>.</w:t>
      </w:r>
    </w:p>
    <w:p w14:paraId="1D0FF4BD" w14:textId="5CCCBCA7" w:rsidR="00613C76" w:rsidRDefault="004D573A" w:rsidP="003462F6">
      <w:pPr>
        <w:pStyle w:val="MDPI17abstract"/>
        <w:spacing w:line="276" w:lineRule="auto"/>
      </w:pPr>
      <w:r w:rsidRPr="00AF7EC4">
        <w:rPr>
          <w:b/>
        </w:rPr>
        <w:t>Abstract</w:t>
      </w:r>
      <w:bookmarkStart w:id="1" w:name="_Hlk44950138"/>
      <w:r w:rsidR="00886210" w:rsidRPr="00AF7EC4">
        <w:rPr>
          <w:b/>
        </w:rPr>
        <w:t xml:space="preserve"> </w:t>
      </w:r>
      <w:r>
        <w:t xml:space="preserve">Both intestinal schistosomiasis and </w:t>
      </w:r>
      <w:r w:rsidRPr="00AA27DC">
        <w:t>giardiasis</w:t>
      </w:r>
      <w:r>
        <w:t xml:space="preserve"> are co-endemic throughout many areas of sub-Saharan Africa, significantly impacting the health of millions of children in endemic areas.</w:t>
      </w:r>
      <w:r w:rsidR="00AF7EC4">
        <w:rPr>
          <w:b/>
        </w:rPr>
        <w:t xml:space="preserve"> </w:t>
      </w:r>
      <w:r>
        <w:t xml:space="preserve">While </w:t>
      </w:r>
      <w:r w:rsidRPr="00AA27DC">
        <w:t>giardiasis</w:t>
      </w:r>
      <w:r>
        <w:t xml:space="preserve"> is not considered a neglected tropical disease</w:t>
      </w:r>
      <w:r w:rsidR="00DA350A">
        <w:t xml:space="preserve"> (NTD)</w:t>
      </w:r>
      <w:r>
        <w:t>, intestinal schistosomiasis is</w:t>
      </w:r>
      <w:r w:rsidR="00B37215">
        <w:t xml:space="preserve"> </w:t>
      </w:r>
      <w:r>
        <w:t xml:space="preserve">formally grouped </w:t>
      </w:r>
      <w:r w:rsidR="004708B9">
        <w:t>under</w:t>
      </w:r>
      <w:r>
        <w:t xml:space="preserve"> the NTD umbrella</w:t>
      </w:r>
      <w:r w:rsidR="00B37215">
        <w:t xml:space="preserve"> and</w:t>
      </w:r>
      <w:r>
        <w:t xml:space="preserve"> receives significant advocacy and financial support for large-scale control. </w:t>
      </w:r>
      <w:r w:rsidR="008A704A">
        <w:t>Although</w:t>
      </w:r>
      <w:r w:rsidR="009B0A09">
        <w:t xml:space="preserve"> there are differences in </w:t>
      </w:r>
      <w:r w:rsidR="0019397C">
        <w:t xml:space="preserve">the epidemiology between </w:t>
      </w:r>
      <w:r w:rsidR="00E51105">
        <w:t xml:space="preserve">these two diseases, there </w:t>
      </w:r>
      <w:r w:rsidR="00A30932">
        <w:t xml:space="preserve">are also key similarities that </w:t>
      </w:r>
      <w:r w:rsidR="009B501A">
        <w:t xml:space="preserve">might be </w:t>
      </w:r>
      <w:r w:rsidR="009B501A" w:rsidRPr="00EB4B42">
        <w:t xml:space="preserve">exploited within potential integrated </w:t>
      </w:r>
      <w:r w:rsidR="00942D24" w:rsidRPr="00EB4B42">
        <w:t>control</w:t>
      </w:r>
      <w:r w:rsidR="009E7042" w:rsidRPr="00EB4B42">
        <w:t xml:space="preserve"> </w:t>
      </w:r>
      <w:r w:rsidR="009B501A" w:rsidRPr="00EB4B42">
        <w:t>strategies</w:t>
      </w:r>
      <w:r w:rsidR="001808E0">
        <w:t xml:space="preserve"> permitting</w:t>
      </w:r>
      <w:r w:rsidR="001C36C3" w:rsidRPr="00EB4B42">
        <w:t xml:space="preserve"> </w:t>
      </w:r>
      <w:r w:rsidR="00B37215">
        <w:t>tandem interventions</w:t>
      </w:r>
      <w:r w:rsidR="001C36C3" w:rsidRPr="00EB4B42">
        <w:t>.</w:t>
      </w:r>
      <w:r w:rsidR="00B02C77" w:rsidRPr="00EB4B42">
        <w:t xml:space="preserve"> In this review, </w:t>
      </w:r>
      <w:r w:rsidR="001A6F73" w:rsidRPr="00EB4B42">
        <w:t xml:space="preserve">we highlight these similarities and discuss opportunities for </w:t>
      </w:r>
      <w:r w:rsidR="004A6E79" w:rsidRPr="00EB4B42">
        <w:t xml:space="preserve">integrated control of giardiasis </w:t>
      </w:r>
      <w:r w:rsidR="004708B9" w:rsidRPr="00EB4B42">
        <w:t xml:space="preserve">in low and middle-income countries where </w:t>
      </w:r>
      <w:r w:rsidR="00767ED8" w:rsidRPr="00EB4B42">
        <w:t xml:space="preserve">intestinal </w:t>
      </w:r>
      <w:r w:rsidR="004708B9" w:rsidRPr="00EB4B42">
        <w:t>schistosomiasis is co-endemic.</w:t>
      </w:r>
      <w:r w:rsidR="00201E9E" w:rsidRPr="00EB4B42">
        <w:t xml:space="preserve"> </w:t>
      </w:r>
      <w:r w:rsidR="00FC7A5C" w:rsidRPr="00EB4B42">
        <w:t>By</w:t>
      </w:r>
      <w:r w:rsidR="00FC7A5C">
        <w:t xml:space="preserve"> applying</w:t>
      </w:r>
      <w:r>
        <w:t xml:space="preserve"> new</w:t>
      </w:r>
      <w:r w:rsidR="00C30D30">
        <w:t>, advanced</w:t>
      </w:r>
      <w:r>
        <w:t xml:space="preserve"> methods of </w:t>
      </w:r>
      <w:r w:rsidR="007E41CA">
        <w:t>disease</w:t>
      </w:r>
      <w:r w:rsidR="0063043D">
        <w:t xml:space="preserve"> surveillance</w:t>
      </w:r>
      <w:r w:rsidR="005460DE">
        <w:t xml:space="preserve">, </w:t>
      </w:r>
      <w:r w:rsidR="00E13895">
        <w:t xml:space="preserve">and </w:t>
      </w:r>
      <w:r w:rsidR="00E13895" w:rsidRPr="00840209">
        <w:t xml:space="preserve">by improving </w:t>
      </w:r>
      <w:r w:rsidR="00273D7D" w:rsidRPr="00840209">
        <w:t xml:space="preserve">the </w:t>
      </w:r>
      <w:r w:rsidRPr="00840209">
        <w:t>provision</w:t>
      </w:r>
      <w:r>
        <w:t xml:space="preserve"> of </w:t>
      </w:r>
      <w:r w:rsidR="009B4124">
        <w:t xml:space="preserve">water, sanitation and </w:t>
      </w:r>
      <w:r w:rsidR="00A25FFC">
        <w:t>hygiene</w:t>
      </w:r>
      <w:r w:rsidR="009B4124">
        <w:t xml:space="preserve"> (WASH) initiatives</w:t>
      </w:r>
      <w:r>
        <w:t xml:space="preserve">, </w:t>
      </w:r>
      <w:r w:rsidR="00C31A34">
        <w:t>(</w:t>
      </w:r>
      <w:r w:rsidR="00675D4A">
        <w:t>co</w:t>
      </w:r>
      <w:r w:rsidR="00C31A34">
        <w:t>)</w:t>
      </w:r>
      <w:r w:rsidR="00675D4A">
        <w:t>infection with intestinal schistosomiasis and/or giardiasis c</w:t>
      </w:r>
      <w:r w:rsidR="00B37215">
        <w:t xml:space="preserve">ould </w:t>
      </w:r>
      <w:r w:rsidR="00675D4A">
        <w:t xml:space="preserve">not only </w:t>
      </w:r>
      <w:r w:rsidR="0095245E">
        <w:t xml:space="preserve">be more effectively controlled but </w:t>
      </w:r>
      <w:r w:rsidR="00B37215">
        <w:t xml:space="preserve">also </w:t>
      </w:r>
      <w:r w:rsidR="0095245E">
        <w:t>better understood.</w:t>
      </w:r>
      <w:r w:rsidR="00C26519">
        <w:t xml:space="preserve"> </w:t>
      </w:r>
      <w:r>
        <w:rPr>
          <w:color w:val="000000" w:themeColor="text1"/>
        </w:rPr>
        <w:t xml:space="preserve">In this light, we appraise the suitability of </w:t>
      </w:r>
      <w:r>
        <w:t xml:space="preserve">a One Health approach </w:t>
      </w:r>
      <w:r w:rsidR="00E30A8F">
        <w:t>targeting</w:t>
      </w:r>
      <w:r w:rsidR="00694EB9">
        <w:t xml:space="preserve"> both </w:t>
      </w:r>
      <w:r>
        <w:t>intestinal schistosomiasis</w:t>
      </w:r>
      <w:r w:rsidR="00694EB9">
        <w:t xml:space="preserve"> and giardiasis</w:t>
      </w:r>
      <w:r>
        <w:t>, for if adopted more broadly,</w:t>
      </w:r>
      <w:r w:rsidR="00475000">
        <w:t xml:space="preserve"> </w:t>
      </w:r>
      <w:r w:rsidR="00E438FC">
        <w:t>transmission of</w:t>
      </w:r>
      <w:r w:rsidR="00613C76">
        <w:t xml:space="preserve"> both diseases</w:t>
      </w:r>
      <w:r w:rsidR="00475000">
        <w:t xml:space="preserve"> could be reduced</w:t>
      </w:r>
      <w:r w:rsidR="001808E0">
        <w:t xml:space="preserve"> to</w:t>
      </w:r>
      <w:r w:rsidR="00475000">
        <w:t xml:space="preserve"> gain improve</w:t>
      </w:r>
      <w:r w:rsidR="001808E0">
        <w:t xml:space="preserve">ments in </w:t>
      </w:r>
      <w:r w:rsidR="00E5006F">
        <w:t xml:space="preserve">health and wellbeing. </w:t>
      </w:r>
      <w:r w:rsidR="00742D0D">
        <w:t xml:space="preserve"> </w:t>
      </w:r>
    </w:p>
    <w:bookmarkEnd w:id="1"/>
    <w:p w14:paraId="7D4DC5F6" w14:textId="395A2630" w:rsidR="004D573A" w:rsidRDefault="00AF7EC4" w:rsidP="00660637">
      <w:pPr>
        <w:pStyle w:val="MDPI18keywords"/>
        <w:spacing w:line="276" w:lineRule="auto"/>
        <w:rPr>
          <w:b/>
        </w:rPr>
      </w:pPr>
      <w:r w:rsidRPr="00AF7EC4">
        <w:rPr>
          <w:b/>
        </w:rPr>
        <w:t>Keywords:</w:t>
      </w:r>
      <w:r w:rsidR="004D573A" w:rsidRPr="00AF7EC4">
        <w:rPr>
          <w:b/>
        </w:rPr>
        <w:t xml:space="preserve"> </w:t>
      </w:r>
      <w:r w:rsidR="004D573A" w:rsidRPr="001E170A">
        <w:t xml:space="preserve">One Health; </w:t>
      </w:r>
      <w:r w:rsidR="004D573A" w:rsidRPr="001E170A">
        <w:rPr>
          <w:i/>
          <w:iCs/>
        </w:rPr>
        <w:t>Schistosoma mansoni;</w:t>
      </w:r>
      <w:r w:rsidR="004D573A" w:rsidRPr="00C37231">
        <w:t xml:space="preserve"> </w:t>
      </w:r>
      <w:r w:rsidR="004D573A" w:rsidRPr="001E170A">
        <w:rPr>
          <w:i/>
          <w:iCs/>
        </w:rPr>
        <w:t>Giardia duodenalis</w:t>
      </w:r>
      <w:r w:rsidR="004D573A">
        <w:t xml:space="preserve">; </w:t>
      </w:r>
      <w:r w:rsidR="001E170A">
        <w:t xml:space="preserve">Water, </w:t>
      </w:r>
      <w:r w:rsidR="004D573A" w:rsidRPr="001E170A">
        <w:t>Sanitation and Hygiene</w:t>
      </w:r>
      <w:r w:rsidR="004D573A">
        <w:rPr>
          <w:i/>
          <w:iCs/>
        </w:rPr>
        <w:t xml:space="preserve"> </w:t>
      </w:r>
      <w:r w:rsidR="004D573A" w:rsidRPr="001E170A">
        <w:t>(WASH); Uganda</w:t>
      </w:r>
    </w:p>
    <w:p w14:paraId="2977D568" w14:textId="0642B20C" w:rsidR="004D573A" w:rsidRPr="00390DAA" w:rsidRDefault="00AF7EC4" w:rsidP="00660637">
      <w:pPr>
        <w:pStyle w:val="MDPI21heading1"/>
        <w:spacing w:line="276" w:lineRule="auto"/>
        <w:rPr>
          <w:color w:val="000000" w:themeColor="text1"/>
        </w:rPr>
      </w:pPr>
      <w:r>
        <w:t xml:space="preserve">1. </w:t>
      </w:r>
      <w:r w:rsidR="004D573A" w:rsidRPr="00390DAA">
        <w:t>Introduction</w:t>
      </w:r>
    </w:p>
    <w:p w14:paraId="7ED90CE0" w14:textId="0190DB4D" w:rsidR="009308B8" w:rsidRPr="007175E7" w:rsidRDefault="00352FB9" w:rsidP="007175E7">
      <w:pPr>
        <w:pStyle w:val="MDPI31text"/>
        <w:spacing w:line="276" w:lineRule="auto"/>
        <w:rPr>
          <w:color w:val="000000" w:themeColor="text1"/>
        </w:rPr>
      </w:pPr>
      <w:r>
        <w:rPr>
          <w:color w:val="000000" w:themeColor="text1"/>
        </w:rPr>
        <w:t>Throughout many tropical and sub-tropical low and middle-income countries (LMIC</w:t>
      </w:r>
      <w:r w:rsidRPr="00F30503">
        <w:rPr>
          <w:color w:val="000000" w:themeColor="text1"/>
        </w:rPr>
        <w:t>s)</w:t>
      </w:r>
      <w:r w:rsidR="0072190D" w:rsidRPr="00F30503">
        <w:t xml:space="preserve"> where provision of water, sanitation and hygiene (WASH) infrastructure is inadequate</w:t>
      </w:r>
      <w:r w:rsidR="00F951B9">
        <w:rPr>
          <w:color w:val="000000" w:themeColor="text1"/>
        </w:rPr>
        <w:t xml:space="preserve">, communities of people are </w:t>
      </w:r>
      <w:r w:rsidR="004C1B0F">
        <w:rPr>
          <w:color w:val="000000" w:themeColor="text1"/>
        </w:rPr>
        <w:t xml:space="preserve">often found to </w:t>
      </w:r>
      <w:r w:rsidR="000E77FD">
        <w:rPr>
          <w:color w:val="000000" w:themeColor="text1"/>
        </w:rPr>
        <w:t>be co-infected</w:t>
      </w:r>
      <w:r w:rsidR="004C1B0F">
        <w:rPr>
          <w:color w:val="000000" w:themeColor="text1"/>
        </w:rPr>
        <w:t xml:space="preserve"> </w:t>
      </w:r>
      <w:r w:rsidR="00012D70">
        <w:rPr>
          <w:color w:val="000000" w:themeColor="text1"/>
        </w:rPr>
        <w:t xml:space="preserve">with </w:t>
      </w:r>
      <w:r w:rsidR="004C1B0F">
        <w:rPr>
          <w:color w:val="000000" w:themeColor="text1"/>
        </w:rPr>
        <w:t xml:space="preserve">multiple parasitic diseases acquired through </w:t>
      </w:r>
      <w:r w:rsidR="00002140">
        <w:rPr>
          <w:color w:val="000000" w:themeColor="text1"/>
        </w:rPr>
        <w:t>ingestion</w:t>
      </w:r>
      <w:r w:rsidR="004C1B0F">
        <w:rPr>
          <w:color w:val="000000" w:themeColor="text1"/>
        </w:rPr>
        <w:t xml:space="preserve"> </w:t>
      </w:r>
      <w:r w:rsidR="0080309B">
        <w:rPr>
          <w:color w:val="000000" w:themeColor="text1"/>
        </w:rPr>
        <w:lastRenderedPageBreak/>
        <w:t>of</w:t>
      </w:r>
      <w:r w:rsidR="004C1B0F">
        <w:rPr>
          <w:color w:val="000000" w:themeColor="text1"/>
        </w:rPr>
        <w:t xml:space="preserve">, or contact with, </w:t>
      </w:r>
      <w:r w:rsidR="0013624C">
        <w:rPr>
          <w:color w:val="000000" w:themeColor="text1"/>
        </w:rPr>
        <w:t>contaminated water and food</w:t>
      </w:r>
      <w:r w:rsidR="001D3544">
        <w:rPr>
          <w:color w:val="000000" w:themeColor="text1"/>
        </w:rPr>
        <w:t xml:space="preserve"> </w:t>
      </w:r>
      <w:r w:rsidR="001D3544">
        <w:rPr>
          <w:color w:val="000000" w:themeColor="text1"/>
        </w:rPr>
        <w:fldChar w:fldCharType="begin" w:fldLock="1"/>
      </w:r>
      <w:r w:rsidR="001A0DC3">
        <w:rPr>
          <w:color w:val="000000" w:themeColor="text1"/>
        </w:rPr>
        <w:instrText>ADDIN CSL_CITATION {"citationItems":[{"id":"ITEM-1","itemData":{"DOI":"10.3390/ijerph15030495","ISSN":"16604601","abstract":"Improved water, sanitation and hygiene (WASH) are significant in preventing diarrhea morbidity and mortality caused by protozoa in low- and middle-income countries. Due to the intimate and complex relationships between the different WASH components, it is often necessary to improve not just one but all of these components to have sustainable results. The objective of this paper was to review the current state of WASH-related health problems caused by parasitic protozoa by: giving an overview and classification of protozoa and their effect on people’s health, discussing different ways to improve accessibility to safe drinking water, sanitation services and personal hygiene behavior; and suggesting an institutional approach to ensure improved WASH. The findings indicate that Giardia and Cryptosporidium are more often identified during waterborne or water-washed outbreaks and they are less sensitive than most of the bacteria and viruses to conventional drinking water and wastewater treatment methods. There are various institutions of control and prevention of water-related diseases caused by protozoa in developed countries. Unfortunately, the developing regions do not have comparable systems. Consequently, the institutional and systems approach to WASH is necessary in these countries.","author":[{"dropping-particle":"","family":"Omarova","given":"Alua","non-dropping-particle":"","parse-names":false,"suffix":""},{"dropping-particle":"","family":"Tussupova","given":"Kamshat","non-dropping-particle":"","parse-names":false,"suffix":""},{"dropping-particle":"","family":"Berndtsson","given":"Ronny","non-dropping-particle":"","parse-names":false,"suffix":""},{"dropping-particle":"","family":"Kalishev","given":"Marat","non-dropping-particle":"","parse-names":false,"suffix":""},{"dropping-particle":"","family":"Sharapatova","given":"Kulyash","non-dropping-particle":"","parse-names":false,"suffix":""}],"container-title":"International Journal of Environmental Research and Public Health","id":"ITEM-1","issue":"3","issued":{"date-parts":[["2018"]]},"page":"1-18","title":"Protozoan parasites in drinking water: A system approach for improved water, sanitation and hygiene in developing countries","type":"article-journal","volume":"15"},"uris":["http://www.mendeley.com/documents/?uuid=e90a562a-9ab6-4331-848d-d87f62adb6bd"]},{"id":"ITEM-2","itemData":{"DOI":"10.1016/j.pt.2017.09.004","ISSN":"14715007","PMID":"29055522","abstract":"The World Health Organization's (WHO) 2015–2020 Global Strategy on water, sanitation, and hygiene (WASH) and neglected tropical diseases (NTDs) encourages integration, whilst maintaining existing structured NTD investments, and acceleration towards Sustainable Development Goal (SDG) targets. Accordingly, SDG-associated and WASH–NTD indicators have been developed, commencing important intersectoral dialogue, alongside opportunities for future disease-specific refinements. The rationale for soil-transmitted helminthiasis (STH)- and schistosomiasis-specific WASH considerations, and a traffic-light figure, are presented here to indicate where current international definitions may, or may not, suffice. Certain unique aspects in control dynamics and parasitic lifecycles, however, necessitate additional implementation research with more appropriate measurement indicators developed to record programmatic interventions and to define strategic priorities more effectively. The World Health Organization (WHO) strongly advocates for countries to prioritise integration of WASH with preventive chemotherapy for NTD control. The WHO's first WASH for NTDs Global Strategy 2015–2020 provides strategic objectives to accelerate NTD Roadmap targets through increased WASH–NTD integrated approaches. Sustainable Development Goal WASH indicators were developed as strategic targets for countries to benchmark performance against, and strive to meet. Additional WASH–NTD indicators were developed as standardised programmatic measures for WASH and NTD programmes, aimed to incentivise collaboration, facilitate cross-sectoral planning, and enhance accountability between the two sectors. Soil-transmitted helminthiasis and schistosomiasis cannot be controlled without primary prevention strategies. The development of appropriate WASH targets and indicators is an important component of the NTD agenda.","author":[{"dropping-particle":"","family":"Campbell","given":"Suzy J.","non-dropping-particle":"","parse-names":false,"suffix":""},{"dropping-particle":"","family":"Biritwum","given":"Nana Kwadwo","non-dropping-particle":"","parse-names":false,"suffix":""},{"dropping-particle":"","family":"Woods","given":"Geordie","non-dropping-particle":"","parse-names":false,"suffix":""},{"dropping-particle":"","family":"Velleman","given":"Yael","non-dropping-particle":"","parse-names":false,"suffix":""},{"dropping-particle":"","family":"Fleming","given":"Fiona","non-dropping-particle":"","parse-names":false,"suffix":""},{"dropping-particle":"","family":"Stothard","given":"J. Russell","non-dropping-particle":"","parse-names":false,"suffix":""}],"container-title":"Trends in Parasitology","id":"ITEM-2","issue":"1","issued":{"date-parts":[["2018"]]},"page":"53-63","publisher":"Elsevier Ltd","title":"Tailoring Water, Sanitation, and Hygiene (WASH) Targets for Soil-Transmitted Helminthiasis and Schistosomiasis Control","type":"article-journal","volume":"34"},"uris":["http://www.mendeley.com/documents/?uuid=b104267e-ea83-40c3-b8df-753f5d22f88e"]}],"mendeley":{"formattedCitation":"[1,2]","plainTextFormattedCitation":"[1,2]","previouslyFormattedCitation":"[1,2]"},"properties":{"noteIndex":0},"schema":"https://github.com/citation-style-language/schema/raw/master/csl-citation.json"}</w:instrText>
      </w:r>
      <w:r w:rsidR="001D3544">
        <w:rPr>
          <w:color w:val="000000" w:themeColor="text1"/>
        </w:rPr>
        <w:fldChar w:fldCharType="separate"/>
      </w:r>
      <w:r w:rsidR="001D3544" w:rsidRPr="001D3544">
        <w:rPr>
          <w:noProof/>
          <w:color w:val="000000" w:themeColor="text1"/>
        </w:rPr>
        <w:t>[1,2]</w:t>
      </w:r>
      <w:r w:rsidR="001D3544">
        <w:rPr>
          <w:color w:val="000000" w:themeColor="text1"/>
        </w:rPr>
        <w:fldChar w:fldCharType="end"/>
      </w:r>
      <w:r w:rsidR="008C7E1E">
        <w:rPr>
          <w:color w:val="000000" w:themeColor="text1"/>
        </w:rPr>
        <w:t xml:space="preserve"> </w:t>
      </w:r>
      <w:r w:rsidR="009308B8" w:rsidRPr="00AD6F93">
        <w:t>Notably, intestinal schistosomiasis and giardiasis are both waterborne parasitic diseases highly prevalent and co-endemic in these regions.</w:t>
      </w:r>
      <w:r w:rsidR="009308B8">
        <w:t xml:space="preserve">  </w:t>
      </w:r>
    </w:p>
    <w:p w14:paraId="48CAAB47" w14:textId="405A68CF" w:rsidR="00DD04B8" w:rsidRDefault="004F225A" w:rsidP="007E4136">
      <w:pPr>
        <w:pStyle w:val="MDPI31text"/>
        <w:spacing w:line="276" w:lineRule="auto"/>
      </w:pPr>
      <w:commentRangeStart w:id="2"/>
      <w:r>
        <w:t xml:space="preserve">Intestinal schistosomiasis is </w:t>
      </w:r>
      <w:r w:rsidR="00222B82">
        <w:t xml:space="preserve">a </w:t>
      </w:r>
      <w:r w:rsidR="00222B82" w:rsidRPr="004E7BCF">
        <w:rPr>
          <w:color w:val="000000" w:themeColor="text1"/>
        </w:rPr>
        <w:t xml:space="preserve">debilitating neglected </w:t>
      </w:r>
      <w:r w:rsidR="00222B82">
        <w:rPr>
          <w:color w:val="000000" w:themeColor="text1"/>
        </w:rPr>
        <w:t xml:space="preserve">tropical disease (NTD) caused by infection with parasitic blood flukes </w:t>
      </w:r>
      <w:r w:rsidR="00222B82" w:rsidRPr="00AB4CD3">
        <w:t>of the</w:t>
      </w:r>
      <w:r w:rsidR="00762E35" w:rsidRPr="00762E35">
        <w:t xml:space="preserve"> </w:t>
      </w:r>
      <w:r w:rsidR="00762E35">
        <w:t xml:space="preserve">species </w:t>
      </w:r>
      <w:r w:rsidR="00762E35" w:rsidRPr="003532CA">
        <w:rPr>
          <w:i/>
          <w:iCs/>
        </w:rPr>
        <w:t>Schistosoma mansoni</w:t>
      </w:r>
      <w:r w:rsidR="00562C55">
        <w:t xml:space="preserve"> and is highly </w:t>
      </w:r>
      <w:r w:rsidR="002C128B">
        <w:t>prevalent</w:t>
      </w:r>
      <w:r w:rsidR="00562C55">
        <w:t xml:space="preserve"> throughout many areas of sub-Saharan Africa and </w:t>
      </w:r>
      <w:r w:rsidR="00A200F4">
        <w:t xml:space="preserve">locally endemic in some areas of </w:t>
      </w:r>
      <w:r w:rsidR="00562C55">
        <w:t>South America</w:t>
      </w:r>
      <w:r w:rsidR="00A200F4">
        <w:t xml:space="preserve"> and the Caribbean</w:t>
      </w:r>
      <w:commentRangeEnd w:id="2"/>
      <w:r w:rsidR="0084466E">
        <w:rPr>
          <w:rStyle w:val="CommentReference"/>
          <w:rFonts w:asciiTheme="minorHAnsi" w:eastAsiaTheme="minorHAnsi" w:hAnsiTheme="minorHAnsi" w:cstheme="minorBidi"/>
          <w:snapToGrid/>
          <w:color w:val="auto"/>
          <w:lang w:val="en-GB" w:eastAsia="en-US" w:bidi="ar-SA"/>
        </w:rPr>
        <w:commentReference w:id="2"/>
      </w:r>
      <w:r w:rsidR="00562C55">
        <w:t>.</w:t>
      </w:r>
      <w:r w:rsidR="00BF6F82">
        <w:t xml:space="preserve"> </w:t>
      </w:r>
      <w:r w:rsidR="004D573A">
        <w:t xml:space="preserve">This disease compromises the general integrity of the small bowel </w:t>
      </w:r>
      <w:commentRangeStart w:id="3"/>
      <w:r w:rsidR="004D573A" w:rsidRPr="00756C7F">
        <w:t>v</w:t>
      </w:r>
      <w:r w:rsidR="004D573A" w:rsidRPr="00795903">
        <w:t>ia</w:t>
      </w:r>
      <w:commentRangeEnd w:id="3"/>
      <w:r w:rsidR="00317705">
        <w:rPr>
          <w:rStyle w:val="CommentReference"/>
          <w:rFonts w:asciiTheme="minorHAnsi" w:eastAsiaTheme="minorHAnsi" w:hAnsiTheme="minorHAnsi" w:cstheme="minorBidi"/>
          <w:snapToGrid/>
          <w:color w:val="auto"/>
          <w:lang w:val="en-GB" w:eastAsia="en-US" w:bidi="ar-SA"/>
        </w:rPr>
        <w:commentReference w:id="3"/>
      </w:r>
      <w:r w:rsidR="004D573A">
        <w:rPr>
          <w:i/>
          <w:iCs/>
        </w:rPr>
        <w:t xml:space="preserve"> </w:t>
      </w:r>
      <w:r w:rsidR="004D573A">
        <w:t xml:space="preserve">egg-induced perforations with associated local and systemic inflammation </w:t>
      </w:r>
      <w:r w:rsidR="004D573A">
        <w:fldChar w:fldCharType="begin" w:fldLock="1"/>
      </w:r>
      <w:r w:rsidR="001A0DC3">
        <w:instrText>ADDIN CSL_CITATION {"citationItems":[{"id":"ITEM-1","itemData":{"DOI":"10.1016/S0140-6736(13)61949-2","ISSN":"1474547X","PMID":"24698483","abstract":"Human schistosomiasis-or bilharzia-is a parasitic disease caused by trematode fl ukes of the genus Schistosoma. By conservative estimates, at least 230 million people worldwide are infected with Schistosoma spp. Adult schistosome worms colonise human blood vessels for years, successfully evading the immune system while excreting hundreds to thousands of eggs daily, which must either leave the body in excreta or become trapped in nearby tissues. Trapped eggs induce a distinct immune-mediated granulomatous response that causes local and systemic pathological eff ects ranging from anaemia, growth stunting, impaired cognition, and decreased physical fi tness, to organ-specifi c eff ects such as severe hepatosplenism, periportal fi brosis with portal hypertension, and urogenital infl ammation and scarring. At present, preventive public health measures in endemic regions consist of treatment once every 1 or 2 years with the isoquinolinone drug, praziquantel, to suppress morbidity. In some locations, elimination of transmission is now the goal; however, more sensitive diagnostics are needed in both the fi eld and clinics, and integrated environmental and health-care management will be needed to ensure elimination. © Chataway et al. Open Access article distributed under the terms of CC BY.","author":[{"dropping-particle":"","family":"Colley","given":"Daniel G.","non-dropping-particle":"","parse-names":false,"suffix":""},{"dropping-particle":"","family":"Bustinduy","given":"Amaya L.","non-dropping-particle":"","parse-names":false,"suffix":""},{"dropping-particle":"","family":"Secor","given":"W. Evan","non-dropping-particle":"","parse-names":false,"suffix":""},{"dropping-particle":"","family":"King","given":"Charles H.","non-dropping-particle":"","parse-names":false,"suffix":""}],"container-title":"The Lancet","id":"ITEM-1","issue":"9936","issued":{"date-parts":[["2014"]]},"page":"2253-2264","title":"Human schistosomiasis","type":"article-journal","volume":"383"},"uris":["http://www.mendeley.com/documents/?uuid=46c0ccda-c7d4-4ebb-9de2-f2e77eeb7978"]}],"mendeley":{"formattedCitation":"[3]","plainTextFormattedCitation":"[3]","previouslyFormattedCitation":"[3]"},"properties":{"noteIndex":0},"schema":"https://github.com/citation-style-language/schema/raw/master/csl-citation.json"}</w:instrText>
      </w:r>
      <w:r w:rsidR="004D573A">
        <w:fldChar w:fldCharType="separate"/>
      </w:r>
      <w:r w:rsidR="001D3544" w:rsidRPr="001D3544">
        <w:rPr>
          <w:noProof/>
        </w:rPr>
        <w:t>[3]</w:t>
      </w:r>
      <w:r w:rsidR="004D573A">
        <w:fldChar w:fldCharType="end"/>
      </w:r>
      <w:r w:rsidR="004D573A">
        <w:t>.</w:t>
      </w:r>
      <w:r w:rsidR="007E4136">
        <w:t xml:space="preserve"> </w:t>
      </w:r>
    </w:p>
    <w:p w14:paraId="1B0875C3" w14:textId="5DF48688" w:rsidR="006523B7" w:rsidRDefault="004D573A" w:rsidP="007E4136">
      <w:pPr>
        <w:pStyle w:val="MDPI31text"/>
        <w:spacing w:line="276" w:lineRule="auto"/>
      </w:pPr>
      <w:r>
        <w:t xml:space="preserve">Giardiasis, another debilitating </w:t>
      </w:r>
      <w:commentRangeStart w:id="4"/>
      <w:r w:rsidR="00C11145">
        <w:t>but</w:t>
      </w:r>
      <w:commentRangeEnd w:id="4"/>
      <w:r w:rsidR="008164B9">
        <w:rPr>
          <w:rStyle w:val="CommentReference"/>
          <w:rFonts w:asciiTheme="minorHAnsi" w:eastAsiaTheme="minorHAnsi" w:hAnsiTheme="minorHAnsi" w:cstheme="minorBidi"/>
          <w:snapToGrid/>
          <w:color w:val="auto"/>
          <w:lang w:val="en-GB" w:eastAsia="en-US" w:bidi="ar-SA"/>
        </w:rPr>
        <w:commentReference w:id="4"/>
      </w:r>
      <w:r>
        <w:t xml:space="preserve"> underreported intestinal parasitic disease, is caused by infection with the single-celled eukaryotic diplomonad</w:t>
      </w:r>
      <w:r>
        <w:rPr>
          <w:i/>
          <w:iCs/>
        </w:rPr>
        <w:t xml:space="preserve"> </w:t>
      </w:r>
      <w:r w:rsidRPr="005F2568">
        <w:rPr>
          <w:i/>
          <w:iCs/>
        </w:rPr>
        <w:t>Giardia</w:t>
      </w:r>
      <w:r>
        <w:rPr>
          <w:i/>
          <w:iCs/>
        </w:rPr>
        <w:t xml:space="preserve"> duodenalis</w:t>
      </w:r>
      <w:r>
        <w:t xml:space="preserve">, a flagellated protist </w:t>
      </w:r>
      <w:r>
        <w:fldChar w:fldCharType="begin" w:fldLock="1"/>
      </w:r>
      <w:r w:rsidR="001A0DC3">
        <w:instrText>ADDIN CSL_CITATION {"citationItems":[{"id":"ITEM-1","itemData":{"ISBN":"012031732X","author":[{"dropping-particle":"","family":"Thompson","given":"R C A","non-dropping-particle":"","parse-names":false,"suffix":""},{"dropping-particle":"","family":"Reynoldson","given":"J A","non-dropping-particle":"","parse-names":false,"suffix":""},{"dropping-particle":"","family":"Sciences","given":"Biomedical","non-dropping-particle":"","parse-names":false,"suffix":""}],"id":"ITEM-1","issued":{"date-parts":[["1993"]]},"title":"Giardia and Giardiasis","type":"article-journal"},"uris":["http://www.mendeley.com/documents/?uuid=e6814605-b721-4255-a517-1aa27147b91d"]}],"mendeley":{"formattedCitation":"[4]","plainTextFormattedCitation":"[4]","previouslyFormattedCitation":"[4]"},"properties":{"noteIndex":0},"schema":"https://github.com/citation-style-language/schema/raw/master/csl-citation.json"}</w:instrText>
      </w:r>
      <w:r>
        <w:fldChar w:fldCharType="separate"/>
      </w:r>
      <w:r w:rsidR="001D3544" w:rsidRPr="001D3544">
        <w:rPr>
          <w:noProof/>
        </w:rPr>
        <w:t>[4]</w:t>
      </w:r>
      <w:r>
        <w:fldChar w:fldCharType="end"/>
      </w:r>
      <w:r>
        <w:t xml:space="preserve">. </w:t>
      </w:r>
      <w:r w:rsidR="001F6F28">
        <w:t>Whilst</w:t>
      </w:r>
      <w:r w:rsidR="002061C0">
        <w:t xml:space="preserve"> cosmopolitan in distribution, giardiasis </w:t>
      </w:r>
      <w:r w:rsidR="00DD5FB3">
        <w:t>prevalence</w:t>
      </w:r>
      <w:r w:rsidR="002061C0">
        <w:t xml:space="preserve"> is particularly high </w:t>
      </w:r>
      <w:commentRangeStart w:id="5"/>
      <w:r w:rsidR="002061C0">
        <w:t>in</w:t>
      </w:r>
      <w:r w:rsidR="00043B58">
        <w:t xml:space="preserve"> </w:t>
      </w:r>
      <w:commentRangeEnd w:id="5"/>
      <w:r w:rsidR="00EE572C">
        <w:rPr>
          <w:rStyle w:val="CommentReference"/>
          <w:rFonts w:asciiTheme="minorHAnsi" w:eastAsiaTheme="minorHAnsi" w:hAnsiTheme="minorHAnsi" w:cstheme="minorBidi"/>
          <w:snapToGrid/>
          <w:color w:val="auto"/>
          <w:lang w:val="en-GB" w:eastAsia="en-US" w:bidi="ar-SA"/>
        </w:rPr>
        <w:commentReference w:id="5"/>
      </w:r>
      <w:commentRangeStart w:id="6"/>
      <w:r w:rsidR="009F27A3">
        <w:t>low</w:t>
      </w:r>
      <w:commentRangeEnd w:id="6"/>
      <w:r w:rsidR="004B5A69">
        <w:rPr>
          <w:rStyle w:val="CommentReference"/>
          <w:rFonts w:asciiTheme="minorHAnsi" w:eastAsiaTheme="minorHAnsi" w:hAnsiTheme="minorHAnsi" w:cstheme="minorBidi"/>
          <w:snapToGrid/>
          <w:color w:val="auto"/>
          <w:lang w:val="en-GB" w:eastAsia="en-US" w:bidi="ar-SA"/>
        </w:rPr>
        <w:commentReference w:id="6"/>
      </w:r>
      <w:r w:rsidR="009F27A3">
        <w:t xml:space="preserve"> and middle-income countrie</w:t>
      </w:r>
      <w:r w:rsidR="00043B58">
        <w:t>s</w:t>
      </w:r>
      <w:r w:rsidR="004A2185" w:rsidRPr="004A2185">
        <w:rPr>
          <w:b/>
          <w:bCs/>
          <w:color w:val="FF0000"/>
        </w:rPr>
        <w:t xml:space="preserve"> </w:t>
      </w:r>
      <w:r w:rsidR="009F27A3">
        <w:fldChar w:fldCharType="begin" w:fldLock="1"/>
      </w:r>
      <w:r w:rsidR="002512CA">
        <w:instrText>ADDIN CSL_CITATION {"citationItems":[{"id":"ITEM-1","itemData":{"DOI":"10.1186/s13071-017-2111-y","ISSN":"17563305","abstract":"Cryptosporidium and Giardia are important causes of diarrhoeal illness. Adequate knowledge of the molecular diversity and geographical distribution of these parasites and the environmental and climatic variables that influence their prevalence is important for effective control of infection in at-risk populations, yet relatively little is known about the epidemiology of these parasites in Africa. Cryptosporidium is associated with moderate to severe diarrhoea and increased mortality in African countries and both parasites negatively affect child growth and development. Malnutrition and HIV status are also important contributors to the prevalence of Cryptosporidium and Giardia in African countries. Molecular typing of both parasites in humans, domestic animals and wildlife to date indicates a complex picture of both anthroponotic, zoonotic and spill-back transmission cycles that requires further investigation. For Cryptosporidium, the only available drug (nitazoxanide) is ineffective in HIV and malnourished individuals and therefore more effective drugs are a high priority. Several classes of drugs with good efficacy exist for Giardia, but dosing regimens are suboptimal and emerging resistance threatens clinical utility. Climate change and population growth are also predicted to increase both malnutrition and the prevalence of these parasites in water sources. Dedicated and co-ordinated commitments from African governments involving “One Health” initiatives with multidisciplinary teams of veterinarians, medical workers, relevant government authorities, and public health specialists working together are essential to control and prevent the burden of disease caused by these parasites.","author":[{"dropping-particle":"","family":"Squire","given":"Sylvia Afriyie","non-dropping-particle":"","parse-names":false,"suffix":""},{"dropping-particle":"","family":"Ryan","given":"Una","non-dropping-particle":"","parse-names":false,"suffix":""}],"container-title":"Parasites and Vectors","id":"ITEM-1","issue":"1","issued":{"date-parts":[["2017"]]},"page":"1-32","publisher":"Parasites &amp; Vectors","title":"Cryptosporidium and Giardia in Africa: current and future challenges","type":"article-journal","volume":"10"},"uris":["http://www.mendeley.com/documents/?uuid=f3c4b128-d60d-439f-8ec9-587d1928b8f6"]},{"id":"ITEM-2","itemData":{"DOI":"10.1186/1756-3305-4-163","ISSN":"17563305","abstract":"Background: Acute childhood diarrhoea remains one of the leading causes of childhood morbidity and mortality in developing countries. The WHO has accordingly underlined the need for epidemiological surveys of infantile diarrhoea in all geographical areas. This study was conducted to determine the incidence of intestinal parasites among stool samples from children examined at a secondary health care facility in a rural area of Ghana. Method. A retrospective study was conducted to investigate the incidence of intestinal parasites among children who had their stools examined at the Agogo Hospital laboratory. Stool microscopy results from January 2006 through May 2009 were obtained from archived records of the laboratory. Results for children less than 18 years were transcribed unto a standardized datasheet, entered into an electronic database designed using Microsoft access 2007 and analyzed using Stata/SE11.1 statistical software. The incidences of the parasites were determined and presented with their Poisson exact 95% confidence intervals for the various ages. Results: The median age of the 1080 children included in the study was 5 years (IQR: 2-12 years) with 51.9% being females. The overall incidence of all parasites was 114 per 1000 with Giardia lamblia being the most common (89.5%). Children aged less than a year had the lowest parasite incidence of 13 per 1000 with all being Giardia lamblia, while those aged 15-17 years had the highest of 169 per 1000. The incidence for Giardia lamblia only was lowest at 13 per 1000 for those under a year old, highest at 152 per 1000 for the 15-17 year group and 97 per 1000 for all ages combined. There was a significant rise in incidence of Giardia lamblia with age (Trend x2 = 18.6, p &lt; 0.001). Five (4.3%) of the 118 positive stool samples had mixed parasites infection. Enterobius vermicularis, Taenia spp and Trichuris trichiura were not seen in any of the stool samples. Conclusion: Giardia lamblia is the most prevalent intestinal parasite in examined stool samples of children within the Ashanti Akim North Municipality and its prevalence significantly increases with age. Measures must be put in place to educate the community on proper personal hygiene to reduce giardiasis. © 2011 Nkrumah and Nguah; licensee BioMed Central Ltd.","author":[{"dropping-particle":"","family":"Nkrumah","given":"Bernard","non-dropping-particle":"","parse-names":false,"suffix":""},{"dropping-particle":"","family":"Nguah","given":"Samuel","non-dropping-particle":"","parse-names":false,"suffix":""}],"container-title":"Parasites and Vectors","id":"ITEM-2","issue":"1","issued":{"date-parts":[["2011"]]},"page":"1-7","title":"Giardia lamblia: A major parasitic cause of childhood diarrhoea in patients attending a district hospital in Ghana","type":"article-journal","volume":"4"},"uris":["http://www.mendeley.com/documents/?uuid=27ef3231-81e6-44d5-8d7c-aab43feef05e"]}],"mendeley":{"formattedCitation":"[5,6]","plainTextFormattedCitation":"[5,6]","previouslyFormattedCitation":"[5,6]"},"properties":{"noteIndex":0},"schema":"https://github.com/citation-style-language/schema/raw/master/csl-citation.json"}</w:instrText>
      </w:r>
      <w:r w:rsidR="009F27A3">
        <w:fldChar w:fldCharType="separate"/>
      </w:r>
      <w:r w:rsidR="001A0DC3" w:rsidRPr="001A0DC3">
        <w:rPr>
          <w:noProof/>
        </w:rPr>
        <w:t>[5,6]</w:t>
      </w:r>
      <w:r w:rsidR="009F27A3">
        <w:fldChar w:fldCharType="end"/>
      </w:r>
      <w:r w:rsidR="009F27A3">
        <w:t>.</w:t>
      </w:r>
      <w:r w:rsidR="00E324E5">
        <w:t xml:space="preserve"> </w:t>
      </w:r>
      <w:r w:rsidR="002629F1">
        <w:t xml:space="preserve">Like intestinal schistosomiasis, </w:t>
      </w:r>
      <w:r w:rsidR="00695E52">
        <w:t xml:space="preserve">giardiasis also </w:t>
      </w:r>
      <w:r w:rsidR="00CC3E8E">
        <w:t>compromises</w:t>
      </w:r>
      <w:r w:rsidR="00695E52">
        <w:t xml:space="preserve"> </w:t>
      </w:r>
      <w:r w:rsidR="005755ED">
        <w:t xml:space="preserve">the general </w:t>
      </w:r>
      <w:r w:rsidR="00B75097">
        <w:t>integrity</w:t>
      </w:r>
      <w:r w:rsidR="00CC3E8E">
        <w:t xml:space="preserve"> of the </w:t>
      </w:r>
      <w:r w:rsidR="005C2AF2">
        <w:t>digestive tract</w:t>
      </w:r>
      <w:r w:rsidR="00FD3EBA">
        <w:t>. It does this</w:t>
      </w:r>
      <w:r w:rsidR="005C2AF2">
        <w:t xml:space="preserve"> through a major disruption </w:t>
      </w:r>
      <w:r w:rsidR="00E3787C">
        <w:t>of</w:t>
      </w:r>
      <w:r w:rsidR="005C2AF2">
        <w:t xml:space="preserve"> the gut microbiota, causing a variety of </w:t>
      </w:r>
      <w:r w:rsidR="00AA325D">
        <w:t xml:space="preserve">debilitating </w:t>
      </w:r>
      <w:r w:rsidR="00E27562">
        <w:t>pathologies</w:t>
      </w:r>
      <w:r w:rsidR="00101384">
        <w:t xml:space="preserve"> </w:t>
      </w:r>
      <w:r w:rsidR="006944E0">
        <w:t xml:space="preserve">such as dehydration and </w:t>
      </w:r>
      <w:r w:rsidR="007B4C55">
        <w:t xml:space="preserve">anemia </w:t>
      </w:r>
      <w:r w:rsidR="00173B95">
        <w:fldChar w:fldCharType="begin" w:fldLock="1"/>
      </w:r>
      <w:r w:rsidR="002A145D">
        <w:instrText>ADDIN CSL_CITATION {"citationItems":[{"id":"ITEM-1","itemData":{"DOI":"10.12703/P7-62","ISSN":"20517599","abstract":"Giardia lamblia is a flagellated protozoan that is the most common cause of intestinal parasitic infection in children living in resource-limited settings. The pathogenicity of Giardia has been debated since the parasite was first identified, and clinical outcomes vary across studies. Among recent perplexing findings are diametrically opposed associations between Giardia and acute versus persistent diarrhea and a poorly understood potential for long-term sequelae, including impaired child growth and cognitive development. The mechanisms driving these protean clinical outcomes remain elusive, but recent advances suggest that variability in Giardia strains, host nutritional status, the composition of microbiota, co-infecting enteropathogens, host genetically determined mucosal immune responses, and immune modulation by Giardia are all relevant factors influencing disease manifestations after Giardia infection.","author":[{"dropping-particle":"","family":"Bartelt","given":"Luther A.","non-dropping-particle":"","parse-names":false,"suffix":""},{"dropping-particle":"","family":"Sartor","given":"R. Balfour","non-dropping-particle":"","parse-names":false,"suffix":""}],"container-title":"F1000Prime Reports","id":"ITEM-1","issue":"May","issued":{"date-parts":[["2015"]]},"page":"1-14","title":"Advances in understanding Giardia: Determinants and mechanisms of chronic sequelae","type":"article-journal","volume":"7"},"uris":["http://www.mendeley.com/documents/?uuid=a93387fb-6fd9-4812-946e-6fcd13e12ed0"]},{"id":"ITEM-2","itemData":{"DOI":"10.1186/1471-230X-12-13","ISSN":"1471230X","PMID":"22316329","abstract":"Background: A waterborne outbreak of Giardia lamblia gastroenteritis led to a high prevalance of long-lasting fatigue and abdominal symptoms. The aim was to describe the clinical characteristics, disability and employmentloss in a case series of patients with Chronic Fatigue Syndrome (CFS) after the infection.Methods: Patients who reported persistent fatigue, lowered functional capacity and sickness leave or delayed education after a large community outbreak of giardiasis enteritis in the city of Bergen, Norway were evaluated with the established Centers for Disease Control and Prevention criteria for CFS. Fatigue was self-rated by the Fatigue Severity Scale (FSS). Physical and mental health status and functional impairment was measured by the Medical Outcome Severity Scale-short Form-36 (SF-36). The Hospital Anxiety and Depression Scale (HADS) was used to measure co-morbid anxiety and depression. Inability to work or study because of fatigue was determined by sickness absence certified by a doctor.Results: A total of 58 (60%) out of 96 patients with long-lasting post-infectious fatigue after laboratory confirmed giardiasis were diagnosed with CFS. In all, 1262 patients had laboratory confirmed giardiasis. At the time of referral (mean illness duration 2.7 years) 16% reported improvement, 28% reported no change, and 57% reported progressive course with gradual worsening. Mean FSS score was 6.6. A distinctive pattern of impairment was documented with the SF-36. The physical functioning, vitality (energy/fatigue) and social functioning were especially reduced. Long-term sickness absence from studies and work was noted in all patients.Conclusion: After giardiasis enteritis at least 5% developed clinical characteristics and functional impairment comparable to previously described post-infectious fatigue syndrome. © 2012 Naess et al; BioMed Central Ltd.","author":[{"dropping-particle":"","family":"Naess","given":"Halvor","non-dropping-particle":"","parse-names":false,"suffix":""},{"dropping-particle":"","family":"Nyland","given":"Morten","non-dropping-particle":"","parse-names":false,"suffix":""},{"dropping-particle":"","family":"Hausken","given":"Trygve","non-dropping-particle":"","parse-names":false,"suffix":""},{"dropping-particle":"","family":"Follestad","given":"Inghild","non-dropping-particle":"","parse-names":false,"suffix":""},{"dropping-particle":"","family":"Nyland","given":"Harald I.","non-dropping-particle":"","parse-names":false,"suffix":""}],"container-title":"BMC Gastroenterology","id":"ITEM-2","issued":{"date-parts":[["2012"]]},"title":"Chronic fatigue syndrome after Giardia enteritis: Clinical characteristics, disability and long-term sickness absence","type":"article-journal","volume":"12"},"uris":["http://www.mendeley.com/documents/?uuid=53278b09-fe5c-4c0a-ba58-d8f471191953"]}],"mendeley":{"formattedCitation":"[7,8]","plainTextFormattedCitation":"[7,8]","previouslyFormattedCitation":"[7,8]"},"properties":{"noteIndex":0},"schema":"https://github.com/citation-style-language/schema/raw/master/csl-citation.json"}</w:instrText>
      </w:r>
      <w:r w:rsidR="00173B95">
        <w:fldChar w:fldCharType="separate"/>
      </w:r>
      <w:r w:rsidR="002512CA" w:rsidRPr="002512CA">
        <w:rPr>
          <w:noProof/>
        </w:rPr>
        <w:t>[7,8]</w:t>
      </w:r>
      <w:r w:rsidR="00173B95">
        <w:fldChar w:fldCharType="end"/>
      </w:r>
      <w:r w:rsidR="00173B95">
        <w:t xml:space="preserve">. </w:t>
      </w:r>
      <w:r w:rsidR="006523B7" w:rsidRPr="00FF6FE1">
        <w:t>Unlike</w:t>
      </w:r>
      <w:r w:rsidR="00E27562" w:rsidRPr="00FF6FE1">
        <w:t xml:space="preserve"> intestinal</w:t>
      </w:r>
      <w:r w:rsidR="006523B7" w:rsidRPr="00FF6FE1">
        <w:t xml:space="preserve"> schistosomiasis,</w:t>
      </w:r>
      <w:r w:rsidR="00B74EDE" w:rsidRPr="00FF6FE1">
        <w:t xml:space="preserve"> however,</w:t>
      </w:r>
      <w:r w:rsidR="006523B7" w:rsidRPr="00FF6FE1">
        <w:t xml:space="preserve"> giardiasis is not considered a</w:t>
      </w:r>
      <w:r w:rsidR="00626823">
        <w:t>n</w:t>
      </w:r>
      <w:r w:rsidR="006523B7" w:rsidRPr="00FF6FE1">
        <w:t xml:space="preserve"> NTD, </w:t>
      </w:r>
      <w:commentRangeStart w:id="7"/>
      <w:r w:rsidR="00E20608">
        <w:t>although there have been</w:t>
      </w:r>
      <w:r w:rsidR="006523B7" w:rsidRPr="00FF6FE1">
        <w:t xml:space="preserve"> previous discussions </w:t>
      </w:r>
      <w:r w:rsidR="0098754B" w:rsidRPr="00FF6FE1">
        <w:t>proposing</w:t>
      </w:r>
      <w:r w:rsidR="006523B7" w:rsidRPr="00FF6FE1">
        <w:t xml:space="preserve"> its inclusion</w:t>
      </w:r>
      <w:commentRangeEnd w:id="7"/>
      <w:r w:rsidR="0035704E">
        <w:rPr>
          <w:rStyle w:val="CommentReference"/>
          <w:rFonts w:asciiTheme="minorHAnsi" w:eastAsiaTheme="minorHAnsi" w:hAnsiTheme="minorHAnsi" w:cstheme="minorBidi"/>
          <w:snapToGrid/>
          <w:color w:val="auto"/>
          <w:lang w:val="en-GB" w:eastAsia="en-US" w:bidi="ar-SA"/>
        </w:rPr>
        <w:commentReference w:id="7"/>
      </w:r>
      <w:r w:rsidR="006523B7" w:rsidRPr="00FF6FE1">
        <w:t xml:space="preserve"> </w:t>
      </w:r>
      <w:r w:rsidR="006523B7" w:rsidRPr="00FF6FE1">
        <w:fldChar w:fldCharType="begin" w:fldLock="1"/>
      </w:r>
      <w:r w:rsidR="002A145D">
        <w:instrText>ADDIN CSL_CITATION {"citationItems":[{"id":"ITEM-1","itemData":{"DOI":"10.1080/20469047.2018.1479055","ISSN":"20469055","PMID":"30132736","abstract":"Parasitic infections of the gut have major implications for child health, but many questions remain unanswered. Protozoal parasites, especially cryptosporidiosis and giardiasis, cause diarrhoea and contribute to impaired growth, neurocognitive development and mortality. Entamoeba histolytica causes dysentery and may have more subtle effects on child growth. Helminth infections are mostly asymptomatic, and untargeted mass deworming has not been shown to be beneficial. However, children with heavy infections certainly benefit from antihelminthic treatment. Hepatosplenic schistosomiasis is a neglected problem on a massive scale, which causes portal hypertension and lifelong morbidity in individuals who get infected in childhood. Neurocysticercosis causes epilepsy and is a significant consequence of taeniasis solium, another neglected disease which is entirely preventable. Parasitic infections of the gut contribute to child health problems on a large scale. Fresh approaches are needed to prevention and treatment.","author":[{"dropping-particle":"","family":"Chifunda","given":"Kapula","non-dropping-particle":"","parse-names":false,"suffix":""},{"dropping-particle":"","family":"Kelly","given":"Paul","non-dropping-particle":"","parse-names":false,"suffix":""}],"container-title":"Paediatrics and International Child Health","id":"ITEM-1","issue":"1","issued":{"date-parts":[["2019"]]},"page":"65-72","publisher":"Taylor &amp; Francis","title":"Parasitic infections of the gut in children","type":"article-journal","volume":"39"},"uris":["http://www.mendeley.com/documents/?uuid=115667b3-cfd6-49b4-be77-78c57db85742"]},{"id":"ITEM-2","itemData":{"DOI":"10.1016/j.pt.2006.02.015","ISSN":"14714922","PMID":"16545611","abstract":"Giardia and Cryptosporidium are ubiquitous enteric protozoan pathogens that infect humans, domestic animals and wildlife worldwide. Both pathogens are significant causes of diarrhea and nutritional disorders in institutional and community settings. They are also significant waterborne pathogens. In developing regions of the world, Giardia and Cryptosporidium constitute part of the complex group of parasitic, bacterial and viral diseases that impair the ability to achieve full potential and impair development and socio-economic improvements. All diseases included in the WHO Neglected Diseases Initiative have a common link with poverty and, as the current view is to take a comprehensive approach to all these diseases, both Giardia and Cryptosporidium were included in 2004. Our current state of knowledge of Giardia and Cryptosporidium is summarized here, and some important questions are raised that need to be addressed if control strategies are to be effective. © 2006 Elsevier Ltd. All rights reserved.","author":[{"dropping-particle":"","family":"Savioli","given":"L.","non-dropping-particle":"","parse-names":false,"suffix":""},{"dropping-particle":"","family":"Smith","given":"H.","non-dropping-particle":"","parse-names":false,"suffix":""},{"dropping-particle":"","family":"Thompson","given":"A.","non-dropping-particle":"","parse-names":false,"suffix":""}],"container-title":"Trends in Parasitology","id":"ITEM-2","issue":"5","issued":{"date-parts":[["2006"]]},"page":"203-208","title":"Giardia and Cryptosporidium join the 'Neglected Diseases Initiative'","type":"article-journal","volume":"22"},"uris":["http://www.mendeley.com/documents/?uuid=b351f71d-5439-40e7-9b65-89effb87773d"]}],"mendeley":{"formattedCitation":"[9,10]","plainTextFormattedCitation":"[9,10]","previouslyFormattedCitation":"[9,10]"},"properties":{"noteIndex":0},"schema":"https://github.com/citation-style-language/schema/raw/master/csl-citation.json"}</w:instrText>
      </w:r>
      <w:r w:rsidR="006523B7" w:rsidRPr="00FF6FE1">
        <w:fldChar w:fldCharType="separate"/>
      </w:r>
      <w:r w:rsidR="002512CA" w:rsidRPr="002512CA">
        <w:rPr>
          <w:noProof/>
        </w:rPr>
        <w:t>[9,10]</w:t>
      </w:r>
      <w:r w:rsidR="006523B7" w:rsidRPr="00FF6FE1">
        <w:fldChar w:fldCharType="end"/>
      </w:r>
      <w:r w:rsidR="006523B7" w:rsidRPr="00FF6FE1">
        <w:t>.</w:t>
      </w:r>
    </w:p>
    <w:p w14:paraId="7B06B112" w14:textId="57833A04" w:rsidR="00FF2862" w:rsidRPr="00F07413" w:rsidRDefault="004A2309" w:rsidP="006015EB">
      <w:pPr>
        <w:pStyle w:val="MDPI31text"/>
        <w:spacing w:line="276" w:lineRule="auto"/>
        <w:rPr>
          <w:highlight w:val="yellow"/>
        </w:rPr>
      </w:pPr>
      <w:r>
        <w:t xml:space="preserve">Although there are differences in the transmission biology and epidemiology between both intestinal schistosomiasis and giardiasis, there are also key </w:t>
      </w:r>
      <w:r w:rsidR="00DA4E2E" w:rsidRPr="00DA4E2E">
        <w:t xml:space="preserve">similarities that might be exploited within potential integrated control strategies; allowing </w:t>
      </w:r>
      <w:r w:rsidR="00D46D2D">
        <w:t xml:space="preserve">for </w:t>
      </w:r>
      <w:r w:rsidR="00DA4E2E" w:rsidRPr="00DA4E2E">
        <w:t>control of both diseases in tandem.</w:t>
      </w:r>
      <w:r w:rsidR="00A45397">
        <w:t xml:space="preserve"> </w:t>
      </w:r>
      <w:r w:rsidR="00113304">
        <w:t>By highlighting these similarities, and by outlining</w:t>
      </w:r>
      <w:r w:rsidR="008572F9">
        <w:t xml:space="preserve"> opportunities </w:t>
      </w:r>
      <w:r w:rsidR="008572F9" w:rsidRPr="00A07946">
        <w:t xml:space="preserve">for integrated control of </w:t>
      </w:r>
      <w:r w:rsidR="00CA50BD" w:rsidRPr="00A07946">
        <w:t xml:space="preserve">giardiasis in </w:t>
      </w:r>
      <w:r w:rsidR="006F0DF6">
        <w:t xml:space="preserve">areas </w:t>
      </w:r>
      <w:r w:rsidR="00CA50BD" w:rsidRPr="00A07946">
        <w:t>where intestinal schistosomiasis is co-endemic</w:t>
      </w:r>
      <w:r w:rsidR="00A818B8" w:rsidRPr="00A07946">
        <w:t>,</w:t>
      </w:r>
      <w:r w:rsidR="00A818B8">
        <w:t xml:space="preserve"> </w:t>
      </w:r>
      <w:r w:rsidR="004D573A">
        <w:t>we aim to</w:t>
      </w:r>
      <w:r w:rsidR="004D573A" w:rsidRPr="0051713A">
        <w:t xml:space="preserve"> </w:t>
      </w:r>
      <w:r w:rsidR="004D573A">
        <w:t>diminish</w:t>
      </w:r>
      <w:r w:rsidR="004D573A" w:rsidRPr="0051713A">
        <w:t xml:space="preserve"> the detrimental effects of </w:t>
      </w:r>
      <w:r w:rsidR="004D573A">
        <w:t>(</w:t>
      </w:r>
      <w:r w:rsidR="004D573A" w:rsidRPr="0051713A">
        <w:t>co</w:t>
      </w:r>
      <w:r w:rsidR="004D573A">
        <w:t>)</w:t>
      </w:r>
      <w:r w:rsidR="004D573A" w:rsidRPr="0051713A">
        <w:t>infection</w:t>
      </w:r>
      <w:r w:rsidR="00977C34">
        <w:t xml:space="preserve">, </w:t>
      </w:r>
      <w:r w:rsidR="00694A94">
        <w:t xml:space="preserve">thereby </w:t>
      </w:r>
      <w:r w:rsidR="002C7A8B">
        <w:t>improv</w:t>
      </w:r>
      <w:r w:rsidR="001318A4">
        <w:t>ing</w:t>
      </w:r>
      <w:r w:rsidR="004D573A">
        <w:t xml:space="preserve"> the </w:t>
      </w:r>
      <w:r w:rsidR="00B853C0">
        <w:t xml:space="preserve">health and </w:t>
      </w:r>
      <w:r w:rsidR="004D573A">
        <w:t>wellbeing of</w:t>
      </w:r>
      <w:r w:rsidR="004D573A" w:rsidRPr="0051713A">
        <w:t xml:space="preserve"> </w:t>
      </w:r>
      <w:r w:rsidR="001318A4">
        <w:t>those in endemic areas</w:t>
      </w:r>
      <w:r w:rsidR="00DB240A">
        <w:t>,</w:t>
      </w:r>
      <w:r w:rsidR="001318A4">
        <w:t xml:space="preserve"> particularly </w:t>
      </w:r>
      <w:r w:rsidR="004D573A" w:rsidRPr="008447BC">
        <w:t>children</w:t>
      </w:r>
      <w:r w:rsidR="001318A4" w:rsidRPr="008447BC">
        <w:t>.</w:t>
      </w:r>
      <w:r w:rsidR="00B75615" w:rsidRPr="008447BC">
        <w:t xml:space="preserve"> </w:t>
      </w:r>
      <w:commentRangeStart w:id="8"/>
      <w:r w:rsidR="004D573A" w:rsidRPr="00C41B25">
        <w:t>To do this</w:t>
      </w:r>
      <w:r w:rsidR="006E2793" w:rsidRPr="00C41B25">
        <w:t>,</w:t>
      </w:r>
      <w:r w:rsidR="004D573A" w:rsidRPr="00C41B25">
        <w:t xml:space="preserve"> an integrated ‘One Health’ approach is needed that requires a detailed knowledge of the </w:t>
      </w:r>
      <w:r w:rsidR="00A33A4B" w:rsidRPr="00C41B25">
        <w:t>transmission</w:t>
      </w:r>
      <w:r w:rsidR="00B47432" w:rsidRPr="00C41B25">
        <w:t xml:space="preserve"> </w:t>
      </w:r>
      <w:r w:rsidR="00A33A4B" w:rsidRPr="00C41B25">
        <w:t>biology</w:t>
      </w:r>
      <w:r w:rsidR="004D573A" w:rsidRPr="00C41B25">
        <w:t xml:space="preserve"> of each parasite, appropriate use of reliable point-of-care (POC) diagnostics, mitigation of environmental and zoonotic transmission </w:t>
      </w:r>
      <w:r w:rsidR="00502DB2" w:rsidRPr="00C41B25">
        <w:t>through improved WASH infrastructure</w:t>
      </w:r>
      <w:r w:rsidR="00176D32" w:rsidRPr="00C41B25">
        <w:t xml:space="preserve"> </w:t>
      </w:r>
      <w:r w:rsidR="004D573A" w:rsidRPr="00C41B25">
        <w:t>and effective use of anti-parasitic chemotherapies</w:t>
      </w:r>
      <w:r w:rsidR="0023390B" w:rsidRPr="00C41B25">
        <w:t xml:space="preserve">. </w:t>
      </w:r>
      <w:r w:rsidR="009729C1" w:rsidRPr="00C41B25">
        <w:t xml:space="preserve">Each of these </w:t>
      </w:r>
      <w:r w:rsidR="00366867" w:rsidRPr="00C41B25">
        <w:t>should be carefully considered</w:t>
      </w:r>
      <w:r w:rsidR="004D573A" w:rsidRPr="00C41B25">
        <w:t xml:space="preserve"> </w:t>
      </w:r>
      <w:r w:rsidR="00BF75FC" w:rsidRPr="00C41B25">
        <w:t xml:space="preserve">and applied </w:t>
      </w:r>
      <w:r w:rsidR="00161A21" w:rsidRPr="00C41B25">
        <w:t>simultaneously</w:t>
      </w:r>
      <w:r w:rsidR="0032672F" w:rsidRPr="00C41B25">
        <w:t xml:space="preserve"> </w:t>
      </w:r>
      <w:r w:rsidR="004D573A" w:rsidRPr="00C41B25">
        <w:t xml:space="preserve">to improve public health outcomes </w:t>
      </w:r>
      <w:commentRangeEnd w:id="8"/>
      <w:r w:rsidR="00C42F0A" w:rsidRPr="00C41B25">
        <w:rPr>
          <w:rStyle w:val="CommentReference"/>
          <w:rFonts w:asciiTheme="minorHAnsi" w:eastAsiaTheme="minorHAnsi" w:hAnsiTheme="minorHAnsi" w:cstheme="minorBidi"/>
          <w:snapToGrid/>
          <w:color w:val="auto"/>
          <w:lang w:val="en-GB" w:eastAsia="en-US" w:bidi="ar-SA"/>
        </w:rPr>
        <w:commentReference w:id="8"/>
      </w:r>
      <w:r w:rsidR="004D573A" w:rsidRPr="00C41B25">
        <w:fldChar w:fldCharType="begin" w:fldLock="1"/>
      </w:r>
      <w:r w:rsidR="002A145D" w:rsidRPr="00C41B25">
        <w:instrText>ADDIN CSL_CITATION {"citationItems":[{"id":"ITEM-1","itemData":{"DOI":"10.1093/trstmh/trw072","ISSN":"18783503","abstract":"Background: Water-borne parasitic diseases associated with poverty still blight the lives of African school children. In Uganda, intestinal schistosomiasis is still common along the shoreline of Lake Albert, despite ongoing control, and co-infection with giardiasis and malaria is poorly described. To shed light on putative interactions between diseases, a prospective cross-sectional parasitological survey was undertaken in five primary schools. Methods: Stool samples from 254 school children, aged 5-10 years, were examined by microscopy and rapid diagnostic tests (RDTs), with additional real-time PCR assays for detection of Giardia DNA. A finger-prick blood sample was also taken from each child and tested for malaria, and haemoblobin levels measured. Assocations between diseases and anaemia were assessed. Results: Intestinal schistosomiasis (46.5%), giardiasis (41.6%) and malaria (56.2%) were common, and a quarter of children were anaemic (&lt; 115 g/L). Up to 87.0% of children were excreting Giardia DNA and the prevalence of heavy infection by real-time PCR (Ct≤19) was 19.5%, being positively associated with light, moderate and heavy egg-patent schistosomiasis, as well as with anaemia. Conclusions: In this setting, an extensive burden of giardiasis was revealed with heavy intensity infections associated with egg-patent intestinal schistosomiasis and anaemia. To improve child health, greater attention on giardiasis is needed along with exploring joined-up actions across diseases that promote better water hygiene and sanitation measures.","author":[{"dropping-particle":"","family":"Al-Shehri","given":"Hajri","non-dropping-particle":"","parse-names":false,"suffix":""},{"dropping-particle":"","family":"Stanton","given":"Michelle C.","non-dropping-particle":"","parse-names":false,"suffix":""},{"dropping-particle":"","family":"LaCourse","given":"James E.","non-dropping-particle":"","parse-names":false,"suffix":""},{"dropping-particle":"","family":"Atuhaire","given":"Aaron","non-dropping-particle":"","parse-names":false,"suffix":""},{"dropping-particle":"","family":"Arinaitwe","given":"Moses","non-dropping-particle":"","parse-names":false,"suffix":""},{"dropping-particle":"","family":"Wamboko","given":"Aida","non-dropping-particle":"","parse-names":false,"suffix":""},{"dropping-particle":"","family":"Adriko","given":"Moses","non-dropping-particle":"","parse-names":false,"suffix":""},{"dropping-particle":"","family":"Kabatereine","given":"Narcis B.","non-dropping-particle":"","parse-names":false,"suffix":""},{"dropping-particle":"","family":"Stothard","given":"J. Russell","non-dropping-particle":"","parse-names":false,"suffix":""}],"container-title":"Transactions of the Royal Society of Tropical Medicine and Hygiene","id":"ITEM-1","issue":"10","issued":{"date-parts":[["2016"]]},"page":"597-603","title":"An extensive burden of giardiasis associated with intestinal schistosomiasis and anaemia in school children on the shoreline of Lake Albert, Uganda","type":"article-journal","volume":"110"},"uris":["http://www.mendeley.com/documents/?uuid=9927f4ed-e1bd-4ca4-a075-6e3dc23f87b8"]},{"id":"ITEM-2","itemData":{"DOI":"10.1111/ctr.13618","ISSN":"13990012","abstract":"These updated guidelines from the Infectious Diseases Community of Practice of the American Society of Transplantation review the diagnosis, prevention, and management of intestinal parasites in the pre- and post-transplant period. Intestinal parasites are prevalent in the developing regions of the world. With increasing travel to and from endemic regions, changing immigration patterns, and the expansion of transplant medicine in developing countries, they are increasingly recognized as a source of morbidity and mortality in solid-organ transplant recipients. Parasitic infections may be acquired from the donor allograft, from reactivation, or from de novo acquisition post-transplantation. Gastrointestinal multiplex assays have been developed; some of the panels include testing for Cryptosporidium, Cyclospora, Entamoeba histolytica, and Giardia, and the performance is comparable to conventional methods. A polymerase chain reaction test, not yet widely available, has also been developed to detect Strongyloides in stool samples. New recommendations have been developed to minimize the risk of Strongyloides donor-derived events. Deceased donors with epidemiological risk factors should be screened for Strongyloides and recipients treated if positive as soon as the results are available. New therapeutic agents and studies addressing the optimal treatment regimen for solid-organ transplant recipients are unmet needs.","author":[{"dropping-particle":"","family":"Hoz","given":"Ricardo M.","non-dropping-particle":"La","parse-names":false,"suffix":""},{"dropping-particle":"","family":"Morris","given":"Michele I.","non-dropping-particle":"","parse-names":false,"suffix":""}],"container-title":"Clinical Transplantation","id":"ITEM-2","issue":"9","issued":{"date-parts":[["2019"]]},"page":"1-16","title":"Intestinal parasites including Cryptosporidium, Cyclospora, Giardia, and Microsporidia, Entamoeba histolytica, Strongyloides, Schistosomiasis, and Echinococcus: Guidelines from the American Society of Transplantation Infectious Diseases Community of Pract","type":"article-journal","volume":"33"},"uris":["http://www.mendeley.com/documents/?uuid=ca33f00c-d5f0-4a2c-9380-c1ebf3677401"]},{"id":"ITEM-3","itemData":{"DOI":"10.1186/2049-9957-1-1","ISSN":"20499957","abstract":"Infectious diseases of poverty, a collective term coined for infections known to be particularly prevalent amongst poor populations, is increasingly used for neglected tropical diseases (NTDs) with special transmission routes, such as depending on vectors and/or intermediate hosts. The journal Infectious Diseases of Poverty (IDP) is launched to explore new avenues in research to better understand the relationship between infectious diseases and poverty, and to contribute to priority settings for plans to control them. Introducing the \" One health - One world\" concept, IDP will publish original and empirical work based on analyses of disease burdens, their distribution and research needs in this area. The new journal will not only bring out research articles but also scoping reviews and highlights of trans-disciplinary work undertaken to combat the infectious diseases of poverty, wherever in the world they exist. © 2012 BioMed Central Ltd.","author":[{"dropping-particle":"","family":"Zhou","given":"Xiao Nong","non-dropping-particle":"","parse-names":false,"suffix":""}],"container-title":"Infectious Diseases of Poverty","id":"ITEM-3","issue":"1","issued":{"date-parts":[["2012"]]},"page":"1-5","title":"Prioritizing research for \" One health - One world\"","type":"article-journal","volume":"1"},"uris":["http://www.mendeley.com/documents/?uuid=136df62a-f16f-4d42-b63f-051cae1cb258"]},{"id":"ITEM-4","itemData":{"ISBN":"9783039212958; https://doi.org/10.3390/books978-3-03921-296-5","author":[{"dropping-particle":"","family":"Mackenzie","given":"John S","non-dropping-particle":"","parse-names":false,"suffix":""},{"dropping-particle":"","family":"Jeggo","given":"Martyn","non-dropping-particle":"","parse-names":false,"suffix":""}],"id":"ITEM-4","issued":{"date-parts":[["2019"]]},"title":"One Health and Zoonoses","type":"book"},"uris":["http://www.mendeley.com/documents/?uuid=54544aa3-b98f-421e-acb8-eb436921e8da"]}],"mendeley":{"formattedCitation":"[11–14]","plainTextFormattedCitation":"[11–14]","previouslyFormattedCitation":"[11–14]"},"properties":{"noteIndex":0},"schema":"https://github.com/citation-style-language/schema/raw/master/csl-citation.json"}</w:instrText>
      </w:r>
      <w:r w:rsidR="004D573A" w:rsidRPr="00C41B25">
        <w:fldChar w:fldCharType="separate"/>
      </w:r>
      <w:r w:rsidR="002512CA" w:rsidRPr="00C41B25">
        <w:rPr>
          <w:noProof/>
        </w:rPr>
        <w:t>[11–14]</w:t>
      </w:r>
      <w:r w:rsidR="004D573A" w:rsidRPr="00C41B25">
        <w:fldChar w:fldCharType="end"/>
      </w:r>
      <w:r w:rsidR="004D573A" w:rsidRPr="008447BC">
        <w:t xml:space="preserve">. </w:t>
      </w:r>
    </w:p>
    <w:p w14:paraId="38A6BEDA" w14:textId="289E5723" w:rsidR="004D573A" w:rsidRPr="00390DAA" w:rsidRDefault="00AF7EC4" w:rsidP="00660637">
      <w:pPr>
        <w:pStyle w:val="MDPI21heading1"/>
        <w:spacing w:line="276" w:lineRule="auto"/>
      </w:pPr>
      <w:r>
        <w:t>2.</w:t>
      </w:r>
      <w:r w:rsidR="00691EBB">
        <w:t>0</w:t>
      </w:r>
      <w:r>
        <w:t xml:space="preserve">. </w:t>
      </w:r>
      <w:r w:rsidR="004D573A" w:rsidRPr="00390DAA">
        <w:t xml:space="preserve">Intestinal schistosomiasis and </w:t>
      </w:r>
      <w:r w:rsidR="004D573A" w:rsidRPr="00A56364">
        <w:t>giardiasis</w:t>
      </w:r>
      <w:r w:rsidR="004D573A" w:rsidRPr="00390DAA">
        <w:t xml:space="preserve">: </w:t>
      </w:r>
      <w:r w:rsidR="00C819B7">
        <w:t>P</w:t>
      </w:r>
      <w:r w:rsidR="004D573A" w:rsidRPr="00390DAA">
        <w:t>athology</w:t>
      </w:r>
      <w:r w:rsidR="001816F5">
        <w:t xml:space="preserve"> and </w:t>
      </w:r>
      <w:r w:rsidR="001816F5" w:rsidRPr="00390DAA">
        <w:t>epidemiology</w:t>
      </w:r>
    </w:p>
    <w:p w14:paraId="6FF49539" w14:textId="19CBD20D" w:rsidR="004D573A" w:rsidRPr="00E1268B" w:rsidRDefault="004D573A" w:rsidP="00660637">
      <w:pPr>
        <w:pStyle w:val="MDPI31text"/>
        <w:spacing w:line="276" w:lineRule="auto"/>
      </w:pPr>
      <w:r>
        <w:t xml:space="preserve">Intestinal schistosomiasis, like schistosomiasis more generally, disproportionally afflicts school-aged children between the ages of six and fifteen years old where pathology can be both acute and chronic </w:t>
      </w:r>
      <w:r>
        <w:fldChar w:fldCharType="begin" w:fldLock="1"/>
      </w:r>
      <w:r w:rsidR="001A0DC3">
        <w:instrText>ADDIN CSL_CITATION {"citationItems":[{"id":"ITEM-1","itemData":{"DOI":"10.1016/S0140-6736(13)61949-2","ISSN":"1474547X","PMID":"24698483","abstract":"Human schistosomiasis-or bilharzia-is a parasitic disease caused by trematode fl ukes of the genus Schistosoma. By conservative estimates, at least 230 million people worldwide are infected with Schistosoma spp. Adult schistosome worms colonise human blood vessels for years, successfully evading the immune system while excreting hundreds to thousands of eggs daily, which must either leave the body in excreta or become trapped in nearby tissues. Trapped eggs induce a distinct immune-mediated granulomatous response that causes local and systemic pathological eff ects ranging from anaemia, growth stunting, impaired cognition, and decreased physical fi tness, to organ-specifi c eff ects such as severe hepatosplenism, periportal fi brosis with portal hypertension, and urogenital infl ammation and scarring. At present, preventive public health measures in endemic regions consist of treatment once every 1 or 2 years with the isoquinolinone drug, praziquantel, to suppress morbidity. In some locations, elimination of transmission is now the goal; however, more sensitive diagnostics are needed in both the fi eld and clinics, and integrated environmental and health-care management will be needed to ensure elimination. © Chataway et al. Open Access article distributed under the terms of CC BY.","author":[{"dropping-particle":"","family":"Colley","given":"Daniel G.","non-dropping-particle":"","parse-names":false,"suffix":""},{"dropping-particle":"","family":"Bustinduy","given":"Amaya L.","non-dropping-particle":"","parse-names":false,"suffix":""},{"dropping-particle":"","family":"Secor","given":"W. Evan","non-dropping-particle":"","parse-names":false,"suffix":""},{"dropping-particle":"","family":"King","given":"Charles H.","non-dropping-particle":"","parse-names":false,"suffix":""}],"container-title":"The Lancet","id":"ITEM-1","issue":"9936","issued":{"date-parts":[["2014"]]},"page":"2253-2264","title":"Human schistosomiasis","type":"article-journal","volume":"383"},"uris":["http://www.mendeley.com/documents/?uuid=46c0ccda-c7d4-4ebb-9de2-f2e77eeb7978"]}],"mendeley":{"formattedCitation":"[3]","plainTextFormattedCitation":"[3]","previouslyFormattedCitation":"[3]"},"properties":{"noteIndex":0},"schema":"https://github.com/citation-style-language/schema/raw/master/csl-citation.json"}</w:instrText>
      </w:r>
      <w:r>
        <w:fldChar w:fldCharType="separate"/>
      </w:r>
      <w:r w:rsidR="001D3544" w:rsidRPr="001D3544">
        <w:rPr>
          <w:noProof/>
        </w:rPr>
        <w:t>[3]</w:t>
      </w:r>
      <w:r>
        <w:fldChar w:fldCharType="end"/>
      </w:r>
      <w:r>
        <w:t xml:space="preserve">. As based on ‘classic’ age-infection profiles and measured using faecal egg counts, the intensity of infection typically begins to decline in late adolescence whilst morbidity associated with </w:t>
      </w:r>
      <w:r w:rsidRPr="00516A52">
        <w:rPr>
          <w:i/>
          <w:iCs/>
        </w:rPr>
        <w:t>S. mansoni</w:t>
      </w:r>
      <w:r>
        <w:rPr>
          <w:i/>
          <w:iCs/>
        </w:rPr>
        <w:t xml:space="preserve">, </w:t>
      </w:r>
      <w:r>
        <w:t>such as</w:t>
      </w:r>
      <w:r w:rsidRPr="00516A52">
        <w:t xml:space="preserve"> </w:t>
      </w:r>
      <w:r>
        <w:t xml:space="preserve">multi-organ fibrosis, accumulates. This decline in egg-patent prevalence is due to a variety of factors such as partial-immunity to infection, notwithstanding extensive fibrosis of the bowel itself which can occlude egg exit sites, giving rise to granulomatous masses known as intestinal ‘bilharzomas’ </w:t>
      </w:r>
      <w:r w:rsidR="00505D91">
        <w:rPr>
          <w:bCs/>
          <w:color w:val="000000" w:themeColor="text1"/>
        </w:rPr>
        <w:fldChar w:fldCharType="begin" w:fldLock="1"/>
      </w:r>
      <w:r w:rsidR="002A145D">
        <w:rPr>
          <w:bCs/>
          <w:color w:val="000000" w:themeColor="text1"/>
        </w:rPr>
        <w:instrText>ADDIN CSL_CITATION {"citationItems":[{"id":"ITEM-1","itemData":{"DOI":"10.4269/ajtmh.2012.12-0397","ISSN":"00029637","abstract":"Schistosomiasis control programs aim to reduce morbidity but are evaluated by infection prevalence and intensity reduction. We present baseline cross-sectional data from a nested cohort study comparing indicators of morbidity for measuring program impact. Eight hundred twenty-two schoolchildren 7-8 years of age from Nyanza Province, Kenya, contributed stool for diagnosis of Schistosoma mansoni and soil-transmitted helminths (STH) and blood smears for malaria, and were evaluated for anemia, quality of life, exercise tolerance, anthropometry, and ultrasound abnormalities. Schistosoma mansoni, STH, and malaria infection prevalence were 69%, 25%, and 8%, respectively. Only anemia and S. mansoni infection (adjusted odds ratio [aOR] = 1.70; confidence interval [CI] = 1.03-2.80), and hepatomegaly and heavy S. mansoni infection (aOR = 2.21; CI = 1.19-4.11) were associated. Though anemia and hepatomegaly appeared most useful at baseline, additional morbidity indicators may be sensitive longitudinal measures to evaluate schistosomiasis program health impact. Copyright © 2012 by The American Society of Tropical Medicine and Hygiene.","author":[{"dropping-particle":"","family":"Samuels","given":"Aaron M.","non-dropping-particle":"","parse-names":false,"suffix":""},{"dropping-particle":"","family":"Matey","given":"Elizabeth","non-dropping-particle":"","parse-names":false,"suffix":""},{"dropping-particle":"","family":"Mwinzi","given":"Pauline N.M.","non-dropping-particle":"","parse-names":false,"suffix":""},{"dropping-particle":"","family":"Wiegand","given":"Ryan E.","non-dropping-particle":"","parse-names":false,"suffix":""},{"dropping-particle":"","family":"Muchiri","given":"Geoffrey","non-dropping-particle":"","parse-names":false,"suffix":""},{"dropping-particle":"","family":"Ireri","given":"Edmund","non-dropping-particle":"","parse-names":false,"suffix":""},{"dropping-particle":"","family":"Hyde","given":"Molly","non-dropping-particle":"","parse-names":false,"suffix":""},{"dropping-particle":"","family":"Montgomery","given":"Susan P.","non-dropping-particle":"","parse-names":false,"suffix":""},{"dropping-particle":"","family":"Karanja","given":"Diana M.S.","non-dropping-particle":"","parse-names":false,"suffix":""},{"dropping-particle":"","family":"Secor","given":"W. Evan","non-dropping-particle":"","parse-names":false,"suffix":""}],"container-title":"American Journal of Tropical Medicine and Hygiene","id":"ITEM-1","issue":"5","issued":{"date-parts":[["2012"]]},"page":"874-882","title":"Schistosoma mansoni morbidity among school-aged children: A SCORE Project in Kenya","type":"article-journal","volume":"87"},"uris":["http://www.mendeley.com/documents/?uuid=64d13631-5093-4d0e-8608-c84fb678091f"]},{"id":"ITEM-2","itemData":{"DOI":"10.1371/journal.pntd.0000820","PMID":"20856909","abstract":"Background: Numerous factors may influence Schistosoma infection intensity and prevalence within endemic communities, including exposure-related factors such as local environment and behaviour, and factors relating to susceptibility to infection such as immunology and genetics. While animal studies performed in the laboratory can be tightly controlled, human populations are highly heterogeneous, varying according to demographic characteristics, genetic background and exposure to infection. The heterogeneous nature of human water contact behaviour in particular makes it difficult to distinguish between a lack of cercarial exposure and reduced susceptibility to infection as the cause for low levels of infection in the field. Methods and Principal Findings: In this study we investigate risk factors for Schistosoma mansoni infection in a rural Ugandan fishing community receiving treatment as part of a multi-disciplinary longitudinal reinfection study. More specifically, we examine the influence that age, sex and ethnic background have on susceptibility to reinfection after antihelminth drug treatment, but use individual estimates of cercarial exposure and multivariable methods in an attempt to remove noise created by environmental and behavioural heterogeneities. We then investigate whether schistosome-specific IgE immune responses could account for any remaining variations in susceptibility to reinfection. Our findings suggest that observed ethnic- and sex-related variations in S. mansoni reinfection were due to variations in cercarial exposure, as opposed to biological differences in susceptibility to infection. Age-related differences in reinfection were not explained by exposure, however, and appeared linked to the balance of IgE and IgG4 to the tegumental antigen SmTAL1 (formerly Sm22.6), which itself was significantly related to resistance to reinfection. Conclusions: This study highlights the benefit of taking a multidisciplinary approach in complex field settings; it allows the ecology of a population to be understood and thus more robust conclusions to be made. © 2010 Pinot de Moira et al.","author":[{"dropping-particle":"","family":"Moira","given":"Angela Pinot","non-dropping-particle":"de","parse-names":false,"suffix":""},{"dropping-particle":"","family":"Fulford","given":"Anthony J.C.","non-dropping-particle":"","parse-names":false,"suffix":""},{"dropping-particle":"","family":"Kabatereine","given":"Narcis B.","non-dropping-particle":"","parse-names":false,"suffix":""},{"dropping-particle":"","family":"Ouma","given":"John H.","non-dropping-particle":"","parse-names":false,"suffix":""},{"dropping-particle":"","family":"Booth","given":"Mark","non-dropping-particle":"","parse-names":false,"suffix":""},{"dropping-particle":"","family":"Dunne","given":"David W.","non-dropping-particle":"","parse-names":false,"suffix":""}],"container-title":"PLoS Neglected Tropical Diseases","id":"ITEM-2","issue":"9","issued":{"date-parts":[["2010"]]},"title":"Analysis of complex patterns of human exposure and immunity to Schistosomiasis mansoni: The influence of age, sex, ethnicity and IgE","type":"article-journal","volume":"4"},"uris":["http://www.mendeley.com/documents/?uuid=397091bd-f585-4cf5-b84c-66a38e1156ea"]}],"mendeley":{"formattedCitation":"[15,16]","plainTextFormattedCitation":"[15,16]","previouslyFormattedCitation":"[15,16]"},"properties":{"noteIndex":0},"schema":"https://github.com/citation-style-language/schema/raw/master/csl-citation.json"}</w:instrText>
      </w:r>
      <w:r w:rsidR="00505D91">
        <w:rPr>
          <w:bCs/>
          <w:color w:val="000000" w:themeColor="text1"/>
        </w:rPr>
        <w:fldChar w:fldCharType="separate"/>
      </w:r>
      <w:r w:rsidR="002512CA" w:rsidRPr="002512CA">
        <w:rPr>
          <w:bCs/>
          <w:noProof/>
          <w:color w:val="000000" w:themeColor="text1"/>
        </w:rPr>
        <w:t>[15,16]</w:t>
      </w:r>
      <w:r w:rsidR="00505D91">
        <w:rPr>
          <w:bCs/>
          <w:color w:val="000000" w:themeColor="text1"/>
        </w:rPr>
        <w:fldChar w:fldCharType="end"/>
      </w:r>
      <w:r w:rsidR="00505D91">
        <w:rPr>
          <w:bCs/>
          <w:color w:val="000000" w:themeColor="text1"/>
        </w:rPr>
        <w:t>.</w:t>
      </w:r>
    </w:p>
    <w:p w14:paraId="150D985B" w14:textId="2B154373" w:rsidR="004D573A" w:rsidRPr="00E1628A" w:rsidRDefault="004D573A" w:rsidP="00660637">
      <w:pPr>
        <w:pStyle w:val="MDPI31text"/>
        <w:spacing w:line="276" w:lineRule="auto"/>
        <w:rPr>
          <w:i/>
          <w:iCs/>
          <w:color w:val="FF0000"/>
          <w:u w:val="single"/>
        </w:rPr>
      </w:pPr>
      <w:r>
        <w:t xml:space="preserve">Pathologies associated with intestinal schistosomiasis occur primarily as a result of the copious number of eggs produced by </w:t>
      </w:r>
      <w:r w:rsidR="006E2793">
        <w:t xml:space="preserve">female </w:t>
      </w:r>
      <w:r>
        <w:t>adult worms inhabiting</w:t>
      </w:r>
      <w:r>
        <w:rPr>
          <w:color w:val="000000" w:themeColor="text1"/>
        </w:rPr>
        <w:t xml:space="preserve"> the mesenteric veins surrounding the intestines. Rather than being passed in stool </w:t>
      </w:r>
      <w:r w:rsidR="006E2793">
        <w:rPr>
          <w:color w:val="000000" w:themeColor="text1"/>
        </w:rPr>
        <w:t>(</w:t>
      </w:r>
      <w:r>
        <w:rPr>
          <w:color w:val="000000" w:themeColor="text1"/>
        </w:rPr>
        <w:t>or occasionally in urine</w:t>
      </w:r>
      <w:r w:rsidR="006E2793">
        <w:rPr>
          <w:color w:val="000000" w:themeColor="text1"/>
        </w:rPr>
        <w:t>)</w:t>
      </w:r>
      <w:r w:rsidR="00B53D62">
        <w:rPr>
          <w:color w:val="000000" w:themeColor="text1"/>
        </w:rPr>
        <w:t xml:space="preserve"> to perpetuate the parasites lifecycle, </w:t>
      </w:r>
      <w:r>
        <w:rPr>
          <w:color w:val="000000" w:themeColor="text1"/>
        </w:rPr>
        <w:t>a large proportion of eggs will instead</w:t>
      </w:r>
      <w:r w:rsidR="00EE535E">
        <w:rPr>
          <w:color w:val="000000" w:themeColor="text1"/>
        </w:rPr>
        <w:t xml:space="preserve"> </w:t>
      </w:r>
      <w:r>
        <w:rPr>
          <w:color w:val="000000" w:themeColor="text1"/>
        </w:rPr>
        <w:t>become</w:t>
      </w:r>
      <w:r w:rsidR="00DB240A">
        <w:rPr>
          <w:color w:val="000000" w:themeColor="text1"/>
        </w:rPr>
        <w:t xml:space="preserve"> </w:t>
      </w:r>
      <w:r>
        <w:rPr>
          <w:color w:val="000000" w:themeColor="text1"/>
        </w:rPr>
        <w:t>sequestered throughout the venous bloodstream of the intestinal and hepatoportal tracts</w:t>
      </w:r>
      <w:r w:rsidR="00B66E80">
        <w:rPr>
          <w:color w:val="000000" w:themeColor="text1"/>
        </w:rPr>
        <w:t>. Many eggs will then enter</w:t>
      </w:r>
      <w:r w:rsidR="005A4087">
        <w:rPr>
          <w:color w:val="000000" w:themeColor="text1"/>
        </w:rPr>
        <w:t xml:space="preserve"> into </w:t>
      </w:r>
      <w:r>
        <w:rPr>
          <w:color w:val="000000" w:themeColor="text1"/>
        </w:rPr>
        <w:t xml:space="preserve">general venous circulation and </w:t>
      </w:r>
      <w:r w:rsidR="004A1D04">
        <w:rPr>
          <w:color w:val="000000" w:themeColor="text1"/>
        </w:rPr>
        <w:t>subsequently</w:t>
      </w:r>
      <w:r w:rsidR="00DF3F23">
        <w:rPr>
          <w:color w:val="000000" w:themeColor="text1"/>
        </w:rPr>
        <w:t xml:space="preserve"> </w:t>
      </w:r>
      <w:r w:rsidR="001C4762">
        <w:rPr>
          <w:color w:val="000000" w:themeColor="text1"/>
        </w:rPr>
        <w:t>become</w:t>
      </w:r>
      <w:r>
        <w:rPr>
          <w:color w:val="000000" w:themeColor="text1"/>
        </w:rPr>
        <w:t xml:space="preserve"> lodge</w:t>
      </w:r>
      <w:r w:rsidR="00DF3F23">
        <w:rPr>
          <w:color w:val="000000" w:themeColor="text1"/>
        </w:rPr>
        <w:t>d</w:t>
      </w:r>
      <w:r>
        <w:rPr>
          <w:color w:val="000000" w:themeColor="text1"/>
        </w:rPr>
        <w:t xml:space="preserve"> in other major organs. Once eggs become </w:t>
      </w:r>
      <w:r w:rsidR="00DB240A">
        <w:rPr>
          <w:color w:val="000000" w:themeColor="text1"/>
        </w:rPr>
        <w:t>trapped</w:t>
      </w:r>
      <w:r>
        <w:rPr>
          <w:color w:val="000000" w:themeColor="text1"/>
        </w:rPr>
        <w:t xml:space="preserve">, for example in the intestinal wall and/or liver sinuses, a range of clinical systemic and organ-specific morbidity ensues </w:t>
      </w:r>
      <w:commentRangeStart w:id="9"/>
      <w:r w:rsidR="00337ADC">
        <w:rPr>
          <w:color w:val="000000" w:themeColor="text1"/>
        </w:rPr>
        <w:t>i</w:t>
      </w:r>
      <w:r w:rsidR="00646102">
        <w:rPr>
          <w:color w:val="000000" w:themeColor="text1"/>
        </w:rPr>
        <w:t>ncluding</w:t>
      </w:r>
      <w:commentRangeEnd w:id="9"/>
      <w:r w:rsidR="00337ADC">
        <w:rPr>
          <w:rStyle w:val="CommentReference"/>
          <w:rFonts w:asciiTheme="minorHAnsi" w:eastAsiaTheme="minorHAnsi" w:hAnsiTheme="minorHAnsi" w:cstheme="minorBidi"/>
          <w:snapToGrid/>
          <w:color w:val="auto"/>
          <w:lang w:val="en-GB" w:eastAsia="en-US" w:bidi="ar-SA"/>
        </w:rPr>
        <w:commentReference w:id="9"/>
      </w:r>
      <w:r>
        <w:rPr>
          <w:color w:val="000000" w:themeColor="text1"/>
        </w:rPr>
        <w:t xml:space="preserve"> acute abdominal pain, stunted growth, environmental enteropathy, presence of faecal occult blood and overt hepato/splenomegaly </w:t>
      </w:r>
      <w:r w:rsidR="00EB3731">
        <w:rPr>
          <w:bCs/>
          <w:color w:val="000000" w:themeColor="text1"/>
        </w:rPr>
        <w:fldChar w:fldCharType="begin" w:fldLock="1"/>
      </w:r>
      <w:r w:rsidR="002A145D">
        <w:rPr>
          <w:bCs/>
          <w:color w:val="000000" w:themeColor="text1"/>
        </w:rPr>
        <w:instrText>ADDIN CSL_CITATION {"citationItems":[{"id":"ITEM-1","itemData":{"DOI":"10.3389/fimmu.2018.03042","ISSN":"16643224","PMID":"30619372","abstract":"Many parasitic worms possess complex and intriguing life cycles, and schistosomes are no exception. To exit the human body and progress to their successive snail host, Schistosoma mansoni eggs must migrate from the mesenteric vessels, across the intestinal wall and into the feces. This process is complex and not always successful. A vast proportion of eggs fail to leave their definite host, instead becoming lodged within intestinal or hepatic tissue, where they can evoke potentially life-threatening pathology. Thus, to maximize the likelihood of successful egg passage whilst minimizing host pathology, intriguing egg exit strategies have evolved. Notably, schistosomes actively exert counter-inflammatory influences on the host immune system, discreetly compromise endothelial and epithelial barriers, and modulate granuloma formation around transiting eggs, which is instrumental to their migration. In this review, we discuss new developments in our understanding of schistosome egg migration, with an emphasis on S. mansoni and the intestine, and outline the host-parasite interactions that are thought to make this process possible. In addition, we explore the potential immune implications of egg penetration and discuss the long-term consequences for the host of unsuccessful egg transit, such as fibrosis, co-infection and cancer development.","author":[{"dropping-particle":"","family":"Costain","given":"Alice H.","non-dropping-particle":"","parse-names":false,"suffix":""},{"dropping-particle":"","family":"MacDonald","given":"Andrew S.","non-dropping-particle":"","parse-names":false,"suffix":""},{"dropping-particle":"","family":"Smits","given":"Hermelijn H.","non-dropping-particle":"","parse-names":false,"suffix":""}],"container-title":"Frontiers in immunology","id":"ITEM-1","issue":"December","issued":{"date-parts":[["2018"]]},"page":"3042","title":"Schistosome Egg Migration: Mechanisms, Pathogenesis and Host Immune Responses","type":"article-journal","volume":"9"},"uris":["http://www.mendeley.com/documents/?uuid=f0adba87-9855-4589-a534-57c59917c461"]},{"id":"ITEM-2","itemData":{"DOI":"10.4172/2329-9088.1000135","abstract":"More than one billion people travel internationally each year and approximately 100 million to the tropics. Schistosomiasis is a neglected tropical disease caused by trematode blood flukes of the genus Schistosoma. It currently infects over 250 million people worldwide and results in approximately 25 million disability adjusted life years lost. Clinical manifestations depend on the affected organ. Subtle morbidities have also been documented including: growth retardation, anaemia and poor cognitive function in children. While schistosomiasis has been eradicated from Japan and significantly reduced in parts of China and Egypt, transmission in many other regions remains ongoing due to the wide-spread distribution of the intermediate snail host, poor sanitation, lack of health education and decreasing compliance to mass drug administration. Integrated control has significantly reduced the burden of disease in China but considerable financial capital is needed if similar results are to be duplicated elsewhere. Human vaccination is in various stages of development, and once found, will become an integral part of future control. This comprehensive review examines the epidemiology, pathology, diagnosis, clinical management, prevention and control of the disease.","author":[{"dropping-particle":"","family":"Olveda, David","given":"","non-dropping-particle":"","parse-names":false,"suffix":""}],"container-title":"Tropical Medicine &amp; Surgery","id":"ITEM-2","issue":"04","issued":{"date-parts":[["2013"]]},"page":"1-19","title":"Bilharzia: Pathology, Diagnosis, Management and Control","type":"article-journal","volume":"01"},"uris":["http://www.mendeley.com/documents/?uuid=8b55f221-fcfb-4c85-8a03-277a87c8f04a"]}],"mendeley":{"formattedCitation":"[17,18]","plainTextFormattedCitation":"[17,18]","previouslyFormattedCitation":"[17,18]"},"properties":{"noteIndex":0},"schema":"https://github.com/citation-style-language/schema/raw/master/csl-citation.json"}</w:instrText>
      </w:r>
      <w:r w:rsidR="00EB3731">
        <w:rPr>
          <w:bCs/>
          <w:color w:val="000000" w:themeColor="text1"/>
        </w:rPr>
        <w:fldChar w:fldCharType="separate"/>
      </w:r>
      <w:r w:rsidR="002512CA" w:rsidRPr="002512CA">
        <w:rPr>
          <w:bCs/>
          <w:noProof/>
          <w:color w:val="000000" w:themeColor="text1"/>
        </w:rPr>
        <w:t>[17,18]</w:t>
      </w:r>
      <w:r w:rsidR="00EB3731">
        <w:rPr>
          <w:bCs/>
          <w:color w:val="000000" w:themeColor="text1"/>
        </w:rPr>
        <w:fldChar w:fldCharType="end"/>
      </w:r>
      <w:r w:rsidR="00EB3731">
        <w:rPr>
          <w:bCs/>
          <w:color w:val="000000" w:themeColor="text1"/>
        </w:rPr>
        <w:t>.</w:t>
      </w:r>
    </w:p>
    <w:p w14:paraId="63B488C3" w14:textId="5E116DB0" w:rsidR="001515FB" w:rsidRDefault="004D573A" w:rsidP="006A740A">
      <w:pPr>
        <w:pStyle w:val="MDPI31text"/>
        <w:spacing w:line="276" w:lineRule="auto"/>
      </w:pPr>
      <w:r>
        <w:lastRenderedPageBreak/>
        <w:t xml:space="preserve">Human </w:t>
      </w:r>
      <w:r w:rsidR="005648FA">
        <w:t>giardiasis</w:t>
      </w:r>
      <w:r w:rsidR="005648FA" w:rsidRPr="00152AD9">
        <w:t xml:space="preserve"> </w:t>
      </w:r>
      <w:r>
        <w:t xml:space="preserve">is caused by infection with </w:t>
      </w:r>
      <w:r w:rsidRPr="005F2568">
        <w:rPr>
          <w:i/>
          <w:iCs/>
        </w:rPr>
        <w:t>G</w:t>
      </w:r>
      <w:r w:rsidR="00023FD7">
        <w:rPr>
          <w:i/>
          <w:iCs/>
        </w:rPr>
        <w:t>.</w:t>
      </w:r>
      <w:r>
        <w:rPr>
          <w:i/>
          <w:iCs/>
        </w:rPr>
        <w:t xml:space="preserve"> duodenalis </w:t>
      </w:r>
      <w:r>
        <w:t xml:space="preserve">(syn. </w:t>
      </w:r>
      <w:r w:rsidRPr="005F2568">
        <w:rPr>
          <w:i/>
          <w:iCs/>
        </w:rPr>
        <w:t>Giardia</w:t>
      </w:r>
      <w:r>
        <w:rPr>
          <w:i/>
          <w:iCs/>
        </w:rPr>
        <w:t xml:space="preserve"> intestinalis,</w:t>
      </w:r>
      <w:r>
        <w:t xml:space="preserve"> </w:t>
      </w:r>
      <w:r w:rsidRPr="005F2568">
        <w:rPr>
          <w:i/>
          <w:iCs/>
        </w:rPr>
        <w:t>Giardia</w:t>
      </w:r>
      <w:r>
        <w:rPr>
          <w:i/>
          <w:iCs/>
        </w:rPr>
        <w:t xml:space="preserve"> lamblia</w:t>
      </w:r>
      <w:r>
        <w:t xml:space="preserve">). Whilst </w:t>
      </w:r>
      <w:r>
        <w:rPr>
          <w:i/>
          <w:iCs/>
        </w:rPr>
        <w:t xml:space="preserve">G. duodenalis </w:t>
      </w:r>
      <w:r>
        <w:t xml:space="preserve">is the only human-infecting </w:t>
      </w:r>
      <w:r w:rsidRPr="005F2568">
        <w:rPr>
          <w:i/>
          <w:iCs/>
        </w:rPr>
        <w:t>Giardia</w:t>
      </w:r>
      <w:r>
        <w:t xml:space="preserve"> species, eight distinct evolutionary assemblages based on multi-locus genotyping, named A through H, are known to exist </w:t>
      </w:r>
      <w:r>
        <w:fldChar w:fldCharType="begin" w:fldLock="1"/>
      </w:r>
      <w:r w:rsidR="002A145D">
        <w:instrText>ADDIN CSL_CITATION {"citationItems":[{"id":"ITEM-1","itemData":{"DOI":"10.1051/parasite/2016013","ISSN":"17761042","abstract":"Techniques for sub-classifying morphologically identical Giardia duodenalis trophozoites have included comparisons of the electrophoretic mobility of enzymes and of chromosomes, and sequencing of genes encoding β-giardin, triose phosphate isomerase, the small subunit of ribosomal RNA and glutamate dehydrogenase. To date, G. duodenalis organisms have been sub-classified into eight genetic assemblages (designated A-H). Genotyping of G. duodenalis organisms isolated from various hosts has shown that assemblages A and B infect the largest range of host species, and appear to be the main (or possibly only) G. duodenalis assemblages that undeniably infect human subjects. In at least some cases of assemblage A or B infection in wild mammals, there is suggestive evidence that the infection had resulted from environmental contamination by G. duodenalis cysts of human origin.","author":[{"dropping-particle":"","family":"Heyworth","given":"Martin F.","non-dropping-particle":"","parse-names":false,"suffix":""}],"container-title":"Parasite","id":"ITEM-1","issued":{"date-parts":[["2016"]]},"title":"Giardia duodenalis genetic assemblages and hosts","type":"article-journal","volume":"23"},"uris":["http://www.mendeley.com/documents/?uuid=f3578bc4-be01-4594-8c03-44bce8d1bc1b"]}],"mendeley":{"formattedCitation":"[19]","plainTextFormattedCitation":"[19]","previouslyFormattedCitation":"[19]"},"properties":{"noteIndex":0},"schema":"https://github.com/citation-style-language/schema/raw/master/csl-citation.json"}</w:instrText>
      </w:r>
      <w:r>
        <w:fldChar w:fldCharType="separate"/>
      </w:r>
      <w:r w:rsidR="002512CA" w:rsidRPr="002512CA">
        <w:rPr>
          <w:noProof/>
        </w:rPr>
        <w:t>[19]</w:t>
      </w:r>
      <w:r>
        <w:fldChar w:fldCharType="end"/>
      </w:r>
      <w:r>
        <w:t>.</w:t>
      </w:r>
      <w:r w:rsidR="0007344B">
        <w:t xml:space="preserve"> Of these eight, the vast majority of human infections are caused by assemblages A and B, </w:t>
      </w:r>
      <w:commentRangeStart w:id="10"/>
      <w:r w:rsidR="00804FDA">
        <w:t>although</w:t>
      </w:r>
      <w:commentRangeEnd w:id="10"/>
      <w:r w:rsidR="00A94E9C">
        <w:rPr>
          <w:rStyle w:val="CommentReference"/>
          <w:rFonts w:asciiTheme="minorHAnsi" w:eastAsiaTheme="minorHAnsi" w:hAnsiTheme="minorHAnsi" w:cstheme="minorBidi"/>
          <w:snapToGrid/>
          <w:color w:val="auto"/>
          <w:lang w:val="en-GB" w:eastAsia="en-US" w:bidi="ar-SA"/>
        </w:rPr>
        <w:commentReference w:id="10"/>
      </w:r>
      <w:r w:rsidR="0007344B">
        <w:t xml:space="preserve"> human infections with assemblages C, D, E and F do also occur, albeit rarely </w:t>
      </w:r>
      <w:r>
        <w:fldChar w:fldCharType="begin" w:fldLock="1"/>
      </w:r>
      <w:r w:rsidR="002A145D">
        <w:instrText>ADDIN CSL_CITATION {"citationItems":[{"id":"ITEM-1","itemData":{"DOI":"10.1051/parasite/2016013","ISSN":"17761042","abstract":"Techniques for sub-classifying morphologically identical Giardia duodenalis trophozoites have included comparisons of the electrophoretic mobility of enzymes and of chromosomes, and sequencing of genes encoding β-giardin, triose phosphate isomerase, the small subunit of ribosomal RNA and glutamate dehydrogenase. To date, G. duodenalis organisms have been sub-classified into eight genetic assemblages (designated A-H). Genotyping of G. duodenalis organisms isolated from various hosts has shown that assemblages A and B infect the largest range of host species, and appear to be the main (or possibly only) G. duodenalis assemblages that undeniably infect human subjects. In at least some cases of assemblage A or B infection in wild mammals, there is suggestive evidence that the infection had resulted from environmental contamination by G. duodenalis cysts of human origin.","author":[{"dropping-particle":"","family":"Heyworth","given":"Martin F.","non-dropping-particle":"","parse-names":false,"suffix":""}],"container-title":"Parasite","id":"ITEM-1","issued":{"date-parts":[["2016"]]},"title":"Giardia duodenalis genetic assemblages and hosts","type":"article-journal","volume":"23"},"uris":["http://www.mendeley.com/documents/?uuid=f3578bc4-be01-4594-8c03-44bce8d1bc1b"]},{"id":"ITEM-2","itemData":{"DOI":"10.1371/journal.pntd.0000558","PMID":"19956662","abstract":"Giardia duodenalis, originally regarded as a commensal organism, is the etiologic agent of giardiasis, a gastrointestinal disease of humans and animals. Giardiasis causes major public and veterinary health concerns worldwide. Transmission is either direct, through the faecal-oral route, or indirect, through ingestion of contaminated water or food. Genetic characterization of G. duodenalis isolates has revealed the existence of seven groups (assemblages A to G) which differ in their host distribution. Assemblages A and B are found in humans and in many other mammals, but the role of animals in the epidemiology of human infection is still unclear, despite the fact that the zoonotic potential of Giardia was recognised by the WHO some 30 years ago. Here, we performed an extensive genetic characterization of 978 human and 1440 animal isolates, which together comprise 3886 sequences from 4 genetic loci. The data were assembled into a molecular epidemiological database developed by a European network of public and veterinary health Institutions. Genotyping was performed at different levels of resolution (single and multiple loci on the same dataset). The zoonotic potential of both assemblages A and B is evident when studied at the level of assemblages, sub-assemblages, and even at each single locus. However, when genotypes are defined using a multi-locus sequence typing scheme, only 2 multi-locus genotypes (MLG) of assemblage A and none of assemblage B appear to have a zoonotic potential. Surprisingly, mixtures of genotypes in individual isolates were repeatedly observed. Possible explanations are the uptake of genetically different Giardia cysts by a host, or subsequent infection of an already infected host, likely without overt symptoms, with a different Giardia species, which may cause disease. Other explanations for mixed genotypes, particularly for assemblage B, are substantial allelic sequence heterogeneity and/or genetic recombination. Although the zoonotic potential of G. duodenalis is evident, evidence on the contribution and frequency is (still) lacking. This newly developed molecular database has the potential to tackle intricate epidemiological questions concerning protozoan diseases. © 2009 Sprong et al.","author":[{"dropping-particle":"","family":"Sprong","given":"Hein","non-dropping-particle":"","parse-names":false,"suffix":""},{"dropping-particle":"","family":"Cacciò","given":"Simone M.","non-dropping-particle":"","parse-names":false,"suffix":""},{"dropping-particle":"","family":"Giessen","given":"Joke W.B.","non-dropping-particle":"Van Der","parse-names":false,"suffix":""}],"container-title":"PLoS Neglected Tropical Diseases","id":"ITEM-2","issue":"12","issued":{"date-parts":[["2009"]]},"page":"1-12","title":"Identification of zoonotic genotypes of Giardia duodenalis","type":"article-journal","volume":"3"},"uris":["http://www.mendeley.com/documents/?uuid=ebea01e3-a8e8-4578-a03d-676488444ba4"]}],"mendeley":{"formattedCitation":"[19,20]","plainTextFormattedCitation":"[19,20]","previouslyFormattedCitation":"[19,20]"},"properties":{"noteIndex":0},"schema":"https://github.com/citation-style-language/schema/raw/master/csl-citation.json"}</w:instrText>
      </w:r>
      <w:r>
        <w:fldChar w:fldCharType="separate"/>
      </w:r>
      <w:r w:rsidR="002512CA" w:rsidRPr="002512CA">
        <w:rPr>
          <w:noProof/>
        </w:rPr>
        <w:t>[19,20]</w:t>
      </w:r>
      <w:r>
        <w:fldChar w:fldCharType="end"/>
      </w:r>
      <w:r>
        <w:t xml:space="preserve">. </w:t>
      </w:r>
    </w:p>
    <w:p w14:paraId="459A9D38" w14:textId="61494D10" w:rsidR="004D573A" w:rsidRDefault="004D573A" w:rsidP="00660637">
      <w:pPr>
        <w:pStyle w:val="MDPI31text"/>
        <w:spacing w:line="276" w:lineRule="auto"/>
      </w:pPr>
      <w:r>
        <w:t xml:space="preserve">Unlike the distribution of </w:t>
      </w:r>
      <w:r>
        <w:rPr>
          <w:i/>
          <w:iCs/>
        </w:rPr>
        <w:t>S. mansoni</w:t>
      </w:r>
      <w:r>
        <w:t xml:space="preserve">, which is intrinsically linked to its </w:t>
      </w:r>
      <w:r>
        <w:rPr>
          <w:i/>
          <w:iCs/>
        </w:rPr>
        <w:t xml:space="preserve">Biomphalaria </w:t>
      </w:r>
      <w:r>
        <w:t>spp. intermediate freshwater snail host</w:t>
      </w:r>
      <w:r w:rsidR="00257E3E">
        <w:t>s</w:t>
      </w:r>
      <w:r>
        <w:t xml:space="preserve">, the distribution of </w:t>
      </w:r>
      <w:r>
        <w:rPr>
          <w:i/>
          <w:iCs/>
        </w:rPr>
        <w:t xml:space="preserve">G. duodenalis </w:t>
      </w:r>
      <w:r>
        <w:t xml:space="preserve">is truly </w:t>
      </w:r>
      <w:r w:rsidRPr="004B0D15">
        <w:t xml:space="preserve">cosmopolitan. </w:t>
      </w:r>
      <w:commentRangeStart w:id="11"/>
      <w:r w:rsidR="00312CB0" w:rsidRPr="004B0D15">
        <w:t>Giardiasis p</w:t>
      </w:r>
      <w:r w:rsidRPr="004B0D15">
        <w:t xml:space="preserve">revalence in humans is particularly high, however, in LMICs lacking access to clean, safe drinking water and associated WASH infrastructures, including many areas of sub-Saharan Africa and South America where </w:t>
      </w:r>
      <w:r w:rsidRPr="004B0D15">
        <w:rPr>
          <w:i/>
          <w:iCs/>
        </w:rPr>
        <w:t xml:space="preserve">S. mansoni </w:t>
      </w:r>
      <w:r w:rsidRPr="004B0D15">
        <w:t xml:space="preserve">is </w:t>
      </w:r>
      <w:r w:rsidR="000830BB" w:rsidRPr="004B0D15">
        <w:t xml:space="preserve">also </w:t>
      </w:r>
      <w:r w:rsidRPr="004B0D15">
        <w:t>endemic</w:t>
      </w:r>
      <w:r>
        <w:t xml:space="preserve"> </w:t>
      </w:r>
      <w:commentRangeEnd w:id="11"/>
      <w:r w:rsidR="004B0D15">
        <w:rPr>
          <w:rStyle w:val="CommentReference"/>
          <w:rFonts w:asciiTheme="minorHAnsi" w:eastAsiaTheme="minorHAnsi" w:hAnsiTheme="minorHAnsi" w:cstheme="minorBidi"/>
          <w:snapToGrid/>
          <w:color w:val="auto"/>
          <w:lang w:val="en-GB" w:eastAsia="en-US" w:bidi="ar-SA"/>
        </w:rPr>
        <w:commentReference w:id="11"/>
      </w:r>
      <w:r>
        <w:fldChar w:fldCharType="begin" w:fldLock="1"/>
      </w:r>
      <w:r w:rsidR="002512CA">
        <w:instrText>ADDIN CSL_CITATION {"citationItems":[{"id":"ITEM-1","itemData":{"DOI":"10.1186/s13071-017-2111-y","ISSN":"17563305","abstract":"Cryptosporidium and Giardia are important causes of diarrhoeal illness. Adequate knowledge of the molecular diversity and geographical distribution of these parasites and the environmental and climatic variables that influence their prevalence is important for effective control of infection in at-risk populations, yet relatively little is known about the epidemiology of these parasites in Africa. Cryptosporidium is associated with moderate to severe diarrhoea and increased mortality in African countries and both parasites negatively affect child growth and development. Malnutrition and HIV status are also important contributors to the prevalence of Cryptosporidium and Giardia in African countries. Molecular typing of both parasites in humans, domestic animals and wildlife to date indicates a complex picture of both anthroponotic, zoonotic and spill-back transmission cycles that requires further investigation. For Cryptosporidium, the only available drug (nitazoxanide) is ineffective in HIV and malnourished individuals and therefore more effective drugs are a high priority. Several classes of drugs with good efficacy exist for Giardia, but dosing regimens are suboptimal and emerging resistance threatens clinical utility. Climate change and population growth are also predicted to increase both malnutrition and the prevalence of these parasites in water sources. Dedicated and co-ordinated commitments from African governments involving “One Health” initiatives with multidisciplinary teams of veterinarians, medical workers, relevant government authorities, and public health specialists working together are essential to control and prevent the burden of disease caused by these parasites.","author":[{"dropping-particle":"","family":"Squire","given":"Sylvia Afriyie","non-dropping-particle":"","parse-names":false,"suffix":""},{"dropping-particle":"","family":"Ryan","given":"Una","non-dropping-particle":"","parse-names":false,"suffix":""}],"container-title":"Parasites and Vectors","id":"ITEM-1","issue":"1","issued":{"date-parts":[["2017"]]},"page":"1-32","publisher":"Parasites &amp; Vectors","title":"Cryptosporidium and Giardia in Africa: current and future challenges","type":"article-journal","volume":"10"},"uris":["http://www.mendeley.com/documents/?uuid=f3c4b128-d60d-439f-8ec9-587d1928b8f6"]},{"id":"ITEM-2","itemData":{"DOI":"10.1186/1756-3305-4-163","ISSN":"17563305","abstract":"Background: Acute childhood diarrhoea remains one of the leading causes of childhood morbidity and mortality in developing countries. The WHO has accordingly underlined the need for epidemiological surveys of infantile diarrhoea in all geographical areas. This study was conducted to determine the incidence of intestinal parasites among stool samples from children examined at a secondary health care facility in a rural area of Ghana. Method. A retrospective study was conducted to investigate the incidence of intestinal parasites among children who had their stools examined at the Agogo Hospital laboratory. Stool microscopy results from January 2006 through May 2009 were obtained from archived records of the laboratory. Results for children less than 18 years were transcribed unto a standardized datasheet, entered into an electronic database designed using Microsoft access 2007 and analyzed using Stata/SE11.1 statistical software. The incidences of the parasites were determined and presented with their Poisson exact 95% confidence intervals for the various ages. Results: The median age of the 1080 children included in the study was 5 years (IQR: 2-12 years) with 51.9% being females. The overall incidence of all parasites was 114 per 1000 with Giardia lamblia being the most common (89.5%). Children aged less than a year had the lowest parasite incidence of 13 per 1000 with all being Giardia lamblia, while those aged 15-17 years had the highest of 169 per 1000. The incidence for Giardia lamblia only was lowest at 13 per 1000 for those under a year old, highest at 152 per 1000 for the 15-17 year group and 97 per 1000 for all ages combined. There was a significant rise in incidence of Giardia lamblia with age (Trend x2 = 18.6, p &lt; 0.001). Five (4.3%) of the 118 positive stool samples had mixed parasites infection. Enterobius vermicularis, Taenia spp and Trichuris trichiura were not seen in any of the stool samples. Conclusion: Giardia lamblia is the most prevalent intestinal parasite in examined stool samples of children within the Ashanti Akim North Municipality and its prevalence significantly increases with age. Measures must be put in place to educate the community on proper personal hygiene to reduce giardiasis. © 2011 Nkrumah and Nguah; licensee BioMed Central Ltd.","author":[{"dropping-particle":"","family":"Nkrumah","given":"Bernard","non-dropping-particle":"","parse-names":false,"suffix":""},{"dropping-particle":"","family":"Nguah","given":"Samuel","non-dropping-particle":"","parse-names":false,"suffix":""}],"container-title":"Parasites and Vectors","id":"ITEM-2","issue":"1","issued":{"date-parts":[["2011"]]},"page":"1-7","title":"Giardia lamblia: A major parasitic cause of childhood diarrhoea in patients attending a district hospital in Ghana","type":"article-journal","volume":"4"},"uris":["http://www.mendeley.com/documents/?uuid=27ef3231-81e6-44d5-8d7c-aab43feef05e"]}],"mendeley":{"formattedCitation":"[5,6]","plainTextFormattedCitation":"[5,6]","previouslyFormattedCitation":"[5,6]"},"properties":{"noteIndex":0},"schema":"https://github.com/citation-style-language/schema/raw/master/csl-citation.json"}</w:instrText>
      </w:r>
      <w:r>
        <w:fldChar w:fldCharType="separate"/>
      </w:r>
      <w:r w:rsidR="001A0DC3" w:rsidRPr="001A0DC3">
        <w:rPr>
          <w:noProof/>
        </w:rPr>
        <w:t>[5,6]</w:t>
      </w:r>
      <w:r>
        <w:fldChar w:fldCharType="end"/>
      </w:r>
      <w:r>
        <w:t xml:space="preserve">. A notable feature of giardiasis, in humans, can be asymptomatic infections, </w:t>
      </w:r>
      <w:commentRangeStart w:id="12"/>
      <w:r w:rsidR="00C51996">
        <w:t>although</w:t>
      </w:r>
      <w:commentRangeEnd w:id="12"/>
      <w:r w:rsidR="00F1036B">
        <w:rPr>
          <w:rStyle w:val="CommentReference"/>
          <w:rFonts w:asciiTheme="minorHAnsi" w:eastAsiaTheme="minorHAnsi" w:hAnsiTheme="minorHAnsi" w:cstheme="minorBidi"/>
          <w:snapToGrid/>
          <w:color w:val="auto"/>
          <w:lang w:val="en-GB" w:eastAsia="en-US" w:bidi="ar-SA"/>
        </w:rPr>
        <w:commentReference w:id="12"/>
      </w:r>
      <w:r>
        <w:t xml:space="preserve"> acute and/or chronic and debilitating pathologies owing to infection are well described. These include </w:t>
      </w:r>
      <w:r w:rsidRPr="00DF3530">
        <w:rPr>
          <w:color w:val="000000" w:themeColor="text1"/>
        </w:rPr>
        <w:t>diarrhoea</w:t>
      </w:r>
      <w:r>
        <w:rPr>
          <w:color w:val="000000" w:themeColor="text1"/>
        </w:rPr>
        <w:t>, dehydration, malabsorption,</w:t>
      </w:r>
      <w:r w:rsidRPr="000611DE">
        <w:t xml:space="preserve"> </w:t>
      </w:r>
      <w:r>
        <w:t xml:space="preserve">tropical enteropathy, stunted growth, impaired cognitive development, anaemia and chronic fatigue </w:t>
      </w:r>
      <w:r>
        <w:fldChar w:fldCharType="begin" w:fldLock="1"/>
      </w:r>
      <w:r w:rsidR="002A145D">
        <w:instrText>ADDIN CSL_CITATION {"citationItems":[{"id":"ITEM-1","itemData":{"DOI":"10.12703/P7-62","ISSN":"20517599","abstract":"Giardia lamblia is a flagellated protozoan that is the most common cause of intestinal parasitic infection in children living in resource-limited settings. The pathogenicity of Giardia has been debated since the parasite was first identified, and clinical outcomes vary across studies. Among recent perplexing findings are diametrically opposed associations between Giardia and acute versus persistent diarrhea and a poorly understood potential for long-term sequelae, including impaired child growth and cognitive development. The mechanisms driving these protean clinical outcomes remain elusive, but recent advances suggest that variability in Giardia strains, host nutritional status, the composition of microbiota, co-infecting enteropathogens, host genetically determined mucosal immune responses, and immune modulation by Giardia are all relevant factors influencing disease manifestations after Giardia infection.","author":[{"dropping-particle":"","family":"Bartelt","given":"Luther A.","non-dropping-particle":"","parse-names":false,"suffix":""},{"dropping-particle":"","family":"Sartor","given":"R. Balfour","non-dropping-particle":"","parse-names":false,"suffix":""}],"container-title":"F1000Prime Reports","id":"ITEM-1","issue":"May","issued":{"date-parts":[["2015"]]},"page":"1-14","title":"Advances in understanding Giardia: Determinants and mechanisms of chronic sequelae","type":"article-journal","volume":"7"},"uris":["http://www.mendeley.com/documents/?uuid=a93387fb-6fd9-4812-946e-6fcd13e12ed0"]},{"id":"ITEM-2","itemData":{"DOI":"10.1186/1471-230X-12-13","ISSN":"1471230X","PMID":"22316329","abstract":"Background: A waterborne outbreak of Giardia lamblia gastroenteritis led to a high prevalance of long-lasting fatigue and abdominal symptoms. The aim was to describe the clinical characteristics, disability and employmentloss in a case series of patients with Chronic Fatigue Syndrome (CFS) after the infection.Methods: Patients who reported persistent fatigue, lowered functional capacity and sickness leave or delayed education after a large community outbreak of giardiasis enteritis in the city of Bergen, Norway were evaluated with the established Centers for Disease Control and Prevention criteria for CFS. Fatigue was self-rated by the Fatigue Severity Scale (FSS). Physical and mental health status and functional impairment was measured by the Medical Outcome Severity Scale-short Form-36 (SF-36). The Hospital Anxiety and Depression Scale (HADS) was used to measure co-morbid anxiety and depression. Inability to work or study because of fatigue was determined by sickness absence certified by a doctor.Results: A total of 58 (60%) out of 96 patients with long-lasting post-infectious fatigue after laboratory confirmed giardiasis were diagnosed with CFS. In all, 1262 patients had laboratory confirmed giardiasis. At the time of referral (mean illness duration 2.7 years) 16% reported improvement, 28% reported no change, and 57% reported progressive course with gradual worsening. Mean FSS score was 6.6. A distinctive pattern of impairment was documented with the SF-36. The physical functioning, vitality (energy/fatigue) and social functioning were especially reduced. Long-term sickness absence from studies and work was noted in all patients.Conclusion: After giardiasis enteritis at least 5% developed clinical characteristics and functional impairment comparable to previously described post-infectious fatigue syndrome. © 2012 Naess et al; BioMed Central Ltd.","author":[{"dropping-particle":"","family":"Naess","given":"Halvor","non-dropping-particle":"","parse-names":false,"suffix":""},{"dropping-particle":"","family":"Nyland","given":"Morten","non-dropping-particle":"","parse-names":false,"suffix":""},{"dropping-particle":"","family":"Hausken","given":"Trygve","non-dropping-particle":"","parse-names":false,"suffix":""},{"dropping-particle":"","family":"Follestad","given":"Inghild","non-dropping-particle":"","parse-names":false,"suffix":""},{"dropping-particle":"","family":"Nyland","given":"Harald I.","non-dropping-particle":"","parse-names":false,"suffix":""}],"container-title":"BMC Gastroenterology","id":"ITEM-2","issued":{"date-parts":[["2012"]]},"title":"Chronic fatigue syndrome after Giardia enteritis: Clinical characteristics, disability and long-term sickness absence","type":"article-journal","volume":"12"},"uris":["http://www.mendeley.com/documents/?uuid=53278b09-fe5c-4c0a-ba58-d8f471191953"]}],"mendeley":{"formattedCitation":"[7,8]","plainTextFormattedCitation":"[7,8]","previouslyFormattedCitation":"[7,8]"},"properties":{"noteIndex":0},"schema":"https://github.com/citation-style-language/schema/raw/master/csl-citation.json"}</w:instrText>
      </w:r>
      <w:r>
        <w:fldChar w:fldCharType="separate"/>
      </w:r>
      <w:r w:rsidR="002512CA" w:rsidRPr="002512CA">
        <w:rPr>
          <w:noProof/>
        </w:rPr>
        <w:t>[7,8]</w:t>
      </w:r>
      <w:r>
        <w:fldChar w:fldCharType="end"/>
      </w:r>
      <w:r>
        <w:t xml:space="preserve">. The primary cause of these pathologies is a major disruption to the gut microbiota, a complex community of symbiotic microbes responsible for vitamin production, nutrient absorption and regulation of lipid metabolism, brought about through </w:t>
      </w:r>
      <w:r>
        <w:rPr>
          <w:i/>
          <w:iCs/>
        </w:rPr>
        <w:t>G. duodenalis</w:t>
      </w:r>
      <w:r>
        <w:t xml:space="preserve"> </w:t>
      </w:r>
      <w:r w:rsidRPr="00822377">
        <w:rPr>
          <w:color w:val="000000" w:themeColor="text1"/>
        </w:rPr>
        <w:t>i</w:t>
      </w:r>
      <w:r>
        <w:rPr>
          <w:color w:val="000000" w:themeColor="text1"/>
        </w:rPr>
        <w:t>nvading, i</w:t>
      </w:r>
      <w:r w:rsidRPr="00822377">
        <w:rPr>
          <w:color w:val="000000" w:themeColor="text1"/>
        </w:rPr>
        <w:t xml:space="preserve">nhabiting and multiplying within </w:t>
      </w:r>
      <w:r>
        <w:t xml:space="preserve">the intestinal tract </w:t>
      </w:r>
      <w:r>
        <w:fldChar w:fldCharType="begin" w:fldLock="1"/>
      </w:r>
      <w:r w:rsidR="001A0DC3">
        <w:instrText>ADDIN CSL_CITATION {"citationItems":[{"id":"ITEM-1","itemData":{"DOI":"10.1016/j.pt.2017.08.001","ISSN":"14715007","abstract":"Giardia lamblia is one of the most common infectious protozoans in the world. Giardia rarely causes severe life-threatening diarrhea, and may even have a slight protective effect in this regard, but it is a major contributor to malnutrition and growth faltering in children in the developing world. Giardia infection also appears to be a significant risk factor for postinfectious irritable bowel and chronic fatigue syndromes. In this review we highlight recent work focused on the impact of giardiasis and the mechanisms that contribute to the various outcomes of this infection, including changes in the composition of the microbiota, activation of immune responses, and immunopathology. Giardia infections can perturb intestinal microbial diversity and lead to an increase in the abundance of aerobic microbial taxa. Giardiasis immunopathology is driven by the presence of intestinal microbiota and activation of immune responses. Interleukin-17 is a cytokine that appears to be essential for protective immunity during giardiasis. Giardia infections can lead to postinfectious syndromes, including malnutrition, irritable bowel syndrome, and chronic fatigue syndrome.","author":[{"dropping-particle":"","family":"Fink","given":"Marc Y.","non-dropping-particle":"","parse-names":false,"suffix":""},{"dropping-particle":"","family":"Singer","given":"Steven M.","non-dropping-particle":"","parse-names":false,"suffix":""}],"container-title":"Trends in Parasitology","id":"ITEM-1","issue":"11","issued":{"date-parts":[["2017"]]},"page":"901-913","publisher":"Elsevier Ltd","title":"The Intersection of Immune Responses, Microbiota, and Pathogenesis in Giardiasis","type":"article-journal","volume":"33"},"uris":["http://www.mendeley.com/documents/?uuid=09d2ccb9-27bb-429f-b62a-c3364ef406f7"]},{"id":"ITEM-2","itemData":{"DOI":"10.1128/IAI.00348-16","ISSN":"10985522","abstract":"Giardia duodenalis is a noninvasive luminal pathogen that impairs digestive function in its host in part by reducing intestinal disaccharidase activity. This enzyme deficiency has been shown in mice to require CD8+ T cells. We recently showed that both host immune responses and parasite strain affected disaccharidase levels during murine giardiasis. However, high doses of antibiotics were used to facilitate infections in that study, and we therefore decided to systematically examine the effects of antibiotic use on pathogenesis and immune responses in the mouse model of giardiasis. We found that antibiotic treatment did not overtly increase the parasite burden but significantly limited the disaccharidase deficiency observed in infected mice. Moreover, while infected mice had more activated CD8+ αβ T cells in the small intestinal lamina propria, this increase was absent in antibiotictreated mice. Infection also led to increased numbers of CD4+ αβ T cells in the lamina propria and activation of T cell receptor γδ-expressing intraepithelial lymphocytes (IEL), but these changes were not affected by antibiotics. Finally, we show that activated CD8+ T cells express gamma interferon (IFN-γ) and granzymes but that granzymes are not required for sucrase deficiency. We conclude that CD8+ T cells become activated in giardiasis through an antibiotic-sensitive process and contribute to reduced sucrase activity. These are the first data directly demonstrating activation of CD8+ T cells and γδ T cells during Giardia infections. These data also demonstrate that disruption of the intestinal microbiota by antibiotic treatment prevents pathological CD8+ T cell activation in giardiasis.","author":[{"dropping-particle":"","family":"Keselman","given":"Aleksander","non-dropping-particle":"","parse-names":false,"suffix":""},{"dropping-particle":"","family":"Li","given":"Erqiu","non-dropping-particle":"","parse-names":false,"suffix":""},{"dropping-particle":"","family":"Maloney","given":"Jenny","non-dropping-particle":"","parse-names":false,"suffix":""},{"dropping-particle":"","family":"Singer","given":"Steven M.","non-dropping-particle":"","parse-names":false,"suffix":""}],"container-title":"Infection and Immunity","id":"ITEM-2","issue":"10","issued":{"date-parts":[["2016"]]},"page":"2853-2860","title":"The microbiota contributes to CD8+ T cell activation and nutrient malabsorption following intestinal infection with Giardia duodenali","type":"article-journal","volume":"84"},"uris":["http://www.mendeley.com/documents/?uuid=dc214058-3fc8-40f3-ab61-92cf967e9c67"]},{"id":"ITEM-3","itemData":{"DOI":"10.1080/21688370.2016.1274354","ISSN":"21688370","abstract":"Understanding how intestinal enteropathogens cause acute and chronic alterations has direct animal and human health perspectives. Significant advances have been made on this field by studies focusing on the dynamic crosstalk between the intestinal protozoan parasite model Giardia duodenalis and the host intestinal mucosa. The concept of intestinal barrier function is of the highest importance in the context of many gastrointestinal diseases such as infectious enteritis, inflammatory bowel disease, and post-infectious gastrointestinal disorders. This crucial function relies on 3 biotic and abiotic components, first the commensal microbiota organized as a biofilm, then an overlaying mucus layer, and finally the tightly structured intestinal epithelium. Herein we review multiple strategies used by Giardia parasite to circumvent these 3 components. We will summarize what is known and discuss preliminary observations suggesting how such enteropathogen directly and/ or indirectly impairs commensal microbiota biofilm architecture, disrupts mucus layer and damages host epithelium physiology and survival.","author":[{"dropping-particle":"","family":"Allain","given":"Thibault","non-dropping-particle":"","parse-names":false,"suffix":""},{"dropping-particle":"","family":"Amat","given":"Christina B.","non-dropping-particle":"","parse-names":false,"suffix":""},{"dropping-particle":"","family":"Motta","given":"Jean Paul","non-dropping-particle":"","parse-names":false,"suffix":""},{"dropping-particle":"","family":"Manko","given":"Anna","non-dropping-particle":"","parse-names":false,"suffix":""},{"dropping-particle":"","family":"Buret","given":"André G.","non-dropping-particle":"","parse-names":false,"suffix":""}],"container-title":"Tissue Barriers","id":"ITEM-3","issue":"1","issued":{"date-parts":[["2017"]]},"page":"1-16","publisher":"Taylor &amp; Francis","title":"Interactions of Giardia sp. with the intestinal barrier: Epithelium, mucus, and microbiota","type":"article-journal","volume":"5"},"uris":["http://www.mendeley.com/documents/?uuid=c0577301-0297-44c0-9483-684fd451998d"]}],"mendeley":{"formattedCitation":"[21–23]","plainTextFormattedCitation":"[21–23]","previouslyFormattedCitation":"[21–23]"},"properties":{"noteIndex":0},"schema":"https://github.com/citation-style-language/schema/raw/master/csl-citation.json"}</w:instrText>
      </w:r>
      <w:r>
        <w:fldChar w:fldCharType="separate"/>
      </w:r>
      <w:r w:rsidR="001D3544" w:rsidRPr="001D3544">
        <w:rPr>
          <w:noProof/>
        </w:rPr>
        <w:t>[21–23]</w:t>
      </w:r>
      <w:r>
        <w:fldChar w:fldCharType="end"/>
      </w:r>
      <w:r>
        <w:t>.</w:t>
      </w:r>
      <w:r w:rsidRPr="00616F1E">
        <w:t xml:space="preserve"> </w:t>
      </w:r>
      <w:r>
        <w:t>Importantly, severe morbidity is most often observed in certain high-risk groups including children, the elderly, those with physica</w:t>
      </w:r>
      <w:r w:rsidR="003E0B40">
        <w:t>l</w:t>
      </w:r>
      <w:r>
        <w:t xml:space="preserve"> </w:t>
      </w:r>
      <w:r w:rsidR="003E0B40">
        <w:t>disabilities</w:t>
      </w:r>
      <w:r>
        <w:t xml:space="preserve"> and the immunocompromised </w:t>
      </w:r>
      <w:r>
        <w:fldChar w:fldCharType="begin" w:fldLock="1"/>
      </w:r>
      <w:r w:rsidR="001A0DC3">
        <w:instrText>ADDIN CSL_CITATION {"citationItems":[{"id":"ITEM-1","itemData":{"DOI":"10.1016/j.pcl.2017.03.014","ISSN":"15578240","PMID":"28734513","abstract":"Diarrheal disease remains the second leading cause of mortality in children in developing countries. Cryptosporidium is a leading cause and its importance stands to increase as rotavirus vaccine becomes used around the world. Cryptosporidium is particularly problematic in children younger than 2 years old and in the immunocompromised. Giardia lamblia is a common intestinal protozoan that is associated with diarrhea and, perhaps, growth faltering in impoverished settings. This review establishes the current prevalence of these infections in global settings and reviews current diagnosis and management approaches.","author":[{"dropping-particle":"","family":"Mmbaga","given":"Blandina T.","non-dropping-particle":"","parse-names":false,"suffix":""},{"dropping-particle":"","family":"Houpt","given":"Eric R.","non-dropping-particle":"","parse-names":false,"suffix":""}],"container-title":"Pediatric Clinics of North America","id":"ITEM-1","issue":"4","issued":{"date-parts":[["2017"]]},"page":"837-850","publisher":"Elsevier Inc","title":"Cryptosporidium and Giardia Infections in Children: A Review","type":"article-journal","volume":"64"},"uris":["http://www.mendeley.com/documents/?uuid=cac374ad-b8da-4cb8-8522-972a189aba64"]},{"id":"ITEM-2","itemData":{"DOI":"10.1080/1040-840291046713","ISSN":"1040841X","abstract":"The waterborne flagellated parasite Giardia intestinalis continues to be the most frequent protozoan agent of intestinal disease world-wide, causing an estimated 2.8 × 108 cases per annum. Severe symptoms of diarrhea and sickness can be persistent and even life threatening in the immunocompromised, in infants, and in the aged, although self-limiting in the majority of patients. Despite a growing awareness and intensified research many uncertainties remain, especially with respect to the risk of potential zoonotic transmission. Water supplies can be monitored for cysts using automated cytofluorimetric immunoassays, but this does not measure infectivity. Filtration provides the best protection, because cysts are highly resistant to chlorine and ozone. Other incompletely elucidated aspects include mechanisms of pathogenicity, host reaction to infection, immunity and parasite control using vaccines or antigiardial compounds; the 5-nitroimidazole metronidazole is the most effective of these. Molecular typing of various isolates indicates that most animal parasites are not infective to humans, but those that are can be genotypically classified as assemblage A or B. The phylogeny of the organism remains uncertain, but there is a growing opinion that Giardia is not an ancient primitive eukaryote, but that it is derived from a more complex mitochondria-containing protozoon.","author":[{"dropping-particle":"","family":"Lane","given":"Samantha","non-dropping-particle":"","parse-names":false,"suffix":""},{"dropping-particle":"","family":"Lloyd","given":"David","non-dropping-particle":"","parse-names":false,"suffix":""}],"container-title":"Critical Reviews in Microbiology","id":"ITEM-2","issue":"2","issued":{"date-parts":[["2002"]]},"page":"123-147","title":"Current trends in research into the waterborne parasite Giardia","type":"article-journal","volume":"28"},"uris":["http://www.mendeley.com/documents/?uuid=d3a28545-1893-4df5-b606-54bd226e410a"]}],"mendeley":{"formattedCitation":"[24,25]","plainTextFormattedCitation":"[24,25]","previouslyFormattedCitation":"[24,25]"},"properties":{"noteIndex":0},"schema":"https://github.com/citation-style-language/schema/raw/master/csl-citation.json"}</w:instrText>
      </w:r>
      <w:r>
        <w:fldChar w:fldCharType="separate"/>
      </w:r>
      <w:r w:rsidR="001D3544" w:rsidRPr="001D3544">
        <w:rPr>
          <w:noProof/>
        </w:rPr>
        <w:t>[24,25]</w:t>
      </w:r>
      <w:r>
        <w:fldChar w:fldCharType="end"/>
      </w:r>
      <w:r>
        <w:t>.</w:t>
      </w:r>
    </w:p>
    <w:p w14:paraId="0A89AE04" w14:textId="5BD5FE33" w:rsidR="004D573A" w:rsidRPr="00AA4F9C" w:rsidRDefault="00AA4F9C" w:rsidP="00660637">
      <w:pPr>
        <w:pStyle w:val="MDPI21heading1"/>
        <w:spacing w:line="276" w:lineRule="auto"/>
        <w:rPr>
          <w:b w:val="0"/>
          <w:bCs/>
          <w:i/>
          <w:iCs/>
        </w:rPr>
      </w:pPr>
      <w:commentRangeStart w:id="13"/>
      <w:r>
        <w:rPr>
          <w:b w:val="0"/>
          <w:bCs/>
          <w:i/>
          <w:iCs/>
        </w:rPr>
        <w:t>2.</w:t>
      </w:r>
      <w:r w:rsidR="00B2613F">
        <w:rPr>
          <w:b w:val="0"/>
          <w:bCs/>
          <w:i/>
          <w:iCs/>
        </w:rPr>
        <w:t>1</w:t>
      </w:r>
      <w:r w:rsidR="00B4733E" w:rsidRPr="00AA4F9C">
        <w:rPr>
          <w:b w:val="0"/>
          <w:bCs/>
          <w:i/>
          <w:iCs/>
        </w:rPr>
        <w:t xml:space="preserve">. </w:t>
      </w:r>
      <w:r w:rsidR="004D573A" w:rsidRPr="00AA4F9C">
        <w:rPr>
          <w:b w:val="0"/>
          <w:bCs/>
          <w:i/>
          <w:iCs/>
        </w:rPr>
        <w:t xml:space="preserve">Common modes of environmental contamination </w:t>
      </w:r>
      <w:commentRangeEnd w:id="13"/>
      <w:r w:rsidR="00C01130">
        <w:rPr>
          <w:rStyle w:val="CommentReference"/>
          <w:rFonts w:asciiTheme="minorHAnsi" w:eastAsiaTheme="minorHAnsi" w:hAnsiTheme="minorHAnsi" w:cstheme="minorBidi"/>
          <w:b w:val="0"/>
          <w:snapToGrid/>
          <w:color w:val="auto"/>
          <w:lang w:val="en-GB" w:eastAsia="en-US" w:bidi="ar-SA"/>
        </w:rPr>
        <w:commentReference w:id="13"/>
      </w:r>
    </w:p>
    <w:p w14:paraId="4E5F27A8" w14:textId="5FE5DBEB" w:rsidR="001B10E5" w:rsidRPr="0068119A" w:rsidRDefault="004D573A" w:rsidP="00A6625D">
      <w:pPr>
        <w:pStyle w:val="MDPI31text"/>
        <w:spacing w:line="276" w:lineRule="auto"/>
      </w:pPr>
      <w:r w:rsidRPr="007B3C03">
        <w:t>A major factor linking the transmission of both intestinal schistosomiasis and giardiasis is their transfaecal environmental contamination routes via</w:t>
      </w:r>
      <w:r w:rsidRPr="007B3C03">
        <w:rPr>
          <w:i/>
          <w:iCs/>
        </w:rPr>
        <w:t xml:space="preserve"> </w:t>
      </w:r>
      <w:r w:rsidRPr="007B3C03">
        <w:t xml:space="preserve">the </w:t>
      </w:r>
      <w:r w:rsidRPr="00FE73B6">
        <w:t>excretion of schistosome eggs (</w:t>
      </w:r>
      <w:r w:rsidRPr="00FE73B6">
        <w:rPr>
          <w:i/>
          <w:iCs/>
        </w:rPr>
        <w:t>S. mansoni</w:t>
      </w:r>
      <w:r w:rsidRPr="00FE73B6">
        <w:t>) or cysts (</w:t>
      </w:r>
      <w:r w:rsidRPr="00FE73B6">
        <w:rPr>
          <w:i/>
          <w:iCs/>
        </w:rPr>
        <w:t>G. duodenalis</w:t>
      </w:r>
      <w:r w:rsidRPr="00FE73B6">
        <w:t>) into a viable body of freshwater.</w:t>
      </w:r>
      <w:r w:rsidR="00C14845" w:rsidRPr="00FE73B6">
        <w:t xml:space="preserve"> </w:t>
      </w:r>
      <w:r w:rsidR="00AB32F0" w:rsidRPr="00FE73B6">
        <w:t xml:space="preserve">Although waterbourne transmission </w:t>
      </w:r>
      <w:r w:rsidR="00837EA6" w:rsidRPr="00FE73B6">
        <w:t xml:space="preserve">is not required for </w:t>
      </w:r>
      <w:r w:rsidR="00837EA6" w:rsidRPr="00FE73B6">
        <w:rPr>
          <w:i/>
          <w:iCs/>
        </w:rPr>
        <w:t xml:space="preserve">G. duodenalis </w:t>
      </w:r>
      <w:r w:rsidR="00837EA6" w:rsidRPr="00FE73B6">
        <w:t>to complete its life cycle,</w:t>
      </w:r>
      <w:r w:rsidR="00A6625D" w:rsidRPr="00FE73B6">
        <w:t xml:space="preserve"> </w:t>
      </w:r>
      <w:r w:rsidR="00E82262" w:rsidRPr="00FE73B6">
        <w:t xml:space="preserve">and whilst </w:t>
      </w:r>
      <w:r w:rsidRPr="00FE73B6">
        <w:t>not all eggs or cysts will successfully reach a viable freshwater habitat, in a disease-endemic setting, many environmental water bodies will undergo some extent of direct or indirect faecal contamination</w:t>
      </w:r>
      <w:r w:rsidR="00722188" w:rsidRPr="00FE73B6">
        <w:t xml:space="preserve"> with both parasites</w:t>
      </w:r>
      <w:r w:rsidR="0055251D">
        <w:t xml:space="preserve"> </w:t>
      </w:r>
      <w:r>
        <w:t xml:space="preserve">(Figure 1) </w:t>
      </w:r>
      <w:r>
        <w:fldChar w:fldCharType="begin" w:fldLock="1"/>
      </w:r>
      <w:r w:rsidR="001A0DC3">
        <w:instrText>ADDIN CSL_CITATION {"citationItems":[{"id":"ITEM-1","itemData":{"DOI":"10.1016/S0140-6736(13)61949-2","ISSN":"1474547X","PMID":"24698483","abstract":"Human schistosomiasis-or bilharzia-is a parasitic disease caused by trematode fl ukes of the genus Schistosoma. By conservative estimates, at least 230 million people worldwide are infected with Schistosoma spp. Adult schistosome worms colonise human blood vessels for years, successfully evading the immune system while excreting hundreds to thousands of eggs daily, which must either leave the body in excreta or become trapped in nearby tissues. Trapped eggs induce a distinct immune-mediated granulomatous response that causes local and systemic pathological eff ects ranging from anaemia, growth stunting, impaired cognition, and decreased physical fi tness, to organ-specifi c eff ects such as severe hepatosplenism, periportal fi brosis with portal hypertension, and urogenital infl ammation and scarring. At present, preventive public health measures in endemic regions consist of treatment once every 1 or 2 years with the isoquinolinone drug, praziquantel, to suppress morbidity. In some locations, elimination of transmission is now the goal; however, more sensitive diagnostics are needed in both the fi eld and clinics, and integrated environmental and health-care management will be needed to ensure elimination. © Chataway et al. Open Access article distributed under the terms of CC BY.","author":[{"dropping-particle":"","family":"Colley","given":"Daniel G.","non-dropping-particle":"","parse-names":false,"suffix":""},{"dropping-particle":"","family":"Bustinduy","given":"Amaya L.","non-dropping-particle":"","parse-names":false,"suffix":""},{"dropping-particle":"","family":"Secor","given":"W. Evan","non-dropping-particle":"","parse-names":false,"suffix":""},{"dropping-particle":"","family":"King","given":"Charles H.","non-dropping-particle":"","parse-names":false,"suffix":""}],"container-title":"The Lancet","id":"ITEM-1","issue":"9936","issued":{"date-parts":[["2014"]]},"page":"2253-2264","title":"Human schistosomiasis","type":"article-journal","volume":"383"},"uris":["http://www.mendeley.com/documents/?uuid=46c0ccda-c7d4-4ebb-9de2-f2e77eeb7978"]},{"id":"ITEM-2","itemData":{"ISBN":"012031732X","author":[{"dropping-particle":"","family":"Thompson","given":"R C A","non-dropping-particle":"","parse-names":false,"suffix":""},{"dropping-particle":"","family":"Reynoldson","given":"J A","non-dropping-particle":"","parse-names":false,"suffix":""},{"dropping-particle":"","family":"Sciences","given":"Biomedical","non-dropping-particle":"","parse-names":false,"suffix":""}],"id":"ITEM-2","issued":{"date-parts":[["1993"]]},"title":"Giardia and Giardiasis","type":"article-journal"},"uris":["http://www.mendeley.com/documents/?uuid=e6814605-b721-4255-a517-1aa27147b91d"]},{"id":"ITEM-3","itemData":{"URL":"https://www.cdc.gov/parasites/schistosomiasis/biology.html","accessed":{"date-parts":[["2020","7","1"]]},"id":"ITEM-3","issued":{"date-parts":[["0"]]},"title":"Centers for Disease Control and Prevention (CDC), USA: Schistosomiasis, About, Life Cycle.","type":"webpage"},"uris":["http://www.mendeley.com/documents/?uuid=33bcbbbb-9c7d-4bbc-948f-acc6807df99c"]},{"id":"ITEM-4","itemData":{"URL":"https://www.cdc.gov/dpdx/giardiasis/index.html#:~:text=The spectrum varies from asymptomatic carriage to severe,include diarrhea%2C abdominal pain%2C bloating%2C nausea%2C and vomiting.","accessed":{"date-parts":[["2020","7","1"]]},"id":"ITEM-4","issued":{"date-parts":[["0"]]},"title":"Centers for Disease Control and Prevention (CDC), USA: Giardiasis, About, Life Cycle.","type":"webpage"},"uris":["http://www.mendeley.com/documents/?uuid=0627bc93-ffce-494c-8921-4585bddd41a9"]}],"mendeley":{"formattedCitation":"[3,4,26,27]","plainTextFormattedCitation":"[3,4,26,27]","previouslyFormattedCitation":"[3,4,26,27]"},"properties":{"noteIndex":0},"schema":"https://github.com/citation-style-language/schema/raw/master/csl-citation.json"}</w:instrText>
      </w:r>
      <w:r>
        <w:fldChar w:fldCharType="separate"/>
      </w:r>
      <w:r w:rsidR="001D3544" w:rsidRPr="001D3544">
        <w:rPr>
          <w:noProof/>
        </w:rPr>
        <w:t>[3,4,26,27]</w:t>
      </w:r>
      <w:r>
        <w:fldChar w:fldCharType="end"/>
      </w:r>
      <w:r>
        <w:t>.</w:t>
      </w:r>
      <w:r w:rsidR="00A6625D">
        <w:t xml:space="preserve"> </w:t>
      </w:r>
      <w:r w:rsidR="00F825C1">
        <w:t>Indirect faecal contamination</w:t>
      </w:r>
      <w:r w:rsidR="000D400F">
        <w:t xml:space="preserve"> </w:t>
      </w:r>
      <w:r w:rsidR="00AC381C">
        <w:t xml:space="preserve">of freshwater </w:t>
      </w:r>
      <w:r w:rsidR="00913BDE">
        <w:t>can occur</w:t>
      </w:r>
      <w:r w:rsidR="00023399">
        <w:t>, for example,</w:t>
      </w:r>
      <w:r w:rsidR="00913BDE">
        <w:t xml:space="preserve"> whilst </w:t>
      </w:r>
      <w:r w:rsidR="008860AE">
        <w:t>bathing</w:t>
      </w:r>
      <w:r w:rsidR="00695E57">
        <w:t xml:space="preserve">, through infected stools deposited on the banks of rivers and </w:t>
      </w:r>
      <w:commentRangeStart w:id="14"/>
      <w:r w:rsidR="00695E57">
        <w:t>po</w:t>
      </w:r>
      <w:r w:rsidR="00703780">
        <w:t>n</w:t>
      </w:r>
      <w:r w:rsidR="00695E57">
        <w:t>ds</w:t>
      </w:r>
      <w:commentRangeEnd w:id="14"/>
      <w:r w:rsidR="005D4465">
        <w:rPr>
          <w:rStyle w:val="CommentReference"/>
          <w:rFonts w:asciiTheme="minorHAnsi" w:eastAsiaTheme="minorHAnsi" w:hAnsiTheme="minorHAnsi" w:cstheme="minorBidi"/>
          <w:snapToGrid/>
          <w:color w:val="auto"/>
          <w:lang w:val="en-GB" w:eastAsia="en-US" w:bidi="ar-SA"/>
        </w:rPr>
        <w:commentReference w:id="14"/>
      </w:r>
      <w:r w:rsidR="002A2B6F">
        <w:t xml:space="preserve"> being washed into </w:t>
      </w:r>
      <w:r w:rsidR="00AF67C9">
        <w:t xml:space="preserve">these </w:t>
      </w:r>
      <w:r w:rsidR="00363812">
        <w:t>water</w:t>
      </w:r>
      <w:r w:rsidR="009700CE">
        <w:t>s</w:t>
      </w:r>
      <w:r w:rsidR="002A2B6F">
        <w:t xml:space="preserve"> by heavy rains or floods, </w:t>
      </w:r>
      <w:r w:rsidR="00472BEA">
        <w:t xml:space="preserve">through </w:t>
      </w:r>
      <w:r w:rsidR="004749F9">
        <w:t>overflowing pit latrines</w:t>
      </w:r>
      <w:r w:rsidR="00474587">
        <w:t xml:space="preserve"> and </w:t>
      </w:r>
      <w:r w:rsidR="00B457EB">
        <w:t xml:space="preserve">possibly through animals such as cattle walking through </w:t>
      </w:r>
      <w:r w:rsidR="00D24AB7">
        <w:t>sites of defecation and transporting faecal matter to bodies of water on their hooves</w:t>
      </w:r>
      <w:r w:rsidR="00A634FF">
        <w:t xml:space="preserve"> </w:t>
      </w:r>
      <w:r w:rsidR="00B83B1A">
        <w:fldChar w:fldCharType="begin" w:fldLock="1"/>
      </w:r>
      <w:r w:rsidR="001A0DC3">
        <w:instrText xml:space="preserve">ADDIN CSL_CITATION {"citationItems":[{"id":"ITEM-1","itemData":{"DOI":"10.1016/j.trstmh.2008.02.016","ISSN":"00359203","abstract":"Transmission of Schistosoma mansoni depends on fecal eggs reaching water, but the way this happens is poorly understood. We studied the role of hygienic bathing after defecation in the contamination of water with S. mansoni eggs. Individuals in an endemic community in Northern Senegal (n = 991) were examined for S. mansoni infection and a random sample (22%) was interviewed about stool disposal practices and hygienic behavior. We assessed the presence and viability of S. mansoni eggs adhering to the peri-anal region of 13 infected volunteers, by counting the miracidia in the water they had used for hygienic washing; for 10 of them (77%) miracidia were demonstrated. From the population infection distribution, average number of defecations per day, proportion of individuals bathing after defecation, and association between miracidial counts and infection intensity, we calculated a daily population miracidial output of </w:instrText>
      </w:r>
      <w:r w:rsidR="001A0DC3">
        <w:rPr>
          <w:rFonts w:ascii="Cambria Math" w:hAnsi="Cambria Math" w:cs="Cambria Math"/>
        </w:rPr>
        <w:instrText>∼</w:instrText>
      </w:r>
      <w:r w:rsidR="001A0DC3">
        <w:instrText xml:space="preserve">30 000 through hygienic bathing. For comparison, one complete stool reaching the water was calculated to yield </w:instrText>
      </w:r>
      <w:r w:rsidR="001A0DC3">
        <w:rPr>
          <w:rFonts w:ascii="Cambria Math" w:hAnsi="Cambria Math" w:cs="Cambria Math"/>
        </w:rPr>
        <w:instrText>∼</w:instrText>
      </w:r>
      <w:r w:rsidR="001A0DC3">
        <w:instrText>2500 miracidia. Thus, 12 individuals in this population should defecate into the water every day to produce the same number of miracidia as through hygienic bathing. Our results suggest a major role of hygienic bathing after defecation in the transmission of S. mansoni. © 2008 Royal Society of Tropical Medicine and Hygiene.","author":[{"dropping-particle":"","family":"Sow","given":"Seydou","non-dropping-particle":"","parse-names":false,"suffix":""},{"dropping-particle":"","family":"Polman","given":"Katja","non-dropping-particle":"","parse-names":false,"suffix":""},{"dropping-particle":"","family":"Vereecken","given":"Kim","non-dropping-particle":"","parse-names":false,"suffix":""},{"dropping-particle":"","family":"Vercruysse","given":"Jozef","non-dropping-particle":"","parse-names":false,"suffix":""},{"dropping-particle":"","family":"Gryseels","given":"Bruno","non-dropping-particle":"","parse-names":false,"suffix":""},{"dropping-particle":"","family":"Vlas","given":"Sake J.","non-dropping-particle":"de","parse-names":false,"suffix":""}],"container-title":"Transactions of the Royal Society of Tropical Medicine and Hygiene","id":"ITEM-1","issue":"6","issued":{"date-parts":[["2008"]]},"page":"542-547","title":"The role of hygienic bathing after defecation in the transmission of Schistosoma mansoni","type":"article-journal","volume":"102"},"uris":["http://www.mendeley.com/documents/?uuid=fdb6f6fe-c29e-4a1e-b88d-e376a866913e"]},{"id":"ITEM-2","itemData":{"DOI":"10.1016/S1471-4922(01)01937-7","ISSN":"14714922","abstract":"Schistosomiasis occurs under a wide variety of climatic, geographical and other conditions. The basic reason for the transmission of schistosomes is, however, the low level of sanitation in endemic areas with the result that faeces or urine, or both, containing schistosome eggs get into water that contains freshwater snails susceptible to infection. Unfortunately, the degree of contamination of natural habitats with schistosome ova is difficult to estimate; consequently, there are few data on how much contamination, relative to a defined snail population density, is necessary to initiate or maintain transmission of schistosomiasis. This article discusses a little-used method to estimate the degree of contamination or transmission - the index of potential contamination (IPC). The expected changes in IPC after praziquantel treatment will be considered, as well as the level of reduction in IPC that might be needed to affect transmission or reduce morbidity.","author":[{"dropping-particle":"","family":"Vercruysse","given":"Jozef","non-dropping-particle":"","parse-names":false,"suffix":""},{"dropping-particle":"","family":"Shaw","given":"Darren J.","non-dropping-particle":"","parse-names":false,"suffix":""},{"dropping-particle":"","family":"Bont","given":"Jan","non-dropping-particle":"De","parse-names":false,"suffix":""}],"container-title":"Trends in Parasitology","id":"ITEM-2","issue":"6","issued":{"date-parts":[["2001"]]},"page":"256-261","title":"Index of potential contamination for schistosomiasis","type":"article-journal","volume":"17"},"uris":["http://www.mendeley.com/documents/?uuid=9ee1cad0-9b88-4268-9102-f20284aa594c"]}],"mendeley":{"formattedCitation":"[28,29]","plainTextFormattedCitation":"[28,29]","previouslyFormattedCitation":"[28,29]"},"properties":{"noteIndex":0},"schema":"https://github.com/citation-style-language/schema/raw/master/csl-citation.json"}</w:instrText>
      </w:r>
      <w:r w:rsidR="00B83B1A">
        <w:fldChar w:fldCharType="separate"/>
      </w:r>
      <w:r w:rsidR="001D3544" w:rsidRPr="001D3544">
        <w:rPr>
          <w:noProof/>
        </w:rPr>
        <w:t>[28,29]</w:t>
      </w:r>
      <w:r w:rsidR="00B83B1A">
        <w:fldChar w:fldCharType="end"/>
      </w:r>
      <w:r w:rsidR="00B83B1A">
        <w:t xml:space="preserve">. </w:t>
      </w:r>
      <w:r w:rsidR="0068119A">
        <w:rPr>
          <w:i/>
          <w:iCs/>
        </w:rPr>
        <w:t xml:space="preserve">S. mansoni </w:t>
      </w:r>
      <w:r w:rsidR="0068119A">
        <w:t>eggs can survive up to approximately eight days in the stool post-defecation and before reaching freshwater,</w:t>
      </w:r>
      <w:r w:rsidR="00033D2B">
        <w:t xml:space="preserve"> whereas </w:t>
      </w:r>
      <w:r w:rsidR="00033D2B">
        <w:rPr>
          <w:i/>
          <w:iCs/>
        </w:rPr>
        <w:t xml:space="preserve">Giardia </w:t>
      </w:r>
      <w:r w:rsidR="00033D2B">
        <w:t>cysts can survive up to eight weeks in the environment</w:t>
      </w:r>
      <w:r w:rsidR="0068119A">
        <w:t xml:space="preserve"> </w:t>
      </w:r>
      <w:r w:rsidR="00E92F56">
        <w:fldChar w:fldCharType="begin" w:fldLock="1"/>
      </w:r>
      <w:r w:rsidR="001A0DC3">
        <w:instrText>ADDIN CSL_CITATION {"citationItems":[{"id":"ITEM-1","itemData":{"DOI":"10.1186/s13071-015-0766-9","ISSN":"17563305","PMID":"25884172","abstract":"Schistosomiasis is a disease caused by infection with blood flukes of the genus Schistosoma. Transmission of, and exposure to, the parasite result from faecal or urinary contamination of freshwater containing intermediate host snails, and dermal contact with the same water. The World Health Assembly resolution 65.21 from May 2012 urges member states to eliminate schistosomiasis through preventive chemotherapy (i.e. periodic large-scale administration of the antischistosomal drug praziquantel to school-aged children and other high-risk groups), provision of water, sanitation and hygiene (WASH) and snail control. However, control measures focus almost exclusively on preventive chemotherapy, while only few studies made an attempt to determine the impact of upgraded access to safe water, adequate sanitation and good hygiene on schistosome transmission. We recently completed a systematic review and meta-analysis pertaining to WASH and schistosomiasis and found that people with safe water and adequate sanitation have significantly lower odds of a Schistosoma infection. Importantly though, the transmission of schistosomiasis is deeply entrenched in social-ecological systems, and hence is governed by setting-specific cultural and environmental factors that determine human behaviour and snail populations. Here, we provide a comprehensive review of the literature, which explores the transmission routes of schistosomes, particularly focussing on how these might be disrupted with WASH-related technologies and human behaviour. Additionally, future research directions in this area are highlighted.","author":[{"dropping-particle":"","family":"Grimes","given":"Jack Et","non-dropping-particle":"","parse-names":false,"suffix":""},{"dropping-particle":"","family":"Croll","given":"David","non-dropping-particle":"","parse-names":false,"suffix":""},{"dropping-particle":"","family":"Harrison","given":"Wendy E.","non-dropping-particle":"","parse-names":false,"suffix":""},{"dropping-particle":"","family":"Utzinger","given":"Jürg","non-dropping-particle":"","parse-names":false,"suffix":""},{"dropping-particle":"","family":"Freeman","given":"Matthew C.","non-dropping-particle":"","parse-names":false,"suffix":""},{"dropping-particle":"","family":"Templeton","given":"Michael R.","non-dropping-particle":"","parse-names":false,"suffix":""}],"container-title":"Parasites and Vectors","id":"ITEM-1","issue":"1","issued":{"date-parts":[["2015"]]},"page":"1-16","title":"The roles of water, sanitation and hygiene in reducing schistosomiasis: A review","type":"article-journal","volume":"8"},"uris":["http://www.mendeley.com/documents/?uuid=919febbb-fbaf-476a-bc1d-d88ec1864e31"]},{"id":"ITEM-2","itemData":{"ISBN":"012031732X","author":[{"dropping-particle":"","family":"Thompson","given":"R C A","non-dropping-particle":"","parse-names":false,"suffix":""},{"dropping-particle":"","family":"Reynoldson","given":"J A","non-dropping-particle":"","parse-names":false,"suffix":""},{"dropping-particle":"","family":"Sciences","given":"Biomedical","non-dropping-particle":"","parse-names":false,"suffix":""}],"id":"ITEM-2","issued":{"date-parts":[["1993"]]},"title":"Giardia and Giardiasis","type":"article-journal"},"uris":["http://www.mendeley.com/documents/?uuid=e6814605-b721-4255-a517-1aa27147b91d"]}],"mendeley":{"formattedCitation":"[4,30]","plainTextFormattedCitation":"[4,30]","previouslyFormattedCitation":"[4,30]"},"properties":{"noteIndex":0},"schema":"https://github.com/citation-style-language/schema/raw/master/csl-citation.json"}</w:instrText>
      </w:r>
      <w:r w:rsidR="00E92F56">
        <w:fldChar w:fldCharType="separate"/>
      </w:r>
      <w:r w:rsidR="001D3544" w:rsidRPr="001D3544">
        <w:rPr>
          <w:noProof/>
        </w:rPr>
        <w:t>[4,30]</w:t>
      </w:r>
      <w:r w:rsidR="00E92F56">
        <w:fldChar w:fldCharType="end"/>
      </w:r>
      <w:r w:rsidR="00F4004C">
        <w:t xml:space="preserve"> (Table 1)</w:t>
      </w:r>
      <w:r w:rsidR="00C47A4C">
        <w:t>.</w:t>
      </w:r>
    </w:p>
    <w:p w14:paraId="40071B63" w14:textId="77777777" w:rsidR="007305DA" w:rsidRDefault="007305DA" w:rsidP="007305DA">
      <w:pPr>
        <w:pStyle w:val="MDPI52figure"/>
        <w:spacing w:line="276" w:lineRule="auto"/>
        <w:jc w:val="left"/>
        <w:rPr>
          <w:noProof/>
          <w:snapToGrid/>
        </w:rPr>
      </w:pPr>
    </w:p>
    <w:p w14:paraId="112BD96B" w14:textId="718AB913" w:rsidR="00843308" w:rsidRPr="00843308" w:rsidRDefault="007C2106" w:rsidP="00843308">
      <w:pPr>
        <w:pStyle w:val="MDPI52figure"/>
        <w:spacing w:line="276" w:lineRule="auto"/>
        <w:rPr>
          <w:noProof/>
          <w:snapToGrid/>
        </w:rPr>
      </w:pPr>
      <w:r>
        <w:rPr>
          <w:noProof/>
          <w:snapToGrid/>
        </w:rPr>
        <mc:AlternateContent>
          <mc:Choice Requires="wpg">
            <w:drawing>
              <wp:anchor distT="0" distB="0" distL="114300" distR="114300" simplePos="0" relativeHeight="251661312" behindDoc="0" locked="0" layoutInCell="1" allowOverlap="1" wp14:anchorId="71EAFCA5" wp14:editId="1E9A91BF">
                <wp:simplePos x="0" y="0"/>
                <wp:positionH relativeFrom="column">
                  <wp:posOffset>4146822</wp:posOffset>
                </wp:positionH>
                <wp:positionV relativeFrom="paragraph">
                  <wp:posOffset>1348740</wp:posOffset>
                </wp:positionV>
                <wp:extent cx="1698172" cy="889907"/>
                <wp:effectExtent l="0" t="0" r="3810" b="0"/>
                <wp:wrapNone/>
                <wp:docPr id="9" name="Group 9"/>
                <wp:cNvGraphicFramePr/>
                <a:graphic xmlns:a="http://schemas.openxmlformats.org/drawingml/2006/main">
                  <a:graphicData uri="http://schemas.microsoft.com/office/word/2010/wordprocessingGroup">
                    <wpg:wgp>
                      <wpg:cNvGrpSpPr/>
                      <wpg:grpSpPr>
                        <a:xfrm>
                          <a:off x="0" y="0"/>
                          <a:ext cx="1698172" cy="889907"/>
                          <a:chOff x="0" y="0"/>
                          <a:chExt cx="1698172" cy="889907"/>
                        </a:xfrm>
                      </wpg:grpSpPr>
                      <wps:wsp>
                        <wps:cNvPr id="3" name="Rectangle 3"/>
                        <wps:cNvSpPr/>
                        <wps:spPr>
                          <a:xfrm>
                            <a:off x="0" y="661307"/>
                            <a:ext cx="1363436"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34736" y="0"/>
                            <a:ext cx="1363436"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2FD15B48" id="Group 9" o:spid="_x0000_s1026" style="position:absolute;margin-left:326.5pt;margin-top:106.2pt;width:133.7pt;height:70.05pt;z-index:251661312" coordsize="16981,8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49hHgMAALAKAAAOAAAAZHJzL2Uyb0RvYy54bWzsVltP2zAUfp+0/2D5fSRpSy8RKapgoElo&#10;IGDi2XWci+TYnu027X79ju0kZcDQxqQ90YfU9rl/PudLTk53DUdbpk0tRYaToxgjJqjMa1Fm+Nv9&#10;xac5RsYSkRMuBcvwnhl8uvz44aRVKRvJSvKcaQROhElbleHKWpVGkaEVa4g5kooJEBZSN8TCVpdR&#10;rkkL3hsejeJ4GrVS50pLyoyB0/MgxEvvvygYtddFYZhFPMOQm/VP7Z9r94yWJyQtNVFVTbs0yBuy&#10;aEgtIOjg6pxYgja6fuaqqamWRhb2iMomkkVRU+ZrgGqS+Ek1l1pulK+lTNtSDTABtE9werNb+nV7&#10;o1GdZ3iBkSANXJGPihYOmlaVKWhcanWnbnR3UIadq3ZX6Mb9Qx1o50HdD6CynUUUDpPpYp7MRhhR&#10;kM3ni0U8C6jTCq7mmRmtPr9uGPVhI5fdkEyroIHMASPzbxjdVUQxD71xCHQYjXuMbqGxiCg5Q+OA&#10;k9caQDKpAbx+i9B0mox7FAaYxtPxZDwNMI1G82nsm3OolqRKG3vJZIPcIsMaUvAtR7ZXxsLdgGqv&#10;4iIbyev8oubcb9w8sTOu0ZbAJKzLxKUNFr9oceF0hXRWQexOAOe+Hr+ye86cHhe3rIDWgTse+UT8&#10;0B6CEEqZsEkQVSRnIfZxDL8+ep+Wz8U7dJ4LiD/47hz0msFJ7ztk2ek7U+ZnfjCOX0ssGA8WPrIU&#10;djBuaiH1Sw44VNVFDvo9SAEah9Ja5ntoGi0D4xhFL2q4titi7A3RQDFARkCb9hoeBZdthmW3wqiS&#10;+sdL504fuhqkGLVAWRk23zdEM4z4FwH9vkgmE8dxfjM5no1gox9L1o8lYtOcSeiFBAhaUb90+pb3&#10;y0LL5gHYdeWigogICrEzTK3uN2c2UCnwM2WrlVcDXlPEXok7RZ1zh6pry/vdA9Gq610LXf9V9jNG&#10;0ictHHSdpZCrjZVF7fv7gGuHN8y746j/MPjwFgvkeBj8+V8N/ng8mbnpfoEf3wf/ffAdBbwPfkcS&#10;fzj4/v0Pn0X+3dF9wrnvrsd7TxSHD83lTwAAAP//AwBQSwMEFAAGAAgAAAAhACOE2eHnAAAAEAEA&#10;AA8AAABkcnMvZG93bnJldi54bWxMj09rwzAMxe+DfQejwW6rE2cpaxqnlO7PqRTWDspubqwmobEd&#10;YjdJv/2003YREpLee798NZmWDdj7xlkJ8SwChrZ0urGVhK/D+9MLMB+U1ap1FiXc0MOquL/LVabd&#10;aD9x2IeKkYj1mZJQh9BlnPuyRqP8zHVoaXd2vVGBxr7iulcjiZuWiyiac6MaSw616nBTY3nZX42E&#10;j1GN6yR+G7aX8+b2fUh3x22MUj4+TK9LKuslsIBT+PuAXwbKDwUFO7mr1Z61EuZpQkBBgojFMzC6&#10;WIiImpOEJBUp8CLn/0GKHwAAAP//AwBQSwECLQAUAAYACAAAACEAtoM4kv4AAADhAQAAEwAAAAAA&#10;AAAAAAAAAAAAAAAAW0NvbnRlbnRfVHlwZXNdLnhtbFBLAQItABQABgAIAAAAIQA4/SH/1gAAAJQB&#10;AAALAAAAAAAAAAAAAAAAAC8BAABfcmVscy8ucmVsc1BLAQItABQABgAIAAAAIQAWF49hHgMAALAK&#10;AAAOAAAAAAAAAAAAAAAAAC4CAABkcnMvZTJvRG9jLnhtbFBLAQItABQABgAIAAAAIQAjhNnh5wAA&#10;ABABAAAPAAAAAAAAAAAAAAAAAHgFAABkcnMvZG93bnJldi54bWxQSwUGAAAAAAQABADzAAAAjAYA&#10;AAAA&#10;">
                <v:rect id="Rectangle 3" o:spid="_x0000_s1027" style="position:absolute;top:6613;width:1363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E9yAAAAN8AAAAPAAAAZHJzL2Rvd25yZXYueG1sRI/NasMw&#10;EITvhb6D2EIvJZFTQSlOlJC2FHLpIT+UHBdrY4lYK2MpttOnrwqBXgaGYb5hFqvRN6KnLrrAGmbT&#10;AgRxFYzjWsNh/zl5BRETssEmMGm4UoTV8v5ugaUJA2+p36VaZAjHEjXYlNpSylhZ8hinoSXO2Sl0&#10;HlO2XS1Nh0OG+0Y+F8WL9Og4L1hs6d1Sdd5dvIavq1Kb/kmdh4NTtfuRx7dvG7R+fBg/5lnWcxCJ&#10;xvTfuCE2RoOCvz/5C8jlLwAAAP//AwBQSwECLQAUAAYACAAAACEA2+H2y+4AAACFAQAAEwAAAAAA&#10;AAAAAAAAAAAAAAAAW0NvbnRlbnRfVHlwZXNdLnhtbFBLAQItABQABgAIAAAAIQBa9CxbvwAAABUB&#10;AAALAAAAAAAAAAAAAAAAAB8BAABfcmVscy8ucmVsc1BLAQItABQABgAIAAAAIQBlG9E9yAAAAN8A&#10;AAAPAAAAAAAAAAAAAAAAAAcCAABkcnMvZG93bnJldi54bWxQSwUGAAAAAAMAAwC3AAAA/AIAAAAA&#10;" fillcolor="white [3212]" stroked="f" strokeweight="1pt"/>
                <v:rect id="Rectangle 8" o:spid="_x0000_s1028" style="position:absolute;left:3347;width:1363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NMyAAAAN8AAAAPAAAAZHJzL2Rvd25yZXYueG1sRI/BSsNA&#10;EIbvQt9hGcGLtBsbEEm7LVYp9OLBWsTjkJ1ml2ZnQ3ZNUp/eOQheBn6G/5v51tsptGqgPvnIBh4W&#10;BSjiOlrPjYHTx37+BCplZIttZDJwpQTbzexmjZWNI7/TcMyNEginCg24nLtK61Q7CpgWsSOW3Tn2&#10;AbPEvtG2x1HgodXLonjUAT3LBYcdvTiqL8fvYODtWpaH4b68jCdfNv5Hf+0+XTTm7nZ6Xcl4XoHK&#10;NOX/xh/iYA3Iw+IjLqA3vwAAAP//AwBQSwECLQAUAAYACAAAACEA2+H2y+4AAACFAQAAEwAAAAAA&#10;AAAAAAAAAAAAAAAAW0NvbnRlbnRfVHlwZXNdLnhtbFBLAQItABQABgAIAAAAIQBa9CxbvwAAABUB&#10;AAALAAAAAAAAAAAAAAAAAB8BAABfcmVscy8ucmVsc1BLAQItABQABgAIAAAAIQBrv0NMyAAAAN8A&#10;AAAPAAAAAAAAAAAAAAAAAAcCAABkcnMvZG93bnJldi54bWxQSwUGAAAAAAMAAwC3AAAA/AIAAAAA&#10;" fillcolor="white [3212]" stroked="f" strokeweight="1pt"/>
              </v:group>
            </w:pict>
          </mc:Fallback>
        </mc:AlternateContent>
      </w:r>
      <w:r w:rsidR="00843308">
        <w:rPr>
          <w:noProof/>
          <w:snapToGrid/>
        </w:rPr>
        <w:drawing>
          <wp:inline distT="0" distB="0" distL="0" distR="0" wp14:anchorId="50FD55F7" wp14:editId="0F2EB18F">
            <wp:extent cx="5846619" cy="428893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 Diagram.pdf"/>
                    <pic:cNvPicPr/>
                  </pic:nvPicPr>
                  <pic:blipFill rotWithShape="1">
                    <a:blip r:embed="rId12" cstate="print">
                      <a:extLst>
                        <a:ext uri="{28A0092B-C50C-407E-A947-70E740481C1C}">
                          <a14:useLocalDpi xmlns:a14="http://schemas.microsoft.com/office/drawing/2010/main" val="0"/>
                        </a:ext>
                      </a:extLst>
                    </a:blip>
                    <a:srcRect l="24673" t="19793" b="9472"/>
                    <a:stretch/>
                  </pic:blipFill>
                  <pic:spPr bwMode="auto">
                    <a:xfrm>
                      <a:off x="0" y="0"/>
                      <a:ext cx="5857421" cy="4296858"/>
                    </a:xfrm>
                    <a:prstGeom prst="rect">
                      <a:avLst/>
                    </a:prstGeom>
                    <a:ln>
                      <a:noFill/>
                    </a:ln>
                    <a:extLst>
                      <a:ext uri="{53640926-AAD7-44D8-BBD7-CCE9431645EC}">
                        <a14:shadowObscured xmlns:a14="http://schemas.microsoft.com/office/drawing/2010/main"/>
                      </a:ext>
                    </a:extLst>
                  </pic:spPr>
                </pic:pic>
              </a:graphicData>
            </a:graphic>
          </wp:inline>
        </w:drawing>
      </w:r>
    </w:p>
    <w:p w14:paraId="2ED94F04" w14:textId="53DB45BD" w:rsidR="00BA6EFB" w:rsidRPr="00310EF5" w:rsidRDefault="004E6AB6" w:rsidP="00310EF5">
      <w:pPr>
        <w:pStyle w:val="MDPI51figurecaption"/>
        <w:spacing w:line="276" w:lineRule="auto"/>
      </w:pPr>
      <w:commentRangeStart w:id="15"/>
      <w:r w:rsidRPr="00E43484">
        <w:rPr>
          <w:b/>
        </w:rPr>
        <w:t>Figure 1</w:t>
      </w:r>
      <w:commentRangeEnd w:id="15"/>
      <w:r w:rsidR="00710390" w:rsidRPr="00E43484">
        <w:rPr>
          <w:rStyle w:val="CommentReference"/>
          <w:rFonts w:asciiTheme="minorHAnsi" w:eastAsiaTheme="minorHAnsi" w:hAnsiTheme="minorHAnsi" w:cstheme="minorBidi"/>
          <w:color w:val="auto"/>
          <w:lang w:val="en-GB" w:eastAsia="en-US" w:bidi="ar-SA"/>
        </w:rPr>
        <w:commentReference w:id="15"/>
      </w:r>
      <w:r w:rsidRPr="00E43484">
        <w:rPr>
          <w:b/>
        </w:rPr>
        <w:t xml:space="preserve">. </w:t>
      </w:r>
      <w:r w:rsidR="005C7D47" w:rsidRPr="00E43484">
        <w:t>T</w:t>
      </w:r>
      <w:r w:rsidR="00BA6EFB" w:rsidRPr="00E43484">
        <w:t xml:space="preserve">ransmission routes of </w:t>
      </w:r>
      <w:r w:rsidR="00BA6EFB" w:rsidRPr="00E43484">
        <w:rPr>
          <w:i/>
          <w:iCs/>
        </w:rPr>
        <w:t xml:space="preserve">S. mansoni </w:t>
      </w:r>
      <w:r w:rsidR="0089107F" w:rsidRPr="00E43484">
        <w:t>(red</w:t>
      </w:r>
      <w:r w:rsidR="00A32D0D" w:rsidRPr="00E43484">
        <w:t>, 1-4</w:t>
      </w:r>
      <w:r w:rsidR="0089107F" w:rsidRPr="00E43484">
        <w:t xml:space="preserve">) </w:t>
      </w:r>
      <w:r w:rsidR="00BA6EFB" w:rsidRPr="00E43484">
        <w:t xml:space="preserve">and </w:t>
      </w:r>
      <w:r w:rsidR="00BA6EFB" w:rsidRPr="00E43484">
        <w:rPr>
          <w:i/>
          <w:iCs/>
        </w:rPr>
        <w:t>G. duodenalis</w:t>
      </w:r>
      <w:r w:rsidR="0089107F" w:rsidRPr="00E43484">
        <w:rPr>
          <w:i/>
          <w:iCs/>
        </w:rPr>
        <w:t xml:space="preserve"> </w:t>
      </w:r>
      <w:r w:rsidR="0089107F" w:rsidRPr="00E43484">
        <w:t>(blue</w:t>
      </w:r>
      <w:r w:rsidR="008307D5" w:rsidRPr="00E43484">
        <w:t>, 5-8 and 9</w:t>
      </w:r>
      <w:r w:rsidR="0089107F" w:rsidRPr="00E43484">
        <w:t>)</w:t>
      </w:r>
      <w:r w:rsidR="00960607" w:rsidRPr="00E43484">
        <w:rPr>
          <w:i/>
          <w:iCs/>
        </w:rPr>
        <w:t>.</w:t>
      </w:r>
      <w:r w:rsidR="00F25FCE" w:rsidRPr="00E43484">
        <w:t xml:space="preserve"> </w:t>
      </w:r>
      <w:r w:rsidR="006F35DF" w:rsidRPr="00E43484">
        <w:t>B</w:t>
      </w:r>
      <w:r w:rsidR="00A17C26" w:rsidRPr="00E43484">
        <w:t xml:space="preserve">oth </w:t>
      </w:r>
      <w:r w:rsidR="009F2043" w:rsidRPr="00E43484">
        <w:t>parasites</w:t>
      </w:r>
      <w:r w:rsidR="00963796" w:rsidRPr="00E43484">
        <w:t xml:space="preserve"> </w:t>
      </w:r>
      <w:r w:rsidR="00A17C26" w:rsidRPr="00E43484">
        <w:t xml:space="preserve">are transmitted through feacal contamination </w:t>
      </w:r>
      <w:r w:rsidR="00353FAC" w:rsidRPr="00E43484">
        <w:t>of freshwater</w:t>
      </w:r>
      <w:r w:rsidR="007C5413" w:rsidRPr="00E43484">
        <w:t xml:space="preserve"> (</w:t>
      </w:r>
      <w:r w:rsidR="007C5413" w:rsidRPr="00E43484">
        <w:rPr>
          <w:i/>
          <w:iCs/>
        </w:rPr>
        <w:t>S. mansoni</w:t>
      </w:r>
      <w:r w:rsidR="007C5413" w:rsidRPr="00E43484">
        <w:t xml:space="preserve">: 1, </w:t>
      </w:r>
      <w:r w:rsidR="007C5413" w:rsidRPr="00E43484">
        <w:rPr>
          <w:i/>
          <w:iCs/>
        </w:rPr>
        <w:t>G. duodenalis</w:t>
      </w:r>
      <w:r w:rsidR="00520707" w:rsidRPr="00E43484">
        <w:t>:</w:t>
      </w:r>
      <w:r w:rsidR="007C5413" w:rsidRPr="00E43484">
        <w:t xml:space="preserve"> 5)</w:t>
      </w:r>
      <w:r w:rsidR="007B5782" w:rsidRPr="00E43484">
        <w:t xml:space="preserve">. Infection with </w:t>
      </w:r>
      <w:r w:rsidR="007B5782" w:rsidRPr="00E43484">
        <w:rPr>
          <w:i/>
          <w:iCs/>
        </w:rPr>
        <w:t xml:space="preserve">S. mansoni </w:t>
      </w:r>
      <w:r w:rsidR="00CC3366" w:rsidRPr="00E43484">
        <w:t>primarily</w:t>
      </w:r>
      <w:r w:rsidR="007B5782" w:rsidRPr="00E43484">
        <w:t xml:space="preserve"> occurs through</w:t>
      </w:r>
      <w:r w:rsidR="00E33B9A" w:rsidRPr="00E43484">
        <w:t xml:space="preserve"> cercarial penetration </w:t>
      </w:r>
      <w:r w:rsidR="0065467C" w:rsidRPr="00E43484">
        <w:t xml:space="preserve">of the skin </w:t>
      </w:r>
      <w:r w:rsidR="00B86171" w:rsidRPr="00E43484">
        <w:t xml:space="preserve">upon contact with </w:t>
      </w:r>
      <w:r w:rsidR="00F50FEC" w:rsidRPr="00E43484">
        <w:t xml:space="preserve">contaminated water </w:t>
      </w:r>
      <w:r w:rsidR="001B3C6C" w:rsidRPr="00E43484">
        <w:t>(</w:t>
      </w:r>
      <w:r w:rsidR="001B3C6C" w:rsidRPr="00E43484">
        <w:rPr>
          <w:b/>
          <w:bCs/>
        </w:rPr>
        <w:t>4</w:t>
      </w:r>
      <w:r w:rsidR="001B3C6C" w:rsidRPr="00E43484">
        <w:t xml:space="preserve">) but can also occasionally occur through </w:t>
      </w:r>
      <w:r w:rsidR="0096726E" w:rsidRPr="00E43484">
        <w:t xml:space="preserve">cercarial </w:t>
      </w:r>
      <w:r w:rsidR="001B3C6C" w:rsidRPr="00E43484">
        <w:t>penetration of the buccal cavity when consuming contaminated water.</w:t>
      </w:r>
      <w:r w:rsidR="00923103" w:rsidRPr="00E43484">
        <w:t xml:space="preserve"> </w:t>
      </w:r>
      <w:r w:rsidR="0097117A" w:rsidRPr="00E43484">
        <w:t>Waterbourne i</w:t>
      </w:r>
      <w:r w:rsidR="007A5637" w:rsidRPr="00E43484">
        <w:t xml:space="preserve">nfection with </w:t>
      </w:r>
      <w:r w:rsidR="007A5637" w:rsidRPr="00E43484">
        <w:rPr>
          <w:i/>
          <w:iCs/>
        </w:rPr>
        <w:t xml:space="preserve">G. duodenalis </w:t>
      </w:r>
      <w:r w:rsidR="007A5637" w:rsidRPr="00E43484">
        <w:t>can occur through consumption of contaminated water</w:t>
      </w:r>
      <w:r w:rsidR="0096726E" w:rsidRPr="00E43484">
        <w:t xml:space="preserve"> </w:t>
      </w:r>
      <w:r w:rsidR="00967D91" w:rsidRPr="00E43484">
        <w:t xml:space="preserve">or foods </w:t>
      </w:r>
      <w:r w:rsidR="00BE5369" w:rsidRPr="00E43484">
        <w:t>washed</w:t>
      </w:r>
      <w:r w:rsidR="00967D91" w:rsidRPr="00E43484">
        <w:t xml:space="preserve"> with </w:t>
      </w:r>
      <w:r w:rsidR="00BE5369" w:rsidRPr="00E43484">
        <w:t>contaminated</w:t>
      </w:r>
      <w:r w:rsidR="00CC3366" w:rsidRPr="00E43484">
        <w:t xml:space="preserve"> water (7 and 8</w:t>
      </w:r>
      <w:r w:rsidR="001E4385" w:rsidRPr="00E43484">
        <w:t>)</w:t>
      </w:r>
      <w:r w:rsidR="00A15B48" w:rsidRPr="00E43484">
        <w:t xml:space="preserve">. Infection with </w:t>
      </w:r>
      <w:r w:rsidR="00A15B48" w:rsidRPr="00E43484">
        <w:rPr>
          <w:i/>
          <w:iCs/>
        </w:rPr>
        <w:t>G. duodenalis</w:t>
      </w:r>
      <w:r w:rsidR="009D64AE" w:rsidRPr="00E43484">
        <w:t xml:space="preserve"> </w:t>
      </w:r>
      <w:r w:rsidR="00A15B48" w:rsidRPr="00E43484">
        <w:t>can also occur</w:t>
      </w:r>
      <w:r w:rsidR="009D64AE" w:rsidRPr="00E43484">
        <w:t xml:space="preserve"> through </w:t>
      </w:r>
      <w:r w:rsidR="001B28FD" w:rsidRPr="00E43484">
        <w:t xml:space="preserve">consumption of </w:t>
      </w:r>
      <w:r w:rsidR="00B0420B" w:rsidRPr="00E43484">
        <w:t>contaminated foods or unwashed hands (9).</w:t>
      </w:r>
      <w:r w:rsidR="00310EF5" w:rsidRPr="00E43484">
        <w:t xml:space="preserve"> </w:t>
      </w:r>
      <w:r w:rsidR="00BA6EFB" w:rsidRPr="00E43484">
        <w:t xml:space="preserve">Adapted from </w:t>
      </w:r>
      <w:r w:rsidR="00BA6EFB" w:rsidRPr="00E43484">
        <w:fldChar w:fldCharType="begin" w:fldLock="1"/>
      </w:r>
      <w:r w:rsidR="001A0DC3" w:rsidRPr="00E43484">
        <w:instrText>ADDIN CSL_CITATION {"citationItems":[{"id":"ITEM-1","itemData":{"URL":"https://www.cdc.gov/parasites/schistosomiasis/biology.html","accessed":{"date-parts":[["2020","7","1"]]},"id":"ITEM-1","issued":{"date-parts":[["0"]]},"title":"Centers for Disease Control and Prevention (CDC), USA: Schistosomiasis, About, Life Cycle.","type":"webpage"},"uris":["http://www.mendeley.com/documents/?uuid=33bcbbbb-9c7d-4bbc-948f-acc6807df99c"]},{"id":"ITEM-2","itemData":{"URL":"https://www.cdc.gov/dpdx/giardiasis/index.html#:~:text=The spectrum varies from asymptomatic carriage to severe,include diarrhea%2C abdominal pain%2C bloating%2C nausea%2C and vomiting.","accessed":{"date-parts":[["2020","7","1"]]},"id":"ITEM-2","issued":{"date-parts":[["0"]]},"title":"Centers for Disease Control and Prevention (CDC), USA: Giardiasis, About, Life Cycle.","type":"webpage"},"uris":["http://www.mendeley.com/documents/?uuid=0627bc93-ffce-494c-8921-4585bddd41a9"]}],"mendeley":{"formattedCitation":"[26,27]","plainTextFormattedCitation":"[26,27]","previouslyFormattedCitation":"[26,27]"},"properties":{"noteIndex":0},"schema":"https://github.com/citation-style-language/schema/raw/master/csl-citation.json"}</w:instrText>
      </w:r>
      <w:r w:rsidR="00BA6EFB" w:rsidRPr="00E43484">
        <w:fldChar w:fldCharType="separate"/>
      </w:r>
      <w:r w:rsidR="001D3544" w:rsidRPr="00E43484">
        <w:rPr>
          <w:noProof/>
        </w:rPr>
        <w:t>[26,27]</w:t>
      </w:r>
      <w:r w:rsidR="00BA6EFB" w:rsidRPr="00E43484">
        <w:fldChar w:fldCharType="end"/>
      </w:r>
      <w:r w:rsidR="00BA6EFB" w:rsidRPr="00E43484">
        <w:t>.</w:t>
      </w:r>
    </w:p>
    <w:p w14:paraId="6F1A8A92" w14:textId="6EDC7DD8" w:rsidR="004D573A" w:rsidRDefault="004D573A" w:rsidP="00660637">
      <w:pPr>
        <w:pStyle w:val="MDPI31text"/>
        <w:spacing w:line="276" w:lineRule="auto"/>
      </w:pPr>
      <w:r>
        <w:t xml:space="preserve">Once exposed to freshwater, </w:t>
      </w:r>
      <w:r w:rsidR="00455F3A">
        <w:rPr>
          <w:i/>
          <w:iCs/>
        </w:rPr>
        <w:t>S. mansoni</w:t>
      </w:r>
      <w:r>
        <w:t xml:space="preserve"> eggs </w:t>
      </w:r>
      <w:r w:rsidR="00E14DD0">
        <w:t xml:space="preserve">(Figure 1, </w:t>
      </w:r>
      <w:r w:rsidRPr="009F6F3B">
        <w:t>(</w:t>
      </w:r>
      <w:r w:rsidRPr="00AB4BEC">
        <w:rPr>
          <w:b/>
          <w:bCs/>
        </w:rPr>
        <w:t>1</w:t>
      </w:r>
      <w:r w:rsidRPr="009F6F3B">
        <w:t>)</w:t>
      </w:r>
      <w:r w:rsidR="00E14DD0">
        <w:t>)</w:t>
      </w:r>
      <w:r>
        <w:t xml:space="preserve"> will hatch to release free-swimming ciliated miracidia </w:t>
      </w:r>
      <w:r w:rsidR="00311C25">
        <w:t xml:space="preserve">(Figure 1, </w:t>
      </w:r>
      <w:r>
        <w:t>(</w:t>
      </w:r>
      <w:r w:rsidRPr="00311C25">
        <w:rPr>
          <w:b/>
        </w:rPr>
        <w:t>2</w:t>
      </w:r>
      <w:r>
        <w:t>)</w:t>
      </w:r>
      <w:r w:rsidR="00311C25">
        <w:t>)</w:t>
      </w:r>
      <w:r>
        <w:t xml:space="preserve"> that will then employ a range of </w:t>
      </w:r>
      <w:r>
        <w:rPr>
          <w:color w:val="000000" w:themeColor="text1"/>
        </w:rPr>
        <w:t xml:space="preserve">morphological adaptations and </w:t>
      </w:r>
      <w:r>
        <w:t xml:space="preserve">host-seeking </w:t>
      </w:r>
      <w:r w:rsidR="00277FDA">
        <w:t>behaviors</w:t>
      </w:r>
      <w:r>
        <w:t xml:space="preserve"> to locate and penetrate the soft tissues of its freshwater snail intermediate host, </w:t>
      </w:r>
      <w:r w:rsidRPr="00FC7EEC">
        <w:rPr>
          <w:i/>
          <w:iCs/>
        </w:rPr>
        <w:t>Biomphalaria</w:t>
      </w:r>
      <w:r>
        <w:t xml:space="preserve"> spp. </w:t>
      </w:r>
      <w:r w:rsidR="00583666">
        <w:t>(Figure 1, (</w:t>
      </w:r>
      <w:r w:rsidR="00583666">
        <w:rPr>
          <w:b/>
        </w:rPr>
        <w:t>3</w:t>
      </w:r>
      <w:r w:rsidR="00583666">
        <w:t>))</w:t>
      </w:r>
      <w:r>
        <w:t xml:space="preserve"> </w:t>
      </w:r>
      <w:r>
        <w:fldChar w:fldCharType="begin" w:fldLock="1"/>
      </w:r>
      <w:r w:rsidR="001A0DC3">
        <w:instrText>ADDIN CSL_CITATION {"citationItems":[{"id":"ITEM-1","itemData":{"author":[{"dropping-particle":"","family":"Wright","given":"C.A","non-dropping-particle":"","parse-names":false,"suffix":""}],"id":"ITEM-1","issued":{"date-parts":[["1971"]]},"number-of-pages":"76-94","publisher":"George Allen and Unwin LTD. London.","title":"Flukes and Snails. Chapter 4: Fluke life-cycles","type":"book"},"uris":["http://www.mendeley.com/documents/?uuid=e3155047-6068-47f8-9f31-175492b22eb7"]},{"id":"ITEM-2","itemData":{"author":[{"dropping-particle":"","family":"Galaktionov, K.V., Dobrovolskij","given":"A.A","non-dropping-particle":"","parse-names":false,"suffix":""}],"id":"ITEM-2","issued":{"date-parts":[["2003"]]},"number-of-pages":"215-309","publisher":"Dordrecht, Boston: Kluwer Academic Publishers","title":"The Biology and Evolution of Trematodes. An Essay on the Biology, Morphology, Life Cycles, Transmission, and Evolution of Digenetic Trematodes. Chapter 2: The Trematode Life Cycle as a System of Adaptations","type":"book"},"uris":["http://www.mendeley.com/documents/?uuid=515742d7-3e3c-48b9-a7dc-a64696637ac6"]},{"id":"ITEM-3","itemData":{"author":[{"dropping-particle":"","family":"Fried, B., Graczyk","given":"T.K","non-dropping-particle":"","parse-names":false,"suffix":""}],"id":"ITEM-3","issued":{"date-parts":[["1997"]]},"publisher":"CRC Press. New York","title":"Advances in Trematode Biology. Chapter 7: Host Recognition by Trematode Miracidia and Cercariae","type":"book"},"uris":["http://www.mendeley.com/documents/?uuid=497315ae-99e8-4db3-9f69-a137309f83b0"]}],"mendeley":{"formattedCitation":"[31–33]","plainTextFormattedCitation":"[31–33]","previouslyFormattedCitation":"[31–33]"},"properties":{"noteIndex":0},"schema":"https://github.com/citation-style-language/schema/raw/master/csl-citation.json"}</w:instrText>
      </w:r>
      <w:r>
        <w:fldChar w:fldCharType="separate"/>
      </w:r>
      <w:r w:rsidR="001D3544" w:rsidRPr="001D3544">
        <w:rPr>
          <w:noProof/>
        </w:rPr>
        <w:t>[31–33]</w:t>
      </w:r>
      <w:r>
        <w:fldChar w:fldCharType="end"/>
      </w:r>
      <w:r>
        <w:t>. Miracidia are ephemeral</w:t>
      </w:r>
      <w:r w:rsidR="00EE0ED3">
        <w:t xml:space="preserve">; </w:t>
      </w:r>
      <w:r>
        <w:t xml:space="preserve">living only a short period of time, typically less than six hours, </w:t>
      </w:r>
      <w:r w:rsidR="005F1EBE">
        <w:t>before dying</w:t>
      </w:r>
      <w:r>
        <w:t xml:space="preserve"> as their glycogen energy reserves </w:t>
      </w:r>
      <w:r w:rsidR="00A247F4">
        <w:t xml:space="preserve">are </w:t>
      </w:r>
      <w:r>
        <w:t>exhaust</w:t>
      </w:r>
      <w:r w:rsidR="00A247F4">
        <w:t>ed</w:t>
      </w:r>
      <w:r>
        <w:t xml:space="preserve"> (Table 1). </w:t>
      </w:r>
    </w:p>
    <w:p w14:paraId="6842F0F5" w14:textId="08D186A5" w:rsidR="004D573A" w:rsidRDefault="004D573A" w:rsidP="00660637">
      <w:pPr>
        <w:pStyle w:val="MDPI31text"/>
        <w:spacing w:line="276" w:lineRule="auto"/>
        <w:rPr>
          <w:color w:val="000000" w:themeColor="text1"/>
        </w:rPr>
      </w:pPr>
      <w:r>
        <w:rPr>
          <w:bCs/>
        </w:rPr>
        <w:t>Mi</w:t>
      </w:r>
      <w:r w:rsidRPr="004F5E5A">
        <w:t xml:space="preserve">racidia </w:t>
      </w:r>
      <w:r>
        <w:rPr>
          <w:bCs/>
        </w:rPr>
        <w:t xml:space="preserve">that successfully invade a suitable intermediate snail host </w:t>
      </w:r>
      <w:r w:rsidRPr="004F5E5A">
        <w:t>metamorphose into mother sporocysts which, in turn, produce daughter sporocysts</w:t>
      </w:r>
      <w:r>
        <w:t xml:space="preserve">. These daughter sporocysts then differentiate upon sporogenesis, producing numerous </w:t>
      </w:r>
      <w:r w:rsidRPr="004F5E5A">
        <w:t>cercariae</w:t>
      </w:r>
      <w:r>
        <w:t xml:space="preserve"> that are shed from the snail approximately one month after initial invasion</w:t>
      </w:r>
      <w:r w:rsidR="0066764C">
        <w:t xml:space="preserve"> </w:t>
      </w:r>
      <w:r w:rsidR="008A313C">
        <w:t>by</w:t>
      </w:r>
      <w:r w:rsidR="0066764C">
        <w:t xml:space="preserve"> the </w:t>
      </w:r>
      <w:r w:rsidR="00F611FE">
        <w:t>miracidi</w:t>
      </w:r>
      <w:r w:rsidR="009F6566">
        <w:t>um</w:t>
      </w:r>
      <w:r w:rsidR="0066764C">
        <w:t xml:space="preserve"> </w:t>
      </w:r>
      <w:r w:rsidR="002F51D7">
        <w:t>(Figure 1, (</w:t>
      </w:r>
      <w:r w:rsidR="007834FF">
        <w:rPr>
          <w:b/>
        </w:rPr>
        <w:t>4</w:t>
      </w:r>
      <w:r w:rsidR="002F51D7">
        <w:t>))</w:t>
      </w:r>
      <w:r w:rsidRPr="00F842A2">
        <w:rPr>
          <w:color w:val="000000" w:themeColor="text1"/>
        </w:rPr>
        <w:t xml:space="preserve">. Once established, cercarial production and shedding from </w:t>
      </w:r>
      <w:r w:rsidRPr="00F842A2">
        <w:rPr>
          <w:i/>
          <w:iCs/>
          <w:color w:val="000000" w:themeColor="text1"/>
        </w:rPr>
        <w:t xml:space="preserve">Biomphalaria </w:t>
      </w:r>
      <w:r w:rsidRPr="00F842A2">
        <w:rPr>
          <w:color w:val="000000" w:themeColor="text1"/>
        </w:rPr>
        <w:t>spp. snail hosts occurs daily and typically continues for the remainder of the snail’s life. Over the course of an infected snail</w:t>
      </w:r>
      <w:r>
        <w:rPr>
          <w:color w:val="000000" w:themeColor="text1"/>
        </w:rPr>
        <w:t>’</w:t>
      </w:r>
      <w:r w:rsidRPr="00F842A2">
        <w:rPr>
          <w:color w:val="000000" w:themeColor="text1"/>
        </w:rPr>
        <w:t xml:space="preserve">s life, tens of thousands of </w:t>
      </w:r>
      <w:r w:rsidRPr="00E06292">
        <w:rPr>
          <w:color w:val="000000" w:themeColor="text1"/>
        </w:rPr>
        <w:t xml:space="preserve">cercariae can be shed </w:t>
      </w:r>
      <w:r w:rsidRPr="00E06292">
        <w:rPr>
          <w:color w:val="000000" w:themeColor="text1"/>
        </w:rPr>
        <w:fldChar w:fldCharType="begin" w:fldLock="1"/>
      </w:r>
      <w:r w:rsidR="001A0DC3">
        <w:rPr>
          <w:color w:val="000000" w:themeColor="text1"/>
        </w:rPr>
        <w:instrText>ADDIN CSL_CITATION {"citationItems":[{"id":"ITEM-1","itemData":{"DOI":"10.1139/z03-215","ISSN":"00084301","abstract":"Trematode parasites share an intimate relationship with their gastropod intermediate hosts, which act as the vehicle for their development and transmission. They represent an enormous economic and medical burden in developing countries, stimulating much study of snail-trematode interactions. Laboratory-maintained snail-trematode systems and in vitro cell cultures are being used to investigate the molecular dialogue between host and parasite. These dynamic and finely balanced antagonistic relationships, in which parasites strongly influence the physiology of the host, are highly specific and may occasionally demonstrate co-speciation. We consider the mechanisms and responses deployed by trematodes and snails that result in compatibility or rejection of the parasite, and the macroevolutionary implications that they may effect. Although for gastropods the fossil record gives some insight into evolutionary history, elucidation of trematode evolution must rely largely upon molecular approaches, and for both, such techniques have provided fresh and often surprising evidence of their origins and dispersal over time. Co-evolution of snails and trematodes is becoming increasingly apparent at both cellular and population levels; the implications of which are only beginning to be understood for disease control. Untangling the complex interactions of trematodes and snails promise fresh opportunities for intervention to relieve the burden of parasitic disease.","author":[{"dropping-particle":"","family":"Lockyer","given":"Anne E.","non-dropping-particle":"","parse-names":false,"suffix":""},{"dropping-particle":"","family":"Jones","given":"Catherine S.","non-dropping-particle":"","parse-names":false,"suffix":""},{"dropping-particle":"","family":"Noble","given":"Leslie R.","non-dropping-particle":"","parse-names":false,"suffix":""},{"dropping-particle":"","family":"Rollinson","given":"David","non-dropping-particle":"","parse-names":false,"suffix":""}],"container-title":"Canadian Journal of Zoology","id":"ITEM-1","issue":"2","issued":{"date-parts":[["2004"]]},"page":"251-269","title":"Trematodes and snails: An intimate association","type":"article-journal","volume":"82"},"uris":["http://www.mendeley.com/documents/?uuid=4617ca72-7bc0-4835-95a5-a25db993d4b1"]},{"id":"ITEM-2","itemData":{"DOI":"10.1016/S0140-6736(13)61949-2","ISSN":"1474547X","PMID":"24698483","abstract":"Human schistosomiasis-or bilharzia-is a parasitic disease caused by trematode fl ukes of the genus Schistosoma. By conservative estimates, at least 230 million people worldwide are infected with Schistosoma spp. Adult schistosome worms colonise human blood vessels for years, successfully evading the immune system while excreting hundreds to thousands of eggs daily, which must either leave the body in excreta or become trapped in nearby tissues. Trapped eggs induce a distinct immune-mediated granulomatous response that causes local and systemic pathological eff ects ranging from anaemia, growth stunting, impaired cognition, and decreased physical fi tness, to organ-specifi c eff ects such as severe hepatosplenism, periportal fi brosis with portal hypertension, and urogenital infl ammation and scarring. At present, preventive public health measures in endemic regions consist of treatment once every 1 or 2 years with the isoquinolinone drug, praziquantel, to suppress morbidity. In some locations, elimination of transmission is now the goal; however, more sensitive diagnostics are needed in both the fi eld and clinics, and integrated environmental and health-care management will be needed to ensure elimination. © Chataway et al. Open Access article distributed under the terms of CC BY.","author":[{"dropping-particle":"","family":"Colley","given":"Daniel G.","non-dropping-particle":"","parse-names":false,"suffix":""},{"dropping-particle":"","family":"Bustinduy","given":"Amaya L.","non-dropping-particle":"","parse-names":false,"suffix":""},{"dropping-particle":"","family":"Secor","given":"W. Evan","non-dropping-particle":"","parse-names":false,"suffix":""},{"dropping-particle":"","family":"King","given":"Charles H.","non-dropping-particle":"","parse-names":false,"suffix":""}],"container-title":"The Lancet","id":"ITEM-2","issue":"9936","issued":{"date-parts":[["2014"]]},"page":"2253-2264","title":"Human schistosomiasis","type":"article-journal","volume":"383"},"uris":["http://www.mendeley.com/documents/?uuid=46c0ccda-c7d4-4ebb-9de2-f2e77eeb7978"]}],"mendeley":{"formattedCitation":"[3,34]","plainTextFormattedCitation":"[3,34]","previouslyFormattedCitation":"[3,34]"},"properties":{"noteIndex":0},"schema":"https://github.com/citation-style-language/schema/raw/master/csl-citation.json"}</w:instrText>
      </w:r>
      <w:r w:rsidRPr="00E06292">
        <w:rPr>
          <w:color w:val="000000" w:themeColor="text1"/>
        </w:rPr>
        <w:fldChar w:fldCharType="separate"/>
      </w:r>
      <w:r w:rsidR="001D3544" w:rsidRPr="001D3544">
        <w:rPr>
          <w:noProof/>
          <w:color w:val="000000" w:themeColor="text1"/>
        </w:rPr>
        <w:t>[3,34]</w:t>
      </w:r>
      <w:r w:rsidRPr="00E06292">
        <w:rPr>
          <w:color w:val="000000" w:themeColor="text1"/>
        </w:rPr>
        <w:fldChar w:fldCharType="end"/>
      </w:r>
      <w:r w:rsidRPr="00E06292">
        <w:rPr>
          <w:color w:val="000000" w:themeColor="text1"/>
        </w:rPr>
        <w:t xml:space="preserve">. </w:t>
      </w:r>
    </w:p>
    <w:p w14:paraId="1E77B8E7" w14:textId="77777777" w:rsidR="00314F4C" w:rsidRDefault="004D573A" w:rsidP="00314F4C">
      <w:pPr>
        <w:pStyle w:val="MDPI31text"/>
        <w:spacing w:line="276" w:lineRule="auto"/>
        <w:rPr>
          <w:bCs/>
        </w:rPr>
      </w:pPr>
      <w:r w:rsidRPr="00E06292">
        <w:t xml:space="preserve">Shed cercariae will then go on to infect humans and other mammalian definitive hosts primarily </w:t>
      </w:r>
      <w:commentRangeStart w:id="16"/>
      <w:r w:rsidR="00CF5CA1">
        <w:t>through</w:t>
      </w:r>
      <w:commentRangeEnd w:id="16"/>
      <w:r w:rsidR="00F94762">
        <w:rPr>
          <w:rStyle w:val="CommentReference"/>
          <w:rFonts w:asciiTheme="minorHAnsi" w:eastAsiaTheme="minorHAnsi" w:hAnsiTheme="minorHAnsi" w:cstheme="minorBidi"/>
          <w:snapToGrid/>
          <w:color w:val="auto"/>
          <w:lang w:val="en-GB" w:eastAsia="en-US" w:bidi="ar-SA"/>
        </w:rPr>
        <w:commentReference w:id="16"/>
      </w:r>
      <w:r w:rsidRPr="00E06292">
        <w:rPr>
          <w:i/>
          <w:iCs/>
        </w:rPr>
        <w:t xml:space="preserve"> </w:t>
      </w:r>
      <w:r w:rsidRPr="00E06292">
        <w:t>cutaneous penetration</w:t>
      </w:r>
      <w:r>
        <w:t xml:space="preserve"> </w:t>
      </w:r>
      <w:r w:rsidR="00124456">
        <w:t>(Figure 1, (</w:t>
      </w:r>
      <w:r w:rsidR="001E2FCB">
        <w:rPr>
          <w:b/>
        </w:rPr>
        <w:t>4</w:t>
      </w:r>
      <w:r w:rsidR="00124456">
        <w:t>))</w:t>
      </w:r>
      <w:r w:rsidRPr="00E06292">
        <w:t xml:space="preserve">, </w:t>
      </w:r>
      <w:r w:rsidRPr="008625E9">
        <w:rPr>
          <w:highlight w:val="yellow"/>
        </w:rPr>
        <w:t>but also occasionally through penetration of the buccal cavity when consuming contaminated water</w:t>
      </w:r>
      <w:r>
        <w:t>.</w:t>
      </w:r>
      <w:r>
        <w:rPr>
          <w:bCs/>
        </w:rPr>
        <w:t xml:space="preserve"> </w:t>
      </w:r>
      <w:r w:rsidRPr="00E06292">
        <w:rPr>
          <w:bCs/>
        </w:rPr>
        <w:t>Like miracidia, cercariae</w:t>
      </w:r>
      <w:r>
        <w:rPr>
          <w:bCs/>
        </w:rPr>
        <w:t xml:space="preserve"> are ephemeral</w:t>
      </w:r>
      <w:r w:rsidRPr="00E06292">
        <w:rPr>
          <w:bCs/>
        </w:rPr>
        <w:t xml:space="preserve"> in freshwater </w:t>
      </w:r>
      <w:r>
        <w:rPr>
          <w:bCs/>
        </w:rPr>
        <w:t xml:space="preserve">as their glycogen </w:t>
      </w:r>
      <w:r w:rsidRPr="00E06292">
        <w:rPr>
          <w:bCs/>
        </w:rPr>
        <w:t xml:space="preserve">energy reserves are </w:t>
      </w:r>
      <w:r>
        <w:rPr>
          <w:bCs/>
        </w:rPr>
        <w:t xml:space="preserve">quickly </w:t>
      </w:r>
      <w:r w:rsidRPr="00E06292">
        <w:rPr>
          <w:bCs/>
        </w:rPr>
        <w:t>depleted</w:t>
      </w:r>
      <w:r>
        <w:rPr>
          <w:bCs/>
        </w:rPr>
        <w:t>, lasting no longer</w:t>
      </w:r>
      <w:r w:rsidRPr="00E06292">
        <w:rPr>
          <w:bCs/>
        </w:rPr>
        <w:t xml:space="preserve"> </w:t>
      </w:r>
      <w:r>
        <w:rPr>
          <w:bCs/>
        </w:rPr>
        <w:t xml:space="preserve">than </w:t>
      </w:r>
      <w:r w:rsidRPr="00E06292">
        <w:rPr>
          <w:bCs/>
        </w:rPr>
        <w:t>3 days</w:t>
      </w:r>
      <w:r w:rsidR="007A0D53">
        <w:rPr>
          <w:bCs/>
        </w:rPr>
        <w:t xml:space="preserve"> </w:t>
      </w:r>
      <w:r>
        <w:rPr>
          <w:bCs/>
        </w:rPr>
        <w:t>(Table 1)</w:t>
      </w:r>
      <w:r w:rsidRPr="00E06292">
        <w:rPr>
          <w:bCs/>
        </w:rPr>
        <w:t xml:space="preserve">. In addition, survival of both miracidia and cercariae is highly dependent on </w:t>
      </w:r>
      <w:r w:rsidR="00232DC6" w:rsidRPr="00E06292">
        <w:rPr>
          <w:bCs/>
        </w:rPr>
        <w:t>favorable</w:t>
      </w:r>
      <w:r w:rsidRPr="00E06292">
        <w:rPr>
          <w:bCs/>
        </w:rPr>
        <w:t xml:space="preserve"> biotic and abiotic environmental conditions. Freshwater too high in salinity or too polluted, for example, can prevent the hatching of eggs into miracidia and can be lethal to both miracidia and cercariae </w:t>
      </w:r>
      <w:r w:rsidRPr="00E06292">
        <w:rPr>
          <w:bCs/>
        </w:rPr>
        <w:fldChar w:fldCharType="begin" w:fldLock="1"/>
      </w:r>
      <w:r w:rsidR="001A0DC3">
        <w:rPr>
          <w:bCs/>
        </w:rPr>
        <w:instrText>ADDIN CSL_CITATION {"citationItems":[{"id":"ITEM-1","itemData":{"author":[{"dropping-particle":"","family":"Galaktionov, K.V., Dobrovolskij","given":"A.A","non-dropping-particle":"","parse-names":false,"suffix":""}],"id":"ITEM-1","issued":{"date-parts":[["2003"]]},"number-of-pages":"215-309","publisher":"Dordrecht, Boston: Kluwer Academic Publishers","title":"The Biology and Evolution of Trematodes. An Essay on the Biology, Morphology, Life Cycles, Transmission, and Evolution of Digenetic Trematodes. Chapter 2: The Trematode Life Cycle as a System of Adaptations","type":"book"},"uris":["http://www.mendeley.com/documents/?uuid=515742d7-3e3c-48b9-a7dc-a64696637ac6"]},{"id":"ITEM-2","itemData":{"DOI":"10.1016/bs.apar.2015.02.003","ISSN":"0065308X","abstract":"One major challenge for parasites with complex cycles consists to succeed in the transmission from one host to the next host. To maximize the probability of encountering the right host, numerous trematode species have selected various emergence rhythms occurring during the escape of the short-lived cercariae from the mollusc host. Cercarial shedding patterns are beautiful examples of adaptation of the parasite for a successful rendezvous with its subsequent host. In this review, after an analysis of the technical and statistical aspects specific to such studies, we compile the knowledge and unresolved issues we have about the synchronization of these rhythms, their genetic support and the role of the host physiology or activity. We are also interested on how cercarial rhythmicity influences cercarial densities in waters of transmission sites and then the risk of host infection in case of schistosomiasis. Ecological significance of the inter- and intra-specific diversity of these rhythms is emphasized as well as the evolutionary implication of new chronotypes resulting from the capture of new host species and promoting reproductive isolation and alloxenic speciation. Currently, genome sequence data now available for some trematodes such as the schistosomes provide an unprecedented resource for new research approaches that should contribute identification of the genes and mechanisms involved in determining the cercarial shedding rhythms observed.","author":[{"dropping-particle":"","family":"Théron","given":"André","non-dropping-particle":"","parse-names":false,"suffix":""}],"container-title":"Advances in Parasitology","id":"ITEM-2","issued":{"date-parts":[["2015"]]},"number-of-pages":"123-164","publisher":"Elsevier Ltd","title":"Chronobiology of trematode cercarial emergence: From data recovery to epidemiological, ecological and evolutionary implications","type":"book","volume":"88"},"uris":["http://www.mendeley.com/documents/?uuid=259ac2d2-5de9-4439-87d6-fbd718130fb7"]},{"id":"ITEM-3","itemData":{"DOI":"10.5169/seals-313293","author":[{"dropping-particle":"","family":"Frandsen, F. Christensen","given":"N.","non-dropping-particle":"","parse-names":false,"suffix":""}],"container-title":"Acta Tropica","id":"ITEM-3","issued":{"date-parts":[["1984"]]},"title":"An Introductory Guide to the Identification of Cercariae From African Freshwater Snails With Special Reference to Cercariae of Trematode Species of Medical and Veterinary Importance","type":"article-journal"},"uris":["http://www.mendeley.com/documents/?uuid=1b22240c-1318-4e97-adf3-7a3f98e7f480"]},{"id":"ITEM-4","itemData":{"author":[{"dropping-particle":"","family":"Fried, B., Graczyk","given":"T.K","non-dropping-particle":"","parse-names":false,"suffix":""}],"id":"ITEM-4","issued":{"date-parts":[["1997"]]},"publisher":"CRC Press. New York","title":"Advances in Trematode Biology. Chapter 7: Host Recognition by Trematode Miracidia and Cercariae","type":"book"},"uris":["http://www.mendeley.com/documents/?uuid=497315ae-99e8-4db3-9f69-a137309f83b0"]}],"mendeley":{"formattedCitation":"[32,33,35,36]","plainTextFormattedCitation":"[32,33,35,36]","previouslyFormattedCitation":"[32,33,35,36]"},"properties":{"noteIndex":0},"schema":"https://github.com/citation-style-language/schema/raw/master/csl-citation.json"}</w:instrText>
      </w:r>
      <w:r w:rsidRPr="00E06292">
        <w:rPr>
          <w:bCs/>
        </w:rPr>
        <w:fldChar w:fldCharType="separate"/>
      </w:r>
      <w:r w:rsidR="001D3544" w:rsidRPr="001D3544">
        <w:rPr>
          <w:bCs/>
          <w:noProof/>
        </w:rPr>
        <w:t>[32,33,35,36]</w:t>
      </w:r>
      <w:r w:rsidRPr="00E06292">
        <w:rPr>
          <w:bCs/>
        </w:rPr>
        <w:fldChar w:fldCharType="end"/>
      </w:r>
      <w:r w:rsidRPr="00E06292">
        <w:rPr>
          <w:bCs/>
        </w:rPr>
        <w:t>.</w:t>
      </w:r>
    </w:p>
    <w:p w14:paraId="29400ABB" w14:textId="169D32DB" w:rsidR="001158A0" w:rsidRPr="006F6055" w:rsidRDefault="0066764C" w:rsidP="00B52851">
      <w:pPr>
        <w:pStyle w:val="MDPI31text"/>
        <w:spacing w:line="276" w:lineRule="auto"/>
        <w:rPr>
          <w:bCs/>
        </w:rPr>
      </w:pPr>
      <w:r w:rsidRPr="006F6055">
        <w:rPr>
          <w:bCs/>
          <w:i/>
          <w:iCs/>
        </w:rPr>
        <w:t xml:space="preserve">G. duodenalis </w:t>
      </w:r>
      <w:r w:rsidR="009B786B" w:rsidRPr="006F6055">
        <w:rPr>
          <w:bCs/>
        </w:rPr>
        <w:t xml:space="preserve">has a </w:t>
      </w:r>
      <w:r w:rsidR="009B786B" w:rsidRPr="006F6055">
        <w:t xml:space="preserve">direct, faecal-oral life cycle that </w:t>
      </w:r>
      <w:r w:rsidRPr="006F6055">
        <w:rPr>
          <w:bCs/>
        </w:rPr>
        <w:t xml:space="preserve">can </w:t>
      </w:r>
      <w:r w:rsidR="009B786B" w:rsidRPr="006F6055">
        <w:rPr>
          <w:bCs/>
        </w:rPr>
        <w:t>be completed</w:t>
      </w:r>
      <w:r w:rsidR="00D6332F" w:rsidRPr="006F6055">
        <w:rPr>
          <w:bCs/>
        </w:rPr>
        <w:t xml:space="preserve"> either through waterbourne transmission</w:t>
      </w:r>
      <w:r w:rsidR="00F5722C" w:rsidRPr="006F6055">
        <w:rPr>
          <w:bCs/>
        </w:rPr>
        <w:t xml:space="preserve"> when consuming </w:t>
      </w:r>
      <w:r w:rsidR="00EB4F55" w:rsidRPr="006F6055">
        <w:rPr>
          <w:bCs/>
        </w:rPr>
        <w:t>water contaminated with cysts</w:t>
      </w:r>
      <w:r w:rsidR="00237680" w:rsidRPr="006F6055">
        <w:rPr>
          <w:bCs/>
        </w:rPr>
        <w:t xml:space="preserve"> </w:t>
      </w:r>
      <w:r w:rsidR="00B20348" w:rsidRPr="006F6055">
        <w:rPr>
          <w:bCs/>
        </w:rPr>
        <w:t>(</w:t>
      </w:r>
      <w:r w:rsidR="003D1185" w:rsidRPr="006F6055">
        <w:rPr>
          <w:bCs/>
        </w:rPr>
        <w:t xml:space="preserve">or foods/utensils washed </w:t>
      </w:r>
      <w:r w:rsidR="008277D6" w:rsidRPr="006F6055">
        <w:rPr>
          <w:bCs/>
        </w:rPr>
        <w:t>using</w:t>
      </w:r>
      <w:r w:rsidR="003D1185" w:rsidRPr="006F6055">
        <w:rPr>
          <w:bCs/>
        </w:rPr>
        <w:t xml:space="preserve"> contaminated water</w:t>
      </w:r>
      <w:r w:rsidR="00EA530D" w:rsidRPr="006F6055">
        <w:rPr>
          <w:bCs/>
        </w:rPr>
        <w:t xml:space="preserve"> without sufficient soaps</w:t>
      </w:r>
      <w:r w:rsidR="000D3205" w:rsidRPr="006F6055">
        <w:rPr>
          <w:bCs/>
        </w:rPr>
        <w:t>)</w:t>
      </w:r>
      <w:r w:rsidR="003D1185" w:rsidRPr="006F6055">
        <w:rPr>
          <w:bCs/>
        </w:rPr>
        <w:t xml:space="preserve"> </w:t>
      </w:r>
      <w:r w:rsidR="00237680" w:rsidRPr="006F6055">
        <w:rPr>
          <w:bCs/>
        </w:rPr>
        <w:t>(Figure 1, (</w:t>
      </w:r>
      <w:r w:rsidR="00237680" w:rsidRPr="006F6055">
        <w:rPr>
          <w:b/>
        </w:rPr>
        <w:t>5-8</w:t>
      </w:r>
      <w:r w:rsidR="00237680" w:rsidRPr="006F6055">
        <w:rPr>
          <w:bCs/>
        </w:rPr>
        <w:t>))</w:t>
      </w:r>
      <w:r w:rsidR="0098284B" w:rsidRPr="006F6055">
        <w:rPr>
          <w:bCs/>
        </w:rPr>
        <w:t>,</w:t>
      </w:r>
      <w:r w:rsidR="00D6332F" w:rsidRPr="006F6055">
        <w:rPr>
          <w:bCs/>
        </w:rPr>
        <w:t xml:space="preserve"> or through the </w:t>
      </w:r>
      <w:r w:rsidR="00CA42FE" w:rsidRPr="006F6055">
        <w:rPr>
          <w:bCs/>
        </w:rPr>
        <w:t xml:space="preserve">consumption of contaminated foods or </w:t>
      </w:r>
      <w:r w:rsidR="00EB16B5" w:rsidRPr="006F6055">
        <w:rPr>
          <w:bCs/>
        </w:rPr>
        <w:t>unwashed hands</w:t>
      </w:r>
      <w:r w:rsidR="00D6332F" w:rsidRPr="006F6055">
        <w:rPr>
          <w:bCs/>
        </w:rPr>
        <w:t xml:space="preserve"> </w:t>
      </w:r>
      <w:r w:rsidR="00565259" w:rsidRPr="006F6055">
        <w:rPr>
          <w:bCs/>
        </w:rPr>
        <w:t>(Figure 1, (</w:t>
      </w:r>
      <w:r w:rsidR="00565259" w:rsidRPr="006F6055">
        <w:rPr>
          <w:b/>
        </w:rPr>
        <w:t>9</w:t>
      </w:r>
      <w:r w:rsidR="00565259" w:rsidRPr="006F6055">
        <w:rPr>
          <w:bCs/>
        </w:rPr>
        <w:t>))</w:t>
      </w:r>
      <w:r w:rsidR="00FF244B" w:rsidRPr="006F6055">
        <w:rPr>
          <w:bCs/>
        </w:rPr>
        <w:t xml:space="preserve"> </w:t>
      </w:r>
      <w:r w:rsidR="00FF244B" w:rsidRPr="006F6055">
        <w:fldChar w:fldCharType="begin" w:fldLock="1"/>
      </w:r>
      <w:r w:rsidR="00FF244B" w:rsidRPr="006F6055">
        <w:instrText>ADDIN CSL_CITATION {"citationItems":[{"id":"ITEM-1","itemData":{"ISBN":"012031732X","author":[{"dropping-particle":"","family":"Thompson","given":"R C A","non-dropping-particle":"","parse-names":false,"suffix":""},{"dropping-particle":"","family":"Reynoldson","given":"J A","non-dropping-particle":"","parse-names":false,"suffix":""},{"dropping-particle":"","family":"Sciences","given":"Biomedical","non-dropping-particle":"","parse-names":false,"suffix":""}],"id":"ITEM-1","issued":{"date-parts":[["1993"]]},"title":"Giardia and Giardiasis","type":"article-journal"},"uris":["http://www.mendeley.com/documents/?uuid=e6814605-b721-4255-a517-1aa27147b91d"]},{"id":"ITEM-2","itemData":{"DOI":"10.1016/j.mib.2016.07.019","ISSN":"18790364","abstract":"Giardia intestinalis is a non-invasive protozoan parasite infecting the upper small intestine causing acute, watery diarrhea or giardiasis in 280 million people annually. Asymptomatic infections are equally common and recent data have suggested that infections even can be protective against other diarrheal diseases. Most symptomatic infections resolve spontaneously but infections can lead to chronic disease and treatment failures are becoming more common world-wide. Giardia infections can also result in irritable bowel syndrome (IBS) and food allergies after resolution. Until recently not much was known about the mechanism of giardiasis or the cause of post-giardiasis syndromes and treatment failures, but here we will describe the recent progress in these areas.","author":[{"dropping-particle":"","family":"Einarsson","given":"Elin","non-dropping-particle":"","parse-names":false,"suffix":""},{"dropping-particle":"","family":"Ma'ayeh","given":"Showgy","non-dropping-particle":"","parse-names":false,"suffix":""},{"dropping-particle":"","family":"Svärd","given":"Staffan G.","non-dropping-particle":"","parse-names":false,"suffix":""}],"container-title":"Current Opinion in Microbiology","id":"ITEM-2","issued":{"date-parts":[["2016"]]},"page":"47-52","title":"An up-date on Giardia and giardiasis","type":"article-journal","volume":"34"},"uris":["http://www.mendeley.com/documents/?uuid=455c6936-c065-4c25-996e-ce061ea424f4"]}],"mendeley":{"formattedCitation":"[4,37]","plainTextFormattedCitation":"[4,37]","previouslyFormattedCitation":"[4,37]"},"properties":{"noteIndex":0},"schema":"https://github.com/citation-style-language/schema/raw/master/csl-citation.json"}</w:instrText>
      </w:r>
      <w:r w:rsidR="00FF244B" w:rsidRPr="006F6055">
        <w:fldChar w:fldCharType="separate"/>
      </w:r>
      <w:r w:rsidR="00FF244B" w:rsidRPr="006F6055">
        <w:rPr>
          <w:noProof/>
        </w:rPr>
        <w:t>[4,37]</w:t>
      </w:r>
      <w:r w:rsidR="00FF244B" w:rsidRPr="006F6055">
        <w:fldChar w:fldCharType="end"/>
      </w:r>
      <w:r w:rsidR="00565259" w:rsidRPr="006F6055">
        <w:rPr>
          <w:bCs/>
        </w:rPr>
        <w:t>.</w:t>
      </w:r>
      <w:r w:rsidR="00DD54D9" w:rsidRPr="006F6055">
        <w:rPr>
          <w:bCs/>
        </w:rPr>
        <w:t xml:space="preserve"> </w:t>
      </w:r>
      <w:r w:rsidR="004D573A" w:rsidRPr="006F6055">
        <w:rPr>
          <w:bCs/>
        </w:rPr>
        <w:t>Unlike</w:t>
      </w:r>
      <w:r w:rsidR="004D573A" w:rsidRPr="006F6055">
        <w:rPr>
          <w:bCs/>
          <w:i/>
          <w:iCs/>
        </w:rPr>
        <w:t xml:space="preserve"> S. mansoni, </w:t>
      </w:r>
      <w:r w:rsidR="004D573A" w:rsidRPr="006F6055">
        <w:rPr>
          <w:bCs/>
        </w:rPr>
        <w:t>which will asexually reproduce within an intermediate host, and a</w:t>
      </w:r>
      <w:r w:rsidR="004D573A" w:rsidRPr="006F6055">
        <w:t xml:space="preserve">lthough </w:t>
      </w:r>
      <w:r w:rsidR="004D573A" w:rsidRPr="006F6055">
        <w:rPr>
          <w:i/>
          <w:iCs/>
        </w:rPr>
        <w:t xml:space="preserve">Giardia </w:t>
      </w:r>
      <w:r w:rsidR="004D573A" w:rsidRPr="006F6055">
        <w:t xml:space="preserve">cysts may survive and even accumulate within certain </w:t>
      </w:r>
      <w:r w:rsidR="00694963" w:rsidRPr="006F6055">
        <w:t xml:space="preserve">filter-feeding </w:t>
      </w:r>
      <w:r w:rsidR="004D573A" w:rsidRPr="006F6055">
        <w:t>freshwater invertebrates</w:t>
      </w:r>
      <w:r w:rsidR="00694963" w:rsidRPr="006F6055">
        <w:t xml:space="preserve"> (for example, oysters)</w:t>
      </w:r>
      <w:r w:rsidR="004D573A" w:rsidRPr="006F6055">
        <w:t xml:space="preserve">, </w:t>
      </w:r>
      <w:r w:rsidR="004D573A" w:rsidRPr="006F6055">
        <w:rPr>
          <w:bCs/>
          <w:i/>
          <w:iCs/>
        </w:rPr>
        <w:t>G. duodenalis</w:t>
      </w:r>
      <w:r w:rsidR="004D573A" w:rsidRPr="006F6055">
        <w:rPr>
          <w:bCs/>
        </w:rPr>
        <w:t xml:space="preserve"> does </w:t>
      </w:r>
      <w:r w:rsidR="004D573A" w:rsidRPr="006F6055">
        <w:t>not require an intermediate host for transmission</w:t>
      </w:r>
      <w:r w:rsidR="005B0C7E" w:rsidRPr="006F6055">
        <w:t xml:space="preserve"> </w:t>
      </w:r>
      <w:r w:rsidR="005B0C7E" w:rsidRPr="006F6055">
        <w:fldChar w:fldCharType="begin" w:fldLock="1"/>
      </w:r>
      <w:r w:rsidR="00F0018A">
        <w:instrText>ADDIN CSL_CITATION {"citationItems":[{"id":"ITEM-1","itemData":{"DOI":"10.1016/j.trstmh.2008.02.004","ISSN":"00359203","abstract":"This study was conducted to reassess the risk factors for giardiasis in communities of the Orang Asli (indigenous people) in Pahang, Malaysia. Stool samples were collected from 321 individuals (2-76 years old; 160 males, 161 females). Data were collected via laboratory analysis of faecal samples and a pre-tested standard questionnaire. River water samples were tested for Giardia cysts and Cryptosporidium oocysts. The overall prevalence of G. intestinalis infection was 23.7%. Children ≤12 years old had the highest infection rate and have been identified as a high risk group (odds ratio (OR) = 6.2, 95% CI 1.5-27.0, P &lt; 0.005). The risk of getting giardiasis also appeared to be significantly associated with drinking piped water (OR = 5.1, 95% CI 0.06-0.7, P &lt; 0.005) and eating raw vegetables (OR = 2.4, 95% CI 0.2-0.6, P &lt; 0.005). In conclusion, sociodemographic factors have always been associated with the high prevalence of Giardia infections in Malaysia. However, the present study also highlights the need to look into the possibility of other risks such as water and food transmission routes. In future, it is necessary that these two aspects be considered in control strategies. © 2008 Royal Society of Tropical Medicine and Hygiene.","author":[{"dropping-particle":"","family":"Mohammed Mahdy","given":"A. K.","non-dropping-particle":"","parse-names":false,"suffix":""},{"dropping-particle":"","family":"Lim","given":"Y. A.L.","non-dropping-particle":"","parse-names":false,"suffix":""},{"dropping-particle":"","family":"Surin","given":"Johari","non-dropping-particle":"","parse-names":false,"suffix":""},{"dropping-particle":"","family":"Wan","given":"K. L.","non-dropping-particle":"","parse-names":false,"suffix":""},{"dropping-particle":"","family":"Al-Mekhlafi","given":"M. S.Hesham","non-dropping-particle":"","parse-names":false,"suffix":""}],"container-title":"Transactions of the Royal Society of Tropical Medicine and Hygiene","id":"ITEM-1","issue":"5","issued":{"date-parts":[["2008"]]},"page":"465-470","title":"Risk factors for endemic giardiasis: highlighting the possible association of contaminated water and food","type":"article-journal","volume":"102"},"uris":["http://www.mendeley.com/documents/?uuid=6e502dde-2e45-44aa-bbe5-0e2543b55c41"]}],"mendeley":{"formattedCitation":"[38]","plainTextFormattedCitation":"[38]","previouslyFormattedCitation":"[38]"},"properties":{"noteIndex":0},"schema":"https://github.com/citation-style-language/schema/raw/master/csl-citation.json"}</w:instrText>
      </w:r>
      <w:r w:rsidR="005B0C7E" w:rsidRPr="006F6055">
        <w:fldChar w:fldCharType="separate"/>
      </w:r>
      <w:r w:rsidR="00F0018A" w:rsidRPr="00F0018A">
        <w:rPr>
          <w:noProof/>
        </w:rPr>
        <w:t>[38]</w:t>
      </w:r>
      <w:r w:rsidR="005B0C7E" w:rsidRPr="006F6055">
        <w:fldChar w:fldCharType="end"/>
      </w:r>
      <w:r w:rsidR="00A55952" w:rsidRPr="006F6055">
        <w:t>.</w:t>
      </w:r>
      <w:r w:rsidR="00DD54D9" w:rsidRPr="006F6055">
        <w:t xml:space="preserve"> </w:t>
      </w:r>
      <w:r w:rsidR="004D573A" w:rsidRPr="006F6055">
        <w:t xml:space="preserve">Cysts passed in the stool are, however, extremely resilient and can remain viable </w:t>
      </w:r>
      <w:r w:rsidR="00A07B3A" w:rsidRPr="006F6055">
        <w:t>with</w:t>
      </w:r>
      <w:r w:rsidR="004D573A" w:rsidRPr="006F6055">
        <w:t xml:space="preserve">in </w:t>
      </w:r>
      <w:r w:rsidR="005B415A" w:rsidRPr="006F6055">
        <w:t xml:space="preserve">the stool or in </w:t>
      </w:r>
      <w:r w:rsidR="004D573A" w:rsidRPr="006F6055">
        <w:t xml:space="preserve">freshwater for up to eight weeks after excretion (Table 1) </w:t>
      </w:r>
      <w:r w:rsidR="004D573A" w:rsidRPr="006F6055">
        <w:fldChar w:fldCharType="begin" w:fldLock="1"/>
      </w:r>
      <w:r w:rsidR="00F0018A">
        <w:instrText>ADDIN CSL_CITATION {"citationItems":[{"id":"ITEM-1","itemData":{"ISBN":"012031732X","author":[{"dropping-particle":"","family":"Thompson","given":"R C A","non-dropping-particle":"","parse-names":false,"suffix":""},{"dropping-particle":"","family":"Reynoldson","given":"J A","non-dropping-particle":"","parse-names":false,"suffix":""},{"dropping-particle":"","family":"Sciences","given":"Biomedical","non-dropping-particle":"","parse-names":false,"suffix":""}],"id":"ITEM-1","issued":{"date-parts":[["1993"]]},"title":"Giardia and Giardiasis","type":"article-journal"},"uris":["http://www.mendeley.com/documents/?uuid=e6814605-b721-4255-a517-1aa27147b91d"]},{"id":"ITEM-2","itemData":{"DOI":"10.1016/j.mib.2016.07.019","ISSN":"18790364","abstract":"Giardia intestinalis is a non-invasive protozoan parasite infecting the upper small intestine causing acute, watery diarrhea or giardiasis in 280 million people annually. Asymptomatic infections are equally common and recent data have suggested that infections even can be protective against other diarrheal diseases. Most symptomatic infections resolve spontaneously but infections can lead to chronic disease and treatment failures are becoming more common world-wide. Giardia infections can also result in irritable bowel syndrome (IBS) and food allergies after resolution. Until recently not much was known about the mechanism of giardiasis or the cause of post-giardiasis syndromes and treatment failures, but here we will describe the recent progress in these areas.","author":[{"dropping-particle":"","family":"Einarsson","given":"Elin","non-dropping-particle":"","parse-names":false,"suffix":""},{"dropping-particle":"","family":"Ma'ayeh","given":"Showgy","non-dropping-particle":"","parse-names":false,"suffix":""},{"dropping-particle":"","family":"Svärd","given":"Staffan G.","non-dropping-particle":"","parse-names":false,"suffix":""}],"container-title":"Current Opinion in Microbiology","id":"ITEM-2","issued":{"date-parts":[["2016"]]},"page":"47-52","title":"An up-date on Giardia and giardiasis","type":"article-journal","volume":"34"},"uris":["http://www.mendeley.com/documents/?uuid=455c6936-c065-4c25-996e-ce061ea424f4"]},{"id":"ITEM-3","itemData":{"DOI":"10.1038/nrmicro2317","ISSN":"17401526","PMID":"20400969","abstract":"The eukaryotic intestinal parasite Giardia intestinalis was first described in 1681, when Antonie van Leeuwenhoek undertook a microscopic examination of his own diarrhoeal stool. Nowadays, although G. intestinalis is recognized as a major worldwide contributor to diarrhoeal disease in humans and other mammals, the disease mechanisms are still poorly understood. Owing to its reduced complexity and proposed early evolutionary divergence, G. intestinalis is used as a model eukaryotic system for studying many basic cellular processes. In this Review we discuss recent discoveries in the molecular cell biology and pathogenesis of G. intestinalis. © 2010 Macmillan Publishers Limited. All rights reserved.","author":[{"dropping-particle":"","family":"Ankarklev","given":"Johan","non-dropping-particle":"","parse-names":false,"suffix":""},{"dropping-particle":"","family":"Jerlström-Hultqvist","given":"Jon","non-dropping-particle":"","parse-names":false,"suffix":""},{"dropping-particle":"","family":"Ringqvist","given":"Emma","non-dropping-particle":"","parse-names":false,"suffix":""},{"dropping-particle":"","family":"Troell","given":"Karin","non-dropping-particle":"","parse-names":false,"suffix":""},{"dropping-particle":"","family":"Svärd","given":"Staffan G.","non-dropping-particle":"","parse-names":false,"suffix":""}],"container-title":"Nature Reviews Microbiology","id":"ITEM-3","issue":"6","issued":{"date-parts":[["2010"]]},"page":"413-422","publisher":"Nature Publishing Group","title":"Behind the smile: Cell biology and disease mechanisms of Giardia species","type":"article-journal","volume":"8"},"uris":["http://www.mendeley.com/documents/?uuid=5df3fcd5-dd70-4202-adda-95de64f111e2"]}],"mendeley":{"formattedCitation":"[4,37,39]","plainTextFormattedCitation":"[4,37,39]","previouslyFormattedCitation":"[4,37,39]"},"properties":{"noteIndex":0},"schema":"https://github.com/citation-style-language/schema/raw/master/csl-citation.json"}</w:instrText>
      </w:r>
      <w:r w:rsidR="004D573A" w:rsidRPr="006F6055">
        <w:fldChar w:fldCharType="separate"/>
      </w:r>
      <w:r w:rsidR="00F0018A" w:rsidRPr="00F0018A">
        <w:rPr>
          <w:noProof/>
        </w:rPr>
        <w:t>[4,37,39]</w:t>
      </w:r>
      <w:r w:rsidR="004D573A" w:rsidRPr="006F6055">
        <w:fldChar w:fldCharType="end"/>
      </w:r>
      <w:r w:rsidR="004D573A" w:rsidRPr="006F6055">
        <w:t xml:space="preserve">. </w:t>
      </w:r>
    </w:p>
    <w:p w14:paraId="2DCB05FD" w14:textId="77777777" w:rsidR="001158A0" w:rsidRDefault="001158A0" w:rsidP="00DD54D9">
      <w:pPr>
        <w:pStyle w:val="MDPI31text"/>
        <w:spacing w:line="276" w:lineRule="auto"/>
      </w:pPr>
    </w:p>
    <w:p w14:paraId="75983A8F" w14:textId="63341DC8" w:rsidR="00DB3A15" w:rsidRPr="00545B83" w:rsidRDefault="00DB3A15" w:rsidP="003016F8">
      <w:pPr>
        <w:pStyle w:val="MDPI41tablecaption"/>
        <w:spacing w:line="276" w:lineRule="auto"/>
        <w:jc w:val="left"/>
      </w:pPr>
      <w:r w:rsidRPr="00931135">
        <w:rPr>
          <w:b/>
          <w:bCs/>
        </w:rPr>
        <w:t xml:space="preserve">Table 1. </w:t>
      </w:r>
      <w:r w:rsidR="00545B83">
        <w:t xml:space="preserve">Survival and viability of </w:t>
      </w:r>
      <w:r w:rsidR="00545B83">
        <w:rPr>
          <w:i/>
          <w:iCs/>
        </w:rPr>
        <w:t xml:space="preserve">Schistosoma mansoni </w:t>
      </w:r>
      <w:r w:rsidR="00545B83">
        <w:t xml:space="preserve">eggs and </w:t>
      </w:r>
      <w:r w:rsidR="00545B83">
        <w:rPr>
          <w:i/>
          <w:iCs/>
        </w:rPr>
        <w:t xml:space="preserve">Giardia </w:t>
      </w:r>
      <w:r w:rsidR="00545B83">
        <w:t>cysts in the environment post-defecation.</w:t>
      </w:r>
    </w:p>
    <w:tbl>
      <w:tblPr>
        <w:tblW w:w="8546" w:type="dxa"/>
        <w:jc w:val="center"/>
        <w:tblBorders>
          <w:top w:val="single" w:sz="8" w:space="0" w:color="auto"/>
          <w:bottom w:val="single" w:sz="8" w:space="0" w:color="auto"/>
        </w:tblBorders>
        <w:tblLook w:val="04A0" w:firstRow="1" w:lastRow="0" w:firstColumn="1" w:lastColumn="0" w:noHBand="0" w:noVBand="1"/>
      </w:tblPr>
      <w:tblGrid>
        <w:gridCol w:w="2268"/>
        <w:gridCol w:w="1701"/>
        <w:gridCol w:w="2977"/>
        <w:gridCol w:w="1600"/>
      </w:tblGrid>
      <w:tr w:rsidR="000E4112" w:rsidRPr="00A05BFE" w14:paraId="0980DE30" w14:textId="77777777" w:rsidTr="00680DC9">
        <w:trPr>
          <w:trHeight w:val="593"/>
          <w:jc w:val="center"/>
        </w:trPr>
        <w:tc>
          <w:tcPr>
            <w:tcW w:w="2268" w:type="dxa"/>
            <w:tcBorders>
              <w:top w:val="single" w:sz="8" w:space="0" w:color="auto"/>
              <w:bottom w:val="single" w:sz="4" w:space="0" w:color="auto"/>
            </w:tcBorders>
            <w:shd w:val="clear" w:color="auto" w:fill="DEEAF6" w:themeFill="accent5" w:themeFillTint="33"/>
            <w:vAlign w:val="center"/>
          </w:tcPr>
          <w:p w14:paraId="6C0B7715" w14:textId="77777777" w:rsidR="00DB3A15" w:rsidRPr="00A05BFE" w:rsidRDefault="00DB3A15" w:rsidP="00660637">
            <w:pPr>
              <w:autoSpaceDE w:val="0"/>
              <w:autoSpaceDN w:val="0"/>
              <w:adjustRightInd w:val="0"/>
              <w:snapToGrid w:val="0"/>
              <w:spacing w:line="276" w:lineRule="auto"/>
              <w:jc w:val="center"/>
              <w:rPr>
                <w:b/>
                <w:bCs/>
                <w:sz w:val="20"/>
                <w:szCs w:val="20"/>
              </w:rPr>
            </w:pPr>
            <w:r w:rsidRPr="00A05BFE">
              <w:rPr>
                <w:b/>
                <w:bCs/>
                <w:sz w:val="20"/>
                <w:szCs w:val="20"/>
              </w:rPr>
              <w:t>Species</w:t>
            </w:r>
          </w:p>
        </w:tc>
        <w:tc>
          <w:tcPr>
            <w:tcW w:w="1701" w:type="dxa"/>
            <w:tcBorders>
              <w:top w:val="single" w:sz="8" w:space="0" w:color="auto"/>
              <w:bottom w:val="single" w:sz="4" w:space="0" w:color="auto"/>
            </w:tcBorders>
            <w:shd w:val="clear" w:color="auto" w:fill="DEEAF6" w:themeFill="accent5" w:themeFillTint="33"/>
            <w:vAlign w:val="center"/>
          </w:tcPr>
          <w:p w14:paraId="0EE459A4" w14:textId="77777777" w:rsidR="00DB3A15" w:rsidRPr="00A05BFE" w:rsidRDefault="00DB3A15" w:rsidP="00660637">
            <w:pPr>
              <w:autoSpaceDE w:val="0"/>
              <w:autoSpaceDN w:val="0"/>
              <w:adjustRightInd w:val="0"/>
              <w:snapToGrid w:val="0"/>
              <w:spacing w:line="276" w:lineRule="auto"/>
              <w:jc w:val="center"/>
              <w:rPr>
                <w:b/>
                <w:bCs/>
                <w:sz w:val="20"/>
                <w:szCs w:val="20"/>
              </w:rPr>
            </w:pPr>
            <w:r w:rsidRPr="00A05BFE">
              <w:rPr>
                <w:b/>
                <w:bCs/>
                <w:sz w:val="20"/>
                <w:szCs w:val="20"/>
              </w:rPr>
              <w:t>Life-stage</w:t>
            </w:r>
          </w:p>
        </w:tc>
        <w:tc>
          <w:tcPr>
            <w:tcW w:w="2977" w:type="dxa"/>
            <w:tcBorders>
              <w:top w:val="single" w:sz="8" w:space="0" w:color="auto"/>
              <w:bottom w:val="single" w:sz="4" w:space="0" w:color="auto"/>
            </w:tcBorders>
            <w:shd w:val="clear" w:color="auto" w:fill="DEEAF6" w:themeFill="accent5" w:themeFillTint="33"/>
            <w:vAlign w:val="center"/>
          </w:tcPr>
          <w:p w14:paraId="694FA98A" w14:textId="2FB3F762" w:rsidR="000E4112" w:rsidRPr="00A05BFE" w:rsidRDefault="000E4112" w:rsidP="000E4112">
            <w:pPr>
              <w:autoSpaceDE w:val="0"/>
              <w:autoSpaceDN w:val="0"/>
              <w:adjustRightInd w:val="0"/>
              <w:snapToGrid w:val="0"/>
              <w:spacing w:line="276" w:lineRule="auto"/>
              <w:jc w:val="center"/>
              <w:rPr>
                <w:b/>
                <w:bCs/>
                <w:sz w:val="20"/>
                <w:szCs w:val="20"/>
              </w:rPr>
            </w:pPr>
            <w:r>
              <w:rPr>
                <w:b/>
                <w:bCs/>
                <w:sz w:val="20"/>
                <w:szCs w:val="20"/>
              </w:rPr>
              <w:t>Survival</w:t>
            </w:r>
            <w:r w:rsidR="00DB3A15" w:rsidRPr="00A05BFE">
              <w:rPr>
                <w:b/>
                <w:bCs/>
                <w:sz w:val="20"/>
                <w:szCs w:val="20"/>
              </w:rPr>
              <w:t xml:space="preserve"> </w:t>
            </w:r>
            <w:r w:rsidR="00E44BC6">
              <w:rPr>
                <w:b/>
                <w:bCs/>
                <w:sz w:val="20"/>
                <w:szCs w:val="20"/>
              </w:rPr>
              <w:t>post-</w:t>
            </w:r>
            <w:r w:rsidR="00FD67C8">
              <w:rPr>
                <w:b/>
                <w:bCs/>
                <w:sz w:val="20"/>
                <w:szCs w:val="20"/>
              </w:rPr>
              <w:t>defecation</w:t>
            </w:r>
            <w:r>
              <w:rPr>
                <w:b/>
                <w:bCs/>
                <w:sz w:val="20"/>
                <w:szCs w:val="20"/>
              </w:rPr>
              <w:t xml:space="preserve"> in the stool or in freshwater</w:t>
            </w:r>
          </w:p>
        </w:tc>
        <w:tc>
          <w:tcPr>
            <w:tcW w:w="1600" w:type="dxa"/>
            <w:tcBorders>
              <w:top w:val="single" w:sz="8" w:space="0" w:color="auto"/>
              <w:bottom w:val="single" w:sz="4" w:space="0" w:color="auto"/>
            </w:tcBorders>
            <w:shd w:val="clear" w:color="auto" w:fill="DEEAF6" w:themeFill="accent5" w:themeFillTint="33"/>
            <w:vAlign w:val="center"/>
          </w:tcPr>
          <w:p w14:paraId="3027FF7B" w14:textId="77777777" w:rsidR="00DB3A15" w:rsidRPr="00A05BFE" w:rsidRDefault="00DB3A15" w:rsidP="00660637">
            <w:pPr>
              <w:autoSpaceDE w:val="0"/>
              <w:autoSpaceDN w:val="0"/>
              <w:adjustRightInd w:val="0"/>
              <w:snapToGrid w:val="0"/>
              <w:spacing w:line="276" w:lineRule="auto"/>
              <w:jc w:val="center"/>
              <w:rPr>
                <w:b/>
                <w:bCs/>
                <w:sz w:val="20"/>
                <w:szCs w:val="20"/>
              </w:rPr>
            </w:pPr>
            <w:r w:rsidRPr="00A05BFE">
              <w:rPr>
                <w:b/>
                <w:bCs/>
                <w:sz w:val="20"/>
                <w:szCs w:val="20"/>
              </w:rPr>
              <w:t>Reference(s)</w:t>
            </w:r>
          </w:p>
        </w:tc>
      </w:tr>
      <w:tr w:rsidR="00CF4825" w:rsidRPr="00A05BFE" w14:paraId="1AA5E2B7" w14:textId="77777777" w:rsidTr="00333B00">
        <w:trPr>
          <w:trHeight w:val="706"/>
          <w:jc w:val="center"/>
        </w:trPr>
        <w:tc>
          <w:tcPr>
            <w:tcW w:w="2268" w:type="dxa"/>
            <w:vMerge w:val="restart"/>
            <w:tcBorders>
              <w:top w:val="single" w:sz="4" w:space="0" w:color="auto"/>
            </w:tcBorders>
            <w:vAlign w:val="center"/>
          </w:tcPr>
          <w:p w14:paraId="14591B32" w14:textId="77777777" w:rsidR="004E53AB" w:rsidRDefault="004E53AB" w:rsidP="004E53AB">
            <w:pPr>
              <w:autoSpaceDE w:val="0"/>
              <w:autoSpaceDN w:val="0"/>
              <w:adjustRightInd w:val="0"/>
              <w:snapToGrid w:val="0"/>
              <w:spacing w:line="276" w:lineRule="auto"/>
              <w:jc w:val="center"/>
              <w:rPr>
                <w:b/>
                <w:bCs/>
                <w:i/>
                <w:iCs/>
                <w:sz w:val="20"/>
                <w:szCs w:val="20"/>
              </w:rPr>
            </w:pPr>
          </w:p>
          <w:p w14:paraId="2FD89C5F" w14:textId="61159745" w:rsidR="00CF4825" w:rsidRPr="00A05BFE" w:rsidRDefault="00CF4825" w:rsidP="004E53AB">
            <w:pPr>
              <w:autoSpaceDE w:val="0"/>
              <w:autoSpaceDN w:val="0"/>
              <w:adjustRightInd w:val="0"/>
              <w:snapToGrid w:val="0"/>
              <w:spacing w:line="276" w:lineRule="auto"/>
              <w:jc w:val="center"/>
              <w:rPr>
                <w:b/>
                <w:bCs/>
                <w:i/>
                <w:iCs/>
                <w:sz w:val="20"/>
                <w:szCs w:val="20"/>
              </w:rPr>
            </w:pPr>
            <w:r>
              <w:rPr>
                <w:b/>
                <w:bCs/>
                <w:i/>
                <w:iCs/>
                <w:sz w:val="20"/>
                <w:szCs w:val="20"/>
              </w:rPr>
              <w:t>S. mansoni</w:t>
            </w:r>
          </w:p>
        </w:tc>
        <w:tc>
          <w:tcPr>
            <w:tcW w:w="1701" w:type="dxa"/>
            <w:tcBorders>
              <w:top w:val="single" w:sz="4" w:space="0" w:color="auto"/>
              <w:bottom w:val="single" w:sz="4" w:space="0" w:color="FFFFFF" w:themeColor="background1"/>
            </w:tcBorders>
            <w:vAlign w:val="center"/>
          </w:tcPr>
          <w:p w14:paraId="23F3C68C" w14:textId="32B194E2" w:rsidR="00CF4825" w:rsidRPr="00A05BFE" w:rsidRDefault="00CF4825" w:rsidP="00660637">
            <w:pPr>
              <w:autoSpaceDE w:val="0"/>
              <w:autoSpaceDN w:val="0"/>
              <w:adjustRightInd w:val="0"/>
              <w:snapToGrid w:val="0"/>
              <w:spacing w:line="276" w:lineRule="auto"/>
              <w:jc w:val="center"/>
              <w:rPr>
                <w:sz w:val="20"/>
                <w:szCs w:val="20"/>
              </w:rPr>
            </w:pPr>
            <w:r>
              <w:rPr>
                <w:sz w:val="20"/>
                <w:szCs w:val="20"/>
              </w:rPr>
              <w:t>Egg</w:t>
            </w:r>
            <w:r w:rsidR="00AC1536">
              <w:rPr>
                <w:sz w:val="20"/>
                <w:szCs w:val="20"/>
              </w:rPr>
              <w:t>s</w:t>
            </w:r>
          </w:p>
        </w:tc>
        <w:tc>
          <w:tcPr>
            <w:tcW w:w="2977" w:type="dxa"/>
            <w:tcBorders>
              <w:top w:val="single" w:sz="4" w:space="0" w:color="auto"/>
            </w:tcBorders>
            <w:vAlign w:val="center"/>
          </w:tcPr>
          <w:p w14:paraId="4340200A" w14:textId="560463C7" w:rsidR="0059111B" w:rsidRDefault="0065747D" w:rsidP="00333B00">
            <w:pPr>
              <w:autoSpaceDE w:val="0"/>
              <w:autoSpaceDN w:val="0"/>
              <w:adjustRightInd w:val="0"/>
              <w:snapToGrid w:val="0"/>
              <w:spacing w:line="276" w:lineRule="auto"/>
              <w:jc w:val="right"/>
              <w:rPr>
                <w:sz w:val="20"/>
                <w:szCs w:val="20"/>
              </w:rPr>
            </w:pPr>
            <w:r>
              <w:rPr>
                <w:sz w:val="20"/>
                <w:szCs w:val="20"/>
              </w:rPr>
              <w:t xml:space="preserve">~8 days </w:t>
            </w:r>
            <w:r w:rsidR="00845AFE">
              <w:rPr>
                <w:sz w:val="20"/>
                <w:szCs w:val="20"/>
              </w:rPr>
              <w:t>in stool</w:t>
            </w:r>
            <w:r w:rsidR="0088732A">
              <w:rPr>
                <w:sz w:val="20"/>
                <w:szCs w:val="20"/>
              </w:rPr>
              <w:t xml:space="preserve"> prior to </w:t>
            </w:r>
          </w:p>
          <w:p w14:paraId="5A14C120" w14:textId="3BB06DBB" w:rsidR="00CF4825" w:rsidRPr="00A05BFE" w:rsidRDefault="0088732A" w:rsidP="00333B00">
            <w:pPr>
              <w:autoSpaceDE w:val="0"/>
              <w:autoSpaceDN w:val="0"/>
              <w:adjustRightInd w:val="0"/>
              <w:snapToGrid w:val="0"/>
              <w:spacing w:line="276" w:lineRule="auto"/>
              <w:jc w:val="right"/>
              <w:rPr>
                <w:sz w:val="20"/>
                <w:szCs w:val="20"/>
              </w:rPr>
            </w:pPr>
            <w:r>
              <w:rPr>
                <w:sz w:val="20"/>
                <w:szCs w:val="20"/>
              </w:rPr>
              <w:t>reaching freshwater</w:t>
            </w:r>
          </w:p>
        </w:tc>
        <w:tc>
          <w:tcPr>
            <w:tcW w:w="1600" w:type="dxa"/>
            <w:tcBorders>
              <w:top w:val="single" w:sz="4" w:space="0" w:color="auto"/>
            </w:tcBorders>
            <w:vAlign w:val="center"/>
          </w:tcPr>
          <w:p w14:paraId="6941C16A" w14:textId="4C69853B" w:rsidR="00CF4825" w:rsidRPr="00A05BFE" w:rsidRDefault="001E2A7E" w:rsidP="00660637">
            <w:pPr>
              <w:autoSpaceDE w:val="0"/>
              <w:autoSpaceDN w:val="0"/>
              <w:adjustRightInd w:val="0"/>
              <w:snapToGrid w:val="0"/>
              <w:spacing w:line="276" w:lineRule="auto"/>
              <w:jc w:val="center"/>
              <w:rPr>
                <w:sz w:val="20"/>
                <w:szCs w:val="20"/>
              </w:rPr>
            </w:pPr>
            <w:r>
              <w:rPr>
                <w:sz w:val="20"/>
                <w:szCs w:val="20"/>
              </w:rPr>
              <w:fldChar w:fldCharType="begin" w:fldLock="1"/>
            </w:r>
            <w:r w:rsidR="001A0DC3">
              <w:rPr>
                <w:sz w:val="20"/>
                <w:szCs w:val="20"/>
              </w:rPr>
              <w:instrText>ADDIN CSL_CITATION {"citationItems":[{"id":"ITEM-1","itemData":{"DOI":"10.1186/s13071-015-0766-9","ISSN":"17563305","PMID":"25884172","abstract":"Schistosomiasis is a disease caused by infection with blood flukes of the genus Schistosoma. Transmission of, and exposure to, the parasite result from faecal or urinary contamination of freshwater containing intermediate host snails, and dermal contact with the same water. The World Health Assembly resolution 65.21 from May 2012 urges member states to eliminate schistosomiasis through preventive chemotherapy (i.e. periodic large-scale administration of the antischistosomal drug praziquantel to school-aged children and other high-risk groups), provision of water, sanitation and hygiene (WASH) and snail control. However, control measures focus almost exclusively on preventive chemotherapy, while only few studies made an attempt to determine the impact of upgraded access to safe water, adequate sanitation and good hygiene on schistosome transmission. We recently completed a systematic review and meta-analysis pertaining to WASH and schistosomiasis and found that people with safe water and adequate sanitation have significantly lower odds of a Schistosoma infection. Importantly though, the transmission of schistosomiasis is deeply entrenched in social-ecological systems, and hence is governed by setting-specific cultural and environmental factors that determine human behaviour and snail populations. Here, we provide a comprehensive review of the literature, which explores the transmission routes of schistosomes, particularly focussing on how these might be disrupted with WASH-related technologies and human behaviour. Additionally, future research directions in this area are highlighted.","author":[{"dropping-particle":"","family":"Grimes","given":"Jack Et","non-dropping-particle":"","parse-names":false,"suffix":""},{"dropping-particle":"","family":"Croll","given":"David","non-dropping-particle":"","parse-names":false,"suffix":""},{"dropping-particle":"","family":"Harrison","given":"Wendy E.","non-dropping-particle":"","parse-names":false,"suffix":""},{"dropping-particle":"","family":"Utzinger","given":"Jürg","non-dropping-particle":"","parse-names":false,"suffix":""},{"dropping-particle":"","family":"Freeman","given":"Matthew C.","non-dropping-particle":"","parse-names":false,"suffix":""},{"dropping-particle":"","family":"Templeton","given":"Michael R.","non-dropping-particle":"","parse-names":false,"suffix":""}],"container-title":"Parasites and Vectors","id":"ITEM-1","issue":"1","issued":{"date-parts":[["2015"]]},"page":"1-16","title":"The roles of water, sanitation and hygiene in reducing schistosomiasis: A review","type":"article-journal","volume":"8"},"uris":["http://www.mendeley.com/documents/?uuid=919febbb-fbaf-476a-bc1d-d88ec1864e31"]}],"mendeley":{"formattedCitation":"[30]","plainTextFormattedCitation":"[30]","previouslyFormattedCitation":"[30]"},"properties":{"noteIndex":0},"schema":"https://github.com/citation-style-language/schema/raw/master/csl-citation.json"}</w:instrText>
            </w:r>
            <w:r>
              <w:rPr>
                <w:sz w:val="20"/>
                <w:szCs w:val="20"/>
              </w:rPr>
              <w:fldChar w:fldCharType="separate"/>
            </w:r>
            <w:r w:rsidR="001D3544" w:rsidRPr="001D3544">
              <w:rPr>
                <w:noProof/>
                <w:sz w:val="20"/>
                <w:szCs w:val="20"/>
              </w:rPr>
              <w:t>[30]</w:t>
            </w:r>
            <w:r>
              <w:rPr>
                <w:sz w:val="20"/>
                <w:szCs w:val="20"/>
              </w:rPr>
              <w:fldChar w:fldCharType="end"/>
            </w:r>
          </w:p>
        </w:tc>
      </w:tr>
      <w:tr w:rsidR="00CF4825" w:rsidRPr="00A05BFE" w14:paraId="248BB3F1" w14:textId="77777777" w:rsidTr="0004622D">
        <w:trPr>
          <w:trHeight w:val="404"/>
          <w:jc w:val="center"/>
        </w:trPr>
        <w:tc>
          <w:tcPr>
            <w:tcW w:w="2268" w:type="dxa"/>
            <w:vMerge/>
            <w:vAlign w:val="center"/>
          </w:tcPr>
          <w:p w14:paraId="0E52BA14" w14:textId="77777777" w:rsidR="00CF4825" w:rsidRPr="00A05BFE" w:rsidRDefault="00CF4825" w:rsidP="004E53AB">
            <w:pPr>
              <w:autoSpaceDE w:val="0"/>
              <w:autoSpaceDN w:val="0"/>
              <w:adjustRightInd w:val="0"/>
              <w:snapToGrid w:val="0"/>
              <w:spacing w:line="276" w:lineRule="auto"/>
              <w:jc w:val="center"/>
              <w:rPr>
                <w:b/>
                <w:bCs/>
                <w:i/>
                <w:iCs/>
                <w:sz w:val="20"/>
                <w:szCs w:val="20"/>
              </w:rPr>
            </w:pPr>
          </w:p>
        </w:tc>
        <w:tc>
          <w:tcPr>
            <w:tcW w:w="1701" w:type="dxa"/>
            <w:tcBorders>
              <w:top w:val="single" w:sz="4" w:space="0" w:color="FFFFFF" w:themeColor="background1"/>
              <w:bottom w:val="single" w:sz="4" w:space="0" w:color="FFFFFF" w:themeColor="background1"/>
            </w:tcBorders>
            <w:vAlign w:val="center"/>
          </w:tcPr>
          <w:p w14:paraId="16B94AE3" w14:textId="254A5022" w:rsidR="00CF4825" w:rsidRPr="00A05BFE" w:rsidRDefault="00CF4825" w:rsidP="00660637">
            <w:pPr>
              <w:autoSpaceDE w:val="0"/>
              <w:autoSpaceDN w:val="0"/>
              <w:adjustRightInd w:val="0"/>
              <w:snapToGrid w:val="0"/>
              <w:spacing w:line="276" w:lineRule="auto"/>
              <w:jc w:val="center"/>
              <w:rPr>
                <w:sz w:val="20"/>
                <w:szCs w:val="20"/>
              </w:rPr>
            </w:pPr>
            <w:r w:rsidRPr="00A05BFE">
              <w:rPr>
                <w:sz w:val="20"/>
                <w:szCs w:val="20"/>
              </w:rPr>
              <w:t>Miracidia</w:t>
            </w:r>
          </w:p>
        </w:tc>
        <w:tc>
          <w:tcPr>
            <w:tcW w:w="2977" w:type="dxa"/>
            <w:vAlign w:val="center"/>
          </w:tcPr>
          <w:p w14:paraId="5D7AB417" w14:textId="14FFF5EF" w:rsidR="00CF4825" w:rsidRPr="00A05BFE" w:rsidRDefault="00CF4825" w:rsidP="00333B00">
            <w:pPr>
              <w:autoSpaceDE w:val="0"/>
              <w:autoSpaceDN w:val="0"/>
              <w:adjustRightInd w:val="0"/>
              <w:snapToGrid w:val="0"/>
              <w:spacing w:line="276" w:lineRule="auto"/>
              <w:jc w:val="right"/>
              <w:rPr>
                <w:sz w:val="20"/>
                <w:szCs w:val="20"/>
              </w:rPr>
            </w:pPr>
            <w:r w:rsidRPr="00A05BFE">
              <w:rPr>
                <w:sz w:val="20"/>
                <w:szCs w:val="20"/>
              </w:rPr>
              <w:t>&lt;6 hours</w:t>
            </w:r>
            <w:r>
              <w:rPr>
                <w:sz w:val="20"/>
                <w:szCs w:val="20"/>
              </w:rPr>
              <w:t xml:space="preserve"> </w:t>
            </w:r>
            <w:r w:rsidR="00BD73AE">
              <w:rPr>
                <w:sz w:val="20"/>
                <w:szCs w:val="20"/>
              </w:rPr>
              <w:t>i</w:t>
            </w:r>
            <w:r>
              <w:rPr>
                <w:sz w:val="20"/>
                <w:szCs w:val="20"/>
              </w:rPr>
              <w:t>n freshwater</w:t>
            </w:r>
          </w:p>
        </w:tc>
        <w:tc>
          <w:tcPr>
            <w:tcW w:w="1600" w:type="dxa"/>
            <w:vAlign w:val="center"/>
          </w:tcPr>
          <w:p w14:paraId="475BB716" w14:textId="0EDA151A" w:rsidR="00CF4825" w:rsidRPr="00A05BFE" w:rsidRDefault="00CF4825" w:rsidP="00660637">
            <w:pPr>
              <w:autoSpaceDE w:val="0"/>
              <w:autoSpaceDN w:val="0"/>
              <w:adjustRightInd w:val="0"/>
              <w:snapToGrid w:val="0"/>
              <w:spacing w:line="276" w:lineRule="auto"/>
              <w:jc w:val="center"/>
              <w:rPr>
                <w:sz w:val="20"/>
                <w:szCs w:val="20"/>
              </w:rPr>
            </w:pPr>
            <w:r w:rsidRPr="00A05BFE">
              <w:rPr>
                <w:sz w:val="20"/>
                <w:szCs w:val="20"/>
              </w:rPr>
              <w:fldChar w:fldCharType="begin" w:fldLock="1"/>
            </w:r>
            <w:r w:rsidR="001A0DC3">
              <w:rPr>
                <w:sz w:val="20"/>
                <w:szCs w:val="20"/>
              </w:rPr>
              <w:instrText>ADDIN CSL_CITATION {"citationItems":[{"id":"ITEM-1","itemData":{"author":[{"dropping-particle":"","family":"Wright","given":"C.A","non-dropping-particle":"","parse-names":false,"suffix":""}],"id":"ITEM-1","issued":{"date-parts":[["1971"]]},"number-of-pages":"76-94","publisher":"George Allen and Unwin LTD. London.","title":"Flukes and Snails. Chapter 4: Fluke life-cycles","type":"book"},"uris":["http://www.mendeley.com/documents/?uuid=e3155047-6068-47f8-9f31-175492b22eb7"]},{"id":"ITEM-2","itemData":{"author":[{"dropping-particle":"","family":"Galaktionov, K.V., Dobrovolskij","given":"A.A","non-dropping-particle":"","parse-names":false,"suffix":""}],"id":"ITEM-2","issued":{"date-parts":[["2003"]]},"number-of-pages":"215-309","publisher":"Dordrecht, Boston: Kluwer Academic Publishers","title":"The Biology and Evolution of Trematodes. An Essay on the Biology, Morphology, Life Cycles, Transmission, and Evolution of Digenetic Trematodes. Chapter 2: The Trematode Life Cycle as a System of Adaptations","type":"book"},"uris":["http://www.mendeley.com/documents/?uuid=515742d7-3e3c-48b9-a7dc-a64696637ac6"]},{"id":"ITEM-3","itemData":{"author":[{"dropping-particle":"","family":"Fried, B., Graczyk","given":"T.K","non-dropping-particle":"","parse-names":false,"suffix":""}],"id":"ITEM-3","issued":{"date-parts":[["1997"]]},"publisher":"CRC Press. New York","title":"Advances in Trematode Biology. Chapter 7: Host Recognition by Trematode Miracidia and Cercariae","type":"book"},"uris":["http://www.mendeley.com/documents/?uuid=497315ae-99e8-4db3-9f69-a137309f83b0"]}],"mendeley":{"formattedCitation":"[31–33]","plainTextFormattedCitation":"[31–33]","previouslyFormattedCitation":"[31–33]"},"properties":{"noteIndex":0},"schema":"https://github.com/citation-style-language/schema/raw/master/csl-citation.json"}</w:instrText>
            </w:r>
            <w:r w:rsidRPr="00A05BFE">
              <w:rPr>
                <w:sz w:val="20"/>
                <w:szCs w:val="20"/>
              </w:rPr>
              <w:fldChar w:fldCharType="separate"/>
            </w:r>
            <w:r w:rsidR="001D3544" w:rsidRPr="001D3544">
              <w:rPr>
                <w:noProof/>
                <w:sz w:val="20"/>
                <w:szCs w:val="20"/>
              </w:rPr>
              <w:t>[31–33]</w:t>
            </w:r>
            <w:r w:rsidRPr="00A05BFE">
              <w:rPr>
                <w:sz w:val="20"/>
                <w:szCs w:val="20"/>
              </w:rPr>
              <w:fldChar w:fldCharType="end"/>
            </w:r>
          </w:p>
        </w:tc>
      </w:tr>
      <w:tr w:rsidR="00CF4825" w:rsidRPr="00A05BFE" w14:paraId="405EEB7D" w14:textId="77777777" w:rsidTr="00CC23AC">
        <w:trPr>
          <w:trHeight w:val="809"/>
          <w:jc w:val="center"/>
        </w:trPr>
        <w:tc>
          <w:tcPr>
            <w:tcW w:w="2268" w:type="dxa"/>
            <w:vMerge w:val="restart"/>
            <w:vAlign w:val="center"/>
          </w:tcPr>
          <w:p w14:paraId="6403293C" w14:textId="77777777" w:rsidR="004E53AB" w:rsidRDefault="004E53AB" w:rsidP="004E53AB">
            <w:pPr>
              <w:autoSpaceDE w:val="0"/>
              <w:autoSpaceDN w:val="0"/>
              <w:adjustRightInd w:val="0"/>
              <w:snapToGrid w:val="0"/>
              <w:spacing w:line="276" w:lineRule="auto"/>
              <w:jc w:val="center"/>
              <w:rPr>
                <w:b/>
                <w:bCs/>
                <w:i/>
                <w:iCs/>
                <w:sz w:val="20"/>
                <w:szCs w:val="20"/>
              </w:rPr>
            </w:pPr>
          </w:p>
          <w:p w14:paraId="4C616D06" w14:textId="0EEE38BB" w:rsidR="00CF4825" w:rsidRPr="00A05BFE" w:rsidRDefault="00CF4825" w:rsidP="004E53AB">
            <w:pPr>
              <w:autoSpaceDE w:val="0"/>
              <w:autoSpaceDN w:val="0"/>
              <w:adjustRightInd w:val="0"/>
              <w:snapToGrid w:val="0"/>
              <w:spacing w:line="276" w:lineRule="auto"/>
              <w:jc w:val="center"/>
              <w:rPr>
                <w:b/>
                <w:bCs/>
                <w:i/>
                <w:iCs/>
                <w:sz w:val="20"/>
                <w:szCs w:val="20"/>
              </w:rPr>
            </w:pPr>
            <w:r w:rsidRPr="00A05BFE">
              <w:rPr>
                <w:b/>
                <w:bCs/>
                <w:i/>
                <w:iCs/>
                <w:sz w:val="20"/>
                <w:szCs w:val="20"/>
              </w:rPr>
              <w:t>G. duodenalis</w:t>
            </w:r>
          </w:p>
          <w:p w14:paraId="1E82DC13" w14:textId="50A05678" w:rsidR="00CF4825" w:rsidRPr="00A05BFE" w:rsidRDefault="00CF4825" w:rsidP="004E53AB">
            <w:pPr>
              <w:autoSpaceDE w:val="0"/>
              <w:autoSpaceDN w:val="0"/>
              <w:adjustRightInd w:val="0"/>
              <w:snapToGrid w:val="0"/>
              <w:spacing w:line="276" w:lineRule="auto"/>
              <w:jc w:val="center"/>
              <w:rPr>
                <w:b/>
                <w:bCs/>
                <w:i/>
                <w:iCs/>
                <w:sz w:val="20"/>
                <w:szCs w:val="20"/>
              </w:rPr>
            </w:pPr>
            <w:r w:rsidRPr="00A05BFE">
              <w:rPr>
                <w:b/>
                <w:bCs/>
                <w:sz w:val="20"/>
                <w:szCs w:val="20"/>
              </w:rPr>
              <w:t>(Assemblages A and B)</w:t>
            </w:r>
          </w:p>
        </w:tc>
        <w:tc>
          <w:tcPr>
            <w:tcW w:w="1701" w:type="dxa"/>
            <w:tcBorders>
              <w:top w:val="single" w:sz="4" w:space="0" w:color="FFFFFF" w:themeColor="background1"/>
            </w:tcBorders>
            <w:vAlign w:val="center"/>
          </w:tcPr>
          <w:p w14:paraId="1D418F3C" w14:textId="0CCF39E0" w:rsidR="00CF4825" w:rsidRPr="00A05BFE" w:rsidRDefault="00CF4825" w:rsidP="00EF1A5D">
            <w:pPr>
              <w:autoSpaceDE w:val="0"/>
              <w:autoSpaceDN w:val="0"/>
              <w:adjustRightInd w:val="0"/>
              <w:snapToGrid w:val="0"/>
              <w:spacing w:line="276" w:lineRule="auto"/>
              <w:jc w:val="center"/>
              <w:rPr>
                <w:sz w:val="20"/>
                <w:szCs w:val="20"/>
              </w:rPr>
            </w:pPr>
            <w:r w:rsidRPr="00A05BFE">
              <w:rPr>
                <w:sz w:val="20"/>
                <w:szCs w:val="20"/>
              </w:rPr>
              <w:t>Cercariae</w:t>
            </w:r>
          </w:p>
        </w:tc>
        <w:tc>
          <w:tcPr>
            <w:tcW w:w="2977" w:type="dxa"/>
            <w:vAlign w:val="center"/>
          </w:tcPr>
          <w:p w14:paraId="7720AB76" w14:textId="37700D64" w:rsidR="00CF4825" w:rsidRPr="00A05BFE" w:rsidRDefault="00CF4825" w:rsidP="00333B00">
            <w:pPr>
              <w:autoSpaceDE w:val="0"/>
              <w:autoSpaceDN w:val="0"/>
              <w:adjustRightInd w:val="0"/>
              <w:snapToGrid w:val="0"/>
              <w:spacing w:line="276" w:lineRule="auto"/>
              <w:jc w:val="right"/>
              <w:rPr>
                <w:sz w:val="20"/>
                <w:szCs w:val="20"/>
              </w:rPr>
            </w:pPr>
            <w:r w:rsidRPr="00A05BFE">
              <w:rPr>
                <w:sz w:val="20"/>
                <w:szCs w:val="20"/>
              </w:rPr>
              <w:t>~1-3 days</w:t>
            </w:r>
            <w:r>
              <w:rPr>
                <w:sz w:val="20"/>
                <w:szCs w:val="20"/>
              </w:rPr>
              <w:t xml:space="preserve"> in freshwater</w:t>
            </w:r>
          </w:p>
        </w:tc>
        <w:tc>
          <w:tcPr>
            <w:tcW w:w="1600" w:type="dxa"/>
            <w:vAlign w:val="center"/>
          </w:tcPr>
          <w:p w14:paraId="3B5ED6B0" w14:textId="72200936" w:rsidR="00CF4825" w:rsidRPr="00A05BFE" w:rsidRDefault="00CF4825" w:rsidP="00DE1C0C">
            <w:pPr>
              <w:autoSpaceDE w:val="0"/>
              <w:autoSpaceDN w:val="0"/>
              <w:adjustRightInd w:val="0"/>
              <w:snapToGrid w:val="0"/>
              <w:spacing w:line="276" w:lineRule="auto"/>
              <w:jc w:val="center"/>
              <w:rPr>
                <w:sz w:val="20"/>
                <w:szCs w:val="20"/>
              </w:rPr>
            </w:pPr>
            <w:r w:rsidRPr="00A05BFE">
              <w:rPr>
                <w:bCs/>
                <w:color w:val="000000" w:themeColor="text1"/>
                <w:sz w:val="20"/>
                <w:szCs w:val="20"/>
              </w:rPr>
              <w:fldChar w:fldCharType="begin" w:fldLock="1"/>
            </w:r>
            <w:r w:rsidR="001A0DC3">
              <w:rPr>
                <w:bCs/>
                <w:color w:val="000000" w:themeColor="text1"/>
                <w:sz w:val="20"/>
                <w:szCs w:val="20"/>
              </w:rPr>
              <w:instrText>ADDIN CSL_CITATION {"citationItems":[{"id":"ITEM-1","itemData":{"author":[{"dropping-particle":"","family":"Galaktionov, K.V., Dobrovolskij","given":"A.A","non-dropping-particle":"","parse-names":false,"suffix":""}],"id":"ITEM-1","issued":{"date-parts":[["2003"]]},"number-of-pages":"215-309","publisher":"Dordrecht, Boston: Kluwer Academic Publishers","title":"The Biology and Evolution of Trematodes. An Essay on the Biology, Morphology, Life Cycles, Transmission, and Evolution of Digenetic Trematodes. Chapter 2: The Trematode Life Cycle as a System of Adaptations","type":"book"},"uris":["http://www.mendeley.com/documents/?uuid=515742d7-3e3c-48b9-a7dc-a64696637ac6"]},{"id":"ITEM-2","itemData":{"DOI":"10.1016/bs.apar.2015.02.003","ISSN":"0065308X","abstract":"One major challenge for parasites with complex cycles consists to succeed in the transmission from one host to the next host. To maximize the probability of encountering the right host, numerous trematode species have selected various emergence rhythms occurring during the escape of the short-lived cercariae from the mollusc host. Cercarial shedding patterns are beautiful examples of adaptation of the parasite for a successful rendezvous with its subsequent host. In this review, after an analysis of the technical and statistical aspects specific to such studies, we compile the knowledge and unresolved issues we have about the synchronization of these rhythms, their genetic support and the role of the host physiology or activity. We are also interested on how cercarial rhythmicity influences cercarial densities in waters of transmission sites and then the risk of host infection in case of schistosomiasis. Ecological significance of the inter- and intra-specific diversity of these rhythms is emphasized as well as the evolutionary implication of new chronotypes resulting from the capture of new host species and promoting reproductive isolation and alloxenic speciation. Currently, genome sequence data now available for some trematodes such as the schistosomes provide an unprecedented resource for new research approaches that should contribute identification of the genes and mechanisms involved in determining the cercarial shedding rhythms observed.","author":[{"dropping-particle":"","family":"Théron","given":"André","non-dropping-particle":"","parse-names":false,"suffix":""}],"container-title":"Advances in Parasitology","id":"ITEM-2","issued":{"date-parts":[["2015"]]},"number-of-pages":"123-164","publisher":"Elsevier Ltd","title":"Chronobiology of trematode cercarial emergence: From data recovery to epidemiological, ecological and evolutionary implications","type":"book","volume":"88"},"uris":["http://www.mendeley.com/documents/?uuid=259ac2d2-5de9-4439-87d6-fbd718130fb7"]},{"id":"ITEM-3","itemData":{"DOI":"10.5169/seals-313293","author":[{"dropping-particle":"","family":"Frandsen, F. Christensen","given":"N.","non-dropping-particle":"","parse-names":false,"suffix":""}],"container-title":"Acta Tropica","id":"ITEM-3","issued":{"date-parts":[["1984"]]},"title":"An Introductory Guide to the Identification of Cercariae From African Freshwater Snails With Special Reference to Cercariae of Trematode Species of Medical and Veterinary Importance","type":"article-journal"},"uris":["http://www.mendeley.com/documents/?uuid=1b22240c-1318-4e97-adf3-7a3f98e7f480"]},{"id":"ITEM-4","itemData":{"author":[{"dropping-particle":"","family":"Fried, B., Graczyk","given":"T.K","non-dropping-particle":"","parse-names":false,"suffix":""}],"id":"ITEM-4","issued":{"date-parts":[["1997"]]},"publisher":"CRC Press. New York","title":"Advances in Trematode Biology. Chapter 7: Host Recognition by Trematode Miracidia and Cercariae","type":"book"},"uris":["http://www.mendeley.com/documents/?uuid=497315ae-99e8-4db3-9f69-a137309f83b0"]}],"mendeley":{"formattedCitation":"[32,33,35,36]","plainTextFormattedCitation":"[32,33,35,36]","previouslyFormattedCitation":"[32,33,35,36]"},"properties":{"noteIndex":0},"schema":"https://github.com/citation-style-language/schema/raw/master/csl-citation.json"}</w:instrText>
            </w:r>
            <w:r w:rsidRPr="00A05BFE">
              <w:rPr>
                <w:bCs/>
                <w:color w:val="000000" w:themeColor="text1"/>
                <w:sz w:val="20"/>
                <w:szCs w:val="20"/>
              </w:rPr>
              <w:fldChar w:fldCharType="separate"/>
            </w:r>
            <w:r w:rsidR="001D3544" w:rsidRPr="001D3544">
              <w:rPr>
                <w:bCs/>
                <w:noProof/>
                <w:color w:val="000000" w:themeColor="text1"/>
                <w:sz w:val="20"/>
                <w:szCs w:val="20"/>
              </w:rPr>
              <w:t>[32,33,35,36]</w:t>
            </w:r>
            <w:r w:rsidRPr="00A05BFE">
              <w:rPr>
                <w:bCs/>
                <w:color w:val="000000" w:themeColor="text1"/>
                <w:sz w:val="20"/>
                <w:szCs w:val="20"/>
              </w:rPr>
              <w:fldChar w:fldCharType="end"/>
            </w:r>
          </w:p>
        </w:tc>
      </w:tr>
      <w:tr w:rsidR="00CF4825" w:rsidRPr="00A05BFE" w14:paraId="01F31394" w14:textId="77777777" w:rsidTr="00333B00">
        <w:trPr>
          <w:trHeight w:val="585"/>
          <w:jc w:val="center"/>
        </w:trPr>
        <w:tc>
          <w:tcPr>
            <w:tcW w:w="2268" w:type="dxa"/>
            <w:vMerge/>
            <w:tcBorders>
              <w:bottom w:val="single" w:sz="8" w:space="0" w:color="auto"/>
            </w:tcBorders>
            <w:vAlign w:val="center"/>
          </w:tcPr>
          <w:p w14:paraId="68F74CD6" w14:textId="77777777" w:rsidR="00CF4825" w:rsidRPr="00A05BFE" w:rsidRDefault="00CF4825" w:rsidP="00DE1C0C">
            <w:pPr>
              <w:autoSpaceDE w:val="0"/>
              <w:autoSpaceDN w:val="0"/>
              <w:adjustRightInd w:val="0"/>
              <w:snapToGrid w:val="0"/>
              <w:spacing w:line="276" w:lineRule="auto"/>
              <w:jc w:val="center"/>
              <w:rPr>
                <w:b/>
                <w:bCs/>
                <w:sz w:val="20"/>
                <w:szCs w:val="20"/>
              </w:rPr>
            </w:pPr>
          </w:p>
        </w:tc>
        <w:tc>
          <w:tcPr>
            <w:tcW w:w="1701" w:type="dxa"/>
            <w:tcBorders>
              <w:bottom w:val="single" w:sz="8" w:space="0" w:color="auto"/>
            </w:tcBorders>
            <w:vAlign w:val="center"/>
          </w:tcPr>
          <w:p w14:paraId="724B9D15" w14:textId="61A97F03" w:rsidR="00CF4825" w:rsidRPr="00A05BFE" w:rsidRDefault="00CF4825" w:rsidP="00DE1C0C">
            <w:pPr>
              <w:autoSpaceDE w:val="0"/>
              <w:autoSpaceDN w:val="0"/>
              <w:adjustRightInd w:val="0"/>
              <w:snapToGrid w:val="0"/>
              <w:spacing w:line="276" w:lineRule="auto"/>
              <w:jc w:val="center"/>
              <w:rPr>
                <w:sz w:val="20"/>
                <w:szCs w:val="20"/>
              </w:rPr>
            </w:pPr>
            <w:r w:rsidRPr="00A05BFE">
              <w:rPr>
                <w:sz w:val="20"/>
                <w:szCs w:val="20"/>
              </w:rPr>
              <w:t>Cyst</w:t>
            </w:r>
            <w:r w:rsidR="00AC1536">
              <w:rPr>
                <w:sz w:val="20"/>
                <w:szCs w:val="20"/>
              </w:rPr>
              <w:t>s</w:t>
            </w:r>
          </w:p>
        </w:tc>
        <w:tc>
          <w:tcPr>
            <w:tcW w:w="2977" w:type="dxa"/>
            <w:tcBorders>
              <w:bottom w:val="single" w:sz="8" w:space="0" w:color="auto"/>
            </w:tcBorders>
            <w:vAlign w:val="center"/>
          </w:tcPr>
          <w:p w14:paraId="59D62BAF" w14:textId="391D0AFB" w:rsidR="00CF4825" w:rsidRPr="00A05BFE" w:rsidRDefault="00CF4825" w:rsidP="00333B00">
            <w:pPr>
              <w:autoSpaceDE w:val="0"/>
              <w:autoSpaceDN w:val="0"/>
              <w:adjustRightInd w:val="0"/>
              <w:snapToGrid w:val="0"/>
              <w:spacing w:line="276" w:lineRule="auto"/>
              <w:jc w:val="right"/>
              <w:rPr>
                <w:sz w:val="20"/>
                <w:szCs w:val="20"/>
              </w:rPr>
            </w:pPr>
            <w:r w:rsidRPr="00A05BFE">
              <w:rPr>
                <w:sz w:val="20"/>
                <w:szCs w:val="20"/>
              </w:rPr>
              <w:t>Up to eight weeks</w:t>
            </w:r>
            <w:r w:rsidR="00D1094C">
              <w:rPr>
                <w:sz w:val="20"/>
                <w:szCs w:val="20"/>
              </w:rPr>
              <w:t xml:space="preserve"> in stool or in freshwater</w:t>
            </w:r>
          </w:p>
        </w:tc>
        <w:tc>
          <w:tcPr>
            <w:tcW w:w="1600" w:type="dxa"/>
            <w:tcBorders>
              <w:bottom w:val="single" w:sz="8" w:space="0" w:color="auto"/>
            </w:tcBorders>
            <w:vAlign w:val="center"/>
          </w:tcPr>
          <w:p w14:paraId="0856B890" w14:textId="0EC9D622" w:rsidR="00CF4825" w:rsidRPr="00A05BFE" w:rsidRDefault="00CF4825" w:rsidP="00DE1C0C">
            <w:pPr>
              <w:autoSpaceDE w:val="0"/>
              <w:autoSpaceDN w:val="0"/>
              <w:adjustRightInd w:val="0"/>
              <w:snapToGrid w:val="0"/>
              <w:spacing w:line="276" w:lineRule="auto"/>
              <w:jc w:val="center"/>
              <w:rPr>
                <w:sz w:val="20"/>
                <w:szCs w:val="20"/>
              </w:rPr>
            </w:pPr>
            <w:r w:rsidRPr="00A05BFE">
              <w:rPr>
                <w:sz w:val="20"/>
                <w:szCs w:val="20"/>
              </w:rPr>
              <w:fldChar w:fldCharType="begin" w:fldLock="1"/>
            </w:r>
            <w:r w:rsidR="00F0018A">
              <w:rPr>
                <w:sz w:val="20"/>
                <w:szCs w:val="20"/>
              </w:rPr>
              <w:instrText>ADDIN CSL_CITATION {"citationItems":[{"id":"ITEM-1","itemData":{"ISBN":"012031732X","author":[{"dropping-particle":"","family":"Thompson","given":"R C A","non-dropping-particle":"","parse-names":false,"suffix":""},{"dropping-particle":"","family":"Reynoldson","given":"J A","non-dropping-particle":"","parse-names":false,"suffix":""},{"dropping-particle":"","family":"Sciences","given":"Biomedical","non-dropping-particle":"","parse-names":false,"suffix":""}],"id":"ITEM-1","issued":{"date-parts":[["1993"]]},"title":"Giardia and Giardiasis","type":"article-journal"},"uris":["http://www.mendeley.com/documents/?uuid=e6814605-b721-4255-a517-1aa27147b91d"]},{"id":"ITEM-2","itemData":{"DOI":"10.1016/j.mib.2016.07.019","ISSN":"18790364","abstract":"Giardia intestinalis is a non-invasive protozoan parasite infecting the upper small intestine causing acute, watery diarrhea or giardiasis in 280 million people annually. Asymptomatic infections are equally common and recent data have suggested that infections even can be protective against other diarrheal diseases. Most symptomatic infections resolve spontaneously but infections can lead to chronic disease and treatment failures are becoming more common world-wide. Giardia infections can also result in irritable bowel syndrome (IBS) and food allergies after resolution. Until recently not much was known about the mechanism of giardiasis or the cause of post-giardiasis syndromes and treatment failures, but here we will describe the recent progress in these areas.","author":[{"dropping-particle":"","family":"Einarsson","given":"Elin","non-dropping-particle":"","parse-names":false,"suffix":""},{"dropping-particle":"","family":"Ma'ayeh","given":"Showgy","non-dropping-particle":"","parse-names":false,"suffix":""},{"dropping-particle":"","family":"Svärd","given":"Staffan G.","non-dropping-particle":"","parse-names":false,"suffix":""}],"container-title":"Current Opinion in Microbiology","id":"ITEM-2","issued":{"date-parts":[["2016"]]},"page":"47-52","title":"An up-date on Giardia and giardiasis","type":"article-journal","volume":"34"},"uris":["http://www.mendeley.com/documents/?uuid=455c6936-c065-4c25-996e-ce061ea424f4"]},{"id":"ITEM-3","itemData":{"DOI":"10.1038/nrmicro2317","ISSN":"17401526","PMID":"20400969","abstract":"The eukaryotic intestinal parasite Giardia intestinalis was first described in 1681, when Antonie van Leeuwenhoek undertook a microscopic examination of his own diarrhoeal stool. Nowadays, although G. intestinalis is recognized as a major worldwide contributor to diarrhoeal disease in humans and other mammals, the disease mechanisms are still poorly understood. Owing to its reduced complexity and proposed early evolutionary divergence, G. intestinalis is used as a model eukaryotic system for studying many basic cellular processes. In this Review we discuss recent discoveries in the molecular cell biology and pathogenesis of G. intestinalis. © 2010 Macmillan Publishers Limited. All rights reserved.","author":[{"dropping-particle":"","family":"Ankarklev","given":"Johan","non-dropping-particle":"","parse-names":false,"suffix":""},{"dropping-particle":"","family":"Jerlström-Hultqvist","given":"Jon","non-dropping-particle":"","parse-names":false,"suffix":""},{"dropping-particle":"","family":"Ringqvist","given":"Emma","non-dropping-particle":"","parse-names":false,"suffix":""},{"dropping-particle":"","family":"Troell","given":"Karin","non-dropping-particle":"","parse-names":false,"suffix":""},{"dropping-particle":"","family":"Svärd","given":"Staffan G.","non-dropping-particle":"","parse-names":false,"suffix":""}],"container-title":"Nature Reviews Microbiology","id":"ITEM-3","issue":"6","issued":{"date-parts":[["2010"]]},"page":"413-422","publisher":"Nature Publishing Group","title":"Behind the smile: Cell biology and disease mechanisms of Giardia species","type":"article-journal","volume":"8"},"uris":["http://www.mendeley.com/documents/?uuid=5df3fcd5-dd70-4202-adda-95de64f111e2"]}],"mendeley":{"formattedCitation":"[4,37,39]","plainTextFormattedCitation":"[4,37,39]","previouslyFormattedCitation":"[4,37,39]"},"properties":{"noteIndex":0},"schema":"https://github.com/citation-style-language/schema/raw/master/csl-citation.json"}</w:instrText>
            </w:r>
            <w:r w:rsidRPr="00A05BFE">
              <w:rPr>
                <w:sz w:val="20"/>
                <w:szCs w:val="20"/>
              </w:rPr>
              <w:fldChar w:fldCharType="separate"/>
            </w:r>
            <w:r w:rsidR="00F0018A" w:rsidRPr="00F0018A">
              <w:rPr>
                <w:noProof/>
                <w:sz w:val="20"/>
                <w:szCs w:val="20"/>
              </w:rPr>
              <w:t>[4,37,39]</w:t>
            </w:r>
            <w:r w:rsidRPr="00A05BFE">
              <w:rPr>
                <w:sz w:val="20"/>
                <w:szCs w:val="20"/>
              </w:rPr>
              <w:fldChar w:fldCharType="end"/>
            </w:r>
          </w:p>
        </w:tc>
      </w:tr>
    </w:tbl>
    <w:p w14:paraId="2F547AB6" w14:textId="77777777" w:rsidR="0042323B" w:rsidRDefault="0042323B" w:rsidP="00660637">
      <w:pPr>
        <w:pStyle w:val="MDPI31text"/>
        <w:spacing w:line="276" w:lineRule="auto"/>
      </w:pPr>
    </w:p>
    <w:p w14:paraId="799BEDF9" w14:textId="6205DFD6" w:rsidR="004D573A" w:rsidRPr="00B4733E" w:rsidRDefault="004D573A" w:rsidP="00FB4B46">
      <w:pPr>
        <w:pStyle w:val="MDPI31text"/>
        <w:spacing w:line="276" w:lineRule="auto"/>
      </w:pPr>
      <w:commentRangeStart w:id="17"/>
      <w:r w:rsidRPr="00047DB8">
        <w:t>Maintained transmission of intestinal schistosomiasis</w:t>
      </w:r>
      <w:r w:rsidR="000C7355" w:rsidRPr="00047DB8">
        <w:t xml:space="preserve"> is therefore dependent on </w:t>
      </w:r>
      <w:r w:rsidR="00A868B7" w:rsidRPr="00047DB8">
        <w:t xml:space="preserve">the </w:t>
      </w:r>
      <w:r w:rsidR="000C7355" w:rsidRPr="00047DB8">
        <w:t xml:space="preserve">continued contamination of freshwater </w:t>
      </w:r>
      <w:r w:rsidR="00B5578B" w:rsidRPr="00047DB8">
        <w:t>and</w:t>
      </w:r>
      <w:r w:rsidR="000C7355" w:rsidRPr="00047DB8">
        <w:t xml:space="preserve"> continued exposure to contaminated/infectious water</w:t>
      </w:r>
      <w:r w:rsidR="00CC0B92" w:rsidRPr="00047DB8">
        <w:t>, whereas giardiasis</w:t>
      </w:r>
      <w:r w:rsidR="00FC7033">
        <w:t xml:space="preserve"> transmission</w:t>
      </w:r>
      <w:r w:rsidR="00CC0B92" w:rsidRPr="00047DB8">
        <w:t xml:space="preserve"> is heavily </w:t>
      </w:r>
      <w:r w:rsidR="007A05FC" w:rsidRPr="00047DB8">
        <w:t xml:space="preserve">exacerbated by </w:t>
      </w:r>
      <w:r w:rsidR="00BD76E1" w:rsidRPr="00047DB8">
        <w:t>the continued contamination of freshwater and continued consumption of contaminated water</w:t>
      </w:r>
      <w:r w:rsidR="005848D3" w:rsidRPr="00047DB8">
        <w:t>.</w:t>
      </w:r>
      <w:commentRangeEnd w:id="17"/>
      <w:r w:rsidR="00914780">
        <w:rPr>
          <w:rStyle w:val="CommentReference"/>
          <w:rFonts w:asciiTheme="minorHAnsi" w:eastAsiaTheme="minorHAnsi" w:hAnsiTheme="minorHAnsi" w:cstheme="minorBidi"/>
          <w:snapToGrid/>
          <w:color w:val="auto"/>
          <w:lang w:val="en-GB" w:eastAsia="en-US" w:bidi="ar-SA"/>
        </w:rPr>
        <w:commentReference w:id="17"/>
      </w:r>
      <w:r w:rsidR="000963D6">
        <w:t xml:space="preserve"> </w:t>
      </w:r>
      <w:r w:rsidR="007B1135" w:rsidRPr="00D62F6F">
        <w:t xml:space="preserve">There are a variety of ways in which an individual can be exposed to </w:t>
      </w:r>
      <w:r w:rsidR="00FB4B46" w:rsidRPr="00D62F6F">
        <w:t xml:space="preserve">and infected with </w:t>
      </w:r>
      <w:r w:rsidR="007B1135" w:rsidRPr="00D62F6F">
        <w:t>both parasite</w:t>
      </w:r>
      <w:r w:rsidR="00FB4B46" w:rsidRPr="00D62F6F">
        <w:t xml:space="preserve">s, </w:t>
      </w:r>
      <w:r w:rsidRPr="00D62F6F">
        <w:t xml:space="preserve">for example, when </w:t>
      </w:r>
      <w:r w:rsidR="008308DE" w:rsidRPr="00D62F6F">
        <w:t>water</w:t>
      </w:r>
      <w:r w:rsidRPr="00D62F6F">
        <w:t xml:space="preserve"> is used for </w:t>
      </w:r>
      <w:r w:rsidRPr="00D62F6F">
        <w:rPr>
          <w:color w:val="000000" w:themeColor="text1"/>
        </w:rPr>
        <w:t xml:space="preserve">sanitation purposes, income generation </w:t>
      </w:r>
      <w:commentRangeStart w:id="18"/>
      <w:r w:rsidR="00C45E0D" w:rsidRPr="00D62F6F">
        <w:rPr>
          <w:color w:val="000000" w:themeColor="text1"/>
        </w:rPr>
        <w:t>when</w:t>
      </w:r>
      <w:commentRangeEnd w:id="18"/>
      <w:r w:rsidR="00EF5EF4" w:rsidRPr="00D62F6F">
        <w:rPr>
          <w:rStyle w:val="CommentReference"/>
          <w:rFonts w:asciiTheme="minorHAnsi" w:eastAsiaTheme="minorHAnsi" w:hAnsiTheme="minorHAnsi" w:cstheme="minorBidi"/>
          <w:snapToGrid/>
          <w:color w:val="auto"/>
          <w:lang w:val="en-GB" w:eastAsia="en-US" w:bidi="ar-SA"/>
        </w:rPr>
        <w:commentReference w:id="18"/>
      </w:r>
      <w:r w:rsidRPr="00D62F6F">
        <w:rPr>
          <w:i/>
          <w:iCs/>
          <w:color w:val="000000" w:themeColor="text1"/>
        </w:rPr>
        <w:t xml:space="preserve"> </w:t>
      </w:r>
      <w:r w:rsidRPr="00D62F6F">
        <w:rPr>
          <w:color w:val="000000" w:themeColor="text1"/>
        </w:rPr>
        <w:t>fishing or farming and recreation</w:t>
      </w:r>
      <w:r>
        <w:rPr>
          <w:color w:val="000000" w:themeColor="text1"/>
        </w:rPr>
        <w:t xml:space="preserve"> </w:t>
      </w:r>
      <w:r>
        <w:fldChar w:fldCharType="begin" w:fldLock="1"/>
      </w:r>
      <w:r w:rsidR="001A0DC3">
        <w:instrText>ADDIN CSL_CITATION {"citationItems":[{"id":"ITEM-1","itemData":{"DOI":"10.1016/0001-706X(92)90037-X","ISSN":"0001706X","abstract":"Social, cultural, behavioural and economic factors interact with local environmental and ecological factors to produce extraordinary variation in the epidemiology of schistosomiasis, including with respect to prevalence and intensity of infection and the potential for control. This article reviews the literature on schistosomiasis infection, primarily derived from African studies, to identify its major social themes. Research has demonstrated a strong link between economic development strategies, where irrigation has been introduced to boost agricultural production, and the increased transmission of infection. Water-contact studies have provided the fullest and most detailed descriptions of social risk factors, and have isolated age, sex, religion and occupation as primary risk factors. However, fuller explorations of the social and cultural context of infection have yet to be undertaken. The social context of water-related behaviour and patterns of water use within communities and households, the intersection of social and economic activities, and the significance that people give to these activities, remains poorly explored, and although research papers concerned with community-based interventions refer to poor community understanding of the cause, prevention and treatment of the disease, this domain has also received little scholarly attention. Finally, economic studies have focused primarily on working capacity, and extrapolated these findings to generalise about the impact that this might have on productivity, but have yet to address either household or community costs of schistosomiasis infection. © 1992.","author":[{"dropping-particle":"","family":"Huang","given":"Yixin","non-dropping-particle":"","parse-names":false,"suffix":""},{"dropping-particle":"","family":"Manderson","given":"Lenore","non-dropping-particle":"","parse-names":false,"suffix":""}],"container-title":"Acta Tropica","id":"ITEM-1","issue":"3-4","issued":{"date-parts":[["1992"]]},"page":"175-194","title":"Schistosomiasis and the social patterning of infection","type":"article-journal","volume":"51"},"uris":["http://www.mendeley.com/documents/?uuid=fd6d7c6e-357a-4284-a620-bace7fdec54b"]},{"id":"ITEM-2","itemData":{"DOI":"10.1080/20477724.2018.1523778","ISSN":"20477732","abstract":"Waterborne protozoa (WBP) are important cause of several outbreaks all over the world. The report system of WBP in Africa is weak. More than one third of African countries (21/54) reported WBP with absent reports in the remaining countries (33/54). The top reported WBP were Cryptosporidium, Giardia, FLA and Entamoeba contaminating different African water resources. Other protozoa were less documented even though it is abundant and robust. More than one protozoa were detected in contaminated African water including drinking sources, a prediction index to popular epidemics and real presence of undocumented WBP outbreaks. Risk factors in Africa were observed to be abundant and multi-factorial ‘socioeconomic, governmental, pathogen in water and climate change. Climate change is an important factor impacting Africa. Increasing droughts in Africa with other extreme weather events will lead to water crises. Incidence and transmission of WBP will change, with new manifested strains/species. Recognizing future consequences of water crises in Africa are important. Governments and population unity will be needed to protect against expected raise and spread of WBP diseases and water shortages.","author":[{"dropping-particle":"","family":"Ahmed","given":"Shahira A.","non-dropping-particle":"","parse-names":false,"suffix":""},{"dropping-particle":"","family":"Guerrero Flórez","given":"Milena","non-dropping-particle":"","parse-names":false,"suffix":""},{"dropping-particle":"","family":"Karanis","given":"Panagiotis","non-dropping-particle":"","parse-names":false,"suffix":""}],"container-title":"Pathogens and Global Health","id":"ITEM-2","issue":"6","issued":{"date-parts":[["2018"]]},"page":"281-293","publisher":"Taylor &amp; Francis","title":"The impact of water crises and climate changes on the transmission of protozoan parasites in Africa","type":"article-journal","volume":"112"},"uris":["http://www.mendeley.com/documents/?uuid=e7cd3825-f67e-4f5e-9f3a-2d11543cc2dc"]}],"mendeley":{"formattedCitation":"[40,41]","plainTextFormattedCitation":"[40,41]","previouslyFormattedCitation":"[40,41]"},"properties":{"noteIndex":0},"schema":"https://github.com/citation-style-language/schema/raw/master/csl-citation.json"}</w:instrText>
      </w:r>
      <w:r>
        <w:fldChar w:fldCharType="separate"/>
      </w:r>
      <w:r w:rsidR="001D3544" w:rsidRPr="001D3544">
        <w:rPr>
          <w:noProof/>
        </w:rPr>
        <w:t>[40,41]</w:t>
      </w:r>
      <w:r>
        <w:fldChar w:fldCharType="end"/>
      </w:r>
      <w:r>
        <w:t xml:space="preserve">. As such, transmission of both diseases is </w:t>
      </w:r>
      <w:r w:rsidR="00821EB8">
        <w:t>particularly high</w:t>
      </w:r>
      <w:r>
        <w:t xml:space="preserve"> in impoverished areas lacking adequate WASH infrastructures, such as access to functional pit latrines and clean drinking water, as well as </w:t>
      </w:r>
      <w:r w:rsidR="00602C0C">
        <w:t>behavioral</w:t>
      </w:r>
      <w:r>
        <w:t xml:space="preserve"> impediments i</w:t>
      </w:r>
      <w:r w:rsidR="00220735">
        <w:t>f not aware of how to avoid</w:t>
      </w:r>
      <w:r w:rsidR="00CB45F0">
        <w:t xml:space="preserve"> contamination and</w:t>
      </w:r>
      <w:r w:rsidR="00220735">
        <w:t xml:space="preserve"> infection </w:t>
      </w:r>
      <w:r>
        <w:fldChar w:fldCharType="begin" w:fldLock="1"/>
      </w:r>
      <w:r w:rsidR="001A0DC3">
        <w:instrText>ADDIN CSL_CITATION {"citationItems":[{"id":"ITEM-1","itemData":{"DOI":"10.1093/ije/18.1.248","ISSN":"03005771","abstract":"Esrey S A (Department of International Health, Johns Hopkins University, School of Hygiene and Public Health, 615 N Wolfe St, Baltimore MD 21205, USA), Collett J, Miliotis M D, Koornhof H J and Makhale P. The risk of infection from Giardia lamblia due to drinking water supply, use of water and latrines among preschool children in rural Lesotho. International Journal of Epidemiology 1989, 18: 248-253.Stool samples were collected from 267 rural, preschool children in four districts in Lesotho during October- November, 1984. Sixty-three children (23.6%) were tested positive for Giardia lamblia, the most commonly recovered parasite from stool samples. The use of low amounts of water for personal hygiene was associated significantly with having G. lamblia (OR = 2.42), but the use of traditional, non-improved drinking water sources (OR = 1.38) or lack of latrines (OR = 0.94) was not. Although G. lamblia may be primarily waterborne in developed countries, the amount of water that is used for personal and domestic hygiene may be more important than the quality of drinking water in developing countries. Other risk factors that were identified to be associated significantly with having or not having Giardia were child older than 24 months (OR = 6.79), mother less than 20 years of age (OR = 5.18), residing in Mohales Hoek district (OR = 2.33), and possessing several agricultural tools (OR = 0.70). © 1989 International Epidemiological Association.","author":[{"dropping-particle":"","family":"Esrey","given":"Steven A.","non-dropping-particle":"","parse-names":false,"suffix":""},{"dropping-particle":"","family":"Collett","given":"Jim","non-dropping-particle":"","parse-names":false,"suffix":""},{"dropping-particle":"","family":"Miliotis","given":"Marianne D.","non-dropping-particle":"","parse-names":false,"suffix":""},{"dropping-particle":"","family":"Koornhof","given":"Hendrik J.","non-dropping-particle":"","parse-names":false,"suffix":""},{"dropping-particle":"","family":"Makhale","given":"Popi","non-dropping-particle":"","parse-names":false,"suffix":""}],"container-title":"International Journal of Epidemiology","id":"ITEM-1","issue":"1","issued":{"date-parts":[["1989"]]},"page":"248-253","title":"The risk of infection from Giardia lamblia due to drinking water supply, use of water, and latrines among preschool children in rural Lesotho","type":"article-journal","volume":"18"},"uris":["http://www.mendeley.com/documents/?uuid=4637a059-7c99-45c0-b0cd-623eecb9c773"]},{"id":"ITEM-2","itemData":{"DOI":"10.1016/j.ijpara.2016.07.005","ISSN":"18790135","PMID":"27616734","abstract":"There is little evidence on prevalence or risk factors for soil transmitted helminth infections in Timor-Leste. This study describes the epidemiology, water, sanitation and hygiene, and socioeconomic risk factors of STH and intestinal protozoa amongst communities in Manufahi District, Timor-Leste. As part of a cluster randomised controlled trial, a baseline cross-sectional survey was conducted across 18 villages, with data from six additional villages. Stool samples were assessed for soil transmitted helminth and protozoal infections using quantitative PCR (qPCR) and questionnaires administered to collect water, sanitation and hygiene and socioeconomic data. Risk factors for infection were assessed using multivariable mixed-effects logistic regression, stratified by age group (preschool, school-aged and adult). Overall, soil transmitted helminth prevalence was 69% (95% Confidence Interval 67–71%), with Necator americanus being most common (60%; 95% Confidence Interval 58–62%) followed by Ascaris spp. (24%; 95% Confidence Interval 23–26%). Ascaris-N. americanus co-infection was common (17%; 95% Confidence Interval 15%-18%). Giardia duodenalis was the main protozoan identified (13%; 95% Confidence Interval 11–14%). Baseline water, sanitation and hygiene infrastructure and behaviours were poor. Although risk factors varied by age of participants and parasite species, risk factors for N. americanus infection included, generally, age in years, male sex, and socioeconomic quintile. Risk factors for Ascaris included age in years for children, and piped water to the yard for adults. In this first known assessment of community-based prevalence and associated risk factors in Timor-Leste, soil transmitted helminth infections were highly prevalent, indicating a need for soil transmitted helminth control. Few associations with water, sanitation and hygiene were evident, despite water, sanitation and hygiene being generally poor. In our water, sanitation and hygiene we will investigate implications of improving WASH on soil transmitted helminth infection in impoverished communities.","author":[{"dropping-particle":"","family":"Campbell","given":"Suzy J.","non-dropping-particle":"","parse-names":false,"suffix":""},{"dropping-particle":"V.","family":"Nery","given":"Susana","non-dropping-particle":"","parse-names":false,"suffix":""},{"dropping-particle":"","family":"D'Este","given":"Catherine A.","non-dropping-particle":"","parse-names":false,"suffix":""},{"dropping-particle":"","family":"Gray","given":"Darren J.","non-dropping-particle":"","parse-names":false,"suffix":""},{"dropping-particle":"","family":"McCarthy","given":"James S.","non-dropping-particle":"","parse-names":false,"suffix":""},{"dropping-particle":"","family":"Traub","given":"Rebecca J.","non-dropping-particle":"","parse-names":false,"suffix":""},{"dropping-particle":"","family":"Andrews","given":"Ross M.","non-dropping-particle":"","parse-names":false,"suffix":""},{"dropping-particle":"","family":"Llewellyn","given":"Stacey","non-dropping-particle":"","parse-names":false,"suffix":""},{"dropping-particle":"","family":"Vallely","given":"Andrew J.","non-dropping-particle":"","parse-names":false,"suffix":""},{"dropping-particle":"","family":"Williams","given":"Gail M.","non-dropping-particle":"","parse-names":false,"suffix":""},{"dropping-particle":"","family":"Amaral","given":"Salvador","non-dropping-particle":"","parse-names":false,"suffix":""},{"dropping-particle":"","family":"Clements","given":"Archie C.A.","non-dropping-particle":"","parse-names":false,"suffix":""}],"container-title":"International Journal for Parasitology","id":"ITEM-2","issue":"12","issued":{"date-parts":[["2016"]]},"page":"771-779","title":"Water, sanitation and hygiene related risk factors for soil-transmitted helminth and Giardia duodenalis infections in rural communities in Timor-Leste","type":"article-journal","volume":"46"},"uris":["http://www.mendeley.com/documents/?uuid=3a04ca10-484d-4469-b272-ee91b5d214d6"]}],"mendeley":{"formattedCitation":"[42,43]","plainTextFormattedCitation":"[42,43]","previouslyFormattedCitation":"[42,43]"},"properties":{"noteIndex":0},"schema":"https://github.com/citation-style-language/schema/raw/master/csl-citation.json"}</w:instrText>
      </w:r>
      <w:r>
        <w:fldChar w:fldCharType="separate"/>
      </w:r>
      <w:r w:rsidR="001D3544" w:rsidRPr="001D3544">
        <w:rPr>
          <w:noProof/>
        </w:rPr>
        <w:t>[42,43]</w:t>
      </w:r>
      <w:r>
        <w:fldChar w:fldCharType="end"/>
      </w:r>
      <w:r>
        <w:t>.</w:t>
      </w:r>
    </w:p>
    <w:p w14:paraId="6E056B3B" w14:textId="1486F0CC" w:rsidR="004D573A" w:rsidRPr="00B4733E" w:rsidRDefault="00856AC8" w:rsidP="00660637">
      <w:pPr>
        <w:pStyle w:val="MDPI22heading2"/>
        <w:spacing w:line="276" w:lineRule="auto"/>
      </w:pPr>
      <w:r>
        <w:t>2.2</w:t>
      </w:r>
      <w:r w:rsidR="00B4733E" w:rsidRPr="00B4733E">
        <w:t xml:space="preserve">. </w:t>
      </w:r>
      <w:r w:rsidR="0052148B">
        <w:t>Transmission via non-human hosts</w:t>
      </w:r>
    </w:p>
    <w:p w14:paraId="60EFA759" w14:textId="28FC769A" w:rsidR="004D573A" w:rsidRDefault="004D573A" w:rsidP="00660637">
      <w:pPr>
        <w:pStyle w:val="MDPI31text"/>
        <w:spacing w:line="276" w:lineRule="auto"/>
      </w:pPr>
      <w:commentRangeStart w:id="19"/>
      <w:commentRangeStart w:id="20"/>
      <w:r w:rsidRPr="00C83827">
        <w:t>T</w:t>
      </w:r>
      <w:r w:rsidR="004B0642">
        <w:t>he t</w:t>
      </w:r>
      <w:r w:rsidRPr="00C83827">
        <w:t xml:space="preserve">ransmission </w:t>
      </w:r>
      <w:commentRangeEnd w:id="19"/>
      <w:r w:rsidR="00851898">
        <w:rPr>
          <w:rStyle w:val="CommentReference"/>
          <w:rFonts w:asciiTheme="minorHAnsi" w:eastAsiaTheme="minorHAnsi" w:hAnsiTheme="minorHAnsi" w:cstheme="minorBidi"/>
          <w:snapToGrid/>
          <w:color w:val="auto"/>
          <w:lang w:val="en-GB" w:eastAsia="en-US" w:bidi="ar-SA"/>
        </w:rPr>
        <w:commentReference w:id="19"/>
      </w:r>
      <w:r w:rsidRPr="00C83827">
        <w:t xml:space="preserve">of both </w:t>
      </w:r>
      <w:r>
        <w:t xml:space="preserve">intestinal schistosomiasis and giardiasis is also exacerbated by a range </w:t>
      </w:r>
      <w:r w:rsidRPr="00AE1EE5">
        <w:t>of non-human definitive hosts acting as either major or minor reservoirs of infection</w:t>
      </w:r>
      <w:r w:rsidR="00986BF0">
        <w:t xml:space="preserve">, though the </w:t>
      </w:r>
      <w:r w:rsidR="004336CC">
        <w:t xml:space="preserve">precise </w:t>
      </w:r>
      <w:r w:rsidR="00986BF0">
        <w:t xml:space="preserve">extent to which </w:t>
      </w:r>
      <w:r w:rsidR="00941FB5">
        <w:t>these hosts contribute to human transmission</w:t>
      </w:r>
      <w:r w:rsidR="00986BF0">
        <w:t xml:space="preserve"> is not fully understood</w:t>
      </w:r>
      <w:r>
        <w:t xml:space="preserve"> </w:t>
      </w:r>
      <w:commentRangeEnd w:id="20"/>
      <w:r w:rsidR="00AE1EE5">
        <w:rPr>
          <w:rStyle w:val="CommentReference"/>
          <w:rFonts w:asciiTheme="minorHAnsi" w:eastAsiaTheme="minorHAnsi" w:hAnsiTheme="minorHAnsi" w:cstheme="minorBidi"/>
          <w:snapToGrid/>
          <w:color w:val="auto"/>
          <w:lang w:val="en-GB" w:eastAsia="en-US" w:bidi="ar-SA"/>
        </w:rPr>
        <w:commentReference w:id="20"/>
      </w:r>
      <w:r>
        <w:t>(Table 2).</w:t>
      </w:r>
      <w:r w:rsidR="00FF7476">
        <w:t xml:space="preserve"> </w:t>
      </w:r>
      <w:r>
        <w:t xml:space="preserve">  Further to the significant health and economic impact of infection with African schistosomes and/or </w:t>
      </w:r>
      <w:r w:rsidRPr="005F2568">
        <w:rPr>
          <w:i/>
          <w:iCs/>
        </w:rPr>
        <w:t>Giardia</w:t>
      </w:r>
      <w:r>
        <w:t xml:space="preserve"> on, for example, livestock animals, animal reservoirs of both parasites also pose challenges in controlling and reducing human transmission</w:t>
      </w:r>
      <w:r w:rsidR="00372460">
        <w:t xml:space="preserve"> as each </w:t>
      </w:r>
      <w:r w:rsidR="00E222D2">
        <w:t>parasite follows</w:t>
      </w:r>
      <w:r>
        <w:t xml:space="preserve"> similar routes of infection, contamination and</w:t>
      </w:r>
      <w:r w:rsidR="004849CA">
        <w:t xml:space="preserve">, </w:t>
      </w:r>
      <w:r w:rsidR="00A41F8D">
        <w:t>ultimately</w:t>
      </w:r>
      <w:r w:rsidR="004849CA">
        <w:t>,</w:t>
      </w:r>
      <w:r>
        <w:t xml:space="preserve"> environmental transmission </w:t>
      </w:r>
      <w:r w:rsidR="00C35BBF" w:rsidRPr="00D53CC6">
        <w:t>via</w:t>
      </w:r>
      <w:r w:rsidR="00C35BBF">
        <w:rPr>
          <w:i/>
          <w:iCs/>
        </w:rPr>
        <w:t xml:space="preserve"> </w:t>
      </w:r>
      <w:r w:rsidR="00C35BBF">
        <w:t xml:space="preserve">non-human hosts </w:t>
      </w:r>
      <w:r>
        <w:fldChar w:fldCharType="begin" w:fldLock="1"/>
      </w:r>
      <w:r w:rsidR="002512CA">
        <w:instrText>ADDIN CSL_CITATION {"citationItems":[{"id":"ITEM-1","itemData":{"DOI":"10.1186/s13071-017-2111-y","ISSN":"17563305","abstract":"Cryptosporidium and Giardia are important causes of diarrhoeal illness. Adequate knowledge of the molecular diversity and geographical distribution of these parasites and the environmental and climatic variables that influence their prevalence is important for effective control of infection in at-risk populations, yet relatively little is known about the epidemiology of these parasites in Africa. Cryptosporidium is associated with moderate to severe diarrhoea and increased mortality in African countries and both parasites negatively affect child growth and development. Malnutrition and HIV status are also important contributors to the prevalence of Cryptosporidium and Giardia in African countries. Molecular typing of both parasites in humans, domestic animals and wildlife to date indicates a complex picture of both anthroponotic, zoonotic and spill-back transmission cycles that requires further investigation. For Cryptosporidium, the only available drug (nitazoxanide) is ineffective in HIV and malnourished individuals and therefore more effective drugs are a high priority. Several classes of drugs with good efficacy exist for Giardia, but dosing regimens are suboptimal and emerging resistance threatens clinical utility. Climate change and population growth are also predicted to increase both malnutrition and the prevalence of these parasites in water sources. Dedicated and co-ordinated commitments from African governments involving “One Health” initiatives with multidisciplinary teams of veterinarians, medical workers, relevant government authorities, and public health specialists working together are essential to control and prevent the burden of disease caused by these parasites.","author":[{"dropping-particle":"","family":"Squire","given":"Sylvia Afriyie","non-dropping-particle":"","parse-names":false,"suffix":""},{"dropping-particle":"","family":"Ryan","given":"Una","non-dropping-particle":"","parse-names":false,"suffix":""}],"container-title":"Parasites and Vectors","id":"ITEM-1","issue":"1","issued":{"date-parts":[["2017"]]},"page":"1-32","publisher":"Parasites &amp; Vectors","title":"Cryptosporidium and Giardia in Africa: current and future challenges","type":"article-journal","volume":"10"},"uris":["http://www.mendeley.com/documents/?uuid=f3c4b128-d60d-439f-8ec9-587d1928b8f6"]},{"id":"ITEM-2","itemData":{"DOI":"10.1098/rstb.2009.0089","ISSN":"14712970","PMID":"19687044","abstract":"Zoonotic infections are among the most common on earth and are responsible for &gt; 60 per cent of all human infectious diseases. Some of the most important and well-known human zoonoses are caused by worm or helminth parasites, including species of nematodes (trichinellosis), cestodes (cysticercosis, echinococcosis) and trematodes (schistosomiasis). However, along with social, epidemiological and environmental changes, together with improvements in our ability to diagnose helminth infections, several neglected parasite species are now fast-becoming recognized as important zoonotic diseases of humans, e.g. anasakiasis, several fish-borne trematodiasis and fasciolosis. In the present review, we discuss the current disease status of these primary helminth zoonotic infections with particular emphasis on their diagnosis and control. Advances in molecular biology, proteomics and the release of helminth genome-sequencing project data are revolutionizing parasitology research. The use of these powerful experimental approaches, and their potential benefits to helminth biology are also discussed in relation to the future control of helminth infections of animals and humans. © 2009 The Royal Society zoonosis, helminth, nematode, trematode, cestode, Fasciola.","author":[{"dropping-particle":"","family":"Robinson","given":"Mark W.","non-dropping-particle":"","parse-names":false,"suffix":""},{"dropping-particle":"","family":"Dalton","given":"John P.","non-dropping-particle":"","parse-names":false,"suffix":""}],"container-title":"Philosophical Transactions of the Royal Society B: Biological Sciences","id":"ITEM-2","issue":"1530","issued":{"date-parts":[["2009"]]},"page":"2763-2776","title":"Zoonotic helminth infections with particular emphasis on fasciolosis and other trematodiases","type":"article-journal","volume":"364"},"uris":["http://www.mendeley.com/documents/?uuid=baa54843-0d93-40c5-988e-d18257e279d7"]},{"id":"ITEM-3","itemData":{"DOI":"10.1016/j.ijpara.2008.05.001","ISSN":"00207519","abstract":"Emerging zoonoses have been defined as zoonoses that are newly recognised or newly evolved, or that have occurred previously but show an increase in incidence or expansion in geographical, host or vector range. Among parasitic zoonoses, protozoa are particularly likely to emerge. Control and prevention of emerging parasitic zoonoses are complex tasks that require an integrative and multidisciplinary approach. Reduction of parasite burden is certainly a major objective but cannot be set alone. Therefore, environmental and ecological modifications need to be implemented to reduce not only the parasitic load, but also the risk of parasite transmission. Finally, education and behavioral changes are critical for the success of both control and prevention of these diseases. However, without appropriate financial resources specifically allocated at the local and national levels as well as through international cooperation, control and prevention of these emerging parasitic diseases will not be possible. © 2008 Australian Society for Parasitology Inc.","author":[{"dropping-particle":"","family":"Chomel","given":"Bruno B.","non-dropping-particle":"","parse-names":false,"suffix":""}],"container-title":"International Journal for Parasitology","id":"ITEM-3","issue":"11","issued":{"date-parts":[["2008"]]},"page":"1211-1217","title":"Control and prevention of emerging parasitic zoonoses","type":"article-journal","volume":"38"},"uris":["http://www.mendeley.com/documents/?uuid=b1de5c8b-f6af-49b5-b5d8-14917f9f1a3e"]}],"mendeley":{"formattedCitation":"[5,44,45]","plainTextFormattedCitation":"[5,44,45]","previouslyFormattedCitation":"[5,44,45]"},"properties":{"noteIndex":0},"schema":"https://github.com/citation-style-language/schema/raw/master/csl-citation.json"}</w:instrText>
      </w:r>
      <w:r>
        <w:fldChar w:fldCharType="separate"/>
      </w:r>
      <w:r w:rsidR="001A0DC3" w:rsidRPr="001A0DC3">
        <w:rPr>
          <w:noProof/>
        </w:rPr>
        <w:t>[5,44,45]</w:t>
      </w:r>
      <w:r>
        <w:fldChar w:fldCharType="end"/>
      </w:r>
      <w:r>
        <w:t xml:space="preserve">. </w:t>
      </w:r>
    </w:p>
    <w:p w14:paraId="3F5AA10C" w14:textId="77777777" w:rsidR="00EC7533" w:rsidRDefault="00EC7533" w:rsidP="00B867F1">
      <w:pPr>
        <w:pStyle w:val="MDPI31text"/>
        <w:spacing w:line="276" w:lineRule="auto"/>
        <w:ind w:firstLine="0"/>
      </w:pPr>
    </w:p>
    <w:p w14:paraId="0C19C09D" w14:textId="02E38B74" w:rsidR="004104F4" w:rsidRPr="006A6A6E" w:rsidRDefault="00A05BFE" w:rsidP="00660637">
      <w:pPr>
        <w:pStyle w:val="MDPI41tablecaption"/>
        <w:spacing w:line="276" w:lineRule="auto"/>
      </w:pPr>
      <w:r w:rsidRPr="00A05BFE">
        <w:rPr>
          <w:b/>
          <w:bCs/>
        </w:rPr>
        <w:t xml:space="preserve">Table 2. </w:t>
      </w:r>
      <w:r w:rsidR="00495F46">
        <w:t>Primary r</w:t>
      </w:r>
      <w:r w:rsidR="004104F4" w:rsidRPr="00D43DC5">
        <w:t xml:space="preserve">eservoir hosts of </w:t>
      </w:r>
      <w:r w:rsidR="004104F4" w:rsidRPr="00D22C05">
        <w:rPr>
          <w:i/>
          <w:iCs/>
        </w:rPr>
        <w:t>S. mansoni</w:t>
      </w:r>
      <w:r w:rsidR="004104F4" w:rsidRPr="00D43DC5">
        <w:t xml:space="preserve"> and </w:t>
      </w:r>
      <w:r w:rsidR="004104F4" w:rsidRPr="00D22C05">
        <w:rPr>
          <w:i/>
          <w:iCs/>
        </w:rPr>
        <w:t>G. duodenalis</w:t>
      </w:r>
      <w:r w:rsidR="004104F4" w:rsidRPr="00D43DC5">
        <w:t xml:space="preserve"> (assemblages </w:t>
      </w:r>
      <w:r w:rsidR="00C86C59">
        <w:t>A-H</w:t>
      </w:r>
      <w:r w:rsidR="004104F4" w:rsidRPr="00D43DC5">
        <w:t>).</w:t>
      </w:r>
      <w:r w:rsidR="004104F4">
        <w:t xml:space="preserve"> </w:t>
      </w:r>
      <w:r w:rsidR="004104F4" w:rsidRPr="00D43DC5">
        <w:t xml:space="preserve">‘+' denotes </w:t>
      </w:r>
      <w:r w:rsidR="00D1438B">
        <w:t xml:space="preserve">known primary </w:t>
      </w:r>
      <w:r w:rsidR="00372654">
        <w:t>reservoir</w:t>
      </w:r>
      <w:r w:rsidR="00D1438B">
        <w:t xml:space="preserve"> host</w:t>
      </w:r>
      <w:r w:rsidR="004104F4" w:rsidRPr="00D43DC5">
        <w:t xml:space="preserve">; ‘-‘ denotes no known </w:t>
      </w:r>
      <w:r w:rsidR="00265AD2">
        <w:t xml:space="preserve">primary </w:t>
      </w:r>
      <w:r w:rsidR="004104F4" w:rsidRPr="00D43DC5">
        <w:t xml:space="preserve">reservoir </w:t>
      </w:r>
      <w:r w:rsidR="00010BE2">
        <w:t>host</w:t>
      </w:r>
      <w:r w:rsidR="004104F4" w:rsidRPr="00D43DC5">
        <w:t>.</w:t>
      </w:r>
    </w:p>
    <w:tbl>
      <w:tblPr>
        <w:tblW w:w="9077" w:type="dxa"/>
        <w:jc w:val="center"/>
        <w:tblBorders>
          <w:top w:val="single" w:sz="8" w:space="0" w:color="auto"/>
          <w:bottom w:val="single" w:sz="8" w:space="0" w:color="auto"/>
        </w:tblBorders>
        <w:tblLook w:val="04A0" w:firstRow="1" w:lastRow="0" w:firstColumn="1" w:lastColumn="0" w:noHBand="0" w:noVBand="1"/>
      </w:tblPr>
      <w:tblGrid>
        <w:gridCol w:w="1560"/>
        <w:gridCol w:w="1134"/>
        <w:gridCol w:w="1267"/>
        <w:gridCol w:w="1161"/>
        <w:gridCol w:w="917"/>
        <w:gridCol w:w="1306"/>
        <w:gridCol w:w="583"/>
        <w:gridCol w:w="1149"/>
      </w:tblGrid>
      <w:tr w:rsidR="004104F4" w:rsidRPr="00A05BFE" w14:paraId="349717DE" w14:textId="77777777" w:rsidTr="00492023">
        <w:trPr>
          <w:trHeight w:val="718"/>
          <w:jc w:val="center"/>
        </w:trPr>
        <w:tc>
          <w:tcPr>
            <w:tcW w:w="1560" w:type="dxa"/>
            <w:tcBorders>
              <w:top w:val="single" w:sz="8" w:space="0" w:color="auto"/>
              <w:bottom w:val="single" w:sz="4" w:space="0" w:color="auto"/>
            </w:tcBorders>
            <w:vAlign w:val="center"/>
          </w:tcPr>
          <w:p w14:paraId="52FF0C45" w14:textId="77777777" w:rsidR="004104F4" w:rsidRPr="00A05BFE" w:rsidRDefault="004104F4" w:rsidP="00660637">
            <w:pPr>
              <w:autoSpaceDE w:val="0"/>
              <w:autoSpaceDN w:val="0"/>
              <w:adjustRightInd w:val="0"/>
              <w:snapToGrid w:val="0"/>
              <w:spacing w:line="276" w:lineRule="auto"/>
              <w:jc w:val="center"/>
              <w:rPr>
                <w:b/>
                <w:bCs/>
                <w:color w:val="000000" w:themeColor="text1"/>
                <w:sz w:val="20"/>
              </w:rPr>
            </w:pPr>
          </w:p>
        </w:tc>
        <w:tc>
          <w:tcPr>
            <w:tcW w:w="1134" w:type="dxa"/>
            <w:tcBorders>
              <w:top w:val="single" w:sz="8" w:space="0" w:color="auto"/>
              <w:bottom w:val="single" w:sz="4" w:space="0" w:color="auto"/>
            </w:tcBorders>
            <w:shd w:val="clear" w:color="auto" w:fill="DEEAF6" w:themeFill="accent5" w:themeFillTint="33"/>
            <w:vAlign w:val="center"/>
          </w:tcPr>
          <w:p w14:paraId="1D86869D" w14:textId="77777777" w:rsidR="004104F4" w:rsidRPr="00A05BFE" w:rsidRDefault="004104F4" w:rsidP="00660637">
            <w:pPr>
              <w:autoSpaceDE w:val="0"/>
              <w:autoSpaceDN w:val="0"/>
              <w:adjustRightInd w:val="0"/>
              <w:snapToGrid w:val="0"/>
              <w:spacing w:line="276" w:lineRule="auto"/>
              <w:jc w:val="center"/>
              <w:rPr>
                <w:b/>
                <w:color w:val="000000" w:themeColor="text1"/>
                <w:sz w:val="20"/>
                <w:szCs w:val="20"/>
              </w:rPr>
            </w:pPr>
            <w:r w:rsidRPr="00A05BFE">
              <w:rPr>
                <w:b/>
                <w:color w:val="000000" w:themeColor="text1"/>
                <w:sz w:val="20"/>
                <w:szCs w:val="20"/>
              </w:rPr>
              <w:t>Humans</w:t>
            </w:r>
          </w:p>
        </w:tc>
        <w:tc>
          <w:tcPr>
            <w:tcW w:w="1267" w:type="dxa"/>
            <w:tcBorders>
              <w:top w:val="single" w:sz="8" w:space="0" w:color="auto"/>
              <w:bottom w:val="single" w:sz="4" w:space="0" w:color="auto"/>
            </w:tcBorders>
            <w:shd w:val="clear" w:color="auto" w:fill="DEEAF6" w:themeFill="accent5" w:themeFillTint="33"/>
            <w:vAlign w:val="center"/>
          </w:tcPr>
          <w:p w14:paraId="4CE6FCD1" w14:textId="77777777" w:rsidR="004104F4" w:rsidRPr="00A05BFE" w:rsidRDefault="004104F4" w:rsidP="00660637">
            <w:pPr>
              <w:autoSpaceDE w:val="0"/>
              <w:autoSpaceDN w:val="0"/>
              <w:adjustRightInd w:val="0"/>
              <w:snapToGrid w:val="0"/>
              <w:spacing w:line="276" w:lineRule="auto"/>
              <w:jc w:val="center"/>
              <w:rPr>
                <w:b/>
                <w:color w:val="000000" w:themeColor="text1"/>
                <w:sz w:val="20"/>
                <w:szCs w:val="20"/>
              </w:rPr>
            </w:pPr>
            <w:r w:rsidRPr="00A05BFE">
              <w:rPr>
                <w:b/>
                <w:color w:val="000000" w:themeColor="text1"/>
                <w:sz w:val="20"/>
                <w:szCs w:val="20"/>
              </w:rPr>
              <w:t>Non-human primates</w:t>
            </w:r>
          </w:p>
        </w:tc>
        <w:tc>
          <w:tcPr>
            <w:tcW w:w="0" w:type="auto"/>
            <w:tcBorders>
              <w:top w:val="single" w:sz="8" w:space="0" w:color="auto"/>
              <w:bottom w:val="single" w:sz="4" w:space="0" w:color="auto"/>
            </w:tcBorders>
            <w:shd w:val="clear" w:color="auto" w:fill="DEEAF6" w:themeFill="accent5" w:themeFillTint="33"/>
            <w:vAlign w:val="center"/>
          </w:tcPr>
          <w:p w14:paraId="547DB837" w14:textId="77777777" w:rsidR="004104F4" w:rsidRPr="00A05BFE" w:rsidRDefault="004104F4" w:rsidP="00660637">
            <w:pPr>
              <w:autoSpaceDE w:val="0"/>
              <w:autoSpaceDN w:val="0"/>
              <w:adjustRightInd w:val="0"/>
              <w:snapToGrid w:val="0"/>
              <w:spacing w:line="276" w:lineRule="auto"/>
              <w:jc w:val="center"/>
              <w:rPr>
                <w:b/>
                <w:color w:val="000000" w:themeColor="text1"/>
                <w:sz w:val="20"/>
                <w:szCs w:val="20"/>
              </w:rPr>
            </w:pPr>
            <w:r w:rsidRPr="00A05BFE">
              <w:rPr>
                <w:b/>
                <w:color w:val="000000" w:themeColor="text1"/>
                <w:sz w:val="20"/>
                <w:szCs w:val="20"/>
              </w:rPr>
              <w:t>Ruminants</w:t>
            </w:r>
          </w:p>
        </w:tc>
        <w:tc>
          <w:tcPr>
            <w:tcW w:w="0" w:type="auto"/>
            <w:tcBorders>
              <w:top w:val="single" w:sz="8" w:space="0" w:color="auto"/>
              <w:bottom w:val="single" w:sz="4" w:space="0" w:color="auto"/>
            </w:tcBorders>
            <w:shd w:val="clear" w:color="auto" w:fill="DEEAF6" w:themeFill="accent5" w:themeFillTint="33"/>
            <w:vAlign w:val="center"/>
          </w:tcPr>
          <w:p w14:paraId="7610EB19" w14:textId="77777777" w:rsidR="004104F4" w:rsidRPr="00A05BFE" w:rsidRDefault="004104F4" w:rsidP="00660637">
            <w:pPr>
              <w:autoSpaceDE w:val="0"/>
              <w:autoSpaceDN w:val="0"/>
              <w:adjustRightInd w:val="0"/>
              <w:snapToGrid w:val="0"/>
              <w:spacing w:line="276" w:lineRule="auto"/>
              <w:jc w:val="center"/>
              <w:rPr>
                <w:b/>
                <w:color w:val="000000" w:themeColor="text1"/>
                <w:sz w:val="20"/>
                <w:szCs w:val="20"/>
              </w:rPr>
            </w:pPr>
            <w:r w:rsidRPr="00A05BFE">
              <w:rPr>
                <w:b/>
                <w:color w:val="000000" w:themeColor="text1"/>
                <w:sz w:val="20"/>
                <w:szCs w:val="20"/>
              </w:rPr>
              <w:t>Rodents</w:t>
            </w:r>
          </w:p>
        </w:tc>
        <w:tc>
          <w:tcPr>
            <w:tcW w:w="0" w:type="auto"/>
            <w:tcBorders>
              <w:top w:val="single" w:sz="8" w:space="0" w:color="auto"/>
              <w:bottom w:val="single" w:sz="4" w:space="0" w:color="auto"/>
            </w:tcBorders>
            <w:shd w:val="clear" w:color="auto" w:fill="DEEAF6" w:themeFill="accent5" w:themeFillTint="33"/>
            <w:vAlign w:val="center"/>
          </w:tcPr>
          <w:p w14:paraId="0218051D" w14:textId="77777777" w:rsidR="004104F4" w:rsidRPr="00A05BFE" w:rsidRDefault="004104F4" w:rsidP="00660637">
            <w:pPr>
              <w:autoSpaceDE w:val="0"/>
              <w:autoSpaceDN w:val="0"/>
              <w:adjustRightInd w:val="0"/>
              <w:snapToGrid w:val="0"/>
              <w:spacing w:line="276" w:lineRule="auto"/>
              <w:jc w:val="center"/>
              <w:rPr>
                <w:b/>
                <w:color w:val="000000" w:themeColor="text1"/>
                <w:sz w:val="20"/>
                <w:szCs w:val="20"/>
              </w:rPr>
            </w:pPr>
            <w:r w:rsidRPr="00A05BFE">
              <w:rPr>
                <w:b/>
                <w:color w:val="000000" w:themeColor="text1"/>
                <w:sz w:val="20"/>
                <w:szCs w:val="20"/>
              </w:rPr>
              <w:t>Other mammals</w:t>
            </w:r>
          </w:p>
        </w:tc>
        <w:tc>
          <w:tcPr>
            <w:tcW w:w="0" w:type="auto"/>
            <w:tcBorders>
              <w:top w:val="single" w:sz="8" w:space="0" w:color="auto"/>
              <w:bottom w:val="single" w:sz="4" w:space="0" w:color="auto"/>
            </w:tcBorders>
            <w:shd w:val="clear" w:color="auto" w:fill="DEEAF6" w:themeFill="accent5" w:themeFillTint="33"/>
            <w:vAlign w:val="center"/>
          </w:tcPr>
          <w:p w14:paraId="6E88D3B8" w14:textId="77777777" w:rsidR="004104F4" w:rsidRPr="00A05BFE" w:rsidRDefault="004104F4" w:rsidP="00660637">
            <w:pPr>
              <w:autoSpaceDE w:val="0"/>
              <w:autoSpaceDN w:val="0"/>
              <w:adjustRightInd w:val="0"/>
              <w:snapToGrid w:val="0"/>
              <w:spacing w:line="276" w:lineRule="auto"/>
              <w:jc w:val="center"/>
              <w:rPr>
                <w:b/>
                <w:color w:val="000000" w:themeColor="text1"/>
                <w:sz w:val="20"/>
                <w:szCs w:val="20"/>
              </w:rPr>
            </w:pPr>
            <w:r w:rsidRPr="00A05BFE">
              <w:rPr>
                <w:b/>
                <w:color w:val="000000" w:themeColor="text1"/>
                <w:sz w:val="20"/>
                <w:szCs w:val="20"/>
              </w:rPr>
              <w:t>Fish</w:t>
            </w:r>
          </w:p>
        </w:tc>
        <w:tc>
          <w:tcPr>
            <w:tcW w:w="0" w:type="auto"/>
            <w:tcBorders>
              <w:top w:val="single" w:sz="8" w:space="0" w:color="auto"/>
              <w:bottom w:val="single" w:sz="4" w:space="0" w:color="auto"/>
            </w:tcBorders>
            <w:shd w:val="clear" w:color="auto" w:fill="DEEAF6" w:themeFill="accent5" w:themeFillTint="33"/>
            <w:vAlign w:val="center"/>
          </w:tcPr>
          <w:p w14:paraId="122F1DCE" w14:textId="77777777" w:rsidR="004104F4" w:rsidRPr="00A05BFE" w:rsidRDefault="004104F4" w:rsidP="00660637">
            <w:pPr>
              <w:autoSpaceDE w:val="0"/>
              <w:autoSpaceDN w:val="0"/>
              <w:adjustRightInd w:val="0"/>
              <w:snapToGrid w:val="0"/>
              <w:spacing w:line="276" w:lineRule="auto"/>
              <w:jc w:val="center"/>
              <w:rPr>
                <w:b/>
                <w:color w:val="000000" w:themeColor="text1"/>
                <w:sz w:val="20"/>
                <w:szCs w:val="20"/>
              </w:rPr>
            </w:pPr>
            <w:r w:rsidRPr="00A05BFE">
              <w:rPr>
                <w:b/>
                <w:color w:val="000000" w:themeColor="text1"/>
                <w:sz w:val="20"/>
                <w:szCs w:val="20"/>
              </w:rPr>
              <w:t>References</w:t>
            </w:r>
          </w:p>
        </w:tc>
      </w:tr>
      <w:tr w:rsidR="004104F4" w:rsidRPr="00A05BFE" w14:paraId="1B0F6CDF" w14:textId="77777777" w:rsidTr="0066348E">
        <w:trPr>
          <w:trHeight w:val="604"/>
          <w:jc w:val="center"/>
        </w:trPr>
        <w:tc>
          <w:tcPr>
            <w:tcW w:w="1560" w:type="dxa"/>
            <w:tcBorders>
              <w:top w:val="single" w:sz="4" w:space="0" w:color="auto"/>
            </w:tcBorders>
            <w:vAlign w:val="center"/>
          </w:tcPr>
          <w:p w14:paraId="237B63AF" w14:textId="77777777" w:rsidR="004104F4" w:rsidRPr="00A05BFE" w:rsidRDefault="004104F4" w:rsidP="00660637">
            <w:pPr>
              <w:autoSpaceDE w:val="0"/>
              <w:autoSpaceDN w:val="0"/>
              <w:adjustRightInd w:val="0"/>
              <w:snapToGrid w:val="0"/>
              <w:spacing w:line="276" w:lineRule="auto"/>
              <w:jc w:val="center"/>
              <w:rPr>
                <w:b/>
                <w:bCs/>
                <w:color w:val="000000" w:themeColor="text1"/>
                <w:sz w:val="20"/>
                <w:szCs w:val="20"/>
              </w:rPr>
            </w:pPr>
            <w:r w:rsidRPr="00A05BFE">
              <w:rPr>
                <w:b/>
                <w:bCs/>
                <w:i/>
                <w:iCs/>
                <w:sz w:val="20"/>
                <w:szCs w:val="20"/>
              </w:rPr>
              <w:t>S. mansoni</w:t>
            </w:r>
          </w:p>
        </w:tc>
        <w:tc>
          <w:tcPr>
            <w:tcW w:w="1134" w:type="dxa"/>
            <w:tcBorders>
              <w:top w:val="single" w:sz="4" w:space="0" w:color="auto"/>
            </w:tcBorders>
            <w:vAlign w:val="center"/>
          </w:tcPr>
          <w:p w14:paraId="4FAC07B7"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1267" w:type="dxa"/>
            <w:tcBorders>
              <w:top w:val="single" w:sz="4" w:space="0" w:color="auto"/>
            </w:tcBorders>
            <w:vAlign w:val="center"/>
          </w:tcPr>
          <w:p w14:paraId="15B0DAD7"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0" w:type="auto"/>
            <w:tcBorders>
              <w:top w:val="single" w:sz="4" w:space="0" w:color="auto"/>
            </w:tcBorders>
            <w:vAlign w:val="center"/>
          </w:tcPr>
          <w:p w14:paraId="3CC81809"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0" w:type="auto"/>
            <w:tcBorders>
              <w:top w:val="single" w:sz="4" w:space="0" w:color="auto"/>
            </w:tcBorders>
            <w:vAlign w:val="center"/>
          </w:tcPr>
          <w:p w14:paraId="634EF85E"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0" w:type="auto"/>
            <w:tcBorders>
              <w:top w:val="single" w:sz="4" w:space="0" w:color="auto"/>
            </w:tcBorders>
            <w:vAlign w:val="center"/>
          </w:tcPr>
          <w:p w14:paraId="679B2BF3"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0" w:type="auto"/>
            <w:tcBorders>
              <w:top w:val="single" w:sz="4" w:space="0" w:color="auto"/>
            </w:tcBorders>
            <w:vAlign w:val="center"/>
          </w:tcPr>
          <w:p w14:paraId="46F20881"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0" w:type="auto"/>
            <w:tcBorders>
              <w:top w:val="single" w:sz="4" w:space="0" w:color="auto"/>
            </w:tcBorders>
            <w:vAlign w:val="center"/>
          </w:tcPr>
          <w:p w14:paraId="4E3D2709" w14:textId="41115185"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szCs w:val="20"/>
              </w:rPr>
              <w:fldChar w:fldCharType="begin" w:fldLock="1"/>
            </w:r>
            <w:r w:rsidR="001A0DC3">
              <w:rPr>
                <w:bCs/>
                <w:color w:val="000000" w:themeColor="text1"/>
                <w:sz w:val="20"/>
                <w:szCs w:val="20"/>
              </w:rPr>
              <w:instrText>ADDIN CSL_CITATION {"citationItems":[{"id":"ITEM-1","itemData":{"ISSN":"00429686","PMID":"13573118","abstract":"The author reviews the results of experimental infections of various species of mammals, other than man, with S. haematobium and S. mansoni, and discusses investigations in Africa and Brazil into the possibility of the natural infection of non-human vertebrates with these two parasites. Only a few species, besides monkeys, could be easily infected with S. haematobium in the laboratory, while-outside man-natural infection with this parasite appears to be practically non-existent. On the other hand, many animals are good experimental hosts for S. mansoni, and at least 21 species of mammals have been found infected with this parasite in Africa and America. It is thus possible to state, provisionally, that man is the only reservoir of S. haematobium, but the question still remains open where S. mansoni is concerned. Further research is suggested in order to assess the importance of non-human reservoirs in the epidemiology of bilharziasis.","author":[{"dropping-particle":"V.","family":"MARTINS","given":"A.","non-dropping-particle":"","parse-names":false,"suffix":""}],"container-title":"Bulletin of the World Health Organization","id":"ITEM-1","issue":"5-6","issued":{"date-parts":[["1958"]]},"page":"931-944","title":"Non-human vertebrate hosts of Schistosoma haematobium and Schistosoma mansoni","type":"article-journal","volume":"18"},"uris":["http://www.mendeley.com/documents/?uuid=bc9e2729-5154-484e-b0fa-56ac2ed4af76"]},{"id":"ITEM-2","itemData":{"author":[{"dropping-particle":"","family":"Standley, C.J., Dobson, A.P., Stothard","given":"R.J.","non-dropping-particle":"","parse-names":false,"suffix":""}],"id":"ITEM-2","issued":{"date-parts":[["2012"]]},"publisher":"InTech: ISBN: 978-953-307-852-6.","title":"Out of Animals and Back Again: Schistosomiasis as a Zoonosis in Africa. Schistosomiasis","type":"book"},"uris":["http://www.mendeley.com/documents/?uuid=c6747de5-c5bb-4c76-a49c-74697b9a82c9"]}],"mendeley":{"formattedCitation":"[46,47]","plainTextFormattedCitation":"[46,47]","previouslyFormattedCitation":"[46,47]"},"properties":{"noteIndex":0},"schema":"https://github.com/citation-style-language/schema/raw/master/csl-citation.json"}</w:instrText>
            </w:r>
            <w:r w:rsidRPr="00A05BFE">
              <w:rPr>
                <w:bCs/>
                <w:color w:val="000000" w:themeColor="text1"/>
                <w:sz w:val="20"/>
                <w:szCs w:val="20"/>
              </w:rPr>
              <w:fldChar w:fldCharType="separate"/>
            </w:r>
            <w:r w:rsidR="001D3544" w:rsidRPr="001D3544">
              <w:rPr>
                <w:bCs/>
                <w:noProof/>
                <w:color w:val="000000" w:themeColor="text1"/>
                <w:sz w:val="20"/>
                <w:szCs w:val="20"/>
              </w:rPr>
              <w:t>[46,47]</w:t>
            </w:r>
            <w:r w:rsidRPr="00A05BFE">
              <w:rPr>
                <w:bCs/>
                <w:color w:val="000000" w:themeColor="text1"/>
                <w:sz w:val="20"/>
                <w:szCs w:val="20"/>
              </w:rPr>
              <w:fldChar w:fldCharType="end"/>
            </w:r>
          </w:p>
        </w:tc>
      </w:tr>
      <w:tr w:rsidR="004104F4" w:rsidRPr="00A05BFE" w14:paraId="25561E1B" w14:textId="77777777" w:rsidTr="00492023">
        <w:trPr>
          <w:trHeight w:val="1078"/>
          <w:jc w:val="center"/>
        </w:trPr>
        <w:tc>
          <w:tcPr>
            <w:tcW w:w="1560" w:type="dxa"/>
            <w:vAlign w:val="center"/>
          </w:tcPr>
          <w:p w14:paraId="39D0705E" w14:textId="77777777" w:rsidR="004104F4" w:rsidRPr="00A05BFE" w:rsidRDefault="004104F4" w:rsidP="00660637">
            <w:pPr>
              <w:autoSpaceDE w:val="0"/>
              <w:autoSpaceDN w:val="0"/>
              <w:adjustRightInd w:val="0"/>
              <w:snapToGrid w:val="0"/>
              <w:spacing w:line="276" w:lineRule="auto"/>
              <w:jc w:val="center"/>
              <w:rPr>
                <w:b/>
                <w:bCs/>
                <w:i/>
                <w:iCs/>
                <w:sz w:val="20"/>
                <w:szCs w:val="20"/>
              </w:rPr>
            </w:pPr>
            <w:r w:rsidRPr="00A05BFE">
              <w:rPr>
                <w:b/>
                <w:bCs/>
                <w:i/>
                <w:iCs/>
                <w:sz w:val="20"/>
                <w:szCs w:val="20"/>
              </w:rPr>
              <w:t>G. duodenalis</w:t>
            </w:r>
          </w:p>
          <w:p w14:paraId="0C739953" w14:textId="77777777" w:rsidR="004104F4" w:rsidRPr="00A05BFE" w:rsidRDefault="004104F4" w:rsidP="00660637">
            <w:pPr>
              <w:autoSpaceDE w:val="0"/>
              <w:autoSpaceDN w:val="0"/>
              <w:adjustRightInd w:val="0"/>
              <w:snapToGrid w:val="0"/>
              <w:spacing w:line="276" w:lineRule="auto"/>
              <w:jc w:val="center"/>
              <w:rPr>
                <w:b/>
                <w:bCs/>
                <w:color w:val="000000" w:themeColor="text1"/>
                <w:sz w:val="20"/>
                <w:szCs w:val="20"/>
              </w:rPr>
            </w:pPr>
            <w:r w:rsidRPr="00A05BFE">
              <w:rPr>
                <w:b/>
                <w:bCs/>
                <w:color w:val="000000" w:themeColor="text1"/>
                <w:sz w:val="20"/>
                <w:szCs w:val="20"/>
              </w:rPr>
              <w:t>(assemblage A)</w:t>
            </w:r>
          </w:p>
        </w:tc>
        <w:tc>
          <w:tcPr>
            <w:tcW w:w="1134" w:type="dxa"/>
            <w:vAlign w:val="center"/>
          </w:tcPr>
          <w:p w14:paraId="49CDAA17"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1267" w:type="dxa"/>
            <w:vAlign w:val="center"/>
          </w:tcPr>
          <w:p w14:paraId="7203233F"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0" w:type="auto"/>
            <w:vAlign w:val="center"/>
          </w:tcPr>
          <w:p w14:paraId="7D6C217E"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0" w:type="auto"/>
            <w:vAlign w:val="center"/>
          </w:tcPr>
          <w:p w14:paraId="384DD77C"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0" w:type="auto"/>
            <w:vAlign w:val="center"/>
          </w:tcPr>
          <w:p w14:paraId="1D507B81"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0" w:type="auto"/>
            <w:vAlign w:val="center"/>
          </w:tcPr>
          <w:p w14:paraId="339EB3F8"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0" w:type="auto"/>
            <w:vAlign w:val="center"/>
          </w:tcPr>
          <w:p w14:paraId="6A6AFC18" w14:textId="0E6E8D45" w:rsidR="004104F4" w:rsidRPr="00A05BFE" w:rsidRDefault="004104F4" w:rsidP="00660637">
            <w:pPr>
              <w:autoSpaceDE w:val="0"/>
              <w:autoSpaceDN w:val="0"/>
              <w:adjustRightInd w:val="0"/>
              <w:snapToGrid w:val="0"/>
              <w:spacing w:line="276" w:lineRule="auto"/>
              <w:jc w:val="center"/>
              <w:rPr>
                <w:bCs/>
                <w:color w:val="000000" w:themeColor="text1"/>
                <w:sz w:val="20"/>
                <w:szCs w:val="20"/>
              </w:rPr>
            </w:pPr>
            <w:r w:rsidRPr="00A05BFE">
              <w:rPr>
                <w:bCs/>
                <w:color w:val="000000" w:themeColor="text1"/>
                <w:sz w:val="20"/>
                <w:szCs w:val="20"/>
              </w:rPr>
              <w:fldChar w:fldCharType="begin" w:fldLock="1"/>
            </w:r>
            <w:r w:rsidR="002A145D">
              <w:rPr>
                <w:bCs/>
                <w:color w:val="000000" w:themeColor="text1"/>
                <w:sz w:val="20"/>
                <w:szCs w:val="20"/>
              </w:rPr>
              <w:instrText>ADDIN CSL_CITATION {"citationItems":[{"id":"ITEM-1","itemData":{"DOI":"10.1016/j.ijpara.2013.06.001","ISSN":"00207519","PMID":"23856595","abstract":"Giardia duodenalis (syn. Giardia lamblia and Giardia intestinalis) is a common intestinal parasite of humans and mammals worldwide. Assessing the zoonotic transmission of the infection requires molecular characterization as there is considerable genetic variation within G. duodenalis. To date eight major genetic groups (assemblages) have been identified, two of which (A and B) are found in both humans and animals, whereas the remaining six (C to H) are host-specific and do not infect humans. Sequence-based surveys of single loci have identified a number of genetic variants (genotypes) within assemblages A and B in animal species, some of which may have zoonotic potential. Multi-locus typing data, however, has shown that in most cases, animals do not share identical multi-locus types with humans. Furthermore, interpretation of genotyping data is complicated by the presence of multiple alleles that generate \"double peaks\" in sequencing files from PCR products, and by the potential exchange of genetic material among isolates, which may account for the non-concordance in the assignment of isolates to specific assemblages. Therefore, a better understanding of the genetics of this parasite is required to allow the design of more sensitive and variable subtyping tools, that in turn may help unravel the complex epidemiology of this infection. © 2013 .","author":[{"dropping-particle":"","family":"Ryan","given":"Una","non-dropping-particle":"","parse-names":false,"suffix":""},{"dropping-particle":"","family":"Cacciò","given":"Simone M.","non-dropping-particle":"","parse-names":false,"suffix":""}],"container-title":"International Journal for Parasitology","id":"ITEM-1","issue":"12-13","issued":{"date-parts":[["2013"]]},"page":"943-956","publisher":"Australian Society for Parasitology Inc.","title":"Zoonotic potential of Giardia","type":"article-journal","volume":"43"},"uris":["http://www.mendeley.com/documents/?uuid=33a01232-acab-4cea-bfe0-bfff6c26da5e"]},{"id":"ITEM-2","itemData":{"DOI":"10.1128/CMR.00033-10","ISSN":"08938512","PMID":"21233509","author":[{"dropping-particle":"","family":"Yaoyu","given":"Feng","non-dropping-particle":"","parse-names":false,"suffix":""},{"dropping-particle":"","family":"Xiao","given":"Lihua","non-dropping-particle":"","parse-names":false,"suffix":""}],"container-title":"Clinical Microbiology Reviews","id":"ITEM-2","issue":"1","issued":{"date-parts":[["2011"]]},"page":"110-140","title":"Zoonotic potential and molecular epidemiology of Giardia species and giardiasis","type":"article-journal","volume":"24"},"uris":["http://www.mendeley.com/documents/?uuid=559c5b2f-2290-4a24-9224-f6021be15b90"]},{"id":"ITEM-3","itemData":{"DOI":"10.1016/j.vetpar.2004.09.008","ISSN":"03044017","abstract":"The taxonomy and molecular epidemiology of Giardia and Giardia infections are reviewed in the context of zoonotic and waterborne transmission. Evidence to support the zoonotic transmission of Giardia is very strong, but how frequent such transmission occurs and under what circumstances, have yet to be determined. Zoonotic origin for waterborne outbreaks of Giardia infection appears to be uncommon. Similarly, livestock are unlikely to be an important source of infection in humans. The greatest risk of zoonotic transmission appears to be from companion animals such as dogs and cats, although further studies are required in different endemic foci in order to determine the frequency of such transmission. © 2004 Elsevier B.V. All rights reserved.","author":[{"dropping-particle":"","family":"Thompson","given":"R. C.Andrew","non-dropping-particle":"","parse-names":false,"suffix":""}],"container-title":"Veterinary Parasitology","id":"ITEM-3","issue":"1-2 SPEC.ISS.","issued":{"date-parts":[["2004"]]},"page":"15-35","title":"The zoonotic significance and molecular epidemiology of Giardia and giardiasis","type":"article-journal","volume":"126"},"uris":["http://www.mendeley.com/documents/?uuid=f9508c31-772f-415f-8aa4-6f65e1a4e7b1"]},{"id":"ITEM-4","itemData":{"DOI":"10.1371/journal.pone.0071840","ISSN":"19326203","PMID":"23951255","abstract":"Background:Infectious diseases pose one of the greatest threats to endangered species, and a risk of gastrointestinal parasite transmission from humans to wildlife has always been considered as a major concern of tourism. Increased anthropogenic impact on primate populations may result in general changes in communities of their parasites, and also in a direct exchange of parasites between humans and primates.Aims:To evaluate the impact of close contact with humans on the occurrence of potentially zoonotic protists in great apes, we conducted a long-term monitoring of microsporidia, Cryptosporidium and Giardia infections in western lowland gorillas at different stages of the habituation process, humans, and other wildlife in Dzanga-Sangha Protected Areas in the Central African Republic.Results:We detected Encephalitozoon cuniculi genotypes I and II (7.5%), Enterocytozoon bieneusi genotype D and three novel genotypes (gorilla 1-3) (4.0%), Giardia intestinalis subgroup A II (2.0%) and Cryptosporidium bovis (0.5%) in gorillas, whereas in humans we found only G. intestinalis subgroup A II (2.1%). In other wild and domestic animals we recorded E. cuniculi genotypes I and II (2.1%), G. intestinalis assemblage E (0.5%) and C. muris TS03 (0.5%).Conclusion:Due to the non-specificity of E. cuniculi genotypes we conclude that detection of the exact source of E. cuniculi infection is problematic. As Giardia intestinalis was recorded primarily in gorilla groups with closer human contact, we suggest that human-gorilla transmission has occurred. We call attention to a potentially negative impact of habituation on selected pathogens which might occur as a result of the more frequent presence of humans in the vicinity of both gorillas under habituation and habituated gorillas, rather than as a consequence of the close contact with humans, which might be a more traditional assumption. We encourage to observe the sections concerning hygiene from the IUCN best practice guidelines for all sites where increased human-gorilla contact occurs. © 2013 Sak et al.","author":[{"dropping-particle":"","family":"Sak","given":"Bohumil","non-dropping-particle":"","parse-names":false,"suffix":""},{"dropping-particle":"","family":"Petrzelkova","given":"Klara J.","non-dropping-particle":"","parse-names":false,"suffix":""},{"dropping-particle":"","family":"Kvetonova","given":"Dana","non-dropping-particle":"","parse-names":false,"suffix":""},{"dropping-particle":"","family":"Mynarova","given":"Anna","non-dropping-particle":"","parse-names":false,"suffix":""},{"dropping-particle":"","family":"Shutt","given":"Kathryn A.","non-dropping-particle":"","parse-names":false,"suffix":""},{"dropping-particle":"","family":"Pomajbikova","given":"Katerina","non-dropping-particle":"","parse-names":false,"suffix":""},{"dropping-particle":"","family":"Kalousova","given":"Barbora","non-dropping-particle":"","parse-names":false,"suffix":""},{"dropping-particle":"","family":"Modry","given":"David","non-dropping-particle":"","parse-names":false,"suffix":""},{"dropping-particle":"","family":"Benavides","given":"Julio","non-dropping-particle":"","parse-names":false,"suffix":""},{"dropping-particle":"","family":"Todd","given":"Angelique","non-dropping-particle":"","parse-names":false,"suffix":""},{"dropping-particle":"","family":"Kvac","given":"Martin","non-dropping-particle":"","parse-names":false,"suffix":""}],"container-title":"PLoS ONE","id":"ITEM-4","issue":"8","issued":{"date-parts":[["2013"]]},"title":"Long-Term Monitoring of Microsporidia, Cryptosporidium and Giardia Infections in Western Lowland Gorillas (Gorilla gorilla gorilla) at Different Stages of Habituation in Dzanga Sangha Protected Areas, Central African Republic","type":"article-journal","volume":"8"},"uris":["http://www.mendeley.com/documents/?uuid=9b36a7a4-0773-4816-a1d8-ac70294c003c"]},{"id":"ITEM-5","itemData":{"DOI":"10.1371/journal.pntd.0000558","PMID":"19956662","abstract":"Giardia duodenalis, originally regarded as a commensal organism, is the etiologic agent of giardiasis, a gastrointestinal disease of humans and animals. Giardiasis causes major public and veterinary health concerns worldwide. Transmission is either direct, through the faecal-oral route, or indirect, through ingestion of contaminated water or food. Genetic characterization of G. duodenalis isolates has revealed the existence of seven groups (assemblages A to G) which differ in their host distribution. Assemblages A and B are found in humans and in many other mammals, but the role of animals in the epidemiology of human infection is still unclear, despite the fact that the zoonotic potential of Giardia was recognised by the WHO some 30 years ago. Here, we performed an extensive genetic characterization of 978 human and 1440 animal isolates, which together comprise 3886 sequences from 4 genetic loci. The data were assembled into a molecular epidemiological database developed by a European network of public and veterinary health Institutions. Genotyping was performed at different levels of resolution (single and multiple loci on the same dataset). The zoonotic potential of both assemblages A and B is evident when studied at the level of assemblages, sub-assemblages, and even at each single locus. However, when genotypes are defined using a multi-locus sequence typing scheme, only 2 multi-locus genotypes (MLG) of assemblage A and none of assemblage B appear to have a zoonotic potential. Surprisingly, mixtures of genotypes in individual isolates were repeatedly observed. Possible explanations are the uptake of genetically different Giardia cysts by a host, or subsequent infection of an already infected host, likely without overt symptoms, with a different Giardia species, which may cause disease. Other explanations for mixed genotypes, particularly for assemblage B, are substantial allelic sequence heterogeneity and/or genetic recombination. Although the zoonotic potential of G. duodenalis is evident, evidence on the contribution and frequency is (still) lacking. This newly developed molecular database has the potential to tackle intricate epidemiological questions concerning protozoan diseases. © 2009 Sprong et al.","author":[{"dropping-particle":"","family":"Sprong","given":"Hein","non-dropping-particle":"","parse-names":false,"suffix":""},{"dropping-particle":"","family":"Cacciò","given":"Simone M.","non-dropping-particle":"","parse-names":false,"suffix":""},{"dropping-particle":"","family":"Giessen","given":"Joke W.B.","non-dropping-particle":"Van Der","parse-names":false,"suffix":""}],"container-title":"PLoS Neglected Tropical Diseases","id":"ITEM-5","issue":"12","issued":{"date-parts":[["2009"]]},"page":"1-12","title":"Identification of zoonotic genotypes of Giardia duodenalis","type":"article-journal","volume":"3"},"uris":["http://www.mendeley.com/documents/?uuid=ebea01e3-a8e8-4578-a03d-676488444ba4"]}],"mendeley":{"formattedCitation":"[20,48–51]","plainTextFormattedCitation":"[20,48–51]","previouslyFormattedCitation":"[20,48–51]"},"properties":{"noteIndex":0},"schema":"https://github.com/citation-style-language/schema/raw/master/csl-citation.json"}</w:instrText>
            </w:r>
            <w:r w:rsidRPr="00A05BFE">
              <w:rPr>
                <w:bCs/>
                <w:color w:val="000000" w:themeColor="text1"/>
                <w:sz w:val="20"/>
                <w:szCs w:val="20"/>
              </w:rPr>
              <w:fldChar w:fldCharType="separate"/>
            </w:r>
            <w:r w:rsidR="002512CA" w:rsidRPr="002512CA">
              <w:rPr>
                <w:bCs/>
                <w:noProof/>
                <w:color w:val="000000" w:themeColor="text1"/>
                <w:sz w:val="20"/>
                <w:szCs w:val="20"/>
              </w:rPr>
              <w:t>[20,48–51]</w:t>
            </w:r>
            <w:r w:rsidRPr="00A05BFE">
              <w:rPr>
                <w:bCs/>
                <w:color w:val="000000" w:themeColor="text1"/>
                <w:sz w:val="20"/>
                <w:szCs w:val="20"/>
              </w:rPr>
              <w:fldChar w:fldCharType="end"/>
            </w:r>
          </w:p>
        </w:tc>
      </w:tr>
      <w:tr w:rsidR="004104F4" w:rsidRPr="00A05BFE" w14:paraId="390329EC" w14:textId="77777777" w:rsidTr="00492023">
        <w:trPr>
          <w:trHeight w:val="1078"/>
          <w:jc w:val="center"/>
        </w:trPr>
        <w:tc>
          <w:tcPr>
            <w:tcW w:w="1560" w:type="dxa"/>
            <w:vAlign w:val="center"/>
          </w:tcPr>
          <w:p w14:paraId="73CDAF2C" w14:textId="77777777" w:rsidR="004104F4" w:rsidRPr="00A05BFE" w:rsidRDefault="004104F4" w:rsidP="00660637">
            <w:pPr>
              <w:autoSpaceDE w:val="0"/>
              <w:autoSpaceDN w:val="0"/>
              <w:adjustRightInd w:val="0"/>
              <w:snapToGrid w:val="0"/>
              <w:spacing w:line="276" w:lineRule="auto"/>
              <w:jc w:val="center"/>
              <w:rPr>
                <w:b/>
                <w:bCs/>
                <w:i/>
                <w:iCs/>
                <w:sz w:val="20"/>
                <w:szCs w:val="20"/>
              </w:rPr>
            </w:pPr>
            <w:r w:rsidRPr="00A05BFE">
              <w:rPr>
                <w:b/>
                <w:bCs/>
                <w:i/>
                <w:iCs/>
                <w:sz w:val="20"/>
                <w:szCs w:val="20"/>
              </w:rPr>
              <w:t>G. duodenalis</w:t>
            </w:r>
          </w:p>
          <w:p w14:paraId="34C6221F" w14:textId="77777777" w:rsidR="004104F4" w:rsidRPr="00A05BFE" w:rsidRDefault="004104F4" w:rsidP="00660637">
            <w:pPr>
              <w:autoSpaceDE w:val="0"/>
              <w:autoSpaceDN w:val="0"/>
              <w:adjustRightInd w:val="0"/>
              <w:snapToGrid w:val="0"/>
              <w:spacing w:line="276" w:lineRule="auto"/>
              <w:jc w:val="center"/>
              <w:rPr>
                <w:b/>
                <w:bCs/>
                <w:color w:val="000000" w:themeColor="text1"/>
                <w:sz w:val="20"/>
                <w:szCs w:val="20"/>
              </w:rPr>
            </w:pPr>
            <w:r w:rsidRPr="00A05BFE">
              <w:rPr>
                <w:b/>
                <w:bCs/>
                <w:color w:val="000000" w:themeColor="text1"/>
                <w:sz w:val="20"/>
                <w:szCs w:val="20"/>
              </w:rPr>
              <w:t>(assemblage B)</w:t>
            </w:r>
          </w:p>
        </w:tc>
        <w:tc>
          <w:tcPr>
            <w:tcW w:w="1134" w:type="dxa"/>
            <w:vAlign w:val="center"/>
          </w:tcPr>
          <w:p w14:paraId="3017D1E9"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1267" w:type="dxa"/>
            <w:vAlign w:val="center"/>
          </w:tcPr>
          <w:p w14:paraId="1CDC9889"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0" w:type="auto"/>
            <w:vAlign w:val="center"/>
          </w:tcPr>
          <w:p w14:paraId="55D47EC9"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0" w:type="auto"/>
            <w:vAlign w:val="center"/>
          </w:tcPr>
          <w:p w14:paraId="5410B5A4"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0" w:type="auto"/>
            <w:vAlign w:val="center"/>
          </w:tcPr>
          <w:p w14:paraId="20153F81"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0" w:type="auto"/>
            <w:vAlign w:val="center"/>
          </w:tcPr>
          <w:p w14:paraId="6A31F30E" w14:textId="77777777"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rPr>
              <w:t>+</w:t>
            </w:r>
          </w:p>
        </w:tc>
        <w:tc>
          <w:tcPr>
            <w:tcW w:w="0" w:type="auto"/>
            <w:vAlign w:val="center"/>
          </w:tcPr>
          <w:p w14:paraId="19464CF6" w14:textId="0A732059" w:rsidR="004104F4" w:rsidRPr="00A05BFE" w:rsidRDefault="004104F4" w:rsidP="00660637">
            <w:pPr>
              <w:autoSpaceDE w:val="0"/>
              <w:autoSpaceDN w:val="0"/>
              <w:adjustRightInd w:val="0"/>
              <w:snapToGrid w:val="0"/>
              <w:spacing w:line="276" w:lineRule="auto"/>
              <w:jc w:val="center"/>
              <w:rPr>
                <w:bCs/>
                <w:color w:val="000000" w:themeColor="text1"/>
                <w:sz w:val="20"/>
              </w:rPr>
            </w:pPr>
            <w:r w:rsidRPr="00A05BFE">
              <w:rPr>
                <w:bCs/>
                <w:color w:val="000000" w:themeColor="text1"/>
                <w:sz w:val="20"/>
                <w:szCs w:val="20"/>
              </w:rPr>
              <w:fldChar w:fldCharType="begin" w:fldLock="1"/>
            </w:r>
            <w:r w:rsidR="002A145D">
              <w:rPr>
                <w:bCs/>
                <w:color w:val="000000" w:themeColor="text1"/>
                <w:sz w:val="20"/>
                <w:szCs w:val="20"/>
              </w:rPr>
              <w:instrText>ADDIN CSL_CITATION {"citationItems":[{"id":"ITEM-1","itemData":{"DOI":"10.1016/j.ijpara.2013.06.001","ISSN":"00207519","PMID":"23856595","abstract":"Giardia duodenalis (syn. Giardia lamblia and Giardia intestinalis) is a common intestinal parasite of humans and mammals worldwide. Assessing the zoonotic transmission of the infection requires molecular characterization as there is considerable genetic variation within G. duodenalis. To date eight major genetic groups (assemblages) have been identified, two of which (A and B) are found in both humans and animals, whereas the remaining six (C to H) are host-specific and do not infect humans. Sequence-based surveys of single loci have identified a number of genetic variants (genotypes) within assemblages A and B in animal species, some of which may have zoonotic potential. Multi-locus typing data, however, has shown that in most cases, animals do not share identical multi-locus types with humans. Furthermore, interpretation of genotyping data is complicated by the presence of multiple alleles that generate \"double peaks\" in sequencing files from PCR products, and by the potential exchange of genetic material among isolates, which may account for the non-concordance in the assignment of isolates to specific assemblages. Therefore, a better understanding of the genetics of this parasite is required to allow the design of more sensitive and variable subtyping tools, that in turn may help unravel the complex epidemiology of this infection. © 2013 .","author":[{"dropping-particle":"","family":"Ryan","given":"Una","non-dropping-particle":"","parse-names":false,"suffix":""},{"dropping-particle":"","family":"Cacciò","given":"Simone M.","non-dropping-particle":"","parse-names":false,"suffix":""}],"container-title":"International Journal for Parasitology","id":"ITEM-1","issue":"12-13","issued":{"date-parts":[["2013"]]},"page":"943-956","publisher":"Australian Society for Parasitology Inc.","title":"Zoonotic potential of Giardia","type":"article-journal","volume":"43"},"uris":["http://www.mendeley.com/documents/?uuid=33a01232-acab-4cea-bfe0-bfff6c26da5e"]},{"id":"ITEM-2","itemData":{"DOI":"10.1128/CMR.00033-10","ISSN":"08938512","PMID":"21233509","author":[{"dropping-particle":"","family":"Yaoyu","given":"Feng","non-dropping-particle":"","parse-names":false,"suffix":""},{"dropping-particle":"","family":"Xiao","given":"Lihua","non-dropping-particle":"","parse-names":false,"suffix":""}],"container-title":"Clinical Microbiology Reviews","id":"ITEM-2","issue":"1","issued":{"date-parts":[["2011"]]},"page":"110-140","title":"Zoonotic potential and molecular epidemiology of Giardia species and giardiasis","type":"article-journal","volume":"24"},"uris":["http://www.mendeley.com/documents/?uuid=559c5b2f-2290-4a24-9224-f6021be15b90"]},{"id":"ITEM-3","itemData":{"DOI":"10.1016/j.vetpar.2004.09.008","ISSN":"03044017","abstract":"The taxonomy and molecular epidemiology of Giardia and Giardia infections are reviewed in the context of zoonotic and waterborne transmission. Evidence to support the zoonotic transmission of Giardia is very strong, but how frequent such transmission occurs and under what circumstances, have yet to be determined. Zoonotic origin for waterborne outbreaks of Giardia infection appears to be uncommon. Similarly, livestock are unlikely to be an important source of infection in humans. The greatest risk of zoonotic transmission appears to be from companion animals such as dogs and cats, although further studies are required in different endemic foci in order to determine the frequency of such transmission. © 2004 Elsevier B.V. All rights reserved.","author":[{"dropping-particle":"","family":"Thompson","given":"R. C.Andrew","non-dropping-particle":"","parse-names":false,"suffix":""}],"container-title":"Veterinary Parasitology","id":"ITEM-3","issue":"1-2 SPEC.ISS.","issued":{"date-parts":[["2004"]]},"page":"15-35","title":"The zoonotic significance and molecular epidemiology of Giardia and giardiasis","type":"article-journal","volume":"126"},"uris":["http://www.mendeley.com/documents/?uuid=f9508c31-772f-415f-8aa4-6f65e1a4e7b1"]},{"id":"ITEM-4","itemData":{"DOI":"10.1371/journal.pntd.0000558","PMID":"19956662","abstract":"Giardia duodenalis, originally regarded as a commensal organism, is the etiologic agent of giardiasis, a gastrointestinal disease of humans and animals. Giardiasis causes major public and veterinary health concerns worldwide. Transmission is either direct, through the faecal-oral route, or indirect, through ingestion of contaminated water or food. Genetic characterization of G. duodenalis isolates has revealed the existence of seven groups (assemblages A to G) which differ in their host distribution. Assemblages A and B are found in humans and in many other mammals, but the role of animals in the epidemiology of human infection is still unclear, despite the fact that the zoonotic potential of Giardia was recognised by the WHO some 30 years ago. Here, we performed an extensive genetic characterization of 978 human and 1440 animal isolates, which together comprise 3886 sequences from 4 genetic loci. The data were assembled into a molecular epidemiological database developed by a European network of public and veterinary health Institutions. Genotyping was performed at different levels of resolution (single and multiple loci on the same dataset). The zoonotic potential of both assemblages A and B is evident when studied at the level of assemblages, sub-assemblages, and even at each single locus. However, when genotypes are defined using a multi-locus sequence typing scheme, only 2 multi-locus genotypes (MLG) of assemblage A and none of assemblage B appear to have a zoonotic potential. Surprisingly, mixtures of genotypes in individual isolates were repeatedly observed. Possible explanations are the uptake of genetically different Giardia cysts by a host, or subsequent infection of an already infected host, likely without overt symptoms, with a different Giardia species, which may cause disease. Other explanations for mixed genotypes, particularly for assemblage B, are substantial allelic sequence heterogeneity and/or genetic recombination. Although the zoonotic potential of G. duodenalis is evident, evidence on the contribution and frequency is (still) lacking. This newly developed molecular database has the potential to tackle intricate epidemiological questions concerning protozoan diseases. © 2009 Sprong et al.","author":[{"dropping-particle":"","family":"Sprong","given":"Hein","non-dropping-particle":"","parse-names":false,"suffix":""},{"dropping-particle":"","family":"Cacciò","given":"Simone M.","non-dropping-particle":"","parse-names":false,"suffix":""},{"dropping-particle":"","family":"Giessen","given":"Joke W.B.","non-dropping-particle":"Van Der","parse-names":false,"suffix":""}],"container-title":"PLoS Neglected Tropical Diseases","id":"ITEM-4","issue":"12","issued":{"date-parts":[["2009"]]},"page":"1-12","title":"Identification of zoonotic genotypes of Giardia duodenalis","type":"article-journal","volume":"3"},"uris":["http://www.mendeley.com/documents/?uuid=ebea01e3-a8e8-4578-a03d-676488444ba4"]}],"mendeley":{"formattedCitation":"[20,48–50]","plainTextFormattedCitation":"[20,48–50]","previouslyFormattedCitation":"[20,48–50]"},"properties":{"noteIndex":0},"schema":"https://github.com/citation-style-language/schema/raw/master/csl-citation.json"}</w:instrText>
            </w:r>
            <w:r w:rsidRPr="00A05BFE">
              <w:rPr>
                <w:bCs/>
                <w:color w:val="000000" w:themeColor="text1"/>
                <w:sz w:val="20"/>
                <w:szCs w:val="20"/>
              </w:rPr>
              <w:fldChar w:fldCharType="separate"/>
            </w:r>
            <w:r w:rsidR="002512CA" w:rsidRPr="002512CA">
              <w:rPr>
                <w:bCs/>
                <w:noProof/>
                <w:color w:val="000000" w:themeColor="text1"/>
                <w:sz w:val="20"/>
                <w:szCs w:val="20"/>
              </w:rPr>
              <w:t>[20,48–50]</w:t>
            </w:r>
            <w:r w:rsidRPr="00A05BFE">
              <w:rPr>
                <w:bCs/>
                <w:color w:val="000000" w:themeColor="text1"/>
                <w:sz w:val="20"/>
                <w:szCs w:val="20"/>
              </w:rPr>
              <w:fldChar w:fldCharType="end"/>
            </w:r>
          </w:p>
        </w:tc>
      </w:tr>
      <w:tr w:rsidR="00952F07" w:rsidRPr="00A05BFE" w14:paraId="7BAF5699" w14:textId="77777777" w:rsidTr="00492023">
        <w:trPr>
          <w:trHeight w:val="1078"/>
          <w:jc w:val="center"/>
        </w:trPr>
        <w:tc>
          <w:tcPr>
            <w:tcW w:w="1560" w:type="dxa"/>
            <w:vAlign w:val="center"/>
          </w:tcPr>
          <w:p w14:paraId="63A93A75" w14:textId="77777777" w:rsidR="00952F07" w:rsidRPr="00A05BFE" w:rsidRDefault="00952F07" w:rsidP="00952F07">
            <w:pPr>
              <w:autoSpaceDE w:val="0"/>
              <w:autoSpaceDN w:val="0"/>
              <w:adjustRightInd w:val="0"/>
              <w:snapToGrid w:val="0"/>
              <w:spacing w:line="276" w:lineRule="auto"/>
              <w:jc w:val="center"/>
              <w:rPr>
                <w:b/>
                <w:bCs/>
                <w:i/>
                <w:iCs/>
                <w:sz w:val="20"/>
                <w:szCs w:val="20"/>
              </w:rPr>
            </w:pPr>
            <w:r w:rsidRPr="00A05BFE">
              <w:rPr>
                <w:b/>
                <w:bCs/>
                <w:i/>
                <w:iCs/>
                <w:sz w:val="20"/>
                <w:szCs w:val="20"/>
              </w:rPr>
              <w:t>G. duodenalis</w:t>
            </w:r>
          </w:p>
          <w:p w14:paraId="7ED0E7E8" w14:textId="073EAD9F" w:rsidR="00952F07" w:rsidRPr="00A05BFE" w:rsidRDefault="00952F07" w:rsidP="00952F07">
            <w:pPr>
              <w:autoSpaceDE w:val="0"/>
              <w:autoSpaceDN w:val="0"/>
              <w:adjustRightInd w:val="0"/>
              <w:snapToGrid w:val="0"/>
              <w:spacing w:line="276" w:lineRule="auto"/>
              <w:jc w:val="center"/>
              <w:rPr>
                <w:b/>
                <w:bCs/>
                <w:i/>
                <w:iCs/>
                <w:sz w:val="20"/>
                <w:szCs w:val="20"/>
              </w:rPr>
            </w:pPr>
            <w:r w:rsidRPr="00A05BFE">
              <w:rPr>
                <w:b/>
                <w:bCs/>
                <w:color w:val="000000" w:themeColor="text1"/>
                <w:sz w:val="20"/>
                <w:szCs w:val="20"/>
              </w:rPr>
              <w:t xml:space="preserve">(assemblage </w:t>
            </w:r>
            <w:r w:rsidR="00740787">
              <w:rPr>
                <w:b/>
                <w:bCs/>
                <w:color w:val="000000" w:themeColor="text1"/>
                <w:sz w:val="20"/>
                <w:szCs w:val="20"/>
              </w:rPr>
              <w:t>C</w:t>
            </w:r>
            <w:r w:rsidRPr="00A05BFE">
              <w:rPr>
                <w:b/>
                <w:bCs/>
                <w:color w:val="000000" w:themeColor="text1"/>
                <w:sz w:val="20"/>
                <w:szCs w:val="20"/>
              </w:rPr>
              <w:t>)</w:t>
            </w:r>
          </w:p>
        </w:tc>
        <w:tc>
          <w:tcPr>
            <w:tcW w:w="1134" w:type="dxa"/>
            <w:vAlign w:val="center"/>
          </w:tcPr>
          <w:p w14:paraId="6D9D9111" w14:textId="6EDBA282" w:rsidR="00952F07" w:rsidRDefault="00D60ED4"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r w:rsidR="002929AA">
              <w:rPr>
                <w:bCs/>
                <w:color w:val="000000" w:themeColor="text1"/>
                <w:sz w:val="20"/>
              </w:rPr>
              <w:t>*</w:t>
            </w:r>
          </w:p>
          <w:p w14:paraId="2F5DAB97" w14:textId="17982954" w:rsidR="00D60ED4" w:rsidRPr="00A05BFE" w:rsidRDefault="00D60ED4" w:rsidP="00660637">
            <w:pPr>
              <w:autoSpaceDE w:val="0"/>
              <w:autoSpaceDN w:val="0"/>
              <w:adjustRightInd w:val="0"/>
              <w:snapToGrid w:val="0"/>
              <w:spacing w:line="276" w:lineRule="auto"/>
              <w:jc w:val="center"/>
              <w:rPr>
                <w:bCs/>
                <w:color w:val="000000" w:themeColor="text1"/>
                <w:sz w:val="20"/>
              </w:rPr>
            </w:pPr>
          </w:p>
        </w:tc>
        <w:tc>
          <w:tcPr>
            <w:tcW w:w="1267" w:type="dxa"/>
            <w:vAlign w:val="center"/>
          </w:tcPr>
          <w:p w14:paraId="378C8085" w14:textId="35D12792" w:rsidR="00952F07" w:rsidRPr="00A05BFE" w:rsidRDefault="00A0798A"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242B3ECB" w14:textId="260CD6B8" w:rsidR="00952F07" w:rsidRPr="00A05BFE" w:rsidRDefault="00694847"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2A14A85F" w14:textId="08768570" w:rsidR="00952F07" w:rsidRPr="00A05BFE" w:rsidRDefault="001A4158"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758C07F2" w14:textId="6790A09F" w:rsidR="00952F07" w:rsidRPr="00A05BFE" w:rsidRDefault="00E61290"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1819BB0A" w14:textId="274BAC4B" w:rsidR="00952F07" w:rsidRPr="00A05BFE" w:rsidRDefault="00DB72DF"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2E29264E" w14:textId="185EE64B" w:rsidR="00952F07" w:rsidRPr="00A05BFE" w:rsidRDefault="00FE2E33" w:rsidP="00660637">
            <w:pPr>
              <w:autoSpaceDE w:val="0"/>
              <w:autoSpaceDN w:val="0"/>
              <w:adjustRightInd w:val="0"/>
              <w:snapToGrid w:val="0"/>
              <w:spacing w:line="276" w:lineRule="auto"/>
              <w:jc w:val="center"/>
              <w:rPr>
                <w:bCs/>
                <w:color w:val="000000" w:themeColor="text1"/>
                <w:sz w:val="20"/>
                <w:szCs w:val="20"/>
              </w:rPr>
            </w:pPr>
            <w:r>
              <w:rPr>
                <w:bCs/>
                <w:color w:val="000000" w:themeColor="text1"/>
                <w:sz w:val="20"/>
                <w:szCs w:val="20"/>
              </w:rPr>
              <w:fldChar w:fldCharType="begin" w:fldLock="1"/>
            </w:r>
            <w:r w:rsidR="002A145D">
              <w:rPr>
                <w:bCs/>
                <w:color w:val="000000" w:themeColor="text1"/>
                <w:sz w:val="20"/>
                <w:szCs w:val="20"/>
              </w:rPr>
              <w:instrText>ADDIN CSL_CITATION {"citationItems":[{"id":"ITEM-1","itemData":{"DOI":"10.1051/parasite/2016013","ISSN":"17761042","abstract":"Techniques for sub-classifying morphologically identical Giardia duodenalis trophozoites have included comparisons of the electrophoretic mobility of enzymes and of chromosomes, and sequencing of genes encoding β-giardin, triose phosphate isomerase, the small subunit of ribosomal RNA and glutamate dehydrogenase. To date, G. duodenalis organisms have been sub-classified into eight genetic assemblages (designated A-H). Genotyping of G. duodenalis organisms isolated from various hosts has shown that assemblages A and B infect the largest range of host species, and appear to be the main (or possibly only) G. duodenalis assemblages that undeniably infect human subjects. In at least some cases of assemblage A or B infection in wild mammals, there is suggestive evidence that the infection had resulted from environmental contamination by G. duodenalis cysts of human origin.","author":[{"dropping-particle":"","family":"Heyworth","given":"Martin F.","non-dropping-particle":"","parse-names":false,"suffix":""}],"container-title":"Parasite","id":"ITEM-1","issued":{"date-parts":[["2016"]]},"title":"Giardia duodenalis genetic assemblages and hosts","type":"article-journal","volume":"23"},"uris":["http://www.mendeley.com/documents/?uuid=f3578bc4-be01-4594-8c03-44bce8d1bc1b"]},{"id":"ITEM-2","itemData":{"DOI":"10.1371/journal.pntd.0000558","PMID":"19956662","abstract":"Giardia duodenalis, originally regarded as a commensal organism, is the etiologic agent of giardiasis, a gastrointestinal disease of humans and animals. Giardiasis causes major public and veterinary health concerns worldwide. Transmission is either direct, through the faecal-oral route, or indirect, through ingestion of contaminated water or food. Genetic characterization of G. duodenalis isolates has revealed the existence of seven groups (assemblages A to G) which differ in their host distribution. Assemblages A and B are found in humans and in many other mammals, but the role of animals in the epidemiology of human infection is still unclear, despite the fact that the zoonotic potential of Giardia was recognised by the WHO some 30 years ago. Here, we performed an extensive genetic characterization of 978 human and 1440 animal isolates, which together comprise 3886 sequences from 4 genetic loci. The data were assembled into a molecular epidemiological database developed by a European network of public and veterinary health Institutions. Genotyping was performed at different levels of resolution (single and multiple loci on the same dataset). The zoonotic potential of both assemblages A and B is evident when studied at the level of assemblages, sub-assemblages, and even at each single locus. However, when genotypes are defined using a multi-locus sequence typing scheme, only 2 multi-locus genotypes (MLG) of assemblage A and none of assemblage B appear to have a zoonotic potential. Surprisingly, mixtures of genotypes in individual isolates were repeatedly observed. Possible explanations are the uptake of genetically different Giardia cysts by a host, or subsequent infection of an already infected host, likely without overt symptoms, with a different Giardia species, which may cause disease. Other explanations for mixed genotypes, particularly for assemblage B, are substantial allelic sequence heterogeneity and/or genetic recombination. Although the zoonotic potential of G. duodenalis is evident, evidence on the contribution and frequency is (still) lacking. This newly developed molecular database has the potential to tackle intricate epidemiological questions concerning protozoan diseases. © 2009 Sprong et al.","author":[{"dropping-particle":"","family":"Sprong","given":"Hein","non-dropping-particle":"","parse-names":false,"suffix":""},{"dropping-particle":"","family":"Cacciò","given":"Simone M.","non-dropping-particle":"","parse-names":false,"suffix":""},{"dropping-particle":"","family":"Giessen","given":"Joke W.B.","non-dropping-particle":"Van Der","parse-names":false,"suffix":""}],"container-title":"PLoS Neglected Tropical Diseases","id":"ITEM-2","issue":"12","issued":{"date-parts":[["2009"]]},"page":"1-12","title":"Identification of zoonotic genotypes of Giardia duodenalis","type":"article-journal","volume":"3"},"uris":["http://www.mendeley.com/documents/?uuid=ebea01e3-a8e8-4578-a03d-676488444ba4"]}],"mendeley":{"formattedCitation":"[19,20]","plainTextFormattedCitation":"[19,20]","previouslyFormattedCitation":"[19,20]"},"properties":{"noteIndex":0},"schema":"https://github.com/citation-style-language/schema/raw/master/csl-citation.json"}</w:instrText>
            </w:r>
            <w:r>
              <w:rPr>
                <w:bCs/>
                <w:color w:val="000000" w:themeColor="text1"/>
                <w:sz w:val="20"/>
                <w:szCs w:val="20"/>
              </w:rPr>
              <w:fldChar w:fldCharType="separate"/>
            </w:r>
            <w:r w:rsidR="002512CA" w:rsidRPr="002512CA">
              <w:rPr>
                <w:bCs/>
                <w:noProof/>
                <w:color w:val="000000" w:themeColor="text1"/>
                <w:sz w:val="20"/>
                <w:szCs w:val="20"/>
              </w:rPr>
              <w:t>[19,20]</w:t>
            </w:r>
            <w:r>
              <w:rPr>
                <w:bCs/>
                <w:color w:val="000000" w:themeColor="text1"/>
                <w:sz w:val="20"/>
                <w:szCs w:val="20"/>
              </w:rPr>
              <w:fldChar w:fldCharType="end"/>
            </w:r>
          </w:p>
        </w:tc>
      </w:tr>
      <w:tr w:rsidR="00311ACE" w:rsidRPr="00A05BFE" w14:paraId="17B18FA2" w14:textId="77777777" w:rsidTr="00492023">
        <w:trPr>
          <w:trHeight w:val="1078"/>
          <w:jc w:val="center"/>
        </w:trPr>
        <w:tc>
          <w:tcPr>
            <w:tcW w:w="1560" w:type="dxa"/>
            <w:vAlign w:val="center"/>
          </w:tcPr>
          <w:p w14:paraId="26FB545E" w14:textId="77777777" w:rsidR="00C06DDC" w:rsidRPr="00A05BFE" w:rsidRDefault="00C06DDC" w:rsidP="00C06DDC">
            <w:pPr>
              <w:autoSpaceDE w:val="0"/>
              <w:autoSpaceDN w:val="0"/>
              <w:adjustRightInd w:val="0"/>
              <w:snapToGrid w:val="0"/>
              <w:spacing w:line="276" w:lineRule="auto"/>
              <w:jc w:val="center"/>
              <w:rPr>
                <w:b/>
                <w:bCs/>
                <w:i/>
                <w:iCs/>
                <w:sz w:val="20"/>
                <w:szCs w:val="20"/>
              </w:rPr>
            </w:pPr>
            <w:r w:rsidRPr="00A05BFE">
              <w:rPr>
                <w:b/>
                <w:bCs/>
                <w:i/>
                <w:iCs/>
                <w:sz w:val="20"/>
                <w:szCs w:val="20"/>
              </w:rPr>
              <w:t>G. duodenalis</w:t>
            </w:r>
          </w:p>
          <w:p w14:paraId="1895B80A" w14:textId="1CF4E48E" w:rsidR="00311ACE" w:rsidRPr="00A05BFE" w:rsidRDefault="00C06DDC" w:rsidP="00C06DDC">
            <w:pPr>
              <w:autoSpaceDE w:val="0"/>
              <w:autoSpaceDN w:val="0"/>
              <w:adjustRightInd w:val="0"/>
              <w:snapToGrid w:val="0"/>
              <w:spacing w:line="276" w:lineRule="auto"/>
              <w:jc w:val="center"/>
              <w:rPr>
                <w:b/>
                <w:bCs/>
                <w:i/>
                <w:iCs/>
                <w:sz w:val="20"/>
                <w:szCs w:val="20"/>
              </w:rPr>
            </w:pPr>
            <w:r w:rsidRPr="00A05BFE">
              <w:rPr>
                <w:b/>
                <w:bCs/>
                <w:color w:val="000000" w:themeColor="text1"/>
                <w:sz w:val="20"/>
                <w:szCs w:val="20"/>
              </w:rPr>
              <w:t xml:space="preserve">(assemblage </w:t>
            </w:r>
            <w:r w:rsidR="0020422D">
              <w:rPr>
                <w:b/>
                <w:bCs/>
                <w:color w:val="000000" w:themeColor="text1"/>
                <w:sz w:val="20"/>
                <w:szCs w:val="20"/>
              </w:rPr>
              <w:t>D</w:t>
            </w:r>
            <w:r w:rsidRPr="00A05BFE">
              <w:rPr>
                <w:b/>
                <w:bCs/>
                <w:color w:val="000000" w:themeColor="text1"/>
                <w:sz w:val="20"/>
                <w:szCs w:val="20"/>
              </w:rPr>
              <w:t>)</w:t>
            </w:r>
          </w:p>
        </w:tc>
        <w:tc>
          <w:tcPr>
            <w:tcW w:w="1134" w:type="dxa"/>
            <w:vAlign w:val="center"/>
          </w:tcPr>
          <w:p w14:paraId="51FB7CF3" w14:textId="77777777" w:rsidR="00355A8C" w:rsidRDefault="00355A8C" w:rsidP="00355A8C">
            <w:pPr>
              <w:autoSpaceDE w:val="0"/>
              <w:autoSpaceDN w:val="0"/>
              <w:adjustRightInd w:val="0"/>
              <w:snapToGrid w:val="0"/>
              <w:spacing w:line="276" w:lineRule="auto"/>
              <w:jc w:val="center"/>
              <w:rPr>
                <w:bCs/>
                <w:color w:val="000000" w:themeColor="text1"/>
                <w:sz w:val="20"/>
              </w:rPr>
            </w:pPr>
            <w:r>
              <w:rPr>
                <w:bCs/>
                <w:color w:val="000000" w:themeColor="text1"/>
                <w:sz w:val="20"/>
              </w:rPr>
              <w:t>-*</w:t>
            </w:r>
          </w:p>
          <w:p w14:paraId="42C217D9" w14:textId="77777777" w:rsidR="00311ACE" w:rsidRPr="00A05BFE" w:rsidRDefault="00311ACE" w:rsidP="00660637">
            <w:pPr>
              <w:autoSpaceDE w:val="0"/>
              <w:autoSpaceDN w:val="0"/>
              <w:adjustRightInd w:val="0"/>
              <w:snapToGrid w:val="0"/>
              <w:spacing w:line="276" w:lineRule="auto"/>
              <w:jc w:val="center"/>
              <w:rPr>
                <w:bCs/>
                <w:color w:val="000000" w:themeColor="text1"/>
                <w:sz w:val="20"/>
              </w:rPr>
            </w:pPr>
          </w:p>
        </w:tc>
        <w:tc>
          <w:tcPr>
            <w:tcW w:w="1267" w:type="dxa"/>
            <w:vAlign w:val="center"/>
          </w:tcPr>
          <w:p w14:paraId="2B19ACDC" w14:textId="1E15E668" w:rsidR="00311ACE" w:rsidRPr="00A05BFE" w:rsidRDefault="00A0798A"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13094346" w14:textId="559604B1" w:rsidR="00311ACE" w:rsidRPr="00A05BFE" w:rsidRDefault="00694847"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6566959E" w14:textId="45E9D27C" w:rsidR="00311ACE" w:rsidRPr="00A05BFE" w:rsidRDefault="001A4158"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2B86A94A" w14:textId="5909A5BF" w:rsidR="00311ACE" w:rsidRPr="00A05BFE" w:rsidRDefault="00E61290"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68193C05" w14:textId="1D1D7A83" w:rsidR="00311ACE" w:rsidRPr="00A05BFE" w:rsidRDefault="00DB72DF"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2B20783D" w14:textId="2B890BC1" w:rsidR="00311ACE" w:rsidRPr="00A05BFE" w:rsidRDefault="00CB6564" w:rsidP="00660637">
            <w:pPr>
              <w:autoSpaceDE w:val="0"/>
              <w:autoSpaceDN w:val="0"/>
              <w:adjustRightInd w:val="0"/>
              <w:snapToGrid w:val="0"/>
              <w:spacing w:line="276" w:lineRule="auto"/>
              <w:jc w:val="center"/>
              <w:rPr>
                <w:bCs/>
                <w:color w:val="000000" w:themeColor="text1"/>
                <w:sz w:val="20"/>
                <w:szCs w:val="20"/>
              </w:rPr>
            </w:pPr>
            <w:r>
              <w:rPr>
                <w:bCs/>
                <w:color w:val="000000" w:themeColor="text1"/>
                <w:sz w:val="20"/>
                <w:szCs w:val="20"/>
              </w:rPr>
              <w:fldChar w:fldCharType="begin" w:fldLock="1"/>
            </w:r>
            <w:r w:rsidR="002A145D">
              <w:rPr>
                <w:bCs/>
                <w:color w:val="000000" w:themeColor="text1"/>
                <w:sz w:val="20"/>
                <w:szCs w:val="20"/>
              </w:rPr>
              <w:instrText>ADDIN CSL_CITATION {"citationItems":[{"id":"ITEM-1","itemData":{"DOI":"10.1051/parasite/2016013","ISSN":"17761042","abstract":"Techniques for sub-classifying morphologically identical Giardia duodenalis trophozoites have included comparisons of the electrophoretic mobility of enzymes and of chromosomes, and sequencing of genes encoding β-giardin, triose phosphate isomerase, the small subunit of ribosomal RNA and glutamate dehydrogenase. To date, G. duodenalis organisms have been sub-classified into eight genetic assemblages (designated A-H). Genotyping of G. duodenalis organisms isolated from various hosts has shown that assemblages A and B infect the largest range of host species, and appear to be the main (or possibly only) G. duodenalis assemblages that undeniably infect human subjects. In at least some cases of assemblage A or B infection in wild mammals, there is suggestive evidence that the infection had resulted from environmental contamination by G. duodenalis cysts of human origin.","author":[{"dropping-particle":"","family":"Heyworth","given":"Martin F.","non-dropping-particle":"","parse-names":false,"suffix":""}],"container-title":"Parasite","id":"ITEM-1","issued":{"date-parts":[["2016"]]},"title":"Giardia duodenalis genetic assemblages and hosts","type":"article-journal","volume":"23"},"uris":["http://www.mendeley.com/documents/?uuid=f3578bc4-be01-4594-8c03-44bce8d1bc1b"]},{"id":"ITEM-2","itemData":{"DOI":"10.1371/journal.pntd.0000558","PMID":"19956662","abstract":"Giardia duodenalis, originally regarded as a commensal organism, is the etiologic agent of giardiasis, a gastrointestinal disease of humans and animals. Giardiasis causes major public and veterinary health concerns worldwide. Transmission is either direct, through the faecal-oral route, or indirect, through ingestion of contaminated water or food. Genetic characterization of G. duodenalis isolates has revealed the existence of seven groups (assemblages A to G) which differ in their host distribution. Assemblages A and B are found in humans and in many other mammals, but the role of animals in the epidemiology of human infection is still unclear, despite the fact that the zoonotic potential of Giardia was recognised by the WHO some 30 years ago. Here, we performed an extensive genetic characterization of 978 human and 1440 animal isolates, which together comprise 3886 sequences from 4 genetic loci. The data were assembled into a molecular epidemiological database developed by a European network of public and veterinary health Institutions. Genotyping was performed at different levels of resolution (single and multiple loci on the same dataset). The zoonotic potential of both assemblages A and B is evident when studied at the level of assemblages, sub-assemblages, and even at each single locus. However, when genotypes are defined using a multi-locus sequence typing scheme, only 2 multi-locus genotypes (MLG) of assemblage A and none of assemblage B appear to have a zoonotic potential. Surprisingly, mixtures of genotypes in individual isolates were repeatedly observed. Possible explanations are the uptake of genetically different Giardia cysts by a host, or subsequent infection of an already infected host, likely without overt symptoms, with a different Giardia species, which may cause disease. Other explanations for mixed genotypes, particularly for assemblage B, are substantial allelic sequence heterogeneity and/or genetic recombination. Although the zoonotic potential of G. duodenalis is evident, evidence on the contribution and frequency is (still) lacking. This newly developed molecular database has the potential to tackle intricate epidemiological questions concerning protozoan diseases. © 2009 Sprong et al.","author":[{"dropping-particle":"","family":"Sprong","given":"Hein","non-dropping-particle":"","parse-names":false,"suffix":""},{"dropping-particle":"","family":"Cacciò","given":"Simone M.","non-dropping-particle":"","parse-names":false,"suffix":""},{"dropping-particle":"","family":"Giessen","given":"Joke W.B.","non-dropping-particle":"Van Der","parse-names":false,"suffix":""}],"container-title":"PLoS Neglected Tropical Diseases","id":"ITEM-2","issue":"12","issued":{"date-parts":[["2009"]]},"page":"1-12","title":"Identification of zoonotic genotypes of Giardia duodenalis","type":"article-journal","volume":"3"},"uris":["http://www.mendeley.com/documents/?uuid=ebea01e3-a8e8-4578-a03d-676488444ba4"]}],"mendeley":{"formattedCitation":"[19,20]","plainTextFormattedCitation":"[19,20]","previouslyFormattedCitation":"[19,20]"},"properties":{"noteIndex":0},"schema":"https://github.com/citation-style-language/schema/raw/master/csl-citation.json"}</w:instrText>
            </w:r>
            <w:r>
              <w:rPr>
                <w:bCs/>
                <w:color w:val="000000" w:themeColor="text1"/>
                <w:sz w:val="20"/>
                <w:szCs w:val="20"/>
              </w:rPr>
              <w:fldChar w:fldCharType="separate"/>
            </w:r>
            <w:r w:rsidR="002512CA" w:rsidRPr="002512CA">
              <w:rPr>
                <w:bCs/>
                <w:noProof/>
                <w:color w:val="000000" w:themeColor="text1"/>
                <w:sz w:val="20"/>
                <w:szCs w:val="20"/>
              </w:rPr>
              <w:t>[19,20]</w:t>
            </w:r>
            <w:r>
              <w:rPr>
                <w:bCs/>
                <w:color w:val="000000" w:themeColor="text1"/>
                <w:sz w:val="20"/>
                <w:szCs w:val="20"/>
              </w:rPr>
              <w:fldChar w:fldCharType="end"/>
            </w:r>
          </w:p>
        </w:tc>
      </w:tr>
      <w:tr w:rsidR="00C06DDC" w:rsidRPr="00A05BFE" w14:paraId="32D2B580" w14:textId="77777777" w:rsidTr="00492023">
        <w:trPr>
          <w:trHeight w:val="1078"/>
          <w:jc w:val="center"/>
        </w:trPr>
        <w:tc>
          <w:tcPr>
            <w:tcW w:w="1560" w:type="dxa"/>
            <w:vAlign w:val="center"/>
          </w:tcPr>
          <w:p w14:paraId="14CBEEAC" w14:textId="77777777" w:rsidR="00C06DDC" w:rsidRPr="00A05BFE" w:rsidRDefault="00C06DDC" w:rsidP="00C06DDC">
            <w:pPr>
              <w:autoSpaceDE w:val="0"/>
              <w:autoSpaceDN w:val="0"/>
              <w:adjustRightInd w:val="0"/>
              <w:snapToGrid w:val="0"/>
              <w:spacing w:line="276" w:lineRule="auto"/>
              <w:jc w:val="center"/>
              <w:rPr>
                <w:b/>
                <w:bCs/>
                <w:i/>
                <w:iCs/>
                <w:sz w:val="20"/>
                <w:szCs w:val="20"/>
              </w:rPr>
            </w:pPr>
            <w:r w:rsidRPr="00A05BFE">
              <w:rPr>
                <w:b/>
                <w:bCs/>
                <w:i/>
                <w:iCs/>
                <w:sz w:val="20"/>
                <w:szCs w:val="20"/>
              </w:rPr>
              <w:t>G. duodenalis</w:t>
            </w:r>
          </w:p>
          <w:p w14:paraId="03C083DF" w14:textId="2877D123" w:rsidR="00C06DDC" w:rsidRPr="00A05BFE" w:rsidRDefault="00C06DDC" w:rsidP="00C06DDC">
            <w:pPr>
              <w:autoSpaceDE w:val="0"/>
              <w:autoSpaceDN w:val="0"/>
              <w:adjustRightInd w:val="0"/>
              <w:snapToGrid w:val="0"/>
              <w:spacing w:line="276" w:lineRule="auto"/>
              <w:jc w:val="center"/>
              <w:rPr>
                <w:b/>
                <w:bCs/>
                <w:i/>
                <w:iCs/>
                <w:sz w:val="20"/>
                <w:szCs w:val="20"/>
              </w:rPr>
            </w:pPr>
            <w:r w:rsidRPr="00A05BFE">
              <w:rPr>
                <w:b/>
                <w:bCs/>
                <w:color w:val="000000" w:themeColor="text1"/>
                <w:sz w:val="20"/>
                <w:szCs w:val="20"/>
              </w:rPr>
              <w:t xml:space="preserve">(assemblage </w:t>
            </w:r>
            <w:r w:rsidR="0020422D">
              <w:rPr>
                <w:b/>
                <w:bCs/>
                <w:color w:val="000000" w:themeColor="text1"/>
                <w:sz w:val="20"/>
                <w:szCs w:val="20"/>
              </w:rPr>
              <w:t>E</w:t>
            </w:r>
            <w:r w:rsidRPr="00A05BFE">
              <w:rPr>
                <w:b/>
                <w:bCs/>
                <w:color w:val="000000" w:themeColor="text1"/>
                <w:sz w:val="20"/>
                <w:szCs w:val="20"/>
              </w:rPr>
              <w:t>)</w:t>
            </w:r>
          </w:p>
        </w:tc>
        <w:tc>
          <w:tcPr>
            <w:tcW w:w="1134" w:type="dxa"/>
            <w:vAlign w:val="center"/>
          </w:tcPr>
          <w:p w14:paraId="306A23C5" w14:textId="77777777" w:rsidR="00355A8C" w:rsidRDefault="00355A8C" w:rsidP="00355A8C">
            <w:pPr>
              <w:autoSpaceDE w:val="0"/>
              <w:autoSpaceDN w:val="0"/>
              <w:adjustRightInd w:val="0"/>
              <w:snapToGrid w:val="0"/>
              <w:spacing w:line="276" w:lineRule="auto"/>
              <w:jc w:val="center"/>
              <w:rPr>
                <w:bCs/>
                <w:color w:val="000000" w:themeColor="text1"/>
                <w:sz w:val="20"/>
              </w:rPr>
            </w:pPr>
            <w:r>
              <w:rPr>
                <w:bCs/>
                <w:color w:val="000000" w:themeColor="text1"/>
                <w:sz w:val="20"/>
              </w:rPr>
              <w:t>-*</w:t>
            </w:r>
          </w:p>
          <w:p w14:paraId="0B8FA515" w14:textId="77777777" w:rsidR="00C06DDC" w:rsidRPr="00A05BFE" w:rsidRDefault="00C06DDC" w:rsidP="00660637">
            <w:pPr>
              <w:autoSpaceDE w:val="0"/>
              <w:autoSpaceDN w:val="0"/>
              <w:adjustRightInd w:val="0"/>
              <w:snapToGrid w:val="0"/>
              <w:spacing w:line="276" w:lineRule="auto"/>
              <w:jc w:val="center"/>
              <w:rPr>
                <w:bCs/>
                <w:color w:val="000000" w:themeColor="text1"/>
                <w:sz w:val="20"/>
              </w:rPr>
            </w:pPr>
          </w:p>
        </w:tc>
        <w:tc>
          <w:tcPr>
            <w:tcW w:w="1267" w:type="dxa"/>
            <w:vAlign w:val="center"/>
          </w:tcPr>
          <w:p w14:paraId="20BCCA68" w14:textId="4934E56B" w:rsidR="00C06DDC" w:rsidRPr="00A05BFE" w:rsidRDefault="00A0798A"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05ADBEF8" w14:textId="773EEED0" w:rsidR="00C06DDC" w:rsidRPr="00A05BFE" w:rsidRDefault="00694847"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7583D2A2" w14:textId="363CACC0" w:rsidR="00C06DDC" w:rsidRPr="00A05BFE" w:rsidRDefault="001A4158"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5D3486F0" w14:textId="62287BC2" w:rsidR="00C06DDC" w:rsidRPr="00A05BFE" w:rsidRDefault="00E61290"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43298938" w14:textId="0EF1AF16" w:rsidR="00C06DDC" w:rsidRPr="00A05BFE" w:rsidRDefault="00DB72DF"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2B81EFA1" w14:textId="6B18BE2E" w:rsidR="00C06DDC" w:rsidRPr="00A05BFE" w:rsidRDefault="00CB6564" w:rsidP="00660637">
            <w:pPr>
              <w:autoSpaceDE w:val="0"/>
              <w:autoSpaceDN w:val="0"/>
              <w:adjustRightInd w:val="0"/>
              <w:snapToGrid w:val="0"/>
              <w:spacing w:line="276" w:lineRule="auto"/>
              <w:jc w:val="center"/>
              <w:rPr>
                <w:bCs/>
                <w:color w:val="000000" w:themeColor="text1"/>
                <w:sz w:val="20"/>
                <w:szCs w:val="20"/>
              </w:rPr>
            </w:pPr>
            <w:r>
              <w:rPr>
                <w:bCs/>
                <w:color w:val="000000" w:themeColor="text1"/>
                <w:sz w:val="20"/>
                <w:szCs w:val="20"/>
              </w:rPr>
              <w:fldChar w:fldCharType="begin" w:fldLock="1"/>
            </w:r>
            <w:r w:rsidR="002A145D">
              <w:rPr>
                <w:bCs/>
                <w:color w:val="000000" w:themeColor="text1"/>
                <w:sz w:val="20"/>
                <w:szCs w:val="20"/>
              </w:rPr>
              <w:instrText>ADDIN CSL_CITATION {"citationItems":[{"id":"ITEM-1","itemData":{"DOI":"10.1051/parasite/2016013","ISSN":"17761042","abstract":"Techniques for sub-classifying morphologically identical Giardia duodenalis trophozoites have included comparisons of the electrophoretic mobility of enzymes and of chromosomes, and sequencing of genes encoding β-giardin, triose phosphate isomerase, the small subunit of ribosomal RNA and glutamate dehydrogenase. To date, G. duodenalis organisms have been sub-classified into eight genetic assemblages (designated A-H). Genotyping of G. duodenalis organisms isolated from various hosts has shown that assemblages A and B infect the largest range of host species, and appear to be the main (or possibly only) G. duodenalis assemblages that undeniably infect human subjects. In at least some cases of assemblage A or B infection in wild mammals, there is suggestive evidence that the infection had resulted from environmental contamination by G. duodenalis cysts of human origin.","author":[{"dropping-particle":"","family":"Heyworth","given":"Martin F.","non-dropping-particle":"","parse-names":false,"suffix":""}],"container-title":"Parasite","id":"ITEM-1","issued":{"date-parts":[["2016"]]},"title":"Giardia duodenalis genetic assemblages and hosts","type":"article-journal","volume":"23"},"uris":["http://www.mendeley.com/documents/?uuid=f3578bc4-be01-4594-8c03-44bce8d1bc1b"]},{"id":"ITEM-2","itemData":{"DOI":"10.1371/journal.pntd.0000558","PMID":"19956662","abstract":"Giardia duodenalis, originally regarded as a commensal organism, is the etiologic agent of giardiasis, a gastrointestinal disease of humans and animals. Giardiasis causes major public and veterinary health concerns worldwide. Transmission is either direct, through the faecal-oral route, or indirect, through ingestion of contaminated water or food. Genetic characterization of G. duodenalis isolates has revealed the existence of seven groups (assemblages A to G) which differ in their host distribution. Assemblages A and B are found in humans and in many other mammals, but the role of animals in the epidemiology of human infection is still unclear, despite the fact that the zoonotic potential of Giardia was recognised by the WHO some 30 years ago. Here, we performed an extensive genetic characterization of 978 human and 1440 animal isolates, which together comprise 3886 sequences from 4 genetic loci. The data were assembled into a molecular epidemiological database developed by a European network of public and veterinary health Institutions. Genotyping was performed at different levels of resolution (single and multiple loci on the same dataset). The zoonotic potential of both assemblages A and B is evident when studied at the level of assemblages, sub-assemblages, and even at each single locus. However, when genotypes are defined using a multi-locus sequence typing scheme, only 2 multi-locus genotypes (MLG) of assemblage A and none of assemblage B appear to have a zoonotic potential. Surprisingly, mixtures of genotypes in individual isolates were repeatedly observed. Possible explanations are the uptake of genetically different Giardia cysts by a host, or subsequent infection of an already infected host, likely without overt symptoms, with a different Giardia species, which may cause disease. Other explanations for mixed genotypes, particularly for assemblage B, are substantial allelic sequence heterogeneity and/or genetic recombination. Although the zoonotic potential of G. duodenalis is evident, evidence on the contribution and frequency is (still) lacking. This newly developed molecular database has the potential to tackle intricate epidemiological questions concerning protozoan diseases. © 2009 Sprong et al.","author":[{"dropping-particle":"","family":"Sprong","given":"Hein","non-dropping-particle":"","parse-names":false,"suffix":""},{"dropping-particle":"","family":"Cacciò","given":"Simone M.","non-dropping-particle":"","parse-names":false,"suffix":""},{"dropping-particle":"","family":"Giessen","given":"Joke W.B.","non-dropping-particle":"Van Der","parse-names":false,"suffix":""}],"container-title":"PLoS Neglected Tropical Diseases","id":"ITEM-2","issue":"12","issued":{"date-parts":[["2009"]]},"page":"1-12","title":"Identification of zoonotic genotypes of Giardia duodenalis","type":"article-journal","volume":"3"},"uris":["http://www.mendeley.com/documents/?uuid=ebea01e3-a8e8-4578-a03d-676488444ba4"]}],"mendeley":{"formattedCitation":"[19,20]","plainTextFormattedCitation":"[19,20]","previouslyFormattedCitation":"[19,20]"},"properties":{"noteIndex":0},"schema":"https://github.com/citation-style-language/schema/raw/master/csl-citation.json"}</w:instrText>
            </w:r>
            <w:r>
              <w:rPr>
                <w:bCs/>
                <w:color w:val="000000" w:themeColor="text1"/>
                <w:sz w:val="20"/>
                <w:szCs w:val="20"/>
              </w:rPr>
              <w:fldChar w:fldCharType="separate"/>
            </w:r>
            <w:r w:rsidR="002512CA" w:rsidRPr="002512CA">
              <w:rPr>
                <w:bCs/>
                <w:noProof/>
                <w:color w:val="000000" w:themeColor="text1"/>
                <w:sz w:val="20"/>
                <w:szCs w:val="20"/>
              </w:rPr>
              <w:t>[19,20]</w:t>
            </w:r>
            <w:r>
              <w:rPr>
                <w:bCs/>
                <w:color w:val="000000" w:themeColor="text1"/>
                <w:sz w:val="20"/>
                <w:szCs w:val="20"/>
              </w:rPr>
              <w:fldChar w:fldCharType="end"/>
            </w:r>
          </w:p>
        </w:tc>
      </w:tr>
      <w:tr w:rsidR="00C06DDC" w:rsidRPr="00A05BFE" w14:paraId="7709B004" w14:textId="77777777" w:rsidTr="00492023">
        <w:trPr>
          <w:trHeight w:val="1078"/>
          <w:jc w:val="center"/>
        </w:trPr>
        <w:tc>
          <w:tcPr>
            <w:tcW w:w="1560" w:type="dxa"/>
            <w:vAlign w:val="center"/>
          </w:tcPr>
          <w:p w14:paraId="4F3D238D" w14:textId="77777777" w:rsidR="00C06DDC" w:rsidRPr="00A05BFE" w:rsidRDefault="00C06DDC" w:rsidP="00C06DDC">
            <w:pPr>
              <w:autoSpaceDE w:val="0"/>
              <w:autoSpaceDN w:val="0"/>
              <w:adjustRightInd w:val="0"/>
              <w:snapToGrid w:val="0"/>
              <w:spacing w:line="276" w:lineRule="auto"/>
              <w:jc w:val="center"/>
              <w:rPr>
                <w:b/>
                <w:bCs/>
                <w:i/>
                <w:iCs/>
                <w:sz w:val="20"/>
                <w:szCs w:val="20"/>
              </w:rPr>
            </w:pPr>
            <w:r w:rsidRPr="00A05BFE">
              <w:rPr>
                <w:b/>
                <w:bCs/>
                <w:i/>
                <w:iCs/>
                <w:sz w:val="20"/>
                <w:szCs w:val="20"/>
              </w:rPr>
              <w:t>G. duodenalis</w:t>
            </w:r>
          </w:p>
          <w:p w14:paraId="0C07ACF8" w14:textId="4A48EE65" w:rsidR="00C06DDC" w:rsidRPr="00A05BFE" w:rsidRDefault="00C06DDC" w:rsidP="00C06DDC">
            <w:pPr>
              <w:autoSpaceDE w:val="0"/>
              <w:autoSpaceDN w:val="0"/>
              <w:adjustRightInd w:val="0"/>
              <w:snapToGrid w:val="0"/>
              <w:spacing w:line="276" w:lineRule="auto"/>
              <w:jc w:val="center"/>
              <w:rPr>
                <w:b/>
                <w:bCs/>
                <w:i/>
                <w:iCs/>
                <w:sz w:val="20"/>
                <w:szCs w:val="20"/>
              </w:rPr>
            </w:pPr>
            <w:r w:rsidRPr="00A05BFE">
              <w:rPr>
                <w:b/>
                <w:bCs/>
                <w:color w:val="000000" w:themeColor="text1"/>
                <w:sz w:val="20"/>
                <w:szCs w:val="20"/>
              </w:rPr>
              <w:t xml:space="preserve">(assemblage </w:t>
            </w:r>
            <w:r w:rsidR="0020422D">
              <w:rPr>
                <w:b/>
                <w:bCs/>
                <w:color w:val="000000" w:themeColor="text1"/>
                <w:sz w:val="20"/>
                <w:szCs w:val="20"/>
              </w:rPr>
              <w:t>F</w:t>
            </w:r>
            <w:r w:rsidRPr="00A05BFE">
              <w:rPr>
                <w:b/>
                <w:bCs/>
                <w:color w:val="000000" w:themeColor="text1"/>
                <w:sz w:val="20"/>
                <w:szCs w:val="20"/>
              </w:rPr>
              <w:t>)</w:t>
            </w:r>
          </w:p>
        </w:tc>
        <w:tc>
          <w:tcPr>
            <w:tcW w:w="1134" w:type="dxa"/>
            <w:vAlign w:val="center"/>
          </w:tcPr>
          <w:p w14:paraId="63F54644" w14:textId="77777777" w:rsidR="00355A8C" w:rsidRDefault="00355A8C" w:rsidP="00355A8C">
            <w:pPr>
              <w:autoSpaceDE w:val="0"/>
              <w:autoSpaceDN w:val="0"/>
              <w:adjustRightInd w:val="0"/>
              <w:snapToGrid w:val="0"/>
              <w:spacing w:line="276" w:lineRule="auto"/>
              <w:jc w:val="center"/>
              <w:rPr>
                <w:bCs/>
                <w:color w:val="000000" w:themeColor="text1"/>
                <w:sz w:val="20"/>
              </w:rPr>
            </w:pPr>
            <w:r>
              <w:rPr>
                <w:bCs/>
                <w:color w:val="000000" w:themeColor="text1"/>
                <w:sz w:val="20"/>
              </w:rPr>
              <w:t>-*</w:t>
            </w:r>
          </w:p>
          <w:p w14:paraId="1D83530E" w14:textId="77777777" w:rsidR="00C06DDC" w:rsidRPr="00A05BFE" w:rsidRDefault="00C06DDC" w:rsidP="00660637">
            <w:pPr>
              <w:autoSpaceDE w:val="0"/>
              <w:autoSpaceDN w:val="0"/>
              <w:adjustRightInd w:val="0"/>
              <w:snapToGrid w:val="0"/>
              <w:spacing w:line="276" w:lineRule="auto"/>
              <w:jc w:val="center"/>
              <w:rPr>
                <w:bCs/>
                <w:color w:val="000000" w:themeColor="text1"/>
                <w:sz w:val="20"/>
              </w:rPr>
            </w:pPr>
          </w:p>
        </w:tc>
        <w:tc>
          <w:tcPr>
            <w:tcW w:w="1267" w:type="dxa"/>
            <w:vAlign w:val="center"/>
          </w:tcPr>
          <w:p w14:paraId="5215F2F6" w14:textId="0D521836" w:rsidR="00C06DDC" w:rsidRPr="00A05BFE" w:rsidRDefault="00A0798A"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2F16AE05" w14:textId="445C8CB6" w:rsidR="00C06DDC" w:rsidRPr="00A05BFE" w:rsidRDefault="00694847"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141EC9D0" w14:textId="50BC0316" w:rsidR="00C06DDC" w:rsidRPr="00A05BFE" w:rsidRDefault="001A4158"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7C30FBCA" w14:textId="4620A67B" w:rsidR="00C06DDC" w:rsidRPr="00A05BFE" w:rsidRDefault="00E61290"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7E385C4E" w14:textId="68D69B02" w:rsidR="00C06DDC" w:rsidRPr="00A05BFE" w:rsidRDefault="00DB72DF"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533A1A24" w14:textId="5299EFBC" w:rsidR="00C06DDC" w:rsidRPr="00A05BFE" w:rsidRDefault="00CB6564" w:rsidP="00660637">
            <w:pPr>
              <w:autoSpaceDE w:val="0"/>
              <w:autoSpaceDN w:val="0"/>
              <w:adjustRightInd w:val="0"/>
              <w:snapToGrid w:val="0"/>
              <w:spacing w:line="276" w:lineRule="auto"/>
              <w:jc w:val="center"/>
              <w:rPr>
                <w:bCs/>
                <w:color w:val="000000" w:themeColor="text1"/>
                <w:sz w:val="20"/>
                <w:szCs w:val="20"/>
              </w:rPr>
            </w:pPr>
            <w:r>
              <w:rPr>
                <w:bCs/>
                <w:color w:val="000000" w:themeColor="text1"/>
                <w:sz w:val="20"/>
                <w:szCs w:val="20"/>
              </w:rPr>
              <w:fldChar w:fldCharType="begin" w:fldLock="1"/>
            </w:r>
            <w:r w:rsidR="002A145D">
              <w:rPr>
                <w:bCs/>
                <w:color w:val="000000" w:themeColor="text1"/>
                <w:sz w:val="20"/>
                <w:szCs w:val="20"/>
              </w:rPr>
              <w:instrText>ADDIN CSL_CITATION {"citationItems":[{"id":"ITEM-1","itemData":{"DOI":"10.1051/parasite/2016013","ISSN":"17761042","abstract":"Techniques for sub-classifying morphologically identical Giardia duodenalis trophozoites have included comparisons of the electrophoretic mobility of enzymes and of chromosomes, and sequencing of genes encoding β-giardin, triose phosphate isomerase, the small subunit of ribosomal RNA and glutamate dehydrogenase. To date, G. duodenalis organisms have been sub-classified into eight genetic assemblages (designated A-H). Genotyping of G. duodenalis organisms isolated from various hosts has shown that assemblages A and B infect the largest range of host species, and appear to be the main (or possibly only) G. duodenalis assemblages that undeniably infect human subjects. In at least some cases of assemblage A or B infection in wild mammals, there is suggestive evidence that the infection had resulted from environmental contamination by G. duodenalis cysts of human origin.","author":[{"dropping-particle":"","family":"Heyworth","given":"Martin F.","non-dropping-particle":"","parse-names":false,"suffix":""}],"container-title":"Parasite","id":"ITEM-1","issued":{"date-parts":[["2016"]]},"title":"Giardia duodenalis genetic assemblages and hosts","type":"article-journal","volume":"23"},"uris":["http://www.mendeley.com/documents/?uuid=f3578bc4-be01-4594-8c03-44bce8d1bc1b"]},{"id":"ITEM-2","itemData":{"DOI":"10.1371/journal.pntd.0000558","PMID":"19956662","abstract":"Giardia duodenalis, originally regarded as a commensal organism, is the etiologic agent of giardiasis, a gastrointestinal disease of humans and animals. Giardiasis causes major public and veterinary health concerns worldwide. Transmission is either direct, through the faecal-oral route, or indirect, through ingestion of contaminated water or food. Genetic characterization of G. duodenalis isolates has revealed the existence of seven groups (assemblages A to G) which differ in their host distribution. Assemblages A and B are found in humans and in many other mammals, but the role of animals in the epidemiology of human infection is still unclear, despite the fact that the zoonotic potential of Giardia was recognised by the WHO some 30 years ago. Here, we performed an extensive genetic characterization of 978 human and 1440 animal isolates, which together comprise 3886 sequences from 4 genetic loci. The data were assembled into a molecular epidemiological database developed by a European network of public and veterinary health Institutions. Genotyping was performed at different levels of resolution (single and multiple loci on the same dataset). The zoonotic potential of both assemblages A and B is evident when studied at the level of assemblages, sub-assemblages, and even at each single locus. However, when genotypes are defined using a multi-locus sequence typing scheme, only 2 multi-locus genotypes (MLG) of assemblage A and none of assemblage B appear to have a zoonotic potential. Surprisingly, mixtures of genotypes in individual isolates were repeatedly observed. Possible explanations are the uptake of genetically different Giardia cysts by a host, or subsequent infection of an already infected host, likely without overt symptoms, with a different Giardia species, which may cause disease. Other explanations for mixed genotypes, particularly for assemblage B, are substantial allelic sequence heterogeneity and/or genetic recombination. Although the zoonotic potential of G. duodenalis is evident, evidence on the contribution and frequency is (still) lacking. This newly developed molecular database has the potential to tackle intricate epidemiological questions concerning protozoan diseases. © 2009 Sprong et al.","author":[{"dropping-particle":"","family":"Sprong","given":"Hein","non-dropping-particle":"","parse-names":false,"suffix":""},{"dropping-particle":"","family":"Cacciò","given":"Simone M.","non-dropping-particle":"","parse-names":false,"suffix":""},{"dropping-particle":"","family":"Giessen","given":"Joke W.B.","non-dropping-particle":"Van Der","parse-names":false,"suffix":""}],"container-title":"PLoS Neglected Tropical Diseases","id":"ITEM-2","issue":"12","issued":{"date-parts":[["2009"]]},"page":"1-12","title":"Identification of zoonotic genotypes of Giardia duodenalis","type":"article-journal","volume":"3"},"uris":["http://www.mendeley.com/documents/?uuid=ebea01e3-a8e8-4578-a03d-676488444ba4"]}],"mendeley":{"formattedCitation":"[19,20]","plainTextFormattedCitation":"[19,20]","previouslyFormattedCitation":"[19,20]"},"properties":{"noteIndex":0},"schema":"https://github.com/citation-style-language/schema/raw/master/csl-citation.json"}</w:instrText>
            </w:r>
            <w:r>
              <w:rPr>
                <w:bCs/>
                <w:color w:val="000000" w:themeColor="text1"/>
                <w:sz w:val="20"/>
                <w:szCs w:val="20"/>
              </w:rPr>
              <w:fldChar w:fldCharType="separate"/>
            </w:r>
            <w:r w:rsidR="002512CA" w:rsidRPr="002512CA">
              <w:rPr>
                <w:bCs/>
                <w:noProof/>
                <w:color w:val="000000" w:themeColor="text1"/>
                <w:sz w:val="20"/>
                <w:szCs w:val="20"/>
              </w:rPr>
              <w:t>[19,20]</w:t>
            </w:r>
            <w:r>
              <w:rPr>
                <w:bCs/>
                <w:color w:val="000000" w:themeColor="text1"/>
                <w:sz w:val="20"/>
                <w:szCs w:val="20"/>
              </w:rPr>
              <w:fldChar w:fldCharType="end"/>
            </w:r>
          </w:p>
        </w:tc>
      </w:tr>
      <w:tr w:rsidR="0080323E" w:rsidRPr="00A05BFE" w14:paraId="383D1FA4" w14:textId="77777777" w:rsidTr="00492023">
        <w:trPr>
          <w:trHeight w:val="1078"/>
          <w:jc w:val="center"/>
        </w:trPr>
        <w:tc>
          <w:tcPr>
            <w:tcW w:w="1560" w:type="dxa"/>
            <w:vAlign w:val="center"/>
          </w:tcPr>
          <w:p w14:paraId="01F31B98" w14:textId="77777777" w:rsidR="0080323E" w:rsidRPr="00A05BFE" w:rsidRDefault="0080323E" w:rsidP="0080323E">
            <w:pPr>
              <w:autoSpaceDE w:val="0"/>
              <w:autoSpaceDN w:val="0"/>
              <w:adjustRightInd w:val="0"/>
              <w:snapToGrid w:val="0"/>
              <w:spacing w:line="276" w:lineRule="auto"/>
              <w:jc w:val="center"/>
              <w:rPr>
                <w:b/>
                <w:bCs/>
                <w:i/>
                <w:iCs/>
                <w:sz w:val="20"/>
                <w:szCs w:val="20"/>
              </w:rPr>
            </w:pPr>
            <w:r w:rsidRPr="00A05BFE">
              <w:rPr>
                <w:b/>
                <w:bCs/>
                <w:i/>
                <w:iCs/>
                <w:sz w:val="20"/>
                <w:szCs w:val="20"/>
              </w:rPr>
              <w:t>G. duodenalis</w:t>
            </w:r>
          </w:p>
          <w:p w14:paraId="22826AF2" w14:textId="5B1F40E2" w:rsidR="0080323E" w:rsidRPr="00A05BFE" w:rsidRDefault="0080323E" w:rsidP="0080323E">
            <w:pPr>
              <w:autoSpaceDE w:val="0"/>
              <w:autoSpaceDN w:val="0"/>
              <w:adjustRightInd w:val="0"/>
              <w:snapToGrid w:val="0"/>
              <w:spacing w:line="276" w:lineRule="auto"/>
              <w:jc w:val="center"/>
              <w:rPr>
                <w:b/>
                <w:bCs/>
                <w:i/>
                <w:iCs/>
                <w:sz w:val="20"/>
                <w:szCs w:val="20"/>
              </w:rPr>
            </w:pPr>
            <w:r w:rsidRPr="00A05BFE">
              <w:rPr>
                <w:b/>
                <w:bCs/>
                <w:color w:val="000000" w:themeColor="text1"/>
                <w:sz w:val="20"/>
                <w:szCs w:val="20"/>
              </w:rPr>
              <w:t xml:space="preserve">(assemblage </w:t>
            </w:r>
            <w:r w:rsidR="0020422D">
              <w:rPr>
                <w:b/>
                <w:bCs/>
                <w:color w:val="000000" w:themeColor="text1"/>
                <w:sz w:val="20"/>
                <w:szCs w:val="20"/>
              </w:rPr>
              <w:t>G</w:t>
            </w:r>
            <w:r w:rsidRPr="00A05BFE">
              <w:rPr>
                <w:b/>
                <w:bCs/>
                <w:color w:val="000000" w:themeColor="text1"/>
                <w:sz w:val="20"/>
                <w:szCs w:val="20"/>
              </w:rPr>
              <w:t>)</w:t>
            </w:r>
          </w:p>
        </w:tc>
        <w:tc>
          <w:tcPr>
            <w:tcW w:w="1134" w:type="dxa"/>
            <w:vAlign w:val="center"/>
          </w:tcPr>
          <w:p w14:paraId="004D85E9" w14:textId="7A099242" w:rsidR="0080323E" w:rsidRPr="00A05BFE" w:rsidRDefault="003E6568"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1267" w:type="dxa"/>
            <w:vAlign w:val="center"/>
          </w:tcPr>
          <w:p w14:paraId="3916D8E8" w14:textId="21777708" w:rsidR="0080323E" w:rsidRPr="00A05BFE" w:rsidRDefault="00A0798A"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3C8C0048" w14:textId="2D8EF25E" w:rsidR="0080323E" w:rsidRPr="00A05BFE" w:rsidRDefault="00694847"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61F398FB" w14:textId="57CF4BD1" w:rsidR="0080323E" w:rsidRPr="00A05BFE" w:rsidRDefault="001A4158"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5940B251" w14:textId="3106763C" w:rsidR="0080323E" w:rsidRPr="00A05BFE" w:rsidRDefault="00E61290"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2205C52A" w14:textId="0C058887" w:rsidR="0080323E" w:rsidRPr="00A05BFE" w:rsidRDefault="00DB72DF"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vAlign w:val="center"/>
          </w:tcPr>
          <w:p w14:paraId="526999C6" w14:textId="2DA3D97F" w:rsidR="0080323E" w:rsidRPr="00A05BFE" w:rsidRDefault="00CB6564" w:rsidP="00660637">
            <w:pPr>
              <w:autoSpaceDE w:val="0"/>
              <w:autoSpaceDN w:val="0"/>
              <w:adjustRightInd w:val="0"/>
              <w:snapToGrid w:val="0"/>
              <w:spacing w:line="276" w:lineRule="auto"/>
              <w:jc w:val="center"/>
              <w:rPr>
                <w:bCs/>
                <w:color w:val="000000" w:themeColor="text1"/>
                <w:sz w:val="20"/>
                <w:szCs w:val="20"/>
              </w:rPr>
            </w:pPr>
            <w:r>
              <w:rPr>
                <w:bCs/>
                <w:color w:val="000000" w:themeColor="text1"/>
                <w:sz w:val="20"/>
                <w:szCs w:val="20"/>
              </w:rPr>
              <w:fldChar w:fldCharType="begin" w:fldLock="1"/>
            </w:r>
            <w:r w:rsidR="002A145D">
              <w:rPr>
                <w:bCs/>
                <w:color w:val="000000" w:themeColor="text1"/>
                <w:sz w:val="20"/>
                <w:szCs w:val="20"/>
              </w:rPr>
              <w:instrText>ADDIN CSL_CITATION {"citationItems":[{"id":"ITEM-1","itemData":{"DOI":"10.1051/parasite/2016013","ISSN":"17761042","abstract":"Techniques for sub-classifying morphologically identical Giardia duodenalis trophozoites have included comparisons of the electrophoretic mobility of enzymes and of chromosomes, and sequencing of genes encoding β-giardin, triose phosphate isomerase, the small subunit of ribosomal RNA and glutamate dehydrogenase. To date, G. duodenalis organisms have been sub-classified into eight genetic assemblages (designated A-H). Genotyping of G. duodenalis organisms isolated from various hosts has shown that assemblages A and B infect the largest range of host species, and appear to be the main (or possibly only) G. duodenalis assemblages that undeniably infect human subjects. In at least some cases of assemblage A or B infection in wild mammals, there is suggestive evidence that the infection had resulted from environmental contamination by G. duodenalis cysts of human origin.","author":[{"dropping-particle":"","family":"Heyworth","given":"Martin F.","non-dropping-particle":"","parse-names":false,"suffix":""}],"container-title":"Parasite","id":"ITEM-1","issued":{"date-parts":[["2016"]]},"title":"Giardia duodenalis genetic assemblages and hosts","type":"article-journal","volume":"23"},"uris":["http://www.mendeley.com/documents/?uuid=f3578bc4-be01-4594-8c03-44bce8d1bc1b"]},{"id":"ITEM-2","itemData":{"DOI":"10.1371/journal.pntd.0000558","PMID":"19956662","abstract":"Giardia duodenalis, originally regarded as a commensal organism, is the etiologic agent of giardiasis, a gastrointestinal disease of humans and animals. Giardiasis causes major public and veterinary health concerns worldwide. Transmission is either direct, through the faecal-oral route, or indirect, through ingestion of contaminated water or food. Genetic characterization of G. duodenalis isolates has revealed the existence of seven groups (assemblages A to G) which differ in their host distribution. Assemblages A and B are found in humans and in many other mammals, but the role of animals in the epidemiology of human infection is still unclear, despite the fact that the zoonotic potential of Giardia was recognised by the WHO some 30 years ago. Here, we performed an extensive genetic characterization of 978 human and 1440 animal isolates, which together comprise 3886 sequences from 4 genetic loci. The data were assembled into a molecular epidemiological database developed by a European network of public and veterinary health Institutions. Genotyping was performed at different levels of resolution (single and multiple loci on the same dataset). The zoonotic potential of both assemblages A and B is evident when studied at the level of assemblages, sub-assemblages, and even at each single locus. However, when genotypes are defined using a multi-locus sequence typing scheme, only 2 multi-locus genotypes (MLG) of assemblage A and none of assemblage B appear to have a zoonotic potential. Surprisingly, mixtures of genotypes in individual isolates were repeatedly observed. Possible explanations are the uptake of genetically different Giardia cysts by a host, or subsequent infection of an already infected host, likely without overt symptoms, with a different Giardia species, which may cause disease. Other explanations for mixed genotypes, particularly for assemblage B, are substantial allelic sequence heterogeneity and/or genetic recombination. Although the zoonotic potential of G. duodenalis is evident, evidence on the contribution and frequency is (still) lacking. This newly developed molecular database has the potential to tackle intricate epidemiological questions concerning protozoan diseases. © 2009 Sprong et al.","author":[{"dropping-particle":"","family":"Sprong","given":"Hein","non-dropping-particle":"","parse-names":false,"suffix":""},{"dropping-particle":"","family":"Cacciò","given":"Simone M.","non-dropping-particle":"","parse-names":false,"suffix":""},{"dropping-particle":"","family":"Giessen","given":"Joke W.B.","non-dropping-particle":"Van Der","parse-names":false,"suffix":""}],"container-title":"PLoS Neglected Tropical Diseases","id":"ITEM-2","issue":"12","issued":{"date-parts":[["2009"]]},"page":"1-12","title":"Identification of zoonotic genotypes of Giardia duodenalis","type":"article-journal","volume":"3"},"uris":["http://www.mendeley.com/documents/?uuid=ebea01e3-a8e8-4578-a03d-676488444ba4"]}],"mendeley":{"formattedCitation":"[19,20]","plainTextFormattedCitation":"[19,20]","previouslyFormattedCitation":"[19,20]"},"properties":{"noteIndex":0},"schema":"https://github.com/citation-style-language/schema/raw/master/csl-citation.json"}</w:instrText>
            </w:r>
            <w:r>
              <w:rPr>
                <w:bCs/>
                <w:color w:val="000000" w:themeColor="text1"/>
                <w:sz w:val="20"/>
                <w:szCs w:val="20"/>
              </w:rPr>
              <w:fldChar w:fldCharType="separate"/>
            </w:r>
            <w:r w:rsidR="002512CA" w:rsidRPr="002512CA">
              <w:rPr>
                <w:bCs/>
                <w:noProof/>
                <w:color w:val="000000" w:themeColor="text1"/>
                <w:sz w:val="20"/>
                <w:szCs w:val="20"/>
              </w:rPr>
              <w:t>[19,20]</w:t>
            </w:r>
            <w:r>
              <w:rPr>
                <w:bCs/>
                <w:color w:val="000000" w:themeColor="text1"/>
                <w:sz w:val="20"/>
                <w:szCs w:val="20"/>
              </w:rPr>
              <w:fldChar w:fldCharType="end"/>
            </w:r>
          </w:p>
        </w:tc>
      </w:tr>
      <w:tr w:rsidR="0080323E" w:rsidRPr="00A05BFE" w14:paraId="7976BC31" w14:textId="77777777" w:rsidTr="00492023">
        <w:trPr>
          <w:trHeight w:val="1078"/>
          <w:jc w:val="center"/>
        </w:trPr>
        <w:tc>
          <w:tcPr>
            <w:tcW w:w="1560" w:type="dxa"/>
            <w:tcBorders>
              <w:bottom w:val="single" w:sz="8" w:space="0" w:color="auto"/>
            </w:tcBorders>
            <w:vAlign w:val="center"/>
          </w:tcPr>
          <w:p w14:paraId="41AC7D41" w14:textId="77777777" w:rsidR="0080323E" w:rsidRPr="00A05BFE" w:rsidRDefault="0080323E" w:rsidP="0080323E">
            <w:pPr>
              <w:autoSpaceDE w:val="0"/>
              <w:autoSpaceDN w:val="0"/>
              <w:adjustRightInd w:val="0"/>
              <w:snapToGrid w:val="0"/>
              <w:spacing w:line="276" w:lineRule="auto"/>
              <w:jc w:val="center"/>
              <w:rPr>
                <w:b/>
                <w:bCs/>
                <w:i/>
                <w:iCs/>
                <w:sz w:val="20"/>
                <w:szCs w:val="20"/>
              </w:rPr>
            </w:pPr>
            <w:r w:rsidRPr="00A05BFE">
              <w:rPr>
                <w:b/>
                <w:bCs/>
                <w:i/>
                <w:iCs/>
                <w:sz w:val="20"/>
                <w:szCs w:val="20"/>
              </w:rPr>
              <w:t>G. duodenalis</w:t>
            </w:r>
          </w:p>
          <w:p w14:paraId="4F22D7EF" w14:textId="4B640476" w:rsidR="0080323E" w:rsidRPr="00A05BFE" w:rsidRDefault="0080323E" w:rsidP="0080323E">
            <w:pPr>
              <w:autoSpaceDE w:val="0"/>
              <w:autoSpaceDN w:val="0"/>
              <w:adjustRightInd w:val="0"/>
              <w:snapToGrid w:val="0"/>
              <w:spacing w:line="276" w:lineRule="auto"/>
              <w:jc w:val="center"/>
              <w:rPr>
                <w:b/>
                <w:bCs/>
                <w:i/>
                <w:iCs/>
                <w:sz w:val="20"/>
                <w:szCs w:val="20"/>
              </w:rPr>
            </w:pPr>
            <w:r w:rsidRPr="00A05BFE">
              <w:rPr>
                <w:b/>
                <w:bCs/>
                <w:color w:val="000000" w:themeColor="text1"/>
                <w:sz w:val="20"/>
                <w:szCs w:val="20"/>
              </w:rPr>
              <w:t xml:space="preserve">(assemblage </w:t>
            </w:r>
            <w:r w:rsidR="0020422D">
              <w:rPr>
                <w:b/>
                <w:bCs/>
                <w:color w:val="000000" w:themeColor="text1"/>
                <w:sz w:val="20"/>
                <w:szCs w:val="20"/>
              </w:rPr>
              <w:t>H</w:t>
            </w:r>
            <w:r w:rsidRPr="00A05BFE">
              <w:rPr>
                <w:b/>
                <w:bCs/>
                <w:color w:val="000000" w:themeColor="text1"/>
                <w:sz w:val="20"/>
                <w:szCs w:val="20"/>
              </w:rPr>
              <w:t>)</w:t>
            </w:r>
          </w:p>
        </w:tc>
        <w:tc>
          <w:tcPr>
            <w:tcW w:w="1134" w:type="dxa"/>
            <w:tcBorders>
              <w:bottom w:val="single" w:sz="8" w:space="0" w:color="auto"/>
            </w:tcBorders>
            <w:vAlign w:val="center"/>
          </w:tcPr>
          <w:p w14:paraId="06C2BF00" w14:textId="5C3CD7C6" w:rsidR="0080323E" w:rsidRPr="00A05BFE" w:rsidRDefault="003E6568"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1267" w:type="dxa"/>
            <w:tcBorders>
              <w:bottom w:val="single" w:sz="8" w:space="0" w:color="auto"/>
            </w:tcBorders>
            <w:vAlign w:val="center"/>
          </w:tcPr>
          <w:p w14:paraId="782607F0" w14:textId="7F1E3635" w:rsidR="0080323E" w:rsidRPr="00A05BFE" w:rsidRDefault="00A0798A"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tcBorders>
              <w:bottom w:val="single" w:sz="8" w:space="0" w:color="auto"/>
            </w:tcBorders>
            <w:vAlign w:val="center"/>
          </w:tcPr>
          <w:p w14:paraId="660B7114" w14:textId="5FF4C83A" w:rsidR="0080323E" w:rsidRPr="00A05BFE" w:rsidRDefault="00694847"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tcBorders>
              <w:bottom w:val="single" w:sz="8" w:space="0" w:color="auto"/>
            </w:tcBorders>
            <w:vAlign w:val="center"/>
          </w:tcPr>
          <w:p w14:paraId="5FFE05DF" w14:textId="469C6F2F" w:rsidR="0080323E" w:rsidRPr="00A05BFE" w:rsidRDefault="001A4158"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tcBorders>
              <w:bottom w:val="single" w:sz="8" w:space="0" w:color="auto"/>
            </w:tcBorders>
            <w:vAlign w:val="center"/>
          </w:tcPr>
          <w:p w14:paraId="2F3434A6" w14:textId="3566E367" w:rsidR="0080323E" w:rsidRPr="00A05BFE" w:rsidRDefault="00CF3F39"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tcBorders>
              <w:bottom w:val="single" w:sz="8" w:space="0" w:color="auto"/>
            </w:tcBorders>
            <w:vAlign w:val="center"/>
          </w:tcPr>
          <w:p w14:paraId="00D488B8" w14:textId="4B534CA1" w:rsidR="0080323E" w:rsidRPr="00A05BFE" w:rsidRDefault="00DB72DF" w:rsidP="00660637">
            <w:pPr>
              <w:autoSpaceDE w:val="0"/>
              <w:autoSpaceDN w:val="0"/>
              <w:adjustRightInd w:val="0"/>
              <w:snapToGrid w:val="0"/>
              <w:spacing w:line="276" w:lineRule="auto"/>
              <w:jc w:val="center"/>
              <w:rPr>
                <w:bCs/>
                <w:color w:val="000000" w:themeColor="text1"/>
                <w:sz w:val="20"/>
              </w:rPr>
            </w:pPr>
            <w:r>
              <w:rPr>
                <w:bCs/>
                <w:color w:val="000000" w:themeColor="text1"/>
                <w:sz w:val="20"/>
              </w:rPr>
              <w:t>-</w:t>
            </w:r>
          </w:p>
        </w:tc>
        <w:tc>
          <w:tcPr>
            <w:tcW w:w="0" w:type="auto"/>
            <w:tcBorders>
              <w:bottom w:val="single" w:sz="8" w:space="0" w:color="auto"/>
            </w:tcBorders>
            <w:vAlign w:val="center"/>
          </w:tcPr>
          <w:p w14:paraId="748DA819" w14:textId="0D21BBDE" w:rsidR="0080323E" w:rsidRPr="00A05BFE" w:rsidRDefault="00CB6564" w:rsidP="00660637">
            <w:pPr>
              <w:autoSpaceDE w:val="0"/>
              <w:autoSpaceDN w:val="0"/>
              <w:adjustRightInd w:val="0"/>
              <w:snapToGrid w:val="0"/>
              <w:spacing w:line="276" w:lineRule="auto"/>
              <w:jc w:val="center"/>
              <w:rPr>
                <w:bCs/>
                <w:color w:val="000000" w:themeColor="text1"/>
                <w:sz w:val="20"/>
                <w:szCs w:val="20"/>
              </w:rPr>
            </w:pPr>
            <w:r>
              <w:rPr>
                <w:bCs/>
                <w:color w:val="000000" w:themeColor="text1"/>
                <w:sz w:val="20"/>
                <w:szCs w:val="20"/>
              </w:rPr>
              <w:fldChar w:fldCharType="begin" w:fldLock="1"/>
            </w:r>
            <w:r w:rsidR="002A145D">
              <w:rPr>
                <w:bCs/>
                <w:color w:val="000000" w:themeColor="text1"/>
                <w:sz w:val="20"/>
                <w:szCs w:val="20"/>
              </w:rPr>
              <w:instrText>ADDIN CSL_CITATION {"citationItems":[{"id":"ITEM-1","itemData":{"DOI":"10.1051/parasite/2016013","ISSN":"17761042","abstract":"Techniques for sub-classifying morphologically identical Giardia duodenalis trophozoites have included comparisons of the electrophoretic mobility of enzymes and of chromosomes, and sequencing of genes encoding β-giardin, triose phosphate isomerase, the small subunit of ribosomal RNA and glutamate dehydrogenase. To date, G. duodenalis organisms have been sub-classified into eight genetic assemblages (designated A-H). Genotyping of G. duodenalis organisms isolated from various hosts has shown that assemblages A and B infect the largest range of host species, and appear to be the main (or possibly only) G. duodenalis assemblages that undeniably infect human subjects. In at least some cases of assemblage A or B infection in wild mammals, there is suggestive evidence that the infection had resulted from environmental contamination by G. duodenalis cysts of human origin.","author":[{"dropping-particle":"","family":"Heyworth","given":"Martin F.","non-dropping-particle":"","parse-names":false,"suffix":""}],"container-title":"Parasite","id":"ITEM-1","issued":{"date-parts":[["2016"]]},"title":"Giardia duodenalis genetic assemblages and hosts","type":"article-journal","volume":"23"},"uris":["http://www.mendeley.com/documents/?uuid=f3578bc4-be01-4594-8c03-44bce8d1bc1b"]},{"id":"ITEM-2","itemData":{"DOI":"10.1371/journal.pntd.0000558","PMID":"19956662","abstract":"Giardia duodenalis, originally regarded as a commensal organism, is the etiologic agent of giardiasis, a gastrointestinal disease of humans and animals. Giardiasis causes major public and veterinary health concerns worldwide. Transmission is either direct, through the faecal-oral route, or indirect, through ingestion of contaminated water or food. Genetic characterization of G. duodenalis isolates has revealed the existence of seven groups (assemblages A to G) which differ in their host distribution. Assemblages A and B are found in humans and in many other mammals, but the role of animals in the epidemiology of human infection is still unclear, despite the fact that the zoonotic potential of Giardia was recognised by the WHO some 30 years ago. Here, we performed an extensive genetic characterization of 978 human and 1440 animal isolates, which together comprise 3886 sequences from 4 genetic loci. The data were assembled into a molecular epidemiological database developed by a European network of public and veterinary health Institutions. Genotyping was performed at different levels of resolution (single and multiple loci on the same dataset). The zoonotic potential of both assemblages A and B is evident when studied at the level of assemblages, sub-assemblages, and even at each single locus. However, when genotypes are defined using a multi-locus sequence typing scheme, only 2 multi-locus genotypes (MLG) of assemblage A and none of assemblage B appear to have a zoonotic potential. Surprisingly, mixtures of genotypes in individual isolates were repeatedly observed. Possible explanations are the uptake of genetically different Giardia cysts by a host, or subsequent infection of an already infected host, likely without overt symptoms, with a different Giardia species, which may cause disease. Other explanations for mixed genotypes, particularly for assemblage B, are substantial allelic sequence heterogeneity and/or genetic recombination. Although the zoonotic potential of G. duodenalis is evident, evidence on the contribution and frequency is (still) lacking. This newly developed molecular database has the potential to tackle intricate epidemiological questions concerning protozoan diseases. © 2009 Sprong et al.","author":[{"dropping-particle":"","family":"Sprong","given":"Hein","non-dropping-particle":"","parse-names":false,"suffix":""},{"dropping-particle":"","family":"Cacciò","given":"Simone M.","non-dropping-particle":"","parse-names":false,"suffix":""},{"dropping-particle":"","family":"Giessen","given":"Joke W.B.","non-dropping-particle":"Van Der","parse-names":false,"suffix":""}],"container-title":"PLoS Neglected Tropical Diseases","id":"ITEM-2","issue":"12","issued":{"date-parts":[["2009"]]},"page":"1-12","title":"Identification of zoonotic genotypes of Giardia duodenalis","type":"article-journal","volume":"3"},"uris":["http://www.mendeley.com/documents/?uuid=ebea01e3-a8e8-4578-a03d-676488444ba4"]}],"mendeley":{"formattedCitation":"[19,20]","plainTextFormattedCitation":"[19,20]","previouslyFormattedCitation":"[19,20]"},"properties":{"noteIndex":0},"schema":"https://github.com/citation-style-language/schema/raw/master/csl-citation.json"}</w:instrText>
            </w:r>
            <w:r>
              <w:rPr>
                <w:bCs/>
                <w:color w:val="000000" w:themeColor="text1"/>
                <w:sz w:val="20"/>
                <w:szCs w:val="20"/>
              </w:rPr>
              <w:fldChar w:fldCharType="separate"/>
            </w:r>
            <w:r w:rsidR="002512CA" w:rsidRPr="002512CA">
              <w:rPr>
                <w:bCs/>
                <w:noProof/>
                <w:color w:val="000000" w:themeColor="text1"/>
                <w:sz w:val="20"/>
                <w:szCs w:val="20"/>
              </w:rPr>
              <w:t>[19,20]</w:t>
            </w:r>
            <w:r>
              <w:rPr>
                <w:bCs/>
                <w:color w:val="000000" w:themeColor="text1"/>
                <w:sz w:val="20"/>
                <w:szCs w:val="20"/>
              </w:rPr>
              <w:fldChar w:fldCharType="end"/>
            </w:r>
          </w:p>
        </w:tc>
      </w:tr>
    </w:tbl>
    <w:p w14:paraId="51F7BDFD" w14:textId="5D14CF89" w:rsidR="00EA5CCA" w:rsidRPr="00D96820" w:rsidRDefault="006141C8" w:rsidP="001D5E3E">
      <w:pPr>
        <w:pStyle w:val="MDPI31text"/>
        <w:spacing w:line="276" w:lineRule="auto"/>
        <w:rPr>
          <w:bCs/>
          <w:color w:val="000000" w:themeColor="text1"/>
        </w:rPr>
      </w:pPr>
      <w:r w:rsidRPr="006141C8">
        <w:rPr>
          <w:i/>
          <w:iCs/>
        </w:rPr>
        <w:t>*</w:t>
      </w:r>
      <w:r w:rsidRPr="006141C8">
        <w:rPr>
          <w:bCs/>
          <w:i/>
          <w:iCs/>
          <w:color w:val="000000" w:themeColor="text1"/>
        </w:rPr>
        <w:t>Human infection possible but rarely observed</w:t>
      </w:r>
      <w:r w:rsidR="003E6568">
        <w:rPr>
          <w:bCs/>
          <w:i/>
          <w:iCs/>
          <w:color w:val="000000" w:themeColor="text1"/>
        </w:rPr>
        <w:t xml:space="preserve"> </w:t>
      </w:r>
      <w:r w:rsidR="00D96820">
        <w:rPr>
          <w:bCs/>
          <w:i/>
          <w:iCs/>
          <w:color w:val="000000" w:themeColor="text1"/>
        </w:rPr>
        <w:fldChar w:fldCharType="begin" w:fldLock="1"/>
      </w:r>
      <w:r w:rsidR="002A145D">
        <w:rPr>
          <w:bCs/>
          <w:i/>
          <w:iCs/>
          <w:color w:val="000000" w:themeColor="text1"/>
        </w:rPr>
        <w:instrText>ADDIN CSL_CITATION {"citationItems":[{"id":"ITEM-1","itemData":{"DOI":"10.1371/journal.pntd.0000558","PMID":"19956662","abstract":"Giardia duodenalis, originally regarded as a commensal organism, is the etiologic agent of giardiasis, a gastrointestinal disease of humans and animals. Giardiasis causes major public and veterinary health concerns worldwide. Transmission is either direct, through the faecal-oral route, or indirect, through ingestion of contaminated water or food. Genetic characterization of G. duodenalis isolates has revealed the existence of seven groups (assemblages A to G) which differ in their host distribution. Assemblages A and B are found in humans and in many other mammals, but the role of animals in the epidemiology of human infection is still unclear, despite the fact that the zoonotic potential of Giardia was recognised by the WHO some 30 years ago. Here, we performed an extensive genetic characterization of 978 human and 1440 animal isolates, which together comprise 3886 sequences from 4 genetic loci. The data were assembled into a molecular epidemiological database developed by a European network of public and veterinary health Institutions. Genotyping was performed at different levels of resolution (single and multiple loci on the same dataset). The zoonotic potential of both assemblages A and B is evident when studied at the level of assemblages, sub-assemblages, and even at each single locus. However, when genotypes are defined using a multi-locus sequence typing scheme, only 2 multi-locus genotypes (MLG) of assemblage A and none of assemblage B appear to have a zoonotic potential. Surprisingly, mixtures of genotypes in individual isolates were repeatedly observed. Possible explanations are the uptake of genetically different Giardia cysts by a host, or subsequent infection of an already infected host, likely without overt symptoms, with a different Giardia species, which may cause disease. Other explanations for mixed genotypes, particularly for assemblage B, are substantial allelic sequence heterogeneity and/or genetic recombination. Although the zoonotic potential of G. duodenalis is evident, evidence on the contribution and frequency is (still) lacking. This newly developed molecular database has the potential to tackle intricate epidemiological questions concerning protozoan diseases. © 2009 Sprong et al.","author":[{"dropping-particle":"","family":"Sprong","given":"Hein","non-dropping-particle":"","parse-names":false,"suffix":""},{"dropping-particle":"","family":"Cacciò","given":"Simone M.","non-dropping-particle":"","parse-names":false,"suffix":""},{"dropping-particle":"","family":"Giessen","given":"Joke W.B.","non-dropping-particle":"Van Der","parse-names":false,"suffix":""}],"container-title":"PLoS Neglected Tropical Diseases","id":"ITEM-1","issue":"12","issued":{"date-parts":[["2009"]]},"page":"1-12","title":"Identification of zoonotic genotypes of Giardia duodenalis","type":"article-journal","volume":"3"},"uris":["http://www.mendeley.com/documents/?uuid=ebea01e3-a8e8-4578-a03d-676488444ba4"]}],"mendeley":{"formattedCitation":"[20]","plainTextFormattedCitation":"[20]","previouslyFormattedCitation":"[20]"},"properties":{"noteIndex":0},"schema":"https://github.com/citation-style-language/schema/raw/master/csl-citation.json"}</w:instrText>
      </w:r>
      <w:r w:rsidR="00D96820">
        <w:rPr>
          <w:bCs/>
          <w:i/>
          <w:iCs/>
          <w:color w:val="000000" w:themeColor="text1"/>
        </w:rPr>
        <w:fldChar w:fldCharType="separate"/>
      </w:r>
      <w:r w:rsidR="002512CA" w:rsidRPr="002512CA">
        <w:rPr>
          <w:bCs/>
          <w:iCs/>
          <w:noProof/>
          <w:color w:val="000000" w:themeColor="text1"/>
        </w:rPr>
        <w:t>[20]</w:t>
      </w:r>
      <w:r w:rsidR="00D96820">
        <w:rPr>
          <w:bCs/>
          <w:i/>
          <w:iCs/>
          <w:color w:val="000000" w:themeColor="text1"/>
        </w:rPr>
        <w:fldChar w:fldCharType="end"/>
      </w:r>
      <w:r w:rsidR="00D96820">
        <w:rPr>
          <w:bCs/>
          <w:color w:val="000000" w:themeColor="text1"/>
        </w:rPr>
        <w:t>.</w:t>
      </w:r>
    </w:p>
    <w:p w14:paraId="33873252" w14:textId="77777777" w:rsidR="006141C8" w:rsidRDefault="006141C8" w:rsidP="001D5E3E">
      <w:pPr>
        <w:pStyle w:val="MDPI31text"/>
        <w:spacing w:line="276" w:lineRule="auto"/>
      </w:pPr>
    </w:p>
    <w:p w14:paraId="5F84AFC6" w14:textId="6A34A267" w:rsidR="004D573A" w:rsidRDefault="004D573A" w:rsidP="001D5E3E">
      <w:pPr>
        <w:pStyle w:val="MDPI31text"/>
        <w:spacing w:line="276" w:lineRule="auto"/>
      </w:pPr>
      <w:r>
        <w:t>To reduce human transmission</w:t>
      </w:r>
      <w:r w:rsidRPr="00160C14">
        <w:t xml:space="preserve"> </w:t>
      </w:r>
      <w:r>
        <w:t xml:space="preserve">effectively, animal reservoirs and the degree to which they contribute to and maintain disease transmission must therefore be carefully considered when developing, implementing and monitoring any disease control strategies. Moreover, </w:t>
      </w:r>
      <w:r w:rsidR="00FA6ACA">
        <w:t>particular</w:t>
      </w:r>
      <w:r>
        <w:t xml:space="preserve"> attention is needed on those animal hosts able to reintroduce parasites into viable bodies of freshwater following prior control or elimination campaigns </w:t>
      </w:r>
      <w:r>
        <w:fldChar w:fldCharType="begin" w:fldLock="1"/>
      </w:r>
      <w:r w:rsidR="001A0DC3">
        <w:instrText>ADDIN CSL_CITATION {"citationItems":[{"id":"ITEM-1","itemData":{"DOI":"10.1017/S0031182010000041","ISSN":"00311820","abstract":"Recent schistosomiasis control efforts in sub-Saharan Africa have focused nearly exclusively on treatment of humans with praziquantel. However, the extent to which wild mammals act as reservoirs for Schistosoma mansoni and therefore as sources of renewed transmission following control efforts is poorly understood. With the objective to study the role of small mammals as reservoir hosts, 480 animals belonging to 9 rodent and 1 insectivore species were examined for infection with schistosomes in Kisumu, in the Lake Victoria Basin, Kenya. Animals were collected from 2 sites: near the lakeshore and from Nyabera Marsh draining into the lake. A total of 60% of the animals captured, including 5 murid rodent species and 1 species of shrew (Crocidura olivieri) were infected with schistosomes. Four schistosome species were recovered and identified using cox1 DNA barcoding: S. mansoni, S. bovis, S. rodhaini and S. kisumuensis, the latter of which was recently described from Nyabera Marsh. Schistosoma mansoni and S. rodhaini were found infecting the same host individual (Lophuromys flavopunctatus), suggesting that this host species could be responsible for the production of hybrid schistosomes found in the area. Although the prevalence of S. mansoni infection in these reservoir populations was low (15%), given their potentially vast population size, their impact on transmission needs further study. Reservoir hosts could perpetuate snail infections and favour renewed transmission to humans once control programmes have ceased. © 2010 Cambridge University Press.","author":[{"dropping-particle":"","family":"Hanelt","given":"B.","non-dropping-particle":"","parse-names":false,"suffix":""},{"dropping-particle":"","family":"Mwangi","given":"I. N.","non-dropping-particle":"","parse-names":false,"suffix":""},{"dropping-particle":"","family":"Kinuthia","given":"J. M.","non-dropping-particle":"","parse-names":false,"suffix":""},{"dropping-particle":"","family":"Maina","given":"G. M.","non-dropping-particle":"","parse-names":false,"suffix":""},{"dropping-particle":"","family":"Agola","given":"L. E.","non-dropping-particle":"","parse-names":false,"suffix":""},{"dropping-particle":"","family":"Mutuku","given":"M. W.","non-dropping-particle":"","parse-names":false,"suffix":""},{"dropping-particle":"","family":"Steinauer","given":"M. L.","non-dropping-particle":"","parse-names":false,"suffix":""},{"dropping-particle":"","family":"Agwanda","given":"B. R.","non-dropping-particle":"","parse-names":false,"suffix":""},{"dropping-particle":"","family":"Kigo","given":"L.","non-dropping-particle":"","parse-names":false,"suffix":""},{"dropping-particle":"","family":"Mungai","given":"B. N.","non-dropping-particle":"","parse-names":false,"suffix":""},{"dropping-particle":"","family":"Loker","given":"E. S.","non-dropping-particle":"","parse-names":false,"suffix":""},{"dropping-particle":"","family":"Mkoji","given":"G. M.","non-dropping-particle":"","parse-names":false,"suffix":""}],"container-title":"Parasitology","id":"ITEM-1","issue":"7","issued":{"date-parts":[["2010"]]},"page":"1109-1118","title":"Schistosomes of small mammals from the Lake Victoria Basin, Kenya: New species, familiar species, and implications for schistosomiasis control","type":"article-journal","volume":"137"},"uris":["http://www.mendeley.com/documents/?uuid=f6a0feb8-7d4c-4a84-957a-8cb221dd2161"]}],"mendeley":{"formattedCitation":"[52]","plainTextFormattedCitation":"[52]","previouslyFormattedCitation":"[52]"},"properties":{"noteIndex":0},"schema":"https://github.com/citation-style-language/schema/raw/master/csl-citation.json"}</w:instrText>
      </w:r>
      <w:r>
        <w:fldChar w:fldCharType="separate"/>
      </w:r>
      <w:r w:rsidR="001D3544" w:rsidRPr="001D3544">
        <w:rPr>
          <w:noProof/>
        </w:rPr>
        <w:t>[52]</w:t>
      </w:r>
      <w:r>
        <w:fldChar w:fldCharType="end"/>
      </w:r>
      <w:r>
        <w:t xml:space="preserve">. </w:t>
      </w:r>
      <w:r w:rsidR="001D5E3E">
        <w:t xml:space="preserve">Limiting contact of cattle with freshwater, for example, as well as limiting run-off from fields on which cattle manure has been spread and disposing of animal waste away from bodies of freshwater are known to reduce transmission of </w:t>
      </w:r>
      <w:r w:rsidR="001D5E3E">
        <w:rPr>
          <w:i/>
          <w:iCs/>
        </w:rPr>
        <w:t xml:space="preserve">Giardia, </w:t>
      </w:r>
      <w:r w:rsidR="001D5E3E">
        <w:t xml:space="preserve">as well as non-human infecting </w:t>
      </w:r>
      <w:r w:rsidR="001D5E3E">
        <w:rPr>
          <w:i/>
          <w:iCs/>
        </w:rPr>
        <w:t xml:space="preserve">Schistosoma </w:t>
      </w:r>
      <w:r w:rsidR="001D5E3E">
        <w:t xml:space="preserve">species </w:t>
      </w:r>
      <w:r w:rsidR="001D5E3E" w:rsidRPr="00A53D5A">
        <w:rPr>
          <w:rFonts w:ascii="Palatino" w:hAnsi="Palatino"/>
          <w:i/>
          <w:iCs/>
          <w:color w:val="000000" w:themeColor="text1"/>
          <w:szCs w:val="20"/>
        </w:rPr>
        <w:fldChar w:fldCharType="begin" w:fldLock="1"/>
      </w:r>
      <w:r w:rsidR="001A0DC3">
        <w:rPr>
          <w:rFonts w:ascii="Palatino" w:hAnsi="Palatino"/>
          <w:i/>
          <w:iCs/>
          <w:color w:val="000000" w:themeColor="text1"/>
          <w:szCs w:val="20"/>
        </w:rPr>
        <w:instrText>ADDIN CSL_CITATION {"citationItems":[{"id":"ITEM-1","itemData":{"DOI":"10.1016/S0169-4758(97)01057-0","ISSN":"01694758","abstract":"Schistosomiasis remains a major health problem in much of the developing world. Despite decades of research, many fundamental questions on the dynamics of infection and immunity development remain unanswered. Schistosomiasis is also a common parasitic infection in cattle, and studies on livestock exposed to their own species of schistosome may help in understanding some aspects of the host-parasite relationship. Here, Jan De Bont and Jozef Vercruysse review the current knowledge on the epidemiology and control of cattle schistosomiasis.","author":[{"dropping-particle":"","family":"Bont","given":"Jan","non-dropping-particle":"De","parse-names":false,"suffix":""},{"dropping-particle":"","family":"Vercruysse","given":"Jozef","non-dropping-particle":"","parse-names":false,"suffix":""}],"container-title":"Parasitology Today","id":"ITEM-1","issue":"7","issued":{"date-parts":[["1997"]]},"page":"255-262","title":"The epidemiology and control of cattle schistosomiasis","type":"article-journal","volume":"13"},"uris":["http://www.mendeley.com/documents/?uuid=c8df2a25-4fa5-4091-94f7-b3f1af2d4b08"]},{"id":"ITEM-2","itemData":{"DOI":"10.1016/j.pt.2004.01.015","ISSN":"14714922","PMID":"15099558","abstract":"Cattle are frequently parasitized with Giardia duodenalis, Cryptosporidium parvum and Cryptosporidium andersoni. These parasites cause diarrhoea and impair gain of body weight. Giardia and Cryptosporidium from cattle are potential zoonotic pathogens, and contact with animals, manure or contaminated water is believed to lead to infections in humans. Molecular epidemiology has suggested that cattle are not as significant a reservoir for human infections as was once believed. Most G. duodenalis from cattle (Assemblage E) are different from those in humans (Assemblages A and B), and C. andersoni does not infect humans. However, molecular tools have shown that humans can be infected with zoonotic C. parvum, as well as anthroponotic Cryptosporidium hominis.","author":[{"dropping-particle":"","family":"Olson","given":"Merle E.","non-dropping-particle":"","parse-names":false,"suffix":""},{"dropping-particle":"","family":"O'Handley","given":"Ryan M.","non-dropping-particle":"","parse-names":false,"suffix":""},{"dropping-particle":"","family":"Ralston","given":"Brenda J.","non-dropping-particle":"","parse-names":false,"suffix":""},{"dropping-particle":"","family":"McAllister","given":"Timothy A.","non-dropping-particle":"","parse-names":false,"suffix":""},{"dropping-particle":"","family":"Thompson","given":"R. C.Andrew","non-dropping-particle":"","parse-names":false,"suffix":""}],"container-title":"Trends in Parasitology","id":"ITEM-2","issue":"4","issued":{"date-parts":[["2004"]]},"page":"185-191","title":"Update on Cryptosporidium and Giardia infections in cattle","type":"article-journal","volume":"20"},"uris":["http://www.mendeley.com/documents/?uuid=e37392b0-b815-4c30-978b-52a5cc24cc9f"]}],"mendeley":{"formattedCitation":"[53,54]","plainTextFormattedCitation":"[53,54]","previouslyFormattedCitation":"[53,54]"},"properties":{"noteIndex":0},"schema":"https://github.com/citation-style-language/schema/raw/master/csl-citation.json"}</w:instrText>
      </w:r>
      <w:r w:rsidR="001D5E3E" w:rsidRPr="00A53D5A">
        <w:rPr>
          <w:rFonts w:ascii="Palatino" w:hAnsi="Palatino"/>
          <w:i/>
          <w:iCs/>
          <w:color w:val="000000" w:themeColor="text1"/>
          <w:szCs w:val="20"/>
        </w:rPr>
        <w:fldChar w:fldCharType="separate"/>
      </w:r>
      <w:r w:rsidR="001D3544" w:rsidRPr="001D3544">
        <w:rPr>
          <w:rFonts w:ascii="Palatino" w:hAnsi="Palatino"/>
          <w:iCs/>
          <w:noProof/>
          <w:color w:val="000000" w:themeColor="text1"/>
          <w:szCs w:val="20"/>
        </w:rPr>
        <w:t>[53,54]</w:t>
      </w:r>
      <w:r w:rsidR="001D5E3E" w:rsidRPr="00A53D5A">
        <w:rPr>
          <w:rFonts w:ascii="Palatino" w:hAnsi="Palatino"/>
          <w:i/>
          <w:iCs/>
          <w:color w:val="000000" w:themeColor="text1"/>
          <w:szCs w:val="20"/>
        </w:rPr>
        <w:fldChar w:fldCharType="end"/>
      </w:r>
      <w:r w:rsidR="001D5E3E" w:rsidRPr="00A53D5A">
        <w:rPr>
          <w:rFonts w:ascii="Palatino" w:hAnsi="Palatino"/>
          <w:color w:val="000000" w:themeColor="text1"/>
          <w:szCs w:val="20"/>
        </w:rPr>
        <w:t>.</w:t>
      </w:r>
      <w:r w:rsidR="001D5E3E">
        <w:t xml:space="preserve"> </w:t>
      </w:r>
      <w:r>
        <w:t xml:space="preserve">Doing so, however, can be extremely challenging to implement and maintain through time. </w:t>
      </w:r>
    </w:p>
    <w:p w14:paraId="00582450" w14:textId="04ADA673" w:rsidR="004D573A" w:rsidRDefault="004D573A" w:rsidP="001D5E3E">
      <w:pPr>
        <w:pStyle w:val="MDPI31text"/>
        <w:spacing w:line="276" w:lineRule="auto"/>
        <w:ind w:firstLine="420"/>
      </w:pPr>
      <w:r>
        <w:t xml:space="preserve">In light of recent findings, additional consideration should also be given to the potential emergence of schistosome hybrids and their impact on schistosomiasis transmission </w:t>
      </w:r>
      <w:r>
        <w:fldChar w:fldCharType="begin" w:fldLock="1"/>
      </w:r>
      <w:r w:rsidR="001A0DC3">
        <w:instrText>ADDIN CSL_CITATION {"citationItems":[{"id":"ITEM-1","itemData":{"DOI":"10.1007/s00436-020-06709-0","ISSN":"14321955","abstract":"Schistosomiasis remains a parasitic infection which poses serious public health consequences around the world, particularly on the African continent where cases of introgression/hybridization between human and cattle schistosomiasis are being discovered on a more frequent basis in humans, specifically between Schistosoma haematobium and S. bovis. The aim of this paper is to analyze the occurrence of S. bovis in cattle and its relationship with S. haematobium in an area where cattle and humans share the same site in Benin (West Africa). We used the chronobiology of cercarial emergence as an ecological parameter and both molecular biology (COI mtDNA and ITS rDNA) of the larvae and morphology of the eggs as taxonomic parameters. The results showed a chronobiological polymorphism in the cercarial emergence rhythm. They showed for the first time the presence of S. bovis in Benin, the presence of introgressive hybridization between S. bovis and S. haematobium in domestic cattle, and the presence of atypical chronobiological patterns in schistosomes from cattle, with typical S. haematobium shedding pattern, double-peak patterns, and nocturnal patterns. Our results showed that the chronobiological life-history trait is useful for the detection of new hosts and also may reveal the possible presence of introgressive hybridization in schistosomes. Our results, for the first time, place cattle as reservoir host for S. haematobium and S. bovis x S. haematobium. The consequences of these results on the epidemiology of the disease, the transmission to humans, and the control of the disease are very important.","author":[{"dropping-particle":"","family":"Savassi","given":"Boris A.E.S.","non-dropping-particle":"","parse-names":false,"suffix":""},{"dropping-particle":"","family":"Mouahid","given":"Gabriel","non-dropping-particle":"","parse-names":false,"suffix":""},{"dropping-particle":"","family":"Lasica","given":"Chrystelle","non-dropping-particle":"","parse-names":false,"suffix":""},{"dropping-particle":"","family":"Mahaman","given":"Samoussou Dine K.","non-dropping-particle":"","parse-names":false,"suffix":""},{"dropping-particle":"","family":"Garcia","given":"André","non-dropping-particle":"","parse-names":false,"suffix":""},{"dropping-particle":"","family":"Courtin","given":"David","non-dropping-particle":"","parse-names":false,"suffix":""},{"dropping-particle":"","family":"Allienne","given":"Jean François","non-dropping-particle":"","parse-names":false,"suffix":""},{"dropping-particle":"","family":"Ibikounlé","given":"Moudachirou","non-dropping-particle":"","parse-names":false,"suffix":""},{"dropping-particle":"","family":"Moné","given":"Hélène","non-dropping-particle":"","parse-names":false,"suffix":""}],"container-title":"Parasitology Research","id":"ITEM-1","issued":{"date-parts":[["2020"]]},"publisher":"Parasitology Research","title":"Cattle as natural host for Schistosoma haematobium (Bilharz, 1852) Weinland, 1858 x Schistosoma bovis Sonsino, 1876 interactions, with new cercarial emergence and genetic patterns","type":"article-journal"},"uris":["http://www.mendeley.com/documents/?uuid=1df383d2-cf28-41a2-8eb7-85c67e595307"]},{"id":"ITEM-2","itemData":{"DOI":"10.1017/S0031182018001415","ISSN":"14698161","abstract":"Since the construction of the Diama Dam (1985), the epidemiology of schistosomiasis along the Senegal River Basin (SRB) has been extremely dynamic with outbreaks of both intestinal and urogenital schistosomiasis. In the early 2000s, technicians reported cases of suspected urogenital schistosomiasis in adults from the local hospital in Richard-Toll, Lower SRB. The genetic analysis of schistosome miracidia isolated from 11 patients in 2012 from two neighbourhoods (Campement and Gaya) of Richard-Toll confirmed infection with Schistosoma haematobium but also S. haematobium/S. bovis hybrids. Thirty-seven per cent of the miracidia were S. bovis/S. haematobium hybrids and 63% were pure S. haematobium. The data are discussed in relation to the ongoing dynamic epidemiology of the schistosomes in Senegal and the need to treat non-target individuals.","author":[{"dropping-particle":"","family":"Sene-Wade","given":"Mariama","non-dropping-particle":"","parse-names":false,"suffix":""},{"dropping-particle":"","family":"Marchand","given":"Bernard","non-dropping-particle":"","parse-names":false,"suffix":""},{"dropping-particle":"","family":"Rollinson","given":"David","non-dropping-particle":"","parse-names":false,"suffix":""},{"dropping-particle":"","family":"Webster","given":"Bonnie L.","non-dropping-particle":"","parse-names":false,"suffix":""}],"container-title":"Parasitology","id":"ITEM-2","issue":"13","issued":{"date-parts":[["2018"]]},"page":"1723-1726","title":"Urogenital schistosomiasis and hybridization between Schistosoma haematobium and Schistosoma bovis in adults living in Richard-Toll, Senegal","type":"article-journal","volume":"145"},"uris":["http://www.mendeley.com/documents/?uuid=d4a2933d-8609-4a32-bb7d-f9b01006eb6b"]},{"id":"ITEM-3","itemData":{"DOI":"10.1645/ge-3091.1","ISSN":"0022-3395","abstract":"Abstract: While Schistosoma rodhaini is typically considered a parasite of small mammals and is very scantly distributed in the Lake Victoria basin, it is known to hybridize with the more widespread Schistosoma mansoni, the causative agent of intestinal schistosomiasis. As part of broader parasitological and malacological surveys for S. mansoni across Lake Victoria, schistosome cercariae were harvested from a field-caught Biomphalaria choanomphala taken on Ngamba Island Chimpanzee Sanctuary, Uganda. Upon DNA barcoding, these cercariae were found to be a mixture of both S. rodhaini and S. mansoni, with further phylogenetic analysis revealing a hitherto unknown sub-lineage within S. rodhaini. Despite repeated sampling for eggs and miracidia from both chimpanzees and staff on Ngamba Island Sanctuary, detection of S. rodhaini within local definitive hosts awaits additional efforts, which should be mindful of a potential host role of spotted-necked otters. © American Society of Parasitologists 2012.","author":[{"dropping-particle":"","family":"Standley","given":"C. J.","non-dropping-particle":"","parse-names":false,"suffix":""},{"dropping-particle":"","family":"Stothard","given":"J. R.","non-dropping-particle":"","parse-names":false,"suffix":""}],"container-title":"Journal of Parasitology","id":"ITEM-3","issue":"5","issued":{"date-parts":[["2012"]]},"page":"1049-1051","title":"DNA Barcoding of Schistosome Cercariae Reveals a Novel Sub-Lineage within Schistosoma rodhaini From Ngamba Island Chimpanzee Sanctuary, Lake Victoria","type":"article-journal","volume":"98"},"uris":["http://www.mendeley.com/documents/?uuid=c686f2c9-fc2a-43ef-82c8-0a80097a89e2"]}],"mendeley":{"formattedCitation":"[55–57]","plainTextFormattedCitation":"[55–57]","previouslyFormattedCitation":"[55–57]"},"properties":{"noteIndex":0},"schema":"https://github.com/citation-style-language/schema/raw/master/csl-citation.json"}</w:instrText>
      </w:r>
      <w:r>
        <w:fldChar w:fldCharType="separate"/>
      </w:r>
      <w:r w:rsidR="001D3544" w:rsidRPr="001D3544">
        <w:rPr>
          <w:noProof/>
        </w:rPr>
        <w:t>[55–57]</w:t>
      </w:r>
      <w:r>
        <w:fldChar w:fldCharType="end"/>
      </w:r>
      <w:r>
        <w:t xml:space="preserve">. </w:t>
      </w:r>
      <w:r>
        <w:rPr>
          <w:i/>
          <w:iCs/>
        </w:rPr>
        <w:t>Schistosoma mansoni</w:t>
      </w:r>
      <w:r>
        <w:t xml:space="preserve">, for example, can form hybrids with </w:t>
      </w:r>
      <w:r w:rsidR="00D877C0">
        <w:t>rodent-infecting</w:t>
      </w:r>
      <w:r>
        <w:t xml:space="preserve"> species </w:t>
      </w:r>
      <w:r>
        <w:rPr>
          <w:i/>
          <w:iCs/>
        </w:rPr>
        <w:t>S. rodhani</w:t>
      </w:r>
      <w:r>
        <w:t xml:space="preserve">, which have been observed along the shoreline of East-African greater lake, Lake Victoria. However, </w:t>
      </w:r>
      <w:r>
        <w:rPr>
          <w:i/>
        </w:rPr>
        <w:t xml:space="preserve">S. rodhaini </w:t>
      </w:r>
      <w:r>
        <w:t xml:space="preserve">appears exclusive to rodents, together with the </w:t>
      </w:r>
      <w:r>
        <w:rPr>
          <w:i/>
        </w:rPr>
        <w:t xml:space="preserve">S. mansoni-rodhaini </w:t>
      </w:r>
      <w:r>
        <w:t xml:space="preserve">hybrids, but with many gaps in routine surveillance this appraisal may be incomplete </w:t>
      </w:r>
      <w:r>
        <w:fldChar w:fldCharType="begin" w:fldLock="1"/>
      </w:r>
      <w:r w:rsidR="001A0DC3">
        <w:instrText>ADDIN CSL_CITATION {"citationItems":[{"id":"ITEM-1","itemData":{"DOI":"10.1093/infdis/jiy029","ISSN":"15376613","PMID":"29365139","abstract":"The complex multi-host disease dynamics of schistosomiasis and Schistosoma spp., including the emergence of zoonotic parasite hybrids, remain largely unexplored in West Africa. We elucidated the role of wild small mammals as reservoir for zoonotic Schistosoma species and hybrids in endemic areas of Senegal. We identified Schistosoma mansoni, Schistosoma bovis, and a Schistosoma haematobium/S. bovis hybrid, with local prevalence in wild rodents ranging from 1.9% to 28.6%. Our findings indicate that rodents may be an important local reservoir for zoonotic schistosomiasis in endemic areas of West Africa, amplifying transmission to humans and acting as natural definitive hosts of schistosome hybrids.","author":[{"dropping-particle":"","family":"Catalano","given":"Stefano","non-dropping-particle":"","parse-names":false,"suffix":""},{"dropping-particle":"","family":"Sène","given":"Mariama","non-dropping-particle":"","parse-names":false,"suffix":""},{"dropping-particle":"","family":"Diouf","given":"Nicolas D.","non-dropping-particle":"","parse-names":false,"suffix":""},{"dropping-particle":"","family":"Fall","given":"Cheikh B.","non-dropping-particle":"","parse-names":false,"suffix":""},{"dropping-particle":"","family":"Borlase","given":"Anna","non-dropping-particle":"","parse-names":false,"suffix":""},{"dropping-particle":"","family":"Léger","given":"Elsa","non-dropping-particle":"","parse-names":false,"suffix":""},{"dropping-particle":"","family":"Bâ","given":"Khalilou","non-dropping-particle":"","parse-names":false,"suffix":""},{"dropping-particle":"","family":"Webster","given":"Joanne P.","non-dropping-particle":"","parse-names":false,"suffix":""}],"container-title":"Journal of Infectious Diseases","id":"ITEM-1","issue":"3","issued":{"date-parts":[["2018"]]},"page":"429-433","title":"Rodents as natural hosts of zoonotic schistosoma species and hybrids: An epidemiological and evolutionary perspective from West Africa","type":"article-journal","volume":"218"},"uris":["http://www.mendeley.com/documents/?uuid=6b5fef66-2834-4ed9-a77d-c3af69576b28"]},{"id":"ITEM-2","itemData":{"DOI":"10.1111/j.1365-294X.2008.03957.x","ISSN":"09621083","abstract":"Hybridization and introgression can have important consequences for the evolution, ecology and epidemiology of pathogenic organisms. We examined the dynamics of hybridization between a trematode parasite of humans, Schistosoma mansoni, and its sister species, S. rodhaini, a rodent parasite, in a natural hybrid zone in western Kenya. Using microsatellite markers, rDNA and mtDNA, we showed that hybrids between the two species occur in nature, are fertile and produce viable offspring through backcrosses with S. mansoni. Averaged across collection sites, individuals of hybrid ancestry comprised 7.2% of all schistosomes collected, which is a large proportion given that one of the parental species, S. rodhaini, comprised only 9.1% of the specimens. No F1 individuals were collected and all hybrids represented backcrosses with S. mansoni that were of the first or successive generations. The direction of introgression appears highly asymmetric, causing unidirectional gene flow from the rodent parasite, S. rodhaini, to the human parasite, S. mansoni. Hybrid occurrence was seasonal and most hybrids were collected during the month of September over a 2-year period, a time when S. rodhaini was also abundant. We also examined the sex ratios and phenotypic differences between the hybrids and parental species, including the number of infective stages produced in the snail host and the time of day the infective stages emerge. No statistical differences were found in any of these characteristics, and most of the hybrids showed an emergence pattern similar to that of S. mansoni. One individual, however, showed a bimodal emergence pattern that was characteristic of both parental species. In conclusion, these species maintain their identity despite hybridization, although introgression may cause important alterations of the biology and epidemiology of schistosomiasis in this region. © 2008 The Authors.","author":[{"dropping-particle":"","family":"Steinauer","given":"Michelle L.","non-dropping-particle":"","parse-names":false,"suffix":""},{"dropping-particle":"","family":"Hanelt","given":"Ben","non-dropping-particle":"","parse-names":false,"suffix":""},{"dropping-particle":"","family":"Mwangi","given":"Ibrahim N.","non-dropping-particle":"","parse-names":false,"suffix":""},{"dropping-particle":"","family":"Maina","given":"Geoffrey M.","non-dropping-particle":"","parse-names":false,"suffix":""},{"dropping-particle":"","family":"Agola","given":"Lelo E.","non-dropping-particle":"","parse-names":false,"suffix":""},{"dropping-particle":"","family":"Kinuthia","given":"Joseph M.","non-dropping-particle":"","parse-names":false,"suffix":""},{"dropping-particle":"","family":"Mutuku","given":"Martin W.","non-dropping-particle":"","parse-names":false,"suffix":""},{"dropping-particle":"","family":"Mungai","given":"Ben N.","non-dropping-particle":"","parse-names":false,"suffix":""},{"dropping-particle":"","family":"Wilson","given":"Wade D.","non-dropping-particle":"","parse-names":false,"suffix":""},{"dropping-particle":"","family":"Mkoji","given":"Gerald M.","non-dropping-particle":"","parse-names":false,"suffix":""},{"dropping-particle":"","family":"Loker","given":"Eric S.","non-dropping-particle":"","parse-names":false,"suffix":""}],"container-title":"Molecular Ecology","id":"ITEM-2","issue":"23","issued":{"date-parts":[["2008"]]},"page":"5062-5074","title":"Introgressive hybridization of human and rodent schistosome parasites in western Kenya","type":"article-journal","volume":"17"},"uris":["http://www.mendeley.com/documents/?uuid=d2a70563-c681-4852-9f90-15eed8c6bfc6"]}],"mendeley":{"formattedCitation":"[58,59]","plainTextFormattedCitation":"[58,59]","previouslyFormattedCitation":"[58,59]"},"properties":{"noteIndex":0},"schema":"https://github.com/citation-style-language/schema/raw/master/csl-citation.json"}</w:instrText>
      </w:r>
      <w:r>
        <w:fldChar w:fldCharType="separate"/>
      </w:r>
      <w:r w:rsidR="001D3544" w:rsidRPr="001D3544">
        <w:rPr>
          <w:noProof/>
        </w:rPr>
        <w:t>[58,59]</w:t>
      </w:r>
      <w:r>
        <w:fldChar w:fldCharType="end"/>
      </w:r>
      <w:r>
        <w:t xml:space="preserve">. Uniquely among trematodes, schistosomes are dioecious </w:t>
      </w:r>
      <w:r w:rsidR="00353AA6">
        <w:t xml:space="preserve">and </w:t>
      </w:r>
      <w:r>
        <w:t xml:space="preserve">so adult worms form inter-species copulatory pairs which facilitate permissive introgression(s). In nature, pre- and post-zygotic reproductive isolating barriers, such as host specificity, anatomical site of infection, distribution, mating preferences, competition and incompatibility, are thought to prevent prolific inter-species admixture. Recently, however, and owing to advanced methods of molecular analysis on schistosome larval stages from snail-intermediate and mammalian-definitive hosts, surprising inter-species hybrid forms are now being identified in several endemic African countries </w:t>
      </w:r>
      <w:r>
        <w:fldChar w:fldCharType="begin" w:fldLock="1"/>
      </w:r>
      <w:r w:rsidR="001A0DC3">
        <w:instrText>ADDIN CSL_CITATION {"citationItems":[{"id":"ITEM-1","itemData":{"DOI":"10.1093/infdis/jiy029","ISSN":"15376613","PMID":"29365139","abstract":"The complex multi-host disease dynamics of schistosomiasis and Schistosoma spp., including the emergence of zoonotic parasite hybrids, remain largely unexplored in West Africa. We elucidated the role of wild small mammals as reservoir for zoonotic Schistosoma species and hybrids in endemic areas of Senegal. We identified Schistosoma mansoni, Schistosoma bovis, and a Schistosoma haematobium/S. bovis hybrid, with local prevalence in wild rodents ranging from 1.9% to 28.6%. Our findings indicate that rodents may be an important local reservoir for zoonotic schistosomiasis in endemic areas of West Africa, amplifying transmission to humans and acting as natural definitive hosts of schistosome hybrids.","author":[{"dropping-particle":"","family":"Catalano","given":"Stefano","non-dropping-particle":"","parse-names":false,"suffix":""},{"dropping-particle":"","family":"Sène","given":"Mariama","non-dropping-particle":"","parse-names":false,"suffix":""},{"dropping-particle":"","family":"Diouf","given":"Nicolas D.","non-dropping-particle":"","parse-names":false,"suffix":""},{"dropping-particle":"","family":"Fall","given":"Cheikh B.","non-dropping-particle":"","parse-names":false,"suffix":""},{"dropping-particle":"","family":"Borlase","given":"Anna","non-dropping-particle":"","parse-names":false,"suffix":""},{"dropping-particle":"","family":"Léger","given":"Elsa","non-dropping-particle":"","parse-names":false,"suffix":""},{"dropping-particle":"","family":"Bâ","given":"Khalilou","non-dropping-particle":"","parse-names":false,"suffix":""},{"dropping-particle":"","family":"Webster","given":"Joanne P.","non-dropping-particle":"","parse-names":false,"suffix":""}],"container-title":"Journal of Infectious Diseases","id":"ITEM-1","issue":"3","issued":{"date-parts":[["2018"]]},"page":"429-433","title":"Rodents as natural hosts of zoonotic schistosoma species and hybrids: An epidemiological and evolutionary perspective from West Africa","type":"article-journal","volume":"218"},"uris":["http://www.mendeley.com/documents/?uuid=6b5fef66-2834-4ed9-a77d-c3af69576b28"]}],"mendeley":{"formattedCitation":"[58]","plainTextFormattedCitation":"[58]","previouslyFormattedCitation":"[58]"},"properties":{"noteIndex":0},"schema":"https://github.com/citation-style-language/schema/raw/master/csl-citation.json"}</w:instrText>
      </w:r>
      <w:r>
        <w:fldChar w:fldCharType="separate"/>
      </w:r>
      <w:r w:rsidR="001D3544" w:rsidRPr="001D3544">
        <w:rPr>
          <w:noProof/>
        </w:rPr>
        <w:t>[58]</w:t>
      </w:r>
      <w:r>
        <w:fldChar w:fldCharType="end"/>
      </w:r>
      <w:r>
        <w:t xml:space="preserve">. Such hybrids, resulting from interactions between human- and animal-infecting species, not only raise concerns about zoonotic transmission, but also the expanded host ranges and increased transmission potential acquired through heritable traits </w:t>
      </w:r>
      <w:r>
        <w:fldChar w:fldCharType="begin" w:fldLock="1"/>
      </w:r>
      <w:r w:rsidR="001A0DC3">
        <w:instrText>ADDIN CSL_CITATION {"citationItems":[{"id":"ITEM-1","itemData":{"DOI":"10.1111/j.1365-294X.2008.03957.x","ISSN":"09621083","abstract":"Hybridization and introgression can have important consequences for the evolution, ecology and epidemiology of pathogenic organisms. We examined the dynamics of hybridization between a trematode parasite of humans, Schistosoma mansoni, and its sister species, S. rodhaini, a rodent parasite, in a natural hybrid zone in western Kenya. Using microsatellite markers, rDNA and mtDNA, we showed that hybrids between the two species occur in nature, are fertile and produce viable offspring through backcrosses with S. mansoni. Averaged across collection sites, individuals of hybrid ancestry comprised 7.2% of all schistosomes collected, which is a large proportion given that one of the parental species, S. rodhaini, comprised only 9.1% of the specimens. No F1 individuals were collected and all hybrids represented backcrosses with S. mansoni that were of the first or successive generations. The direction of introgression appears highly asymmetric, causing unidirectional gene flow from the rodent parasite, S. rodhaini, to the human parasite, S. mansoni. Hybrid occurrence was seasonal and most hybrids were collected during the month of September over a 2-year period, a time when S. rodhaini was also abundant. We also examined the sex ratios and phenotypic differences between the hybrids and parental species, including the number of infective stages produced in the snail host and the time of day the infective stages emerge. No statistical differences were found in any of these characteristics, and most of the hybrids showed an emergence pattern similar to that of S. mansoni. One individual, however, showed a bimodal emergence pattern that was characteristic of both parental species. In conclusion, these species maintain their identity despite hybridization, although introgression may cause important alterations of the biology and epidemiology of schistosomiasis in this region. © 2008 The Authors.","author":[{"dropping-particle":"","family":"Steinauer","given":"Michelle L.","non-dropping-particle":"","parse-names":false,"suffix":""},{"dropping-particle":"","family":"Hanelt","given":"Ben","non-dropping-particle":"","parse-names":false,"suffix":""},{"dropping-particle":"","family":"Mwangi","given":"Ibrahim N.","non-dropping-particle":"","parse-names":false,"suffix":""},{"dropping-particle":"","family":"Maina","given":"Geoffrey M.","non-dropping-particle":"","parse-names":false,"suffix":""},{"dropping-particle":"","family":"Agola","given":"Lelo E.","non-dropping-particle":"","parse-names":false,"suffix":""},{"dropping-particle":"","family":"Kinuthia","given":"Joseph M.","non-dropping-particle":"","parse-names":false,"suffix":""},{"dropping-particle":"","family":"Mutuku","given":"Martin W.","non-dropping-particle":"","parse-names":false,"suffix":""},{"dropping-particle":"","family":"Mungai","given":"Ben N.","non-dropping-particle":"","parse-names":false,"suffix":""},{"dropping-particle":"","family":"Wilson","given":"Wade D.","non-dropping-particle":"","parse-names":false,"suffix":""},{"dropping-particle":"","family":"Mkoji","given":"Gerald M.","non-dropping-particle":"","parse-names":false,"suffix":""},{"dropping-particle":"","family":"Loker","given":"Eric S.","non-dropping-particle":"","parse-names":false,"suffix":""}],"container-title":"Molecular Ecology","id":"ITEM-1","issue":"23","issued":{"date-parts":[["2008"]]},"page":"5062-5074","title":"Introgressive hybridization of human and rodent schistosome parasites in western Kenya","type":"article-journal","volume":"17"},"uris":["http://www.mendeley.com/documents/?uuid=d2a70563-c681-4852-9f90-15eed8c6bfc6"]}],"mendeley":{"formattedCitation":"[59]","plainTextFormattedCitation":"[59]","previouslyFormattedCitation":"[59]"},"properties":{"noteIndex":0},"schema":"https://github.com/citation-style-language/schema/raw/master/csl-citation.json"}</w:instrText>
      </w:r>
      <w:r>
        <w:fldChar w:fldCharType="separate"/>
      </w:r>
      <w:r w:rsidR="001D3544" w:rsidRPr="001D3544">
        <w:rPr>
          <w:noProof/>
        </w:rPr>
        <w:t>[59]</w:t>
      </w:r>
      <w:r>
        <w:fldChar w:fldCharType="end"/>
      </w:r>
      <w:r>
        <w:t xml:space="preserve">. </w:t>
      </w:r>
    </w:p>
    <w:p w14:paraId="5075BB52" w14:textId="399C634E" w:rsidR="004D573A" w:rsidRDefault="004D573A" w:rsidP="00660637">
      <w:pPr>
        <w:pStyle w:val="MDPI31text"/>
        <w:spacing w:line="276" w:lineRule="auto"/>
      </w:pPr>
      <w:r>
        <w:t>Changes</w:t>
      </w:r>
      <w:r w:rsidRPr="004905D9">
        <w:t xml:space="preserve"> to natural landscape</w:t>
      </w:r>
      <w:r>
        <w:t>s</w:t>
      </w:r>
      <w:r w:rsidRPr="004905D9">
        <w:t xml:space="preserve"> can </w:t>
      </w:r>
      <w:r>
        <w:t xml:space="preserve">readily </w:t>
      </w:r>
      <w:r w:rsidRPr="004905D9">
        <w:t>lead to the formation of new freshwater bodies</w:t>
      </w:r>
      <w:r>
        <w:t>, snail habitats and multi-host transmission sites, breaking down the</w:t>
      </w:r>
      <w:r w:rsidRPr="004905D9">
        <w:t xml:space="preserve"> ecological barriers</w:t>
      </w:r>
      <w:r>
        <w:t xml:space="preserve"> between species and leading to further inter species interactions. Though the full impact that these hybridization events may have on </w:t>
      </w:r>
      <w:r w:rsidR="008F6AF9">
        <w:t xml:space="preserve">human </w:t>
      </w:r>
      <w:r>
        <w:t xml:space="preserve">disease epidemiology and disease pathology is currently unknown, hybridization certainly suggests that future schistosomiasis control may warrant an expanded One Health approach with more tailored interventions </w:t>
      </w:r>
      <w:r w:rsidRPr="006856C8">
        <w:t xml:space="preserve">specific </w:t>
      </w:r>
      <w:r>
        <w:t xml:space="preserve">to </w:t>
      </w:r>
      <w:r w:rsidRPr="006856C8">
        <w:t>local settings</w:t>
      </w:r>
      <w:r>
        <w:t xml:space="preserve"> and schistosome epidemiology  </w:t>
      </w:r>
      <w:r>
        <w:fldChar w:fldCharType="begin" w:fldLock="1"/>
      </w:r>
      <w:r w:rsidR="001A0DC3">
        <w:instrText>ADDIN CSL_CITATION {"citationItems":[{"id":"ITEM-1","itemData":{"DOI":"10.1017/S0031182018001415","ISSN":"14698161","abstract":"Since the construction of the Diama Dam (1985), the epidemiology of schistosomiasis along the Senegal River Basin (SRB) has been extremely dynamic with outbreaks of both intestinal and urogenital schistosomiasis. In the early 2000s, technicians reported cases of suspected urogenital schistosomiasis in adults from the local hospital in Richard-Toll, Lower SRB. The genetic analysis of schistosome miracidia isolated from 11 patients in 2012 from two neighbourhoods (Campement and Gaya) of Richard-Toll confirmed infection with Schistosoma haematobium but also S. haematobium/S. bovis hybrids. Thirty-seven per cent of the miracidia were S. bovis/S. haematobium hybrids and 63% were pure S. haematobium. The data are discussed in relation to the ongoing dynamic epidemiology of the schistosomes in Senegal and the need to treat non-target individuals.","author":[{"dropping-particle":"","family":"Sene-Wade","given":"Mariama","non-dropping-particle":"","parse-names":false,"suffix":""},{"dropping-particle":"","family":"Marchand","given":"Bernard","non-dropping-particle":"","parse-names":false,"suffix":""},{"dropping-particle":"","family":"Rollinson","given":"David","non-dropping-particle":"","parse-names":false,"suffix":""},{"dropping-particle":"","family":"Webster","given":"Bonnie L.","non-dropping-particle":"","parse-names":false,"suffix":""}],"container-title":"Parasitology","id":"ITEM-1","issue":"13","issued":{"date-parts":[["2018"]]},"page":"1723-1726","title":"Urogenital schistosomiasis and hybridization between Schistosoma haematobium and Schistosoma bovis in adults living in Richard-Toll, Senegal","type":"article-journal","volume":"145"},"uris":["http://www.mendeley.com/documents/?uuid=d4a2933d-8609-4a32-bb7d-f9b01006eb6b"]},{"id":"ITEM-2","itemData":{"DOI":"10.1371/journal.ppat.1000571","ISSN":"15537366","abstract":"Schistosomiasis is a disease of great medical and veterinary importance in tropical and subtropical regions, caused by parasitic flatworms of the genus Schistosoma (subclass Digenea). Following major water development schemes in the 1980s, schistosomiasis has become an important parasitic disease of children living in the Senegal River Basin (SRB). During molecular parasitological surveys, nuclear and mitochondrial markers revealed unexpected natural interactions between a bovine and human Schistosoma species: S. bovis and S. haematobium, respectively. Hybrid schistosomes recovered from the urine and faeces of children and the intermediate snail hosts of both parental species, Bulinus truncatus and B. globosus, presented a nuclear ITS rRNA sequence identical to S. haematobium, while the partial mitochondrial cox1 sequence was identified as S. bovis. Molecular data suggest that the hybrids are not 1st generation and are a result of parental and/or hybrid backcrosses, indicating a stable hybrid zone. Larval stages with the reverse genetic profile were also found and are suggested to be F1 progeny. The data provide indisputable evidence for the occurrence of bidirectional introgressive hybridization between a bovine and a human Schistosoma species. Hybrid species have been found infecting B. truncatus, a snail species that is now very abundant throughout the SRB. The recent increase in urinary schistosomiasis in the villages along the SRB could therefore be a direct effect of the increased transmission through B. truncatus. Hybridization between schistosomes under laboratory conditions has been shown to result in heterosis (higher fecundity, faster maturation time, wider intermediate host spectrum), having important implications on disease prevalence, pathology and treatment. If this new hybrid exhibits the same hybrid vigour, it could develop into an emerging pathogen, necessitating further control strategies in zones where both parental species overlap. © 2009 Huyse et al.","author":[{"dropping-particle":"","family":"Huyse","given":"Tine","non-dropping-particle":"","parse-names":false,"suffix":""},{"dropping-particle":"","family":"Webster","given":"Bonnie L.","non-dropping-particle":"","parse-names":false,"suffix":""},{"dropping-particle":"","family":"Geldof","given":"Sarah","non-dropping-particle":"","parse-names":false,"suffix":""},{"dropping-particle":"","family":"Stothard","given":"J. Russell","non-dropping-particle":"","parse-names":false,"suffix":""},{"dropping-particle":"","family":"Diaw","given":"Oumar T.","non-dropping-particle":"","parse-names":false,"suffix":""},{"dropping-particle":"","family":"Polman","given":"Katja","non-dropping-particle":"","parse-names":false,"suffix":""},{"dropping-particle":"","family":"Rollinson","given":"David","non-dropping-particle":"","parse-names":false,"suffix":""}],"container-title":"PLoS Pathogens","id":"ITEM-2","issue":"9","issued":{"date-parts":[["2009"]]},"title":"Bidirectional introgressive hybridization between a cattle and human schistosome species","type":"article-journal","volume":"5"},"uris":["http://www.mendeley.com/documents/?uuid=dd271450-d932-434d-98af-e1340c906d24"]},{"id":"ITEM-3","itemData":{"DOI":"10.1093/infdis/jiy029","ISSN":"15376613","PMID":"29365139","abstract":"The complex multi-host disease dynamics of schistosomiasis and Schistosoma spp., including the emergence of zoonotic parasite hybrids, remain largely unexplored in West Africa. We elucidated the role of wild small mammals as reservoir for zoonotic Schistosoma species and hybrids in endemic areas of Senegal. We identified Schistosoma mansoni, Schistosoma bovis, and a Schistosoma haematobium/S. bovis hybrid, with local prevalence in wild rodents ranging from 1.9% to 28.6%. Our findings indicate that rodents may be an important local reservoir for zoonotic schistosomiasis in endemic areas of West Africa, amplifying transmission to humans and acting as natural definitive hosts of schistosome hybrids.","author":[{"dropping-particle":"","family":"Catalano","given":"Stefano","non-dropping-particle":"","parse-names":false,"suffix":""},{"dropping-particle":"","family":"Sène","given":"Mariama","non-dropping-particle":"","parse-names":false,"suffix":""},{"dropping-particle":"","family":"Diouf","given":"Nicolas D.","non-dropping-particle":"","parse-names":false,"suffix":""},{"dropping-particle":"","family":"Fall","given":"Cheikh B.","non-dropping-particle":"","parse-names":false,"suffix":""},{"dropping-particle":"","family":"Borlase","given":"Anna","non-dropping-particle":"","parse-names":false,"suffix":""},{"dropping-particle":"","family":"Léger","given":"Elsa","non-dropping-particle":"","parse-names":false,"suffix":""},{"dropping-particle":"","family":"Bâ","given":"Khalilou","non-dropping-particle":"","parse-names":false,"suffix":""},{"dropping-particle":"","family":"Webster","given":"Joanne P.","non-dropping-particle":"","parse-names":false,"suffix":""}],"container-title":"Journal of Infectious Diseases","id":"ITEM-3","issue":"3","issued":{"date-parts":[["2018"]]},"page":"429-433","title":"Rodents as natural hosts of zoonotic schistosoma species and hybrids: An epidemiological and evolutionary perspective from West Africa","type":"article-journal","volume":"218"},"uris":["http://www.mendeley.com/documents/?uuid=6b5fef66-2834-4ed9-a77d-c3af69576b28"]}],"mendeley":{"formattedCitation":"[56,58,60]","plainTextFormattedCitation":"[56,58,60]","previouslyFormattedCitation":"[56,58,60]"},"properties":{"noteIndex":0},"schema":"https://github.com/citation-style-language/schema/raw/master/csl-citation.json"}</w:instrText>
      </w:r>
      <w:r>
        <w:fldChar w:fldCharType="separate"/>
      </w:r>
      <w:r w:rsidR="001D3544" w:rsidRPr="001D3544">
        <w:rPr>
          <w:noProof/>
        </w:rPr>
        <w:t>[56,58,60]</w:t>
      </w:r>
      <w:r>
        <w:fldChar w:fldCharType="end"/>
      </w:r>
      <w:r>
        <w:t>.</w:t>
      </w:r>
    </w:p>
    <w:p w14:paraId="69BEE6FB" w14:textId="77777777" w:rsidR="001A4F57" w:rsidRDefault="001A4F57" w:rsidP="00660637">
      <w:pPr>
        <w:pStyle w:val="MDPI21heading1"/>
        <w:spacing w:line="276" w:lineRule="auto"/>
      </w:pPr>
    </w:p>
    <w:p w14:paraId="12B45572" w14:textId="56111E29" w:rsidR="004D573A" w:rsidRDefault="009A47A0" w:rsidP="00660637">
      <w:pPr>
        <w:pStyle w:val="MDPI21heading1"/>
        <w:spacing w:line="276" w:lineRule="auto"/>
      </w:pPr>
      <w:r>
        <w:t>3.0</w:t>
      </w:r>
      <w:r w:rsidR="00B4733E">
        <w:t xml:space="preserve">. </w:t>
      </w:r>
      <w:r w:rsidR="004D573A">
        <w:t>Intestinal s</w:t>
      </w:r>
      <w:r w:rsidR="004D573A" w:rsidRPr="00390DAA">
        <w:t xml:space="preserve">chistosomiasis and </w:t>
      </w:r>
      <w:r w:rsidR="004D573A" w:rsidRPr="00A56364">
        <w:t>giardiasis</w:t>
      </w:r>
      <w:r w:rsidR="004D573A" w:rsidRPr="00390DAA">
        <w:t xml:space="preserve">: </w:t>
      </w:r>
      <w:r w:rsidR="001F7D84">
        <w:t>S</w:t>
      </w:r>
      <w:r w:rsidR="004D573A" w:rsidRPr="00390DAA">
        <w:t>urveillance and control</w:t>
      </w:r>
    </w:p>
    <w:p w14:paraId="300154AD" w14:textId="148E24D0" w:rsidR="001B7B17" w:rsidRPr="004C5956" w:rsidRDefault="001B7B17" w:rsidP="00660637">
      <w:pPr>
        <w:pStyle w:val="MDPI22heading2"/>
        <w:spacing w:line="276" w:lineRule="auto"/>
        <w:rPr>
          <w:i w:val="0"/>
          <w:iCs/>
        </w:rPr>
      </w:pPr>
      <w:r>
        <w:tab/>
      </w:r>
      <w:r w:rsidR="005901F3">
        <w:rPr>
          <w:i w:val="0"/>
          <w:iCs/>
        </w:rPr>
        <w:t xml:space="preserve">Highlighting these </w:t>
      </w:r>
      <w:r w:rsidR="00F176FC">
        <w:rPr>
          <w:i w:val="0"/>
          <w:iCs/>
        </w:rPr>
        <w:t xml:space="preserve">key </w:t>
      </w:r>
      <w:r w:rsidR="005901F3">
        <w:rPr>
          <w:i w:val="0"/>
          <w:iCs/>
        </w:rPr>
        <w:t>similarities</w:t>
      </w:r>
      <w:r>
        <w:rPr>
          <w:i w:val="0"/>
          <w:iCs/>
        </w:rPr>
        <w:t xml:space="preserve"> </w:t>
      </w:r>
      <w:r w:rsidR="00304C90">
        <w:rPr>
          <w:i w:val="0"/>
          <w:iCs/>
        </w:rPr>
        <w:t xml:space="preserve">in disease transmission biology and epidemiology </w:t>
      </w:r>
      <w:r>
        <w:rPr>
          <w:i w:val="0"/>
          <w:iCs/>
        </w:rPr>
        <w:t xml:space="preserve">between </w:t>
      </w:r>
      <w:r w:rsidR="00DB454E">
        <w:t xml:space="preserve">S. mansoni </w:t>
      </w:r>
      <w:r w:rsidR="00DB454E">
        <w:rPr>
          <w:i w:val="0"/>
          <w:iCs/>
        </w:rPr>
        <w:t xml:space="preserve">and </w:t>
      </w:r>
      <w:r w:rsidR="00DB454E">
        <w:t xml:space="preserve">Giardia </w:t>
      </w:r>
      <w:r w:rsidR="00A032DE">
        <w:rPr>
          <w:i w:val="0"/>
          <w:iCs/>
        </w:rPr>
        <w:t xml:space="preserve">present clear </w:t>
      </w:r>
      <w:r w:rsidR="006336AE">
        <w:rPr>
          <w:i w:val="0"/>
          <w:iCs/>
        </w:rPr>
        <w:t xml:space="preserve">opportunities for </w:t>
      </w:r>
      <w:r w:rsidR="00E30CBE">
        <w:rPr>
          <w:i w:val="0"/>
          <w:iCs/>
        </w:rPr>
        <w:t xml:space="preserve">integrated </w:t>
      </w:r>
      <w:r w:rsidR="0052584B">
        <w:rPr>
          <w:i w:val="0"/>
          <w:iCs/>
        </w:rPr>
        <w:t xml:space="preserve">surveillance and control of both diseases, </w:t>
      </w:r>
      <w:r w:rsidR="005C45A5">
        <w:rPr>
          <w:i w:val="0"/>
          <w:iCs/>
        </w:rPr>
        <w:t xml:space="preserve">particularly with regard to </w:t>
      </w:r>
      <w:r w:rsidR="00A51C14">
        <w:rPr>
          <w:i w:val="0"/>
          <w:iCs/>
        </w:rPr>
        <w:t>disease diagnosis</w:t>
      </w:r>
      <w:r w:rsidR="0060591B">
        <w:rPr>
          <w:i w:val="0"/>
          <w:iCs/>
        </w:rPr>
        <w:t>, surveillance and control.</w:t>
      </w:r>
    </w:p>
    <w:p w14:paraId="03AC4FE1" w14:textId="087E80AA" w:rsidR="004D573A" w:rsidRPr="001A4F57" w:rsidRDefault="00B642A1" w:rsidP="00660637">
      <w:pPr>
        <w:pStyle w:val="MDPI22heading2"/>
        <w:spacing w:line="276" w:lineRule="auto"/>
      </w:pPr>
      <w:r>
        <w:t>3</w:t>
      </w:r>
      <w:r w:rsidR="00B4733E" w:rsidRPr="00B4733E">
        <w:t xml:space="preserve">.1. </w:t>
      </w:r>
      <w:r w:rsidR="004D573A" w:rsidRPr="001A4F57">
        <w:t xml:space="preserve">Diagnosis: </w:t>
      </w:r>
      <w:r w:rsidR="00AA5A9E" w:rsidRPr="001A4F57">
        <w:t>P</w:t>
      </w:r>
      <w:r w:rsidR="00804FEF" w:rsidRPr="001A4F57">
        <w:t>arasitological, immunological and</w:t>
      </w:r>
      <w:r w:rsidR="004D573A" w:rsidRPr="001A4F57">
        <w:t xml:space="preserve"> molecular methods</w:t>
      </w:r>
    </w:p>
    <w:p w14:paraId="1186577C" w14:textId="41DB3ACB" w:rsidR="00D228D7" w:rsidRPr="001A4F57" w:rsidRDefault="004D573A" w:rsidP="004B6A6C">
      <w:pPr>
        <w:ind w:firstLine="420"/>
        <w:jc w:val="both"/>
        <w:rPr>
          <w:rFonts w:ascii="Palatino Linotype" w:hAnsi="Palatino Linotype"/>
          <w:bCs/>
          <w:color w:val="000000" w:themeColor="text1"/>
          <w:sz w:val="20"/>
          <w:szCs w:val="20"/>
        </w:rPr>
      </w:pPr>
      <w:r w:rsidRPr="001A4F57">
        <w:rPr>
          <w:rFonts w:ascii="Palatino Linotype" w:hAnsi="Palatino Linotype"/>
          <w:sz w:val="20"/>
          <w:szCs w:val="20"/>
        </w:rPr>
        <w:t>Owing to its low cost</w:t>
      </w:r>
      <w:r w:rsidR="00CB7E6A" w:rsidRPr="001A4F57">
        <w:rPr>
          <w:rFonts w:ascii="Palatino Linotype" w:hAnsi="Palatino Linotype"/>
          <w:sz w:val="20"/>
          <w:szCs w:val="20"/>
        </w:rPr>
        <w:t xml:space="preserve">, portability and high specificity, light microscopy for the detection of </w:t>
      </w:r>
      <w:r w:rsidR="00CB7E6A" w:rsidRPr="001A4F57">
        <w:rPr>
          <w:rFonts w:ascii="Palatino Linotype" w:hAnsi="Palatino Linotype"/>
          <w:i/>
          <w:iCs/>
          <w:sz w:val="20"/>
          <w:szCs w:val="20"/>
        </w:rPr>
        <w:t xml:space="preserve">S. mansoni </w:t>
      </w:r>
      <w:r w:rsidR="00CB7E6A" w:rsidRPr="001A4F57">
        <w:rPr>
          <w:rFonts w:ascii="Palatino Linotype" w:hAnsi="Palatino Linotype"/>
          <w:sz w:val="20"/>
          <w:szCs w:val="20"/>
        </w:rPr>
        <w:t xml:space="preserve">eggs in faecal samples is widely used during disease surveillance programmes to detect infection with </w:t>
      </w:r>
      <w:r w:rsidR="00CB7E6A" w:rsidRPr="001A4F57">
        <w:rPr>
          <w:rFonts w:ascii="Palatino Linotype" w:hAnsi="Palatino Linotype"/>
          <w:i/>
          <w:iCs/>
          <w:sz w:val="20"/>
          <w:szCs w:val="20"/>
        </w:rPr>
        <w:t xml:space="preserve">S. mansoni </w:t>
      </w:r>
      <w:r w:rsidR="005C2B1E" w:rsidRPr="001A4F57">
        <w:rPr>
          <w:rFonts w:ascii="Palatino Linotype" w:hAnsi="Palatino Linotype"/>
          <w:sz w:val="20"/>
          <w:szCs w:val="20"/>
        </w:rPr>
        <w:t xml:space="preserve">in sub-Saharan Africa </w:t>
      </w:r>
      <w:r w:rsidR="00FF33F3" w:rsidRPr="001A4F57">
        <w:rPr>
          <w:rFonts w:ascii="Palatino Linotype" w:hAnsi="Palatino Linotype"/>
          <w:bCs/>
          <w:color w:val="000000" w:themeColor="text1"/>
          <w:sz w:val="20"/>
          <w:szCs w:val="20"/>
        </w:rPr>
        <w:fldChar w:fldCharType="begin" w:fldLock="1"/>
      </w:r>
      <w:r w:rsidR="001A0DC3" w:rsidRPr="001A4F57">
        <w:rPr>
          <w:rFonts w:ascii="Palatino Linotype" w:hAnsi="Palatino Linotype"/>
          <w:bCs/>
          <w:color w:val="000000" w:themeColor="text1"/>
          <w:sz w:val="20"/>
          <w:szCs w:val="20"/>
        </w:rPr>
        <w:instrText>ADDIN CSL_CITATION {"citationItems":[{"id":"ITEM-1","itemData":{"URL":"https://apps.who.int/iris/bitstream/handle/10665/75922","accessed":{"date-parts":[["2020","6","30"]]},"id":"ITEM-1","issued":{"date-parts":[["2012"]]},"title":"World Health Organisation. Research Priorities for Helminth Infections. WHO. Technical Report Series No. 972. Geneva, Switzerland: World Health Organisation.","type":"webpage"},"uris":["http://www.mendeley.com/documents/?uuid=aa16a2ec-4db4-49bf-ae49-49e94fc3a6b6"]}],"mendeley":{"formattedCitation":"[61]","plainTextFormattedCitation":"[61]","previouslyFormattedCitation":"[61]"},"properties":{"noteIndex":0},"schema":"https://github.com/citation-style-language/schema/raw/master/csl-citation.json"}</w:instrText>
      </w:r>
      <w:r w:rsidR="00FF33F3" w:rsidRPr="001A4F57">
        <w:rPr>
          <w:rFonts w:ascii="Palatino Linotype" w:hAnsi="Palatino Linotype"/>
          <w:bCs/>
          <w:color w:val="000000" w:themeColor="text1"/>
          <w:sz w:val="20"/>
          <w:szCs w:val="20"/>
        </w:rPr>
        <w:fldChar w:fldCharType="separate"/>
      </w:r>
      <w:r w:rsidR="001D3544" w:rsidRPr="001A4F57">
        <w:rPr>
          <w:rFonts w:ascii="Palatino Linotype" w:hAnsi="Palatino Linotype"/>
          <w:bCs/>
          <w:noProof/>
          <w:color w:val="000000" w:themeColor="text1"/>
          <w:sz w:val="20"/>
          <w:szCs w:val="20"/>
        </w:rPr>
        <w:t>[61]</w:t>
      </w:r>
      <w:r w:rsidR="00FF33F3" w:rsidRPr="001A4F57">
        <w:rPr>
          <w:rFonts w:ascii="Palatino Linotype" w:hAnsi="Palatino Linotype"/>
          <w:bCs/>
          <w:color w:val="000000" w:themeColor="text1"/>
          <w:sz w:val="20"/>
          <w:szCs w:val="20"/>
        </w:rPr>
        <w:fldChar w:fldCharType="end"/>
      </w:r>
      <w:r w:rsidR="00FF33F3" w:rsidRPr="001A4F57">
        <w:rPr>
          <w:rFonts w:ascii="Palatino Linotype" w:hAnsi="Palatino Linotype"/>
          <w:bCs/>
          <w:color w:val="000000" w:themeColor="text1"/>
          <w:sz w:val="20"/>
          <w:szCs w:val="20"/>
        </w:rPr>
        <w:t>.</w:t>
      </w:r>
      <w:r w:rsidR="00DB0C8D" w:rsidRPr="001A4F57">
        <w:rPr>
          <w:rFonts w:ascii="Palatino Linotype" w:hAnsi="Palatino Linotype"/>
          <w:bCs/>
          <w:color w:val="000000" w:themeColor="text1"/>
          <w:sz w:val="20"/>
          <w:szCs w:val="20"/>
        </w:rPr>
        <w:t xml:space="preserve"> Using microscopy, </w:t>
      </w:r>
      <w:r w:rsidR="00064939" w:rsidRPr="001A4F57">
        <w:rPr>
          <w:rFonts w:ascii="Palatino Linotype" w:hAnsi="Palatino Linotype"/>
          <w:bCs/>
          <w:color w:val="000000" w:themeColor="text1"/>
          <w:sz w:val="20"/>
          <w:szCs w:val="20"/>
        </w:rPr>
        <w:t>r</w:t>
      </w:r>
      <w:r w:rsidR="00DB0C8D" w:rsidRPr="001A4F57">
        <w:rPr>
          <w:rFonts w:ascii="Palatino Linotype" w:hAnsi="Palatino Linotype"/>
          <w:bCs/>
          <w:color w:val="000000" w:themeColor="text1"/>
          <w:sz w:val="20"/>
          <w:szCs w:val="20"/>
        </w:rPr>
        <w:t xml:space="preserve">outine parasitological surveillance to assess endemicity and prevalence of intestinal schistosomiasis, as well as other intestinal helminth infections, </w:t>
      </w:r>
      <w:r w:rsidR="00EF0FEB">
        <w:rPr>
          <w:rFonts w:ascii="Palatino Linotype" w:hAnsi="Palatino Linotype"/>
          <w:bCs/>
          <w:color w:val="000000" w:themeColor="text1"/>
          <w:sz w:val="20"/>
          <w:szCs w:val="20"/>
        </w:rPr>
        <w:t>i</w:t>
      </w:r>
      <w:r w:rsidR="00DB0C8D" w:rsidRPr="001A4F57">
        <w:rPr>
          <w:rFonts w:ascii="Palatino Linotype" w:hAnsi="Palatino Linotype"/>
          <w:bCs/>
          <w:color w:val="000000" w:themeColor="text1"/>
          <w:sz w:val="20"/>
          <w:szCs w:val="20"/>
        </w:rPr>
        <w:t xml:space="preserve">n a community is typically carried out </w:t>
      </w:r>
      <w:r w:rsidR="00DB0C8D" w:rsidRPr="00D473B1">
        <w:rPr>
          <w:rFonts w:ascii="Palatino Linotype" w:hAnsi="Palatino Linotype"/>
          <w:bCs/>
          <w:color w:val="000000" w:themeColor="text1"/>
          <w:sz w:val="20"/>
          <w:szCs w:val="20"/>
        </w:rPr>
        <w:t>via</w:t>
      </w:r>
      <w:r w:rsidR="00DB0C8D" w:rsidRPr="001A4F57">
        <w:rPr>
          <w:rFonts w:ascii="Palatino Linotype" w:hAnsi="Palatino Linotype"/>
          <w:bCs/>
          <w:i/>
          <w:iCs/>
          <w:color w:val="000000" w:themeColor="text1"/>
          <w:sz w:val="20"/>
          <w:szCs w:val="20"/>
        </w:rPr>
        <w:t xml:space="preserve"> </w:t>
      </w:r>
      <w:r w:rsidR="00DB0C8D" w:rsidRPr="001A4F57">
        <w:rPr>
          <w:rFonts w:ascii="Palatino Linotype" w:hAnsi="Palatino Linotype"/>
          <w:bCs/>
          <w:color w:val="000000" w:themeColor="text1"/>
          <w:sz w:val="20"/>
          <w:szCs w:val="20"/>
        </w:rPr>
        <w:t xml:space="preserve">the Kato-Katz technique using faecal samples provided by school-aged children </w:t>
      </w:r>
      <w:r w:rsidR="0073125D" w:rsidRPr="001A4F57">
        <w:rPr>
          <w:rFonts w:ascii="Palatino Linotype" w:hAnsi="Palatino Linotype"/>
          <w:bCs/>
          <w:color w:val="000000" w:themeColor="text1"/>
          <w:sz w:val="20"/>
          <w:szCs w:val="20"/>
        </w:rPr>
        <w:fldChar w:fldCharType="begin" w:fldLock="1"/>
      </w:r>
      <w:r w:rsidR="001A0DC3" w:rsidRPr="001A4F57">
        <w:rPr>
          <w:rFonts w:ascii="Palatino Linotype" w:hAnsi="Palatino Linotype"/>
          <w:bCs/>
          <w:color w:val="000000" w:themeColor="text1"/>
          <w:sz w:val="20"/>
          <w:szCs w:val="20"/>
        </w:rPr>
        <w:instrText>ADDIN CSL_CITATION {"citationItems":[{"id":"ITEM-1","itemData":{"ISSN":"00364665","PMID":"4675644","author":[{"dropping-particle":"","family":"Katz","given":"N.","non-dropping-particle":"","parse-names":false,"suffix":""},{"dropping-particle":"","family":"Chaves","given":"A.","non-dropping-particle":"","parse-names":false,"suffix":""},{"dropping-particle":"","family":"Pellegrino","given":"J.","non-dropping-particle":"","parse-names":false,"suffix":""}],"container-title":"Revista do Instituto de Medicina Tropical de Sao Paulo","id":"ITEM-1","issue":"6","issued":{"date-parts":[["1972"]]},"page":"397-400","title":"A simple device for quantitative stool thick-smear technique in Schistosomiasis mansoni.","type":"article-journal","volume":"14"},"uris":["http://www.mendeley.com/documents/?uuid=08fff8b0-58c5-442d-90f1-6b431c9836a2"]}],"mendeley":{"formattedCitation":"[62]","plainTextFormattedCitation":"[62]","previouslyFormattedCitation":"[62]"},"properties":{"noteIndex":0},"schema":"https://github.com/citation-style-language/schema/raw/master/csl-citation.json"}</w:instrText>
      </w:r>
      <w:r w:rsidR="0073125D" w:rsidRPr="001A4F57">
        <w:rPr>
          <w:rFonts w:ascii="Palatino Linotype" w:hAnsi="Palatino Linotype"/>
          <w:bCs/>
          <w:color w:val="000000" w:themeColor="text1"/>
          <w:sz w:val="20"/>
          <w:szCs w:val="20"/>
        </w:rPr>
        <w:fldChar w:fldCharType="separate"/>
      </w:r>
      <w:r w:rsidR="001D3544" w:rsidRPr="001A4F57">
        <w:rPr>
          <w:rFonts w:ascii="Palatino Linotype" w:hAnsi="Palatino Linotype"/>
          <w:bCs/>
          <w:noProof/>
          <w:color w:val="000000" w:themeColor="text1"/>
          <w:sz w:val="20"/>
          <w:szCs w:val="20"/>
        </w:rPr>
        <w:t>[62]</w:t>
      </w:r>
      <w:r w:rsidR="0073125D" w:rsidRPr="001A4F57">
        <w:rPr>
          <w:rFonts w:ascii="Palatino Linotype" w:hAnsi="Palatino Linotype"/>
          <w:bCs/>
          <w:color w:val="000000" w:themeColor="text1"/>
          <w:sz w:val="20"/>
          <w:szCs w:val="20"/>
        </w:rPr>
        <w:fldChar w:fldCharType="end"/>
      </w:r>
      <w:r w:rsidR="00DB0C8D" w:rsidRPr="001A4F57">
        <w:rPr>
          <w:rFonts w:ascii="Palatino Linotype" w:hAnsi="Palatino Linotype"/>
          <w:bCs/>
          <w:color w:val="000000" w:themeColor="text1"/>
          <w:sz w:val="20"/>
          <w:szCs w:val="20"/>
        </w:rPr>
        <w:t xml:space="preserve">. </w:t>
      </w:r>
      <w:r w:rsidR="00550CE7" w:rsidRPr="001A4F57">
        <w:rPr>
          <w:rFonts w:ascii="Palatino Linotype" w:hAnsi="Palatino Linotype"/>
        </w:rPr>
        <w:t xml:space="preserve"> </w:t>
      </w:r>
      <w:r w:rsidR="00550CE7" w:rsidRPr="001A4F57">
        <w:rPr>
          <w:rFonts w:ascii="Palatino Linotype" w:hAnsi="Palatino Linotype"/>
          <w:sz w:val="20"/>
          <w:szCs w:val="20"/>
        </w:rPr>
        <w:t>Whilst inexpensive and portable, the sensitivity of Kato-Katz is</w:t>
      </w:r>
      <w:r w:rsidR="0068361C" w:rsidRPr="001A4F57">
        <w:rPr>
          <w:rFonts w:ascii="Palatino Linotype" w:hAnsi="Palatino Linotype"/>
          <w:sz w:val="20"/>
          <w:szCs w:val="20"/>
        </w:rPr>
        <w:t>, however,</w:t>
      </w:r>
      <w:r w:rsidR="00550CE7" w:rsidRPr="001A4F57">
        <w:rPr>
          <w:rFonts w:ascii="Palatino Linotype" w:hAnsi="Palatino Linotype"/>
          <w:sz w:val="20"/>
          <w:szCs w:val="20"/>
        </w:rPr>
        <w:t xml:space="preserve"> severely reduced in low-intensity infections, hampering its use in areas of low disease endemicity or in areas having undergone successful disease control intervention </w:t>
      </w:r>
      <w:r w:rsidR="00550CE7" w:rsidRPr="001A4F57">
        <w:rPr>
          <w:rFonts w:ascii="Palatino Linotype" w:hAnsi="Palatino Linotype"/>
          <w:sz w:val="20"/>
          <w:szCs w:val="20"/>
        </w:rPr>
        <w:fldChar w:fldCharType="begin" w:fldLock="1"/>
      </w:r>
      <w:r w:rsidR="001A0DC3" w:rsidRPr="001A4F57">
        <w:rPr>
          <w:rFonts w:ascii="Palatino Linotype" w:hAnsi="Palatino Linotype"/>
          <w:sz w:val="20"/>
          <w:szCs w:val="20"/>
        </w:rPr>
        <w:instrText>ADDIN CSL_CITATION {"citationItems":[{"id":"ITEM-1","itemData":{"DOI":"10.1371/journal.pntd.0003139","ISSN":"19352735","PMID":"25211217","abstract":"In a high S. mansoni endemic area of Uganda, three days of consecutive stool samples were collected from primary school-aged children (six - 12 years) at five time-points in year one: baseline, one-week-post-, four-weeks-post-, six-months-post-, and six-months-one-week-post-praziquantel and three time-points in years two and three: pre-, one-week-post- and four-weeks-post-praziquantel-treatment/retreatment (n = 1065). Two Kato-Katzs were performed on each stool. In parallel, one urine sample was collected and a single POC-CCA evaluated per child at each time-point in year one (n = 367). At baseline, diagnosis by two Kato-Katzs (sensitivity = 98.6%) or one POC-CCA (sensitivity = 91.7%, specificity = 75.0%) accurately predicted S. mansoni infections. However, one year later, a minimum of three Kato-Katzs, and two years later, five Kato-Katzs were required for accurate diagnosis (sensitivity &gt;90%) and drug-efficacy evaluation. The POC-CCA was as sensitive as six Kato-Katzs four-weeks-post and six-months-post-treatment, if trace readings were classified as positive.\nSix Kato-Katzs (two/stool from three stools) and/or one POC-CCA are required for M&amp;E or drug-efficacy studies. Although unable to measure egg reduction rates, one POC-CCA appears to be more sensitive than six Kato-Katzs at four-weeks-post-praziquantel (drug efficacy) and six-months-post-praziquantel (M&amp;E).\nTwo Kato-Katz thick smears (Kato-Katzs) from a single stool are currently recommended for diagnosing Schistosoma mansoni infections to map areas for intervention. This ‘gold standard’ has low sensitivity at low infection intensities. The urine point-of-care circulating cathodic antigen test (POC-CCA) is potentially more sensitive but how accurately they detect S. mansoni after repeated praziquantel treatments, their suitability for measuring drug efficacy and their correlation with egg counts remain to be fully understood. We compared the accuracies of one to six Kato-Katzs and one POC-CCA for the diagnosis of S. mansoni in primary-school children who have received zero to ten praziquantel treatments. We determined the impact each diagnostic approach may have on monitoring and evaluation (M&amp;E) and drug-efficacy findings.","author":[{"dropping-particle":"","family":"Lamberton","given":"Poppy H.L.","non-dropping-particle":"","parse-names":false,"suffix":""},{"dropping-particle":"","family":"Kabatereine","given":"Narcis B.","non-dropping-particle":"","parse-names":false,"suffix":""},{"dropping-particle":"","family":"Oguttu","given":"David W.","non-dropping-particle":"","parse-names":false,"suffix":""},{"dropping-particle":"","family":"Fenwick","given":"Alan","non-dropping-particle":"","parse-names":false,"suffix":""},{"dropping-particle":"","family":"Webster","given":"Joanne P.","non-dropping-particle":"","parse-names":false,"suffix":""}],"container-title":"PLoS Neglected Tropical Diseases","id":"ITEM-1","issue":"9","issued":{"date-parts":[["2014"]]},"title":"Sensitivity and Specificity of Multiple Kato-Katz Thick Smears and a Circulating Cathodic Antigen Test for Schistosoma mansoni Diagnosis Pre- and Post-repeated-Praziquantel Treatment","type":"article-journal","volume":"8"},"uris":["http://www.mendeley.com/documents/?uuid=5af73ecb-150d-49d7-9020-d4f4f100c632"]},{"id":"ITEM-2","itemData":{"DOI":"10.1016/j.actatropica.2018.01.011","ISSN":"18736254","PMID":"29395034","abstract":"The detection and characterization of genotypes and sub genotypes of Cryptosporidium and Giardia is essential for their enumeration, surveillance, prevention, and control. Different diagnostic methods are available for the analysis of Cryptosporidium and Giardia including conventional phenotypic tools that face major limitations in the specific diagnosis of these protozoan parasites. The substantial advancement in the development of genetic signature based molecular tools for the quantification, diagnosis and genetic variation analysis has increased the understanding of the epidemiology and preventive measures of related infections. The conventional methods such as microscopy, antibody and enzyme based approaches, offer better detection results when combined with advanced molecular methods. Gene based approaches increase the precision of identification, for example, many signatures detected in environmental matrices represent species/genotype that are not infectious to humans. This review summarizes the available methods and the advantages and limitations of advance detection techniques like nucleic acid-based approaches for the detection of viable oocysts and cysts of Cryptosporidium and Giardia along with the conventional and widely accepted detection techniques like microscopy, antibody and enzyme based ones. This technical article also encourages the wide application of molecular methods in genetic characterization of distinct species of Cryptosporidium and Giardia, to adopt necessary preventive measures with reliable identification and mapping the source of contamination.","author":[{"dropping-particle":"","family":"Adeyemo","given":"Folasade Esther","non-dropping-particle":"","parse-names":false,"suffix":""},{"dropping-particle":"","family":"Singh","given":"Gulshan","non-dropping-particle":"","parse-names":false,"suffix":""},{"dropping-particle":"","family":"Reddy","given":"Poovendhree","non-dropping-particle":"","parse-names":false,"suffix":""},{"dropping-particle":"","family":"Stenström","given":"Thor Axel","non-dropping-particle":"","parse-names":false,"suffix":""}],"container-title":"Acta Tropica","id":"ITEM-2","issue":"January","issued":{"date-parts":[["2018"]]},"page":"15-28","publisher":"Elsevier","title":"Methods for the detection of Cryptosporidium and Giardia: From microscopy to nucleic acid based tools in clinical and environmental regimes","type":"article-journal","volume":"184"},"uris":["http://www.mendeley.com/documents/?uuid=652a4c63-738c-4bdb-93be-393639d5a6a2"]},{"id":"ITEM-3","itemData":{"DOI":"10.7860/jcdr/2014/9484.5087","ISSN":"2249782X","abstract":"BACKGROUND: Giardia lamblia, a flagellate protozoa, is a common causative agent of parasitic diarrhoeal diseases of humans. Laboratory diagnosis mainly consists of direct microscopic examination of stool specimen for trophozoite and cysts of Giardia. However, due to intermittent faecal excretion of parasite, the case may be miss diagnosed and the patient may continue excreting the parasite and infecting others. Therefore, other mode of diagnosis should be looked for, which overcome the above drawbacks of microscopy used alone for diagnosis. OBJECTIVES: The present study was done to evaluate the efficacy of RIDASCREEN Giardia (ELISA) test in comparison to direct microscopy in the diagnosis of Giardia lamblia in stool specimens from patients with diarrhea and other gastrointestinal symptoms. MATERIALS AND METHODS: A total of 1680 patients were included in the study and three faecal specimens were taken from each patient which was divided into two parts. One part was used for direct wet mount examination and second part was used to put ELISA by using RIDASCREEN Giardia test. RESULTS: Out of 1680 stool samples, 380 specimens (22.6%) were found to be positive for Giardia lamblia. Maximum cases were detected by RIDASCREEN Giardia (ELISA) test with sensitivity of 100% and specificity of 91.5%. Maximum cases of giardiasis were detected in children less than 10 y of age (12.8%). CONCLUSION: RIDASCREEN Giardia test is a rapid and effective method with high sensitivity and specificity and detects Giardia antigens in stool specimens even when the count of parasite is low, thus reducing the chances of missing even the asymptomatic cases.","author":[{"dropping-particle":"","family":"Zahan","given":"Noor","non-dropping-particle":"","parse-names":false,"suffix":""}],"container-title":"Journal of Clinical and Diagnostic Research","id":"ITEM-3","issue":"11","issued":{"date-parts":[["2014"]]},"page":"10-12","title":"A Comparison of Microscopy and Enzyme Linked Immunosorbent Assay for Diagnosis of Giardia lamblia in Human Faecal Specimens","type":"article-journal","volume":"8"},"uris":["http://www.mendeley.com/documents/?uuid=3164462e-913c-4382-9c08-f3849983df13"]}],"mendeley":{"formattedCitation":"[63–65]","plainTextFormattedCitation":"[63–65]","previouslyFormattedCitation":"[63–65]"},"properties":{"noteIndex":0},"schema":"https://github.com/citation-style-language/schema/raw/master/csl-citation.json"}</w:instrText>
      </w:r>
      <w:r w:rsidR="00550CE7" w:rsidRPr="001A4F57">
        <w:rPr>
          <w:rFonts w:ascii="Palatino Linotype" w:hAnsi="Palatino Linotype"/>
          <w:sz w:val="20"/>
          <w:szCs w:val="20"/>
        </w:rPr>
        <w:fldChar w:fldCharType="separate"/>
      </w:r>
      <w:r w:rsidR="001D3544" w:rsidRPr="001A4F57">
        <w:rPr>
          <w:rFonts w:ascii="Palatino Linotype" w:hAnsi="Palatino Linotype"/>
          <w:noProof/>
          <w:sz w:val="20"/>
          <w:szCs w:val="20"/>
        </w:rPr>
        <w:t>[63–65]</w:t>
      </w:r>
      <w:r w:rsidR="00550CE7" w:rsidRPr="001A4F57">
        <w:rPr>
          <w:rFonts w:ascii="Palatino Linotype" w:hAnsi="Palatino Linotype"/>
          <w:sz w:val="20"/>
          <w:szCs w:val="20"/>
        </w:rPr>
        <w:fldChar w:fldCharType="end"/>
      </w:r>
      <w:r w:rsidR="00550CE7" w:rsidRPr="001A4F57">
        <w:rPr>
          <w:rFonts w:ascii="Palatino Linotype" w:hAnsi="Palatino Linotype"/>
          <w:sz w:val="20"/>
          <w:szCs w:val="20"/>
        </w:rPr>
        <w:t>.</w:t>
      </w:r>
    </w:p>
    <w:p w14:paraId="31C54CDD" w14:textId="32F76374" w:rsidR="004126F2" w:rsidRPr="001A4F57" w:rsidRDefault="00CE4BF1" w:rsidP="00623479">
      <w:pPr>
        <w:ind w:firstLine="420"/>
        <w:jc w:val="both"/>
        <w:rPr>
          <w:rFonts w:ascii="Palatino Linotype" w:hAnsi="Palatino Linotype"/>
          <w:sz w:val="20"/>
          <w:szCs w:val="20"/>
        </w:rPr>
      </w:pPr>
      <w:r w:rsidRPr="001A4F57">
        <w:rPr>
          <w:rFonts w:ascii="Palatino Linotype" w:hAnsi="Palatino Linotype"/>
          <w:bCs/>
          <w:color w:val="000000" w:themeColor="text1"/>
          <w:sz w:val="20"/>
          <w:szCs w:val="20"/>
        </w:rPr>
        <w:t>Giardiasis</w:t>
      </w:r>
      <w:r w:rsidR="00E42542" w:rsidRPr="001A4F57">
        <w:rPr>
          <w:rFonts w:ascii="Palatino Linotype" w:hAnsi="Palatino Linotype"/>
          <w:bCs/>
          <w:color w:val="000000" w:themeColor="text1"/>
          <w:sz w:val="20"/>
          <w:szCs w:val="20"/>
        </w:rPr>
        <w:t xml:space="preserve"> </w:t>
      </w:r>
      <w:r w:rsidRPr="001A4F57">
        <w:rPr>
          <w:rFonts w:ascii="Palatino Linotype" w:hAnsi="Palatino Linotype"/>
          <w:bCs/>
          <w:color w:val="000000" w:themeColor="text1"/>
          <w:sz w:val="20"/>
          <w:szCs w:val="20"/>
        </w:rPr>
        <w:t xml:space="preserve">cannot be </w:t>
      </w:r>
      <w:r w:rsidR="00202EC8" w:rsidRPr="001A4F57">
        <w:rPr>
          <w:rFonts w:ascii="Palatino Linotype" w:hAnsi="Palatino Linotype"/>
          <w:bCs/>
          <w:color w:val="000000" w:themeColor="text1"/>
          <w:sz w:val="20"/>
          <w:szCs w:val="20"/>
        </w:rPr>
        <w:t xml:space="preserve">reliably </w:t>
      </w:r>
      <w:r w:rsidRPr="001A4F57">
        <w:rPr>
          <w:rFonts w:ascii="Palatino Linotype" w:hAnsi="Palatino Linotype"/>
          <w:bCs/>
          <w:color w:val="000000" w:themeColor="text1"/>
          <w:sz w:val="20"/>
          <w:szCs w:val="20"/>
        </w:rPr>
        <w:t xml:space="preserve">detected using the Kato-Katz method, and so </w:t>
      </w:r>
      <w:r w:rsidR="007108D7" w:rsidRPr="001A4F57">
        <w:rPr>
          <w:rFonts w:ascii="Palatino Linotype" w:hAnsi="Palatino Linotype"/>
          <w:bCs/>
          <w:color w:val="000000" w:themeColor="text1"/>
          <w:sz w:val="20"/>
          <w:szCs w:val="20"/>
        </w:rPr>
        <w:t>alternative methods</w:t>
      </w:r>
      <w:r w:rsidR="000F34ED" w:rsidRPr="001A4F57">
        <w:rPr>
          <w:rFonts w:ascii="Palatino Linotype" w:hAnsi="Palatino Linotype"/>
          <w:bCs/>
          <w:color w:val="000000" w:themeColor="text1"/>
          <w:sz w:val="20"/>
          <w:szCs w:val="20"/>
        </w:rPr>
        <w:t>,</w:t>
      </w:r>
      <w:r w:rsidR="007108D7" w:rsidRPr="001A4F57">
        <w:rPr>
          <w:rFonts w:ascii="Palatino Linotype" w:hAnsi="Palatino Linotype"/>
          <w:bCs/>
          <w:color w:val="000000" w:themeColor="text1"/>
          <w:sz w:val="20"/>
          <w:szCs w:val="20"/>
        </w:rPr>
        <w:t xml:space="preserve"> such as</w:t>
      </w:r>
      <w:r w:rsidR="00077BDF" w:rsidRPr="001A4F57">
        <w:rPr>
          <w:rFonts w:ascii="Palatino Linotype" w:hAnsi="Palatino Linotype"/>
          <w:bCs/>
          <w:color w:val="000000" w:themeColor="text1"/>
          <w:sz w:val="20"/>
          <w:szCs w:val="20"/>
        </w:rPr>
        <w:t xml:space="preserve"> </w:t>
      </w:r>
      <w:r w:rsidRPr="001A4F57">
        <w:rPr>
          <w:rFonts w:ascii="Palatino Linotype" w:hAnsi="Palatino Linotype"/>
          <w:sz w:val="20"/>
          <w:szCs w:val="20"/>
        </w:rPr>
        <w:t>formalin/ether concentration techniques, flotation techniques or immunofluorescent antibody microscopy</w:t>
      </w:r>
      <w:r w:rsidR="000F34ED" w:rsidRPr="001A4F57">
        <w:rPr>
          <w:rFonts w:ascii="Palatino Linotype" w:hAnsi="Palatino Linotype"/>
          <w:sz w:val="20"/>
          <w:szCs w:val="20"/>
        </w:rPr>
        <w:t>,</w:t>
      </w:r>
      <w:r w:rsidRPr="001A4F57">
        <w:rPr>
          <w:rFonts w:ascii="Palatino Linotype" w:hAnsi="Palatino Linotype"/>
          <w:sz w:val="20"/>
          <w:szCs w:val="20"/>
        </w:rPr>
        <w:t xml:space="preserve"> </w:t>
      </w:r>
      <w:r w:rsidR="00DB337C" w:rsidRPr="001A4F57">
        <w:rPr>
          <w:rFonts w:ascii="Palatino Linotype" w:hAnsi="Palatino Linotype"/>
          <w:sz w:val="20"/>
          <w:szCs w:val="20"/>
        </w:rPr>
        <w:t>are</w:t>
      </w:r>
      <w:r w:rsidRPr="001A4F57">
        <w:rPr>
          <w:rFonts w:ascii="Palatino Linotype" w:hAnsi="Palatino Linotype"/>
          <w:sz w:val="20"/>
          <w:szCs w:val="20"/>
        </w:rPr>
        <w:t xml:space="preserve"> needed </w:t>
      </w:r>
      <w:r w:rsidRPr="001A4F57">
        <w:rPr>
          <w:rFonts w:ascii="Palatino Linotype" w:hAnsi="Palatino Linotype"/>
          <w:sz w:val="20"/>
          <w:szCs w:val="20"/>
        </w:rPr>
        <w:fldChar w:fldCharType="begin" w:fldLock="1"/>
      </w:r>
      <w:r w:rsidR="002A145D" w:rsidRPr="001A4F57">
        <w:rPr>
          <w:rFonts w:ascii="Palatino Linotype" w:hAnsi="Palatino Linotype"/>
          <w:sz w:val="20"/>
          <w:szCs w:val="20"/>
        </w:rPr>
        <w:instrText>ADDIN CSL_CITATION {"citationItems":[{"id":"ITEM-1","itemData":{"DOI":"10.1093/trstmh/trw072","ISSN":"18783503","abstract":"Background: Water-borne parasitic diseases associated with poverty still blight the lives of African school children. In Uganda, intestinal schistosomiasis is still common along the shoreline of Lake Albert, despite ongoing control, and co-infection with giardiasis and malaria is poorly described. To shed light on putative interactions between diseases, a prospective cross-sectional parasitological survey was undertaken in five primary schools. Methods: Stool samples from 254 school children, aged 5-10 years, were examined by microscopy and rapid diagnostic tests (RDTs), with additional real-time PCR assays for detection of Giardia DNA. A finger-prick blood sample was also taken from each child and tested for malaria, and haemoblobin levels measured. Assocations between diseases and anaemia were assessed. Results: Intestinal schistosomiasis (46.5%), giardiasis (41.6%) and malaria (56.2%) were common, and a quarter of children were anaemic (&lt; 115 g/L). Up to 87.0% of children were excreting Giardia DNA and the prevalence of heavy infection by real-time PCR (Ct≤19) was 19.5%, being positively associated with light, moderate and heavy egg-patent schistosomiasis, as well as with anaemia. Conclusions: In this setting, an extensive burden of giardiasis was revealed with heavy intensity infections associated with egg-patent intestinal schistosomiasis and anaemia. To improve child health, greater attention on giardiasis is needed along with exploring joined-up actions across diseases that promote better water hygiene and sanitation measures.","author":[{"dropping-particle":"","family":"Al-Shehri","given":"Hajri","non-dropping-particle":"","parse-names":false,"suffix":""},{"dropping-particle":"","family":"Stanton","given":"Michelle C.","non-dropping-particle":"","parse-names":false,"suffix":""},{"dropping-particle":"","family":"LaCourse","given":"James E.","non-dropping-particle":"","parse-names":false,"suffix":""},{"dropping-particle":"","family":"Atuhaire","given":"Aaron","non-dropping-particle":"","parse-names":false,"suffix":""},{"dropping-particle":"","family":"Arinaitwe","given":"Moses","non-dropping-particle":"","parse-names":false,"suffix":""},{"dropping-particle":"","family":"Wamboko","given":"Aida","non-dropping-particle":"","parse-names":false,"suffix":""},{"dropping-particle":"","family":"Adriko","given":"Moses","non-dropping-particle":"","parse-names":false,"suffix":""},{"dropping-particle":"","family":"Kabatereine","given":"Narcis B.","non-dropping-particle":"","parse-names":false,"suffix":""},{"dropping-particle":"","family":"Stothard","given":"J. Russell","non-dropping-particle":"","parse-names":false,"suffix":""}],"container-title":"Transactions of the Royal Society of Tropical Medicine and Hygiene","id":"ITEM-1","issue":"10","issued":{"date-parts":[["2016"]]},"page":"597-603","title":"An extensive burden of giardiasis associated with intestinal schistosomiasis and anaemia in school children on the shoreline of Lake Albert, Uganda","type":"article-journal","volume":"110"},"uris":["http://www.mendeley.com/documents/?uuid=9927f4ed-e1bd-4ca4-a075-6e3dc23f87b8"]},{"id":"ITEM-2","itemData":{"DOI":"10.1371/journal.pntd.0002344","ISSN":"19352735","abstract":"Background:Soil-transmitted helminths and intestinal protozoa infection are widespread in developing countries, yet an accurate diagnosis is rarely performed. The aim of this study was to evaluate the recently developed mini-FLOTAC method and to compare with currently more widely used techniques for the diagnosis of intestinal parasitic infections in different settings.Methodology/Principal Findings:The study was carried out in Dharamsala, Himachal Pradesh, India, and in Bukumbi, Tanzania. A total of 180 pupils from two primary schools had their stool analyzed (n = 80 in Dharamsala and n = 100 in Bukumbi) for intestinal parasitic infections with three diagnostic methods: direct fecal smear, formol-ether concentration method (FECM) and mini-FLOTAC. Overall, 72% of the pupils were positive for any intestinal parasitic infection, 24% carried dual infections and 11% three infections or more. The most frequently encountered intestinal parasites were Entamoeba coli, Entamoeba histolytica/dispar, Giardia intestinalis, hookworm, (and Schistosoma mansoni, in Tanzania). Statistically significant differences were found in the detection of parasitic infections among the three methods: mini-FLOTAC was the most sensitive method for helminth infections (90% mini-FLOTAC, 60% FECM, and 30% direct fecal smear), whereas FECM was most sensitive for intestinal protozoa infections (88% FECM, 70% direct fecal smear, and 68% mini-FLOTAC).Conclusion/Significance:We present the first experiences with the mini-FLOTAC for the diagnosis of intestinal helminths and protozoa. Our results suggest that it is a valid, sensitive and potentially low-cost alternative technique that could be used in resource-limited settings - particularly for helminth diagnosis. © 2013 Barda et al.","author":[{"dropping-particle":"","family":"Barda","given":"Beatrice Divina","non-dropping-particle":"","parse-names":false,"suffix":""},{"dropping-particle":"","family":"Rinaldi","given":"Laura","non-dropping-particle":"","parse-names":false,"suffix":""},{"dropping-particle":"","family":"Ianniello","given":"Davide","non-dropping-particle":"","parse-names":false,"suffix":""},{"dropping-particle":"","family":"Zepherine","given":"Henry","non-dropping-particle":"","parse-names":false,"suffix":""},{"dropping-particle":"","family":"Salvo","given":"Fulvio","non-dropping-particle":"","parse-names":false,"suffix":""},{"dropping-particle":"","family":"Sadutshang","given":"Tsetan","non-dropping-particle":"","parse-names":false,"suffix":""},{"dropping-particle":"","family":"Cringoli","given":"Giuseppe","non-dropping-particle":"","parse-names":false,"suffix":""},{"dropping-particle":"","family":"Clementi","given":"Massimo","non-dropping-particle":"","parse-names":false,"suffix":""},{"dropping-particle":"","family":"Albonico","given":"Marco","non-dropping-particle":"","parse-names":false,"suffix":""}],"container-title":"PLoS Neglected Tropical Diseases","id":"ITEM-2","issue":"8","issued":{"date-parts":[["2013"]]},"title":"Mini-FLOTAC, an Innovative Direct Diagnostic Technique for Intestinal Parasitic Infections: Experience from the Field","type":"article-journal","volume":"7"},"uris":["http://www.mendeley.com/documents/?uuid=0e53d617-e4e1-4658-a631-b5b497f7aca5"]},{"id":"ITEM-3","itemData":{"DOI":"10.1016/j.actatropica.2014.05.012","ISSN":"18736254","abstract":"Background: Helminths and protozoa infections pose a great burden especially in developing countries, due to morbidity caused by both acute and chronic infection. The aim of our survey was to analyze the intestinal parasitic burden in communities from Mwanza region, Tanzania. Methods: Subjects (n= 251) from four villages on the South of Lake Victoria have been analyzed for intestinal parasites with direct smear (DS), formol-ether concentration method (FECM) and the newly developed Mini-FLOTAC technique; urinary schistosomiasis was also assessed in a subsample (n= 151); symptoms were registered and correlation between clinic and infections was calculated by chi-squared test and logistical regression. Results: Out of the subjects screened for intestinal and for urinary parasites, 87% (218/251) were found positive for any infection, 69% (174/251) carried a helminthic and 67% (167/251) a protozoan infection, almost half of them had a double or triple infection. The most common helminths were hookworms, followed by Schistosoma mansoni and Schistosoma haematobium. Among protozoa, the most common was Entamoeba coli followed by Entamoeba histolytica/dispar and Giardia intestinalis. Mini-FLOTAC detected a number of helminth infections (61.7%) higher than FECM (38.6%) and DS (17.9%). Some positive associations with abdominal symptoms were found and previous treatment was negatively correlated with infection. Conclusion: Despite the limited size of the examined population the current study indicates a high prevalence of intestinal parasitic infection in Bukumbi area, Tanzania, and Mini-FLOTAC showed to be a promising diagnostic tool for helminth infections. This high parasitic burden calls for starting a regular deworming programme and other preventive interventions in schools and in the community. © 2014 Elsevier B.V.","author":[{"dropping-particle":"","family":"Barda","given":"Beatrice","non-dropping-particle":"","parse-names":false,"suffix":""},{"dropping-particle":"","family":"Ianniello","given":"Davide","non-dropping-particle":"","parse-names":false,"suffix":""},{"dropping-particle":"","family":"Zepheryne","given":"Henry","non-dropping-particle":"","parse-names":false,"suffix":""},{"dropping-particle":"","family":"Rinaldi","given":"Laura","non-dropping-particle":"","parse-names":false,"suffix":""},{"dropping-particle":"","family":"Cringoli","given":"Giuseppe","non-dropping-particle":"","parse-names":false,"suffix":""},{"dropping-particle":"","family":"Burioni","given":"Roberto","non-dropping-particle":"","parse-names":false,"suffix":""},{"dropping-particle":"","family":"Albonico","given":"Marco","non-dropping-particle":"","parse-names":false,"suffix":""}],"container-title":"Acta Tropica","id":"ITEM-3","issued":{"date-parts":[["2014"]]},"page":"140-146","publisher":"Elsevier B.V.","title":"Parasitic infections on the shore of Lake Victoria (East Africa) detected by Mini-FLOTAC and standard techniques","type":"article-journal","volume":"137"},"uris":["http://www.mendeley.com/documents/?uuid=c09bccde-a437-4127-b6c0-ffa755090af7"]},{"id":"ITEM-4","itemData":{"DOI":"10.22037/ghfbb.v0i0.1414","ISSN":"20084234","PMID":"30949313","abstract":"Giardiasis has a global distribution and it is a common cause of diarrhea in both children and adults and is transmitted via the fecal-oral route through direct or indirect ingestion of cysts. The laboratory diagnosis of Giardia spp. is mainly based on demonstration of microscopic cyst or trophozoite in stool samples but several immunological-based assays and molecular methods are also available for giardiasis diagnosis. The aim of this study was to conduct a review of the applied methods in medical laboratory and to highlight pitfalls and challenges of them for diagnosis of giardiasis. In this article we have evaluated the Giardia diagnostic methods with a broad review of literature, electronic databases and books. The search has covered the articles and some textbooks that have published up to 2018. It has been concluded that traditional microscopy combination with stool concentration method should still be held in the routine medical laboratory due to economical and high sensitivity and immunological-based assay and molecular methods which are recommended to use as a complementary test to the traditional technique.","author":[{"dropping-particle":"","family":"Hossein Hooshyar, Parvin Rostamkhani, Mohsen Arbabi","given":"Mahdi Delavari","non-dropping-particle":"","parse-names":false,"suffix":""}],"container-title":"Gastroenterology and Hepatology","id":"ITEM-4","issued":{"date-parts":[["2019"]]},"page":"95, 347–349.","title":"Giardia lamblia infection: review of current diagnostic strategies","type":"article-journal"},"uris":["http://www.mendeley.com/documents/?uuid=779955bf-50cc-4d95-9157-fc2e8594e75e"]}],"mendeley":{"formattedCitation":"[11,66–68]","plainTextFormattedCitation":"[11,66–68]","previouslyFormattedCitation":"[11,66–68]"},"properties":{"noteIndex":0},"schema":"https://github.com/citation-style-language/schema/raw/master/csl-citation.json"}</w:instrText>
      </w:r>
      <w:r w:rsidRPr="001A4F57">
        <w:rPr>
          <w:rFonts w:ascii="Palatino Linotype" w:hAnsi="Palatino Linotype"/>
          <w:sz w:val="20"/>
          <w:szCs w:val="20"/>
        </w:rPr>
        <w:fldChar w:fldCharType="separate"/>
      </w:r>
      <w:r w:rsidR="002512CA" w:rsidRPr="001A4F57">
        <w:rPr>
          <w:rFonts w:ascii="Palatino Linotype" w:hAnsi="Palatino Linotype"/>
          <w:noProof/>
          <w:sz w:val="20"/>
          <w:szCs w:val="20"/>
        </w:rPr>
        <w:t>[11,66–68]</w:t>
      </w:r>
      <w:r w:rsidRPr="001A4F57">
        <w:rPr>
          <w:rFonts w:ascii="Palatino Linotype" w:hAnsi="Palatino Linotype"/>
          <w:sz w:val="20"/>
          <w:szCs w:val="20"/>
        </w:rPr>
        <w:fldChar w:fldCharType="end"/>
      </w:r>
      <w:r w:rsidRPr="001A4F57">
        <w:rPr>
          <w:rFonts w:ascii="Palatino Linotype" w:hAnsi="Palatino Linotype"/>
          <w:sz w:val="20"/>
          <w:szCs w:val="20"/>
        </w:rPr>
        <w:t xml:space="preserve">. </w:t>
      </w:r>
      <w:r w:rsidR="00AC6AEE" w:rsidRPr="001A4F57">
        <w:rPr>
          <w:rFonts w:ascii="Palatino Linotype" w:hAnsi="Palatino Linotype"/>
          <w:sz w:val="20"/>
          <w:szCs w:val="20"/>
        </w:rPr>
        <w:t>Unfortunately</w:t>
      </w:r>
      <w:r w:rsidR="007F1621" w:rsidRPr="001A4F57">
        <w:rPr>
          <w:rFonts w:ascii="Palatino Linotype" w:hAnsi="Palatino Linotype"/>
          <w:sz w:val="20"/>
          <w:szCs w:val="20"/>
        </w:rPr>
        <w:t xml:space="preserve">, </w:t>
      </w:r>
      <w:r w:rsidR="00E6117B" w:rsidRPr="001A4F57">
        <w:rPr>
          <w:rFonts w:ascii="Palatino Linotype" w:hAnsi="Palatino Linotype"/>
          <w:sz w:val="20"/>
          <w:szCs w:val="20"/>
        </w:rPr>
        <w:t xml:space="preserve">however, </w:t>
      </w:r>
      <w:r w:rsidR="00AC6AEE" w:rsidRPr="001A4F57">
        <w:rPr>
          <w:rFonts w:ascii="Palatino Linotype" w:hAnsi="Palatino Linotype"/>
          <w:sz w:val="20"/>
          <w:szCs w:val="20"/>
        </w:rPr>
        <w:t xml:space="preserve">none of these </w:t>
      </w:r>
      <w:r w:rsidR="00FC71DC" w:rsidRPr="001A4F57">
        <w:rPr>
          <w:rFonts w:ascii="Palatino Linotype" w:hAnsi="Palatino Linotype"/>
          <w:sz w:val="20"/>
          <w:szCs w:val="20"/>
        </w:rPr>
        <w:t xml:space="preserve">techniques </w:t>
      </w:r>
      <w:r w:rsidR="00AC6AEE" w:rsidRPr="001A4F57">
        <w:rPr>
          <w:rFonts w:ascii="Palatino Linotype" w:hAnsi="Palatino Linotype"/>
          <w:sz w:val="20"/>
          <w:szCs w:val="20"/>
        </w:rPr>
        <w:t xml:space="preserve">are straightforward or inexpensive to carry out under </w:t>
      </w:r>
      <w:r w:rsidR="002E4D05" w:rsidRPr="001A4F57">
        <w:rPr>
          <w:rFonts w:ascii="Palatino Linotype" w:hAnsi="Palatino Linotype"/>
          <w:sz w:val="20"/>
          <w:szCs w:val="20"/>
        </w:rPr>
        <w:t xml:space="preserve">rural </w:t>
      </w:r>
      <w:r w:rsidR="00AC6AEE" w:rsidRPr="001A4F57">
        <w:rPr>
          <w:rFonts w:ascii="Palatino Linotype" w:hAnsi="Palatino Linotype"/>
          <w:sz w:val="20"/>
          <w:szCs w:val="20"/>
        </w:rPr>
        <w:t xml:space="preserve">field conditions, particularly as it has been reported that formalin/ether concentration techniques have a higher sensitivity in detecting infection with </w:t>
      </w:r>
      <w:r w:rsidR="00AC6AEE" w:rsidRPr="001A4F57">
        <w:rPr>
          <w:rFonts w:ascii="Palatino Linotype" w:hAnsi="Palatino Linotype"/>
          <w:i/>
          <w:iCs/>
          <w:sz w:val="20"/>
          <w:szCs w:val="20"/>
        </w:rPr>
        <w:t>S. mansoni</w:t>
      </w:r>
      <w:r w:rsidR="00AC6AEE" w:rsidRPr="001A4F57">
        <w:rPr>
          <w:rFonts w:ascii="Palatino Linotype" w:hAnsi="Palatino Linotype"/>
          <w:sz w:val="20"/>
          <w:szCs w:val="20"/>
        </w:rPr>
        <w:t xml:space="preserve"> than the more field-deployable Kato-Katz </w:t>
      </w:r>
      <w:r w:rsidR="00DF75A1" w:rsidRPr="001A4F57">
        <w:rPr>
          <w:rFonts w:ascii="Palatino Linotype" w:hAnsi="Palatino Linotype"/>
          <w:sz w:val="20"/>
          <w:szCs w:val="20"/>
        </w:rPr>
        <w:t>technique</w:t>
      </w:r>
      <w:r w:rsidR="00AC6AEE" w:rsidRPr="001A4F57">
        <w:rPr>
          <w:rFonts w:ascii="Palatino Linotype" w:hAnsi="Palatino Linotype"/>
          <w:sz w:val="20"/>
          <w:szCs w:val="20"/>
        </w:rPr>
        <w:t xml:space="preserve"> </w:t>
      </w:r>
      <w:r w:rsidR="00FD0E9B" w:rsidRPr="001A4F57">
        <w:rPr>
          <w:rFonts w:ascii="Palatino Linotype" w:hAnsi="Palatino Linotype"/>
          <w:sz w:val="20"/>
          <w:szCs w:val="20"/>
        </w:rPr>
        <w:fldChar w:fldCharType="begin" w:fldLock="1"/>
      </w:r>
      <w:r w:rsidR="001A0DC3" w:rsidRPr="001A4F57">
        <w:rPr>
          <w:rFonts w:ascii="Palatino Linotype" w:hAnsi="Palatino Linotype"/>
          <w:sz w:val="20"/>
          <w:szCs w:val="20"/>
        </w:rPr>
        <w:instrText>ADDIN CSL_CITATION {"citationItems":[{"id":"ITEM-1","itemData":{"DOI":"10.1371/journal.pntd.0000754","ISSN":"1935-2735","PMID":"20651931","abstract":"Background: Infections with schistosomes and soil-transmitted helminths exert a considerable yet underappreciated economic and public health burden on afflicted populations. Accurate diagnosis is crucial for patient management, drug efficacy evaluations, and monitoring of large-scale community-based control programs. Methods/Principal Findings: The diagnostic accuracy of four copromicroscopic techniques (i.e., Kato-Katz, Koga agar plate, ether-concentration, and FLOTAC) for the detection of Schistosoma mansoni and soil-transmitted helminth eggs was compared using stool samples from 112 school children in Côte d'Ivoire. Combined results of all four methods served as a diagnostic 'gold' standard and revealed prevalences of S. mansoni, hookworm, Trichuris trichiura, Strongyloides stercoralis and Ascaris lumbricoides of 83.0%, 55.4%, 40.2%, 33.9% and 28.6%, respectively. A single FLOTAC from stool samples preserved in sodium acetate-acetic acid-formalin for 30 or 83 days showed a higher sensitivity for S. mansoni diagnosis (91.4%) than the ether-concentration method on stool samples preserved for 40 days (85.0%) or triplicate Kato-Katz using fresh stool samples (77.4%). Moreover, a single FLOTAC detected hookworm, A. lumbricoides and T. trichiura infections with a higher sensitivity than any of the other methods used, but resulted in lower egg counts. The Koga agar plate method was the most accurate diagnostic assay for S. stercoralis. Conclusion/Significance: We have shown that the FLOTAC method holds promise for the diagnosis of S. mansoni. Moreover, our study confirms that FLOTAC is a sensitive technique for detection of common soil-transmitted helminths. For the diagnosis of S. stercoralis, the Koga agar plate method remains the method of choice. © 2010 Glinz et al.","author":[{"dropping-particle":"","family":"Glinz","given":"Dominik","non-dropping-particle":"","parse-names":false,"suffix":""},{"dropping-particle":"","family":"Silué","given":"Kigbafori D.","non-dropping-particle":"","parse-names":false,"suffix":""},{"dropping-particle":"","family":"Knopp","given":"Stefanie","non-dropping-particle":"","parse-names":false,"suffix":""},{"dropping-particle":"","family":"Lohourignon","given":"Laurent K.","non-dropping-particle":"","parse-names":false,"suffix":""},{"dropping-particle":"","family":"Yao","given":"Kouassi P.","non-dropping-particle":"","parse-names":false,"suffix":""},{"dropping-particle":"","family":"Steinmann","given":"Peter","non-dropping-particle":"","parse-names":false,"suffix":""},{"dropping-particle":"","family":"Rinaldi","given":"Laura","non-dropping-particle":"","parse-names":false,"suffix":""},{"dropping-particle":"","family":"Cringoli","given":"Giuseppe","non-dropping-particle":"","parse-names":false,"suffix":""},{"dropping-particle":"","family":"N'Goran","given":"Eliézer K.","non-dropping-particle":"","parse-names":false,"suffix":""},{"dropping-particle":"","family":"Utzinger","given":"Jürg","non-dropping-particle":"","parse-names":false,"suffix":""}],"container-title":"PLoS Neglected Tropical Diseases","id":"ITEM-1","issue":"7","issued":{"date-parts":[["2010"]]},"title":"Comparing diagnostic accuracy of Kato-Katz, Koga Agar Plate, Ether-Concentration, and FLOTAC for Schistosoma mansoni and Soil-transmitted helminths","type":"article-journal","volume":"4"},"uris":["http://www.mendeley.com/documents/?uuid=3dc16126-7d81-477b-a1fa-f98142c538dd"]},{"id":"ITEM-2","itemData":{"DOI":"10.11648/j.ajhr.20140205.18","ISSN":"2330-8788","author":[{"dropping-particle":"","family":"Taye","given":"Solomon","non-dropping-particle":"","parse-names":false,"suffix":""}],"container-title":"American Journal of Health Research","id":"ITEM-2","issue":"5","issued":{"date-parts":[["2014"]]},"page":"271","title":"Comparison of Kato-Katz and Formol-Ether Concentration Methods for the Diagnosis of Intestinal Helminthic Infections among School Children of Wonji Shoa Town, Eastern Ethiopia: A School Based Cross-Sectional Study","type":"article-journal","volume":"2"},"uris":["http://www.mendeley.com/documents/?uuid=ba3a638b-3e85-478b-9829-f50eddebd481"]}],"mendeley":{"formattedCitation":"[69,70]","plainTextFormattedCitation":"[69,70]","previouslyFormattedCitation":"[69,70]"},"properties":{"noteIndex":0},"schema":"https://github.com/citation-style-language/schema/raw/master/csl-citation.json"}</w:instrText>
      </w:r>
      <w:r w:rsidR="00FD0E9B" w:rsidRPr="001A4F57">
        <w:rPr>
          <w:rFonts w:ascii="Palatino Linotype" w:hAnsi="Palatino Linotype"/>
          <w:sz w:val="20"/>
          <w:szCs w:val="20"/>
        </w:rPr>
        <w:fldChar w:fldCharType="separate"/>
      </w:r>
      <w:r w:rsidR="001D3544" w:rsidRPr="001A4F57">
        <w:rPr>
          <w:rFonts w:ascii="Palatino Linotype" w:hAnsi="Palatino Linotype"/>
          <w:noProof/>
          <w:sz w:val="20"/>
          <w:szCs w:val="20"/>
        </w:rPr>
        <w:t>[69,70]</w:t>
      </w:r>
      <w:r w:rsidR="00FD0E9B" w:rsidRPr="001A4F57">
        <w:rPr>
          <w:rFonts w:ascii="Palatino Linotype" w:hAnsi="Palatino Linotype"/>
          <w:sz w:val="20"/>
          <w:szCs w:val="20"/>
        </w:rPr>
        <w:fldChar w:fldCharType="end"/>
      </w:r>
      <w:r w:rsidR="00FD0E9B" w:rsidRPr="001A4F57">
        <w:rPr>
          <w:rFonts w:ascii="Palatino Linotype" w:hAnsi="Palatino Linotype"/>
          <w:sz w:val="20"/>
          <w:szCs w:val="20"/>
        </w:rPr>
        <w:t>.</w:t>
      </w:r>
      <w:r w:rsidR="00755B31" w:rsidRPr="001A4F57">
        <w:rPr>
          <w:rFonts w:ascii="Palatino Linotype" w:hAnsi="Palatino Linotype"/>
          <w:sz w:val="20"/>
          <w:szCs w:val="20"/>
        </w:rPr>
        <w:t xml:space="preserve"> </w:t>
      </w:r>
      <w:r w:rsidR="00CA0367" w:rsidRPr="001A4F57">
        <w:rPr>
          <w:rFonts w:ascii="Palatino Linotype" w:hAnsi="Palatino Linotype"/>
          <w:sz w:val="20"/>
          <w:szCs w:val="20"/>
        </w:rPr>
        <w:t>Moreover</w:t>
      </w:r>
      <w:r w:rsidR="00755B31" w:rsidRPr="001A4F57">
        <w:rPr>
          <w:rFonts w:ascii="Palatino Linotype" w:hAnsi="Palatino Linotype"/>
          <w:sz w:val="20"/>
          <w:szCs w:val="20"/>
        </w:rPr>
        <w:t xml:space="preserve">, </w:t>
      </w:r>
      <w:r w:rsidR="00F92849" w:rsidRPr="001A4F57">
        <w:rPr>
          <w:rFonts w:ascii="Palatino Linotype" w:hAnsi="Palatino Linotype"/>
          <w:sz w:val="20"/>
          <w:szCs w:val="20"/>
        </w:rPr>
        <w:t>these techniques can</w:t>
      </w:r>
      <w:r w:rsidR="008926D7" w:rsidRPr="001A4F57">
        <w:rPr>
          <w:rFonts w:ascii="Palatino Linotype" w:hAnsi="Palatino Linotype"/>
          <w:sz w:val="20"/>
          <w:szCs w:val="20"/>
        </w:rPr>
        <w:t xml:space="preserve"> also</w:t>
      </w:r>
      <w:r w:rsidR="00F92849" w:rsidRPr="001A4F57">
        <w:rPr>
          <w:rFonts w:ascii="Palatino Linotype" w:hAnsi="Palatino Linotype"/>
          <w:sz w:val="20"/>
          <w:szCs w:val="20"/>
        </w:rPr>
        <w:t xml:space="preserve"> </w:t>
      </w:r>
      <w:r w:rsidR="0027715E" w:rsidRPr="001A4F57">
        <w:rPr>
          <w:rFonts w:ascii="Palatino Linotype" w:hAnsi="Palatino Linotype"/>
          <w:sz w:val="20"/>
          <w:szCs w:val="20"/>
        </w:rPr>
        <w:t xml:space="preserve">often </w:t>
      </w:r>
      <w:r w:rsidR="00206271" w:rsidRPr="001A4F57">
        <w:rPr>
          <w:rFonts w:ascii="Palatino Linotype" w:hAnsi="Palatino Linotype"/>
          <w:sz w:val="20"/>
          <w:szCs w:val="20"/>
        </w:rPr>
        <w:t xml:space="preserve">be insufficiently sensitive to </w:t>
      </w:r>
      <w:r w:rsidR="00637F66" w:rsidRPr="001A4F57">
        <w:rPr>
          <w:rFonts w:ascii="Palatino Linotype" w:hAnsi="Palatino Linotype"/>
          <w:sz w:val="20"/>
          <w:szCs w:val="20"/>
        </w:rPr>
        <w:t xml:space="preserve">reliably </w:t>
      </w:r>
      <w:r w:rsidR="00206271" w:rsidRPr="001A4F57">
        <w:rPr>
          <w:rFonts w:ascii="Palatino Linotype" w:hAnsi="Palatino Linotype"/>
          <w:sz w:val="20"/>
          <w:szCs w:val="20"/>
        </w:rPr>
        <w:t>detect</w:t>
      </w:r>
      <w:r w:rsidR="00526E6F" w:rsidRPr="001A4F57">
        <w:rPr>
          <w:rFonts w:ascii="Palatino Linotype" w:hAnsi="Palatino Linotype"/>
          <w:sz w:val="20"/>
          <w:szCs w:val="20"/>
        </w:rPr>
        <w:t xml:space="preserve"> giardiasis</w:t>
      </w:r>
      <w:r w:rsidR="00206271" w:rsidRPr="001A4F57">
        <w:rPr>
          <w:rFonts w:ascii="Palatino Linotype" w:hAnsi="Palatino Linotype"/>
          <w:sz w:val="20"/>
          <w:szCs w:val="20"/>
        </w:rPr>
        <w:t xml:space="preserve"> </w:t>
      </w:r>
      <w:r w:rsidR="002F47E7" w:rsidRPr="001A4F57">
        <w:rPr>
          <w:rFonts w:ascii="Palatino Linotype" w:hAnsi="Palatino Linotype"/>
          <w:sz w:val="20"/>
          <w:szCs w:val="20"/>
        </w:rPr>
        <w:t xml:space="preserve">infection </w:t>
      </w:r>
      <w:r w:rsidR="00343B0A" w:rsidRPr="001A4F57">
        <w:rPr>
          <w:rFonts w:ascii="Palatino Linotype" w:hAnsi="Palatino Linotype"/>
          <w:sz w:val="20"/>
          <w:szCs w:val="20"/>
        </w:rPr>
        <w:fldChar w:fldCharType="begin" w:fldLock="1"/>
      </w:r>
      <w:r w:rsidR="001A0DC3" w:rsidRPr="001A4F57">
        <w:rPr>
          <w:rFonts w:ascii="Palatino Linotype" w:hAnsi="Palatino Linotype"/>
          <w:sz w:val="20"/>
          <w:szCs w:val="20"/>
        </w:rPr>
        <w:instrText>ADDIN CSL_CITATION {"citationItems":[{"id":"ITEM-1","itemData":{"DOI":"10.22037/ghfbb.v0i0.1414","ISSN":"20084234","PMID":"30949313","abstract":"Giardiasis has a global distribution and it is a common cause of diarrhea in both children and adults and is transmitted via the fecal-oral route through direct or indirect ingestion of cysts. The laboratory diagnosis of Giardia spp. is mainly based on demonstration of microscopic cyst or trophozoite in stool samples but several immunological-based assays and molecular methods are also available for giardiasis diagnosis. The aim of this study was to conduct a review of the applied methods in medical laboratory and to highlight pitfalls and challenges of them for diagnosis of giardiasis. In this article we have evaluated the Giardia diagnostic methods with a broad review of literature, electronic databases and books. The search has covered the articles and some textbooks that have published up to 2018. It has been concluded that traditional microscopy combination with stool concentration method should still be held in the routine medical laboratory due to economical and high sensitivity and immunological-based assay and molecular methods which are recommended to use as a complementary test to the traditional technique.","author":[{"dropping-particle":"","family":"Hossein Hooshyar, Parvin Rostamkhani, Mohsen Arbabi","given":"Mahdi Delavari","non-dropping-particle":"","parse-names":false,"suffix":""}],"container-title":"Gastroenterology and Hepatology","id":"ITEM-1","issued":{"date-parts":[["2019"]]},"page":"95, 347–349.","title":"Giardia lamblia infection: review of current diagnostic strategies","type":"article-journal"},"uris":["http://www.mendeley.com/documents/?uuid=779955bf-50cc-4d95-9157-fc2e8594e75e"]}],"mendeley":{"formattedCitation":"[68]","plainTextFormattedCitation":"[68]","previouslyFormattedCitation":"[68]"},"properties":{"noteIndex":0},"schema":"https://github.com/citation-style-language/schema/raw/master/csl-citation.json"}</w:instrText>
      </w:r>
      <w:r w:rsidR="00343B0A" w:rsidRPr="001A4F57">
        <w:rPr>
          <w:rFonts w:ascii="Palatino Linotype" w:hAnsi="Palatino Linotype"/>
          <w:sz w:val="20"/>
          <w:szCs w:val="20"/>
        </w:rPr>
        <w:fldChar w:fldCharType="separate"/>
      </w:r>
      <w:r w:rsidR="001D3544" w:rsidRPr="001A4F57">
        <w:rPr>
          <w:rFonts w:ascii="Palatino Linotype" w:hAnsi="Palatino Linotype"/>
          <w:noProof/>
          <w:sz w:val="20"/>
          <w:szCs w:val="20"/>
        </w:rPr>
        <w:t>[68]</w:t>
      </w:r>
      <w:r w:rsidR="00343B0A" w:rsidRPr="001A4F57">
        <w:rPr>
          <w:rFonts w:ascii="Palatino Linotype" w:hAnsi="Palatino Linotype"/>
          <w:sz w:val="20"/>
          <w:szCs w:val="20"/>
        </w:rPr>
        <w:fldChar w:fldCharType="end"/>
      </w:r>
      <w:r w:rsidR="00343B0A" w:rsidRPr="001A4F57">
        <w:rPr>
          <w:rFonts w:ascii="Palatino Linotype" w:hAnsi="Palatino Linotype"/>
          <w:sz w:val="20"/>
          <w:szCs w:val="20"/>
        </w:rPr>
        <w:t>.</w:t>
      </w:r>
    </w:p>
    <w:p w14:paraId="075C9AFD" w14:textId="115BD2F7" w:rsidR="000B60AF" w:rsidRDefault="00E242BA" w:rsidP="001A4F57">
      <w:pPr>
        <w:ind w:firstLine="420"/>
        <w:jc w:val="both"/>
      </w:pPr>
      <w:r w:rsidRPr="001A4F57">
        <w:rPr>
          <w:rFonts w:ascii="Palatino Linotype" w:hAnsi="Palatino Linotype"/>
          <w:sz w:val="20"/>
          <w:szCs w:val="20"/>
        </w:rPr>
        <w:t>For these reasons,</w:t>
      </w:r>
      <w:r w:rsidR="00A72EBB" w:rsidRPr="001A4F57">
        <w:rPr>
          <w:rFonts w:ascii="Palatino Linotype" w:hAnsi="Palatino Linotype"/>
          <w:sz w:val="20"/>
          <w:szCs w:val="20"/>
        </w:rPr>
        <w:t xml:space="preserve"> </w:t>
      </w:r>
      <w:r w:rsidR="004D573A" w:rsidRPr="001A4F57">
        <w:rPr>
          <w:rFonts w:ascii="Palatino Linotype" w:hAnsi="Palatino Linotype"/>
          <w:sz w:val="20"/>
          <w:szCs w:val="20"/>
        </w:rPr>
        <w:t xml:space="preserve">a variety of immunological and molecular diagnostic assays with improved sensitivity </w:t>
      </w:r>
      <w:r w:rsidR="0010184A" w:rsidRPr="001A4F57">
        <w:rPr>
          <w:rFonts w:ascii="Palatino Linotype" w:hAnsi="Palatino Linotype"/>
          <w:sz w:val="20"/>
          <w:szCs w:val="20"/>
        </w:rPr>
        <w:t xml:space="preserve">in detecting both </w:t>
      </w:r>
      <w:r w:rsidR="0010184A" w:rsidRPr="001A4F57">
        <w:rPr>
          <w:rFonts w:ascii="Palatino Linotype" w:hAnsi="Palatino Linotype"/>
          <w:i/>
          <w:iCs/>
          <w:sz w:val="20"/>
          <w:szCs w:val="20"/>
        </w:rPr>
        <w:t xml:space="preserve">S. mansoni </w:t>
      </w:r>
      <w:r w:rsidR="0010184A" w:rsidRPr="001A4F57">
        <w:rPr>
          <w:rFonts w:ascii="Palatino Linotype" w:hAnsi="Palatino Linotype"/>
          <w:sz w:val="20"/>
          <w:szCs w:val="20"/>
        </w:rPr>
        <w:t xml:space="preserve">and </w:t>
      </w:r>
      <w:r w:rsidR="0010184A" w:rsidRPr="001A4F57">
        <w:rPr>
          <w:rFonts w:ascii="Palatino Linotype" w:hAnsi="Palatino Linotype"/>
          <w:i/>
          <w:iCs/>
          <w:sz w:val="20"/>
          <w:szCs w:val="20"/>
        </w:rPr>
        <w:t xml:space="preserve">Giardia </w:t>
      </w:r>
      <w:r w:rsidR="0010184A" w:rsidRPr="001A4F57">
        <w:rPr>
          <w:rFonts w:ascii="Palatino Linotype" w:hAnsi="Palatino Linotype"/>
          <w:sz w:val="20"/>
          <w:szCs w:val="20"/>
        </w:rPr>
        <w:t>infection</w:t>
      </w:r>
      <w:r w:rsidR="004D573A" w:rsidRPr="001A4F57">
        <w:rPr>
          <w:rFonts w:ascii="Palatino Linotype" w:hAnsi="Palatino Linotype"/>
          <w:sz w:val="20"/>
          <w:szCs w:val="20"/>
        </w:rPr>
        <w:t xml:space="preserve"> </w:t>
      </w:r>
      <w:commentRangeStart w:id="21"/>
      <w:r w:rsidR="00EB07AD" w:rsidRPr="001A4F57">
        <w:rPr>
          <w:rFonts w:ascii="Palatino Linotype" w:hAnsi="Palatino Linotype"/>
          <w:sz w:val="20"/>
          <w:szCs w:val="20"/>
        </w:rPr>
        <w:t xml:space="preserve">using </w:t>
      </w:r>
      <w:r w:rsidR="00427178">
        <w:rPr>
          <w:rFonts w:ascii="Palatino Linotype" w:hAnsi="Palatino Linotype"/>
          <w:sz w:val="20"/>
          <w:szCs w:val="20"/>
        </w:rPr>
        <w:t xml:space="preserve">non-invasive </w:t>
      </w:r>
      <w:r w:rsidR="00710FF7">
        <w:rPr>
          <w:rFonts w:ascii="Palatino Linotype" w:hAnsi="Palatino Linotype"/>
          <w:sz w:val="20"/>
          <w:szCs w:val="20"/>
        </w:rPr>
        <w:t>urine</w:t>
      </w:r>
      <w:r w:rsidR="00427178">
        <w:rPr>
          <w:rFonts w:ascii="Palatino Linotype" w:hAnsi="Palatino Linotype"/>
          <w:sz w:val="20"/>
          <w:szCs w:val="20"/>
        </w:rPr>
        <w:t xml:space="preserve"> and</w:t>
      </w:r>
      <w:r w:rsidR="00710FF7">
        <w:rPr>
          <w:rFonts w:ascii="Palatino Linotype" w:hAnsi="Palatino Linotype"/>
          <w:sz w:val="20"/>
          <w:szCs w:val="20"/>
        </w:rPr>
        <w:t xml:space="preserve"> </w:t>
      </w:r>
      <w:r w:rsidR="00F3530D">
        <w:rPr>
          <w:rFonts w:ascii="Palatino Linotype" w:hAnsi="Palatino Linotype"/>
          <w:sz w:val="20"/>
          <w:szCs w:val="20"/>
        </w:rPr>
        <w:t>faecal</w:t>
      </w:r>
      <w:r w:rsidR="00EB07AD" w:rsidRPr="001A4F57">
        <w:rPr>
          <w:rFonts w:ascii="Palatino Linotype" w:hAnsi="Palatino Linotype"/>
          <w:sz w:val="20"/>
          <w:szCs w:val="20"/>
        </w:rPr>
        <w:t xml:space="preserve"> </w:t>
      </w:r>
      <w:r w:rsidR="00F3530D">
        <w:rPr>
          <w:rFonts w:ascii="Palatino Linotype" w:hAnsi="Palatino Linotype"/>
          <w:sz w:val="20"/>
          <w:szCs w:val="20"/>
        </w:rPr>
        <w:t>samples</w:t>
      </w:r>
      <w:commentRangeEnd w:id="21"/>
      <w:r w:rsidR="00F67E5E">
        <w:rPr>
          <w:rStyle w:val="CommentReference"/>
          <w:rFonts w:asciiTheme="minorHAnsi" w:eastAsiaTheme="minorHAnsi" w:hAnsiTheme="minorHAnsi" w:cstheme="minorBidi"/>
          <w:lang w:eastAsia="en-US"/>
        </w:rPr>
        <w:commentReference w:id="21"/>
      </w:r>
      <w:r w:rsidR="00F3530D">
        <w:rPr>
          <w:rFonts w:ascii="Palatino Linotype" w:hAnsi="Palatino Linotype"/>
          <w:sz w:val="20"/>
          <w:szCs w:val="20"/>
        </w:rPr>
        <w:t xml:space="preserve"> </w:t>
      </w:r>
      <w:r w:rsidR="004D573A" w:rsidRPr="001A4F57">
        <w:rPr>
          <w:rFonts w:ascii="Palatino Linotype" w:hAnsi="Palatino Linotype"/>
          <w:sz w:val="20"/>
          <w:szCs w:val="20"/>
        </w:rPr>
        <w:t>have been developed (Table 3).</w:t>
      </w:r>
    </w:p>
    <w:p w14:paraId="1BBAA57E" w14:textId="2B44DCD4" w:rsidR="004104F4" w:rsidRDefault="00CF28BD" w:rsidP="00660637">
      <w:pPr>
        <w:pStyle w:val="MDPI41tablecaption"/>
        <w:spacing w:line="276" w:lineRule="auto"/>
      </w:pPr>
      <w:r w:rsidRPr="00CF28BD">
        <w:rPr>
          <w:b/>
          <w:bCs/>
        </w:rPr>
        <w:t xml:space="preserve">Table 3. </w:t>
      </w:r>
      <w:r w:rsidR="004104F4" w:rsidRPr="006D7308">
        <w:t xml:space="preserve">Overview of </w:t>
      </w:r>
      <w:r w:rsidR="005C0F6B">
        <w:t xml:space="preserve">primary </w:t>
      </w:r>
      <w:r w:rsidR="004104F4" w:rsidRPr="006D7308">
        <w:t xml:space="preserve">diagnostic assays to detect infection with </w:t>
      </w:r>
      <w:r w:rsidR="004104F4" w:rsidRPr="00746C43">
        <w:rPr>
          <w:i/>
          <w:iCs/>
        </w:rPr>
        <w:t>Schistosoma mansoni</w:t>
      </w:r>
      <w:r w:rsidR="004104F4" w:rsidRPr="006D7308">
        <w:t xml:space="preserve"> and </w:t>
      </w:r>
      <w:r w:rsidR="004104F4" w:rsidRPr="00746C43">
        <w:rPr>
          <w:i/>
          <w:iCs/>
        </w:rPr>
        <w:t>Giardia duodenalis</w:t>
      </w:r>
      <w:r w:rsidR="004104F4" w:rsidRPr="006D7308">
        <w:t>. Point-of-care, rapid-diagnostic tests (POC-RDT’s) are underlined.</w:t>
      </w:r>
    </w:p>
    <w:tbl>
      <w:tblPr>
        <w:tblW w:w="9461" w:type="dxa"/>
        <w:jc w:val="center"/>
        <w:tblBorders>
          <w:top w:val="single" w:sz="8" w:space="0" w:color="auto"/>
          <w:bottom w:val="single" w:sz="8" w:space="0" w:color="auto"/>
        </w:tblBorders>
        <w:tblLook w:val="04A0" w:firstRow="1" w:lastRow="0" w:firstColumn="1" w:lastColumn="0" w:noHBand="0" w:noVBand="1"/>
      </w:tblPr>
      <w:tblGrid>
        <w:gridCol w:w="1568"/>
        <w:gridCol w:w="2401"/>
        <w:gridCol w:w="2835"/>
        <w:gridCol w:w="2657"/>
      </w:tblGrid>
      <w:tr w:rsidR="0044479C" w:rsidRPr="00CF28BD" w14:paraId="209E0E70" w14:textId="77777777" w:rsidTr="005C2412">
        <w:trPr>
          <w:trHeight w:val="558"/>
          <w:jc w:val="center"/>
        </w:trPr>
        <w:tc>
          <w:tcPr>
            <w:tcW w:w="1568" w:type="dxa"/>
            <w:tcBorders>
              <w:top w:val="single" w:sz="8" w:space="0" w:color="auto"/>
              <w:bottom w:val="single" w:sz="4" w:space="0" w:color="auto"/>
            </w:tcBorders>
            <w:vAlign w:val="center"/>
          </w:tcPr>
          <w:p w14:paraId="4A393AF2" w14:textId="0A1B0C06" w:rsidR="0044479C" w:rsidRPr="000874B5" w:rsidRDefault="000874B5" w:rsidP="00660637">
            <w:pPr>
              <w:autoSpaceDE w:val="0"/>
              <w:autoSpaceDN w:val="0"/>
              <w:adjustRightInd w:val="0"/>
              <w:snapToGrid w:val="0"/>
              <w:spacing w:line="276" w:lineRule="auto"/>
              <w:jc w:val="center"/>
              <w:rPr>
                <w:b/>
                <w:color w:val="000000" w:themeColor="text1"/>
                <w:sz w:val="20"/>
                <w:szCs w:val="20"/>
              </w:rPr>
            </w:pPr>
            <w:r w:rsidRPr="000874B5">
              <w:rPr>
                <w:b/>
                <w:color w:val="000000" w:themeColor="text1"/>
                <w:sz w:val="20"/>
                <w:szCs w:val="20"/>
              </w:rPr>
              <w:t>Species</w:t>
            </w:r>
          </w:p>
        </w:tc>
        <w:tc>
          <w:tcPr>
            <w:tcW w:w="2401" w:type="dxa"/>
            <w:tcBorders>
              <w:top w:val="single" w:sz="8" w:space="0" w:color="auto"/>
              <w:bottom w:val="single" w:sz="4" w:space="0" w:color="auto"/>
            </w:tcBorders>
            <w:shd w:val="clear" w:color="auto" w:fill="DEEAF6" w:themeFill="accent5" w:themeFillTint="33"/>
            <w:vAlign w:val="center"/>
          </w:tcPr>
          <w:p w14:paraId="10972A83" w14:textId="77777777" w:rsidR="0044479C" w:rsidRPr="00E40BE2" w:rsidRDefault="0044479C" w:rsidP="00660637">
            <w:pPr>
              <w:autoSpaceDE w:val="0"/>
              <w:autoSpaceDN w:val="0"/>
              <w:adjustRightInd w:val="0"/>
              <w:snapToGrid w:val="0"/>
              <w:spacing w:line="276" w:lineRule="auto"/>
              <w:jc w:val="center"/>
              <w:rPr>
                <w:b/>
                <w:color w:val="000000" w:themeColor="text1"/>
                <w:sz w:val="20"/>
                <w:szCs w:val="20"/>
              </w:rPr>
            </w:pPr>
            <w:r w:rsidRPr="00E40BE2">
              <w:rPr>
                <w:b/>
                <w:color w:val="000000" w:themeColor="text1"/>
                <w:sz w:val="20"/>
                <w:szCs w:val="20"/>
              </w:rPr>
              <w:t>Direct diagnosis</w:t>
            </w:r>
          </w:p>
        </w:tc>
        <w:tc>
          <w:tcPr>
            <w:tcW w:w="2835" w:type="dxa"/>
            <w:tcBorders>
              <w:top w:val="single" w:sz="8" w:space="0" w:color="auto"/>
              <w:bottom w:val="single" w:sz="4" w:space="0" w:color="auto"/>
            </w:tcBorders>
            <w:shd w:val="clear" w:color="auto" w:fill="DEEAF6" w:themeFill="accent5" w:themeFillTint="33"/>
            <w:vAlign w:val="center"/>
          </w:tcPr>
          <w:p w14:paraId="124699D7" w14:textId="07429A42" w:rsidR="0044479C" w:rsidRPr="00E40BE2" w:rsidRDefault="00A05D22" w:rsidP="00660637">
            <w:pPr>
              <w:autoSpaceDE w:val="0"/>
              <w:autoSpaceDN w:val="0"/>
              <w:adjustRightInd w:val="0"/>
              <w:snapToGrid w:val="0"/>
              <w:spacing w:line="276" w:lineRule="auto"/>
              <w:jc w:val="center"/>
              <w:rPr>
                <w:b/>
                <w:bCs/>
                <w:color w:val="000000" w:themeColor="text1"/>
                <w:sz w:val="20"/>
                <w:szCs w:val="20"/>
              </w:rPr>
            </w:pPr>
            <w:r w:rsidRPr="00E40BE2">
              <w:rPr>
                <w:b/>
                <w:color w:val="000000" w:themeColor="text1"/>
                <w:sz w:val="20"/>
                <w:szCs w:val="20"/>
              </w:rPr>
              <w:t>Antigen detection</w:t>
            </w:r>
          </w:p>
        </w:tc>
        <w:tc>
          <w:tcPr>
            <w:tcW w:w="2657" w:type="dxa"/>
            <w:tcBorders>
              <w:top w:val="single" w:sz="8" w:space="0" w:color="auto"/>
              <w:bottom w:val="single" w:sz="4" w:space="0" w:color="auto"/>
            </w:tcBorders>
            <w:shd w:val="clear" w:color="auto" w:fill="DEEAF6" w:themeFill="accent5" w:themeFillTint="33"/>
            <w:vAlign w:val="center"/>
          </w:tcPr>
          <w:p w14:paraId="39889410" w14:textId="08F4E2F8" w:rsidR="0044479C" w:rsidRPr="00E40BE2" w:rsidRDefault="0044479C" w:rsidP="00660637">
            <w:pPr>
              <w:autoSpaceDE w:val="0"/>
              <w:autoSpaceDN w:val="0"/>
              <w:adjustRightInd w:val="0"/>
              <w:snapToGrid w:val="0"/>
              <w:spacing w:line="276" w:lineRule="auto"/>
              <w:jc w:val="center"/>
              <w:rPr>
                <w:b/>
                <w:bCs/>
                <w:color w:val="000000" w:themeColor="text1"/>
                <w:sz w:val="20"/>
                <w:szCs w:val="20"/>
                <w:u w:val="single"/>
              </w:rPr>
            </w:pPr>
            <w:r w:rsidRPr="00E40BE2">
              <w:rPr>
                <w:b/>
                <w:color w:val="000000" w:themeColor="text1"/>
                <w:sz w:val="20"/>
                <w:szCs w:val="20"/>
              </w:rPr>
              <w:t>Molecular diagnosis</w:t>
            </w:r>
          </w:p>
        </w:tc>
      </w:tr>
      <w:tr w:rsidR="0044479C" w:rsidRPr="00CF28BD" w14:paraId="0058BE61" w14:textId="77777777" w:rsidTr="00C52539">
        <w:trPr>
          <w:trHeight w:val="2376"/>
          <w:jc w:val="center"/>
        </w:trPr>
        <w:tc>
          <w:tcPr>
            <w:tcW w:w="1568" w:type="dxa"/>
            <w:tcBorders>
              <w:top w:val="single" w:sz="4" w:space="0" w:color="auto"/>
            </w:tcBorders>
            <w:vAlign w:val="center"/>
          </w:tcPr>
          <w:p w14:paraId="6A9C9B3A" w14:textId="77777777" w:rsidR="0044479C" w:rsidRPr="00E40BE2" w:rsidRDefault="0044479C" w:rsidP="00660637">
            <w:pPr>
              <w:autoSpaceDE w:val="0"/>
              <w:autoSpaceDN w:val="0"/>
              <w:adjustRightInd w:val="0"/>
              <w:snapToGrid w:val="0"/>
              <w:spacing w:line="276" w:lineRule="auto"/>
              <w:jc w:val="center"/>
              <w:rPr>
                <w:b/>
                <w:i/>
                <w:iCs/>
                <w:color w:val="000000" w:themeColor="text1"/>
                <w:sz w:val="20"/>
                <w:szCs w:val="20"/>
              </w:rPr>
            </w:pPr>
            <w:r w:rsidRPr="00E40BE2">
              <w:rPr>
                <w:b/>
                <w:i/>
                <w:iCs/>
                <w:color w:val="000000" w:themeColor="text1"/>
                <w:sz w:val="20"/>
                <w:szCs w:val="20"/>
              </w:rPr>
              <w:t>S. mansoni</w:t>
            </w:r>
          </w:p>
        </w:tc>
        <w:tc>
          <w:tcPr>
            <w:tcW w:w="2401" w:type="dxa"/>
            <w:tcBorders>
              <w:top w:val="single" w:sz="4" w:space="0" w:color="auto"/>
            </w:tcBorders>
            <w:vAlign w:val="center"/>
          </w:tcPr>
          <w:p w14:paraId="14FBF749" w14:textId="6791956C" w:rsidR="0044479C" w:rsidRPr="00E40BE2" w:rsidRDefault="0044479C" w:rsidP="00660637">
            <w:pPr>
              <w:autoSpaceDE w:val="0"/>
              <w:autoSpaceDN w:val="0"/>
              <w:adjustRightInd w:val="0"/>
              <w:snapToGrid w:val="0"/>
              <w:spacing w:line="276" w:lineRule="auto"/>
              <w:jc w:val="center"/>
              <w:rPr>
                <w:sz w:val="20"/>
                <w:szCs w:val="20"/>
              </w:rPr>
            </w:pPr>
            <w:r w:rsidRPr="00E40BE2">
              <w:rPr>
                <w:sz w:val="20"/>
                <w:szCs w:val="20"/>
              </w:rPr>
              <w:t xml:space="preserve">Identification of ova in concentrated faecal smear </w:t>
            </w:r>
            <w:r w:rsidRPr="009C225F">
              <w:rPr>
                <w:sz w:val="20"/>
                <w:szCs w:val="20"/>
              </w:rPr>
              <w:t xml:space="preserve">via </w:t>
            </w:r>
            <w:r w:rsidRPr="00E40BE2">
              <w:rPr>
                <w:sz w:val="20"/>
                <w:szCs w:val="20"/>
              </w:rPr>
              <w:t>Kato-Katz technique</w:t>
            </w:r>
          </w:p>
          <w:p w14:paraId="214A5E9F" w14:textId="647A0253" w:rsidR="0044479C" w:rsidRPr="00E40BE2" w:rsidRDefault="0044479C" w:rsidP="00660637">
            <w:pPr>
              <w:autoSpaceDE w:val="0"/>
              <w:autoSpaceDN w:val="0"/>
              <w:adjustRightInd w:val="0"/>
              <w:snapToGrid w:val="0"/>
              <w:spacing w:line="276" w:lineRule="auto"/>
              <w:jc w:val="center"/>
              <w:rPr>
                <w:bCs/>
                <w:color w:val="000000" w:themeColor="text1"/>
                <w:sz w:val="20"/>
                <w:szCs w:val="20"/>
                <w:u w:val="single"/>
              </w:rPr>
            </w:pPr>
            <w:r w:rsidRPr="00E40BE2">
              <w:rPr>
                <w:sz w:val="20"/>
                <w:szCs w:val="20"/>
              </w:rPr>
              <w:fldChar w:fldCharType="begin" w:fldLock="1"/>
            </w:r>
            <w:r w:rsidR="00295FB2">
              <w:rPr>
                <w:sz w:val="20"/>
                <w:szCs w:val="20"/>
              </w:rPr>
              <w:instrText>ADDIN CSL_CITATION {"citationItems":[{"id":"ITEM-1","itemData":{"ISSN":"00364665","PMID":"4675644","author":[{"dropping-particle":"","family":"Katz","given":"N.","non-dropping-particle":"","parse-names":false,"suffix":""},{"dropping-particle":"","family":"Chaves","given":"A.","non-dropping-particle":"","parse-names":false,"suffix":""},{"dropping-particle":"","family":"Pellegrino","given":"J.","non-dropping-particle":"","parse-names":false,"suffix":""}],"container-title":"Revista do Instituto de Medicina Tropical de Sao Paulo","id":"ITEM-1","issue":"6","issued":{"date-parts":[["1972"]]},"page":"397-400","title":"A simple device for quantitative stool thick-smear technique in Schistosomiasis mansoni.","type":"article-journal","volume":"14"},"uris":["http://www.mendeley.com/documents/?uuid=08fff8b0-58c5-442d-90f1-6b431c9836a2"]},{"id":"ITEM-2","itemData":{"DOI":"10.1016/j.cmi.2015.03.014","ISSN":"14690691","abstract":"Schistosomiasis is a water-based parasitic disease that affects over 250 million people. Control efforts have long been in vain, which is one reason why schistosomiasis is considered a neglected tropical disease. However, since the new millennium, interventions against schistosomiasis are escalating. The initial impetus stems from a 2001 World Health Assembly resolution, urging member states to scale-up deworming of school-aged children with the anthelminthic drug praziquantel. Because praziquantel is safe, efficacious and inexpensive when delivered through the school platform, diagnosis before drug intervention was deemed unnecessary and not cost-effective. Hence, there was little interest in research and development of novel diagnostic tools. With the recent publication of the World Health Organization (WHO) Roadmap to overcome the impact of neglected tropical diseases in 2020, we have entered a new era. Elimination of schistosomiasis has become the buzzword and this has important ramifications for diagnostic tools. Indeed, measuring progress towards the WHO Roadmap and whether local elimination has been achieved requires highly accurate diagnostic assays. Here, we introduce target product profiles for diagnostic tools that are required for different stages of a schistosomiasis control programme. We provide an update of the latest developments in schistosomiasis diagnosis, including microscopic techniques, rapid diagnostic tests for antigen detection, polymerase chain reaction (PCR) assays and proxy markers for morbidity assessments. Particular emphasis is placed on challenges and solutions for new technologies to enter clinical practice.","author":[{"dropping-particle":"","family":"Utzinger","given":"J.","non-dropping-particle":"","parse-names":false,"suffix":""},{"dropping-particle":"","family":"Becker","given":"S. L.","non-dropping-particle":"","parse-names":false,"suffix":""},{"dropping-particle":"","family":"Lieshout","given":"L.","non-dropping-particle":"van","parse-names":false,"suffix":""},{"dropping-particle":"","family":"Dam","given":"G. J.","non-dropping-particle":"van","parse-names":false,"suffix":""},{"dropping-particle":"","family":"Knopp","given":"S.","non-dropping-particle":"","parse-names":false,"suffix":""}],"container-title":"Clinical Microbiology and Infection","id":"ITEM-2","issue":"6","issued":{"date-parts":[["2015"]]},"page":"529-542","publisher":"Elsevier Ltd","title":"New diagnostic tools in schistosomiasis","type":"article-journal","volume":"21"},"uris":["http://www.mendeley.com/documents/?uuid=aa8f71ca-1fe5-4b66-89bf-8e4bb0001350"]}],"mendeley":{"formattedCitation":"[62,71]","plainTextFormattedCitation":"[62,71]","previouslyFormattedCitation":"[62,71]"},"properties":{"noteIndex":0},"schema":"https://github.com/citation-style-language/schema/raw/master/csl-citation.json"}</w:instrText>
            </w:r>
            <w:r w:rsidRPr="00E40BE2">
              <w:rPr>
                <w:sz w:val="20"/>
                <w:szCs w:val="20"/>
              </w:rPr>
              <w:fldChar w:fldCharType="separate"/>
            </w:r>
            <w:r w:rsidR="007048D4" w:rsidRPr="007048D4">
              <w:rPr>
                <w:noProof/>
                <w:sz w:val="20"/>
                <w:szCs w:val="20"/>
              </w:rPr>
              <w:t>[62,71]</w:t>
            </w:r>
            <w:r w:rsidRPr="00E40BE2">
              <w:rPr>
                <w:sz w:val="20"/>
                <w:szCs w:val="20"/>
              </w:rPr>
              <w:fldChar w:fldCharType="end"/>
            </w:r>
          </w:p>
        </w:tc>
        <w:tc>
          <w:tcPr>
            <w:tcW w:w="2835" w:type="dxa"/>
            <w:tcBorders>
              <w:top w:val="single" w:sz="4" w:space="0" w:color="auto"/>
            </w:tcBorders>
            <w:vAlign w:val="center"/>
          </w:tcPr>
          <w:p w14:paraId="153C54A3" w14:textId="612FF093" w:rsidR="0044479C" w:rsidRPr="00E40BE2" w:rsidRDefault="0044479C" w:rsidP="00D52D61">
            <w:pPr>
              <w:autoSpaceDE w:val="0"/>
              <w:autoSpaceDN w:val="0"/>
              <w:adjustRightInd w:val="0"/>
              <w:snapToGrid w:val="0"/>
              <w:spacing w:line="276" w:lineRule="auto"/>
              <w:jc w:val="center"/>
              <w:rPr>
                <w:bCs/>
                <w:color w:val="70AD47" w:themeColor="accent6"/>
                <w:sz w:val="20"/>
                <w:szCs w:val="20"/>
                <w:u w:val="single"/>
              </w:rPr>
            </w:pPr>
            <w:r w:rsidRPr="00E40BE2">
              <w:rPr>
                <w:bCs/>
                <w:color w:val="000000" w:themeColor="text1"/>
                <w:sz w:val="20"/>
                <w:szCs w:val="20"/>
              </w:rPr>
              <w:t xml:space="preserve">Detection of circulating cathodic antigen (CCA) or circulating anodic antigen (CAA) in urine samples using </w:t>
            </w:r>
            <w:r w:rsidR="00613AA9" w:rsidRPr="00E40BE2">
              <w:rPr>
                <w:bCs/>
                <w:color w:val="000000" w:themeColor="text1"/>
                <w:sz w:val="20"/>
                <w:szCs w:val="20"/>
              </w:rPr>
              <w:t xml:space="preserve">ELISA or </w:t>
            </w:r>
            <w:r w:rsidRPr="00E40BE2">
              <w:rPr>
                <w:bCs/>
                <w:color w:val="000000" w:themeColor="text1"/>
                <w:sz w:val="20"/>
                <w:szCs w:val="20"/>
                <w:u w:val="single"/>
              </w:rPr>
              <w:t>lateral-flow test</w:t>
            </w:r>
            <w:r w:rsidR="00E45619" w:rsidRPr="00E40BE2">
              <w:rPr>
                <w:bCs/>
                <w:color w:val="000000" w:themeColor="text1"/>
                <w:sz w:val="20"/>
                <w:szCs w:val="20"/>
                <w:u w:val="single"/>
              </w:rPr>
              <w:t xml:space="preserve"> </w:t>
            </w:r>
            <w:r w:rsidRPr="00E40BE2">
              <w:rPr>
                <w:bCs/>
                <w:color w:val="000000" w:themeColor="text1"/>
                <w:sz w:val="20"/>
                <w:szCs w:val="20"/>
                <w:u w:val="single"/>
              </w:rPr>
              <w:t>strips</w:t>
            </w:r>
            <w:r w:rsidRPr="00E40BE2">
              <w:rPr>
                <w:bCs/>
                <w:color w:val="000000" w:themeColor="text1"/>
                <w:sz w:val="20"/>
                <w:szCs w:val="20"/>
              </w:rPr>
              <w:t xml:space="preserve"> </w:t>
            </w:r>
            <w:r w:rsidRPr="00E40BE2">
              <w:rPr>
                <w:bCs/>
                <w:color w:val="000000" w:themeColor="text1"/>
                <w:sz w:val="20"/>
                <w:szCs w:val="20"/>
              </w:rPr>
              <w:fldChar w:fldCharType="begin" w:fldLock="1"/>
            </w:r>
            <w:r w:rsidR="00295FB2">
              <w:rPr>
                <w:bCs/>
                <w:color w:val="000000" w:themeColor="text1"/>
                <w:sz w:val="20"/>
                <w:szCs w:val="20"/>
              </w:rPr>
              <w:instrText xml:space="preserve">ADDIN CSL_CITATION {"citationItems":[{"id":"ITEM-1","itemData":{"DOI":"10.1017/S0031182019001732","ISSN":"14698161","abstract":"Reliable diagnosis of human helminth infection(s) is essential for ongoing disease surveillance and disease elimination. Current WHO-recommended diagnostic assays are unreliable in low-endemic near-elimination settings and typically involve the invasive, onerous and potentially hazardous sampling of bodily fluids such as stool and blood, as well as tissue via biopsy. In contrast, diagnosis by use of non-invasive urine sampling is generally painless, more convenient and low risk. It negates the need for specialist staff, can usually be obtained immediately upon request and is better accepted by patients. In some instances, urine-based diagnostic assays have also been shown to provide a more reliable diagnosis of infection when compared to traditional methods that require alternative and more invasive bodily samples, particularly in low-endemicity settings. Given these relative benefits, we identify and review current research literature to evaluate whether non-invasive urine sampling is currently exploited to its full potential in the development of diagnostic tools for human helminthiases. Though further development, assessment and validation is needed before their routine use in control programmes, low-cost, rapid and reliable assays capable of detecting transrenal helminth-derived antigens and cell-free DNA show excellent promise for future use at the point-of-care in high-, medium- and even low-endemicity elimination settings.","author":[{"dropping-particle":"","family":"Archer","given":"John","non-dropping-particle":"","parse-names":false,"suffix":""},{"dropping-particle":"","family":"Lacourse","given":"E. James","non-dropping-particle":"","parse-names":false,"suffix":""},{"dropping-particle":"","family":"Webster","given":"L. Bonnie","non-dropping-particle":"","parse-names":false,"suffix":""},{"dropping-particle":"","family":"Stothard","given":"J. Russell","non-dropping-particle":"","parse-names":false,"suffix":""}],"container-title":"Parasitology","id":"ITEM-1","issued":{"date-parts":[["2019"]]},"title":"An update on non-invasive urine diagnostics for human-infecting parasitic helminths: What more could be done and how?","type":"article-journal"},"uris":["http://www.mendeley.com/documents/?uuid=7337c48e-46f9-466e-a6ab-fcc37b85e503"]},{"id":"ITEM-2","itemData":{"DOI":"10.4269/ajtmh.12-0639","ISSN":"00029637","PMID":"23339198","abstract":"We evaluated a commercial point-of-care circulating cathodic antigen (POC-CCA) test for assessing Schistosoma mansoni infection prevalence in areas at risk. Overall, 4,405 school-age children in Cameroon, Côte d'Ivoire, Ethiopia, Kenya, and Uganda provided urine for POC-CCA testing and stool for Kato-Katz assays. By latent class analysis, one POC-CCA test was more sensitive (86% versus 62%) but less specific (72% versus </w:instrText>
            </w:r>
            <w:r w:rsidR="00295FB2">
              <w:rPr>
                <w:rFonts w:ascii="Cambria Math" w:hAnsi="Cambria Math" w:cs="Cambria Math"/>
                <w:bCs/>
                <w:color w:val="000000" w:themeColor="text1"/>
                <w:sz w:val="20"/>
                <w:szCs w:val="20"/>
              </w:rPr>
              <w:instrText>∼</w:instrText>
            </w:r>
            <w:r w:rsidR="00295FB2">
              <w:rPr>
                <w:bCs/>
                <w:color w:val="000000" w:themeColor="text1"/>
                <w:sz w:val="20"/>
                <w:szCs w:val="20"/>
              </w:rPr>
              <w:instrText>100%) than multiple Kato-Katz smears from one stool. However, only 1% of POC-CCA tests in a non-endemic area were false positives, suggesting the latent class analysis underestimated the POC-CCA specificity. Multivariable modeling estimated POC-CCA as significantly more sensitive than Kato-Katz at low infection intensities (&lt; 100 eggs/gram stool). By linear regression, 72% prevalence among 9-12 year olds by POC-CCA corresponded to 50% prevalence by Kato-Katz, whereas 46% POC-CCA prevalence corresponded to 10%Kato-Katz prevalence.We conclude that one urine POC-CCA test can replace Kato-Katz testing for community-level S. mansoni prevalence mapping. Copyright © 2013 by The American Society of Tropical Medicine and Hygiene.","author":[{"dropping-particle":"","family":"Colley","given":"Daniel G.","non-dropping-particle":"","parse-names":false,"suffix":""},{"dropping-particle":"","family":"Binder","given":"Sue","non-dropping-particle":"","parse-names":false,"suffix":""},{"dropping-particle":"","family":"Campbell","given":"Carl","non-dropping-particle":"","parse-names":false,"suffix":""},{"dropping-particle":"","family":"King","given":"Charles H.","non-dropping-particle":"","parse-names":false,"suffix":""},{"dropping-particle":"","family":"Tchuenté","given":"Louis Albert Tchuem","non-dropping-particle":"","parse-names":false,"suffix":""},{"dropping-particle":"","family":"N'Goran","given":"Eliézer K.","non-dropping-particle":"","parse-names":false,"suffix":""},{"dropping-particle":"","family":"Erko","given":"Berhanu","non-dropping-particle":"","parse-names":false,"suffix":""},{"dropping-particle":"","family":"Karanja","given":"Diana M.S.","non-dropping-particle":"","parse-names":false,"suffix":""},{"dropping-particle":"","family":"Kabatereine","given":"Narcis B.","non-dropping-particle":"","parse-names":false,"suffix":""},{"dropping-particle":"","family":"Lieshout","given":"Lisette","non-dropping-particle":"Van","parse-names":false,"suffix":""},{"dropping-particle":"","family":"Rathbun","given":"Stephen","non-dropping-particle":"","parse-names":false,"suffix":""}],"container-title":"American Journal of Tropical Medicine and Hygiene","id":"ITEM-2","issue":"3","issued":{"date-parts":[["2013"]]},"page":"426-432","title":"A five-country evaluation of a point-of-care circulating cathodic antigen urine assay for the prevalence of Schistosoma mansoni","type":"article-journal","volume":"88"},"uris":["http://www.mendeley.com/documents/?uuid=e95c8ef9-4db6-4d2c-8cad-b8d82a8aeffb"]}],"mendeley":{"formattedCitation":"[72,73]","plainTextFormattedCitation":"[72,73]","previouslyFormattedCitation":"[72,73]"},"properties":{"noteIndex":0},"schema":"https://github.com/citation-style-language/schema/raw/master/csl-citation.json"}</w:instrText>
            </w:r>
            <w:r w:rsidRPr="00E40BE2">
              <w:rPr>
                <w:bCs/>
                <w:color w:val="000000" w:themeColor="text1"/>
                <w:sz w:val="20"/>
                <w:szCs w:val="20"/>
              </w:rPr>
              <w:fldChar w:fldCharType="separate"/>
            </w:r>
            <w:r w:rsidR="007048D4" w:rsidRPr="007048D4">
              <w:rPr>
                <w:bCs/>
                <w:noProof/>
                <w:color w:val="000000" w:themeColor="text1"/>
                <w:sz w:val="20"/>
                <w:szCs w:val="20"/>
              </w:rPr>
              <w:t>[72,73]</w:t>
            </w:r>
            <w:r w:rsidRPr="00E40BE2">
              <w:rPr>
                <w:bCs/>
                <w:color w:val="000000" w:themeColor="text1"/>
                <w:sz w:val="20"/>
                <w:szCs w:val="20"/>
              </w:rPr>
              <w:fldChar w:fldCharType="end"/>
            </w:r>
          </w:p>
        </w:tc>
        <w:tc>
          <w:tcPr>
            <w:tcW w:w="2657" w:type="dxa"/>
            <w:tcBorders>
              <w:top w:val="single" w:sz="4" w:space="0" w:color="auto"/>
            </w:tcBorders>
            <w:vAlign w:val="center"/>
          </w:tcPr>
          <w:p w14:paraId="60804109" w14:textId="5C2696F6" w:rsidR="0044479C" w:rsidRPr="00E40BE2" w:rsidRDefault="0044479C" w:rsidP="009E081A">
            <w:pPr>
              <w:pStyle w:val="MDPI31text"/>
              <w:spacing w:line="276" w:lineRule="auto"/>
              <w:ind w:firstLine="0"/>
              <w:jc w:val="center"/>
              <w:rPr>
                <w:rFonts w:ascii="Times New Roman" w:hAnsi="Times New Roman"/>
              </w:rPr>
            </w:pPr>
            <w:r w:rsidRPr="00E40BE2">
              <w:rPr>
                <w:rFonts w:ascii="Times New Roman" w:hAnsi="Times New Roman"/>
                <w:bCs/>
                <w:color w:val="000000" w:themeColor="text1"/>
                <w:szCs w:val="20"/>
              </w:rPr>
              <w:t>Detection and amplification of species-specific DNA in faecal samples using PCR/qPCR</w:t>
            </w:r>
            <w:r w:rsidR="002A145D" w:rsidRPr="00E40BE2">
              <w:rPr>
                <w:rFonts w:ascii="Times New Roman" w:hAnsi="Times New Roman"/>
                <w:bCs/>
                <w:color w:val="000000" w:themeColor="text1"/>
                <w:szCs w:val="20"/>
              </w:rPr>
              <w:t xml:space="preserve"> </w:t>
            </w:r>
            <w:r w:rsidR="002A145D" w:rsidRPr="00E40BE2">
              <w:rPr>
                <w:rFonts w:ascii="Times New Roman" w:hAnsi="Times New Roman"/>
                <w:szCs w:val="20"/>
              </w:rPr>
              <w:fldChar w:fldCharType="begin" w:fldLock="1"/>
            </w:r>
            <w:r w:rsidR="00295FB2">
              <w:rPr>
                <w:rFonts w:ascii="Times New Roman" w:hAnsi="Times New Roman"/>
                <w:szCs w:val="20"/>
              </w:rPr>
              <w:instrText>ADDIN CSL_CITATION {"citationItems":[{"id":"ITEM-1","itemData":{"DOI":"10.3390/tropicalmed3030081","ISSN":"24146366","abstract":"Despite extensive efforts over the last few decades, the global disease burden of schistosomiasis still remains unacceptably high. This could partly be attributed to the lack of accurate diagnostic tools for detecting human and animal schistosome infections in endemic areas. In low transmission and low prevalence areas where schistosomiasis elimination is targeted, case detection requires a test that is highly sensitive. Diagnostic tests with low sensitivity will miss individuals with low infection intensity and these will continue to contribute to transmission, thereby interfering with the efficacy of the control measures operating. Of the many diagnostic approaches undertaken to date, the detection of schistosome DNA using DNA amplification techniques including polymerase chain reaction (PCR) provide valuable adjuncts to more conventional microscopic and serological methods, due their accuracy, high sensitivity, and the capacity to detect early pre-patent infections. Furthermore, DNA-based methods represent important screening tools, particularly in those endemic areas with ongoing control where infection prevalence and intensity have been reduced to very low levels. Here we review the role of DNA diagnostics in the path towards the control and elimination of schistosomiasis.","author":[{"dropping-particle":"","family":"Weerakoon","given":"Kosala G.","non-dropping-particle":"","parse-names":false,"suffix":""},{"dropping-particle":"","family":"Gordon","given":"Catherine A.","non-dropping-particle":"","parse-names":false,"suffix":""},{"dropping-particle":"","family":"McManus","given":"Donald P.","non-dropping-particle":"","parse-names":false,"suffix":""}],"container-title":"Tropical Medicine and Infectious Disease","id":"ITEM-1","issue":"3","issued":{"date-parts":[["2018"]]},"page":"1-20","title":"DNA diagnostics for schistosomiasis control","type":"article-journal","volume":"3"},"uris":["http://www.mendeley.com/documents/?uuid=ff55e157-163e-462c-8236-6fab7abd98a8"]}],"mendeley":{"formattedCitation":"[74]","plainTextFormattedCitation":"[74]","previouslyFormattedCitation":"[74]"},"properties":{"noteIndex":0},"schema":"https://github.com/citation-style-language/schema/raw/master/csl-citation.json"}</w:instrText>
            </w:r>
            <w:r w:rsidR="002A145D" w:rsidRPr="00E40BE2">
              <w:rPr>
                <w:rFonts w:ascii="Times New Roman" w:hAnsi="Times New Roman"/>
                <w:szCs w:val="20"/>
              </w:rPr>
              <w:fldChar w:fldCharType="separate"/>
            </w:r>
            <w:r w:rsidR="007048D4" w:rsidRPr="007048D4">
              <w:rPr>
                <w:rFonts w:ascii="Times New Roman" w:hAnsi="Times New Roman"/>
                <w:noProof/>
                <w:szCs w:val="20"/>
              </w:rPr>
              <w:t>[74]</w:t>
            </w:r>
            <w:r w:rsidR="002A145D" w:rsidRPr="00E40BE2">
              <w:rPr>
                <w:rFonts w:ascii="Times New Roman" w:hAnsi="Times New Roman"/>
                <w:szCs w:val="20"/>
              </w:rPr>
              <w:fldChar w:fldCharType="end"/>
            </w:r>
            <w:r w:rsidR="00690A31" w:rsidRPr="00E40BE2">
              <w:rPr>
                <w:rFonts w:ascii="Times New Roman" w:hAnsi="Times New Roman"/>
                <w:szCs w:val="20"/>
              </w:rPr>
              <w:t>,</w:t>
            </w:r>
            <w:r w:rsidR="00C52539" w:rsidRPr="00E40BE2">
              <w:rPr>
                <w:rFonts w:ascii="Times New Roman" w:hAnsi="Times New Roman"/>
                <w:szCs w:val="20"/>
              </w:rPr>
              <w:t xml:space="preserve"> </w:t>
            </w:r>
            <w:r w:rsidR="00CB6FF1" w:rsidRPr="00E40BE2">
              <w:rPr>
                <w:rFonts w:ascii="Times New Roman" w:hAnsi="Times New Roman"/>
                <w:bCs/>
                <w:color w:val="000000" w:themeColor="text1"/>
                <w:szCs w:val="20"/>
              </w:rPr>
              <w:t>(</w:t>
            </w:r>
            <w:r w:rsidRPr="00E40BE2">
              <w:rPr>
                <w:rFonts w:ascii="Times New Roman" w:hAnsi="Times New Roman"/>
                <w:bCs/>
                <w:color w:val="000000" w:themeColor="text1"/>
                <w:szCs w:val="20"/>
                <w:u w:val="single"/>
              </w:rPr>
              <w:t>LAMP</w:t>
            </w:r>
            <w:r w:rsidRPr="00E40BE2">
              <w:rPr>
                <w:rFonts w:ascii="Times New Roman" w:hAnsi="Times New Roman"/>
                <w:bCs/>
                <w:color w:val="000000" w:themeColor="text1"/>
                <w:szCs w:val="20"/>
              </w:rPr>
              <w:t xml:space="preserve"> </w:t>
            </w:r>
            <w:r w:rsidR="0020746A" w:rsidRPr="00E40BE2">
              <w:rPr>
                <w:rFonts w:ascii="Times New Roman" w:hAnsi="Times New Roman"/>
                <w:bCs/>
                <w:color w:val="000000" w:themeColor="text1"/>
                <w:szCs w:val="20"/>
              </w:rPr>
              <w:t>and</w:t>
            </w:r>
            <w:r w:rsidRPr="00E40BE2">
              <w:rPr>
                <w:rFonts w:ascii="Times New Roman" w:hAnsi="Times New Roman"/>
                <w:bCs/>
                <w:color w:val="000000" w:themeColor="text1"/>
                <w:szCs w:val="20"/>
              </w:rPr>
              <w:t xml:space="preserve"> </w:t>
            </w:r>
            <w:r w:rsidRPr="00E40BE2">
              <w:rPr>
                <w:rFonts w:ascii="Times New Roman" w:hAnsi="Times New Roman"/>
                <w:bCs/>
                <w:color w:val="000000" w:themeColor="text1"/>
                <w:szCs w:val="20"/>
                <w:u w:val="single"/>
              </w:rPr>
              <w:t>RPA</w:t>
            </w:r>
            <w:r w:rsidR="0020746A" w:rsidRPr="00E40BE2">
              <w:rPr>
                <w:rFonts w:ascii="Times New Roman" w:hAnsi="Times New Roman"/>
                <w:bCs/>
                <w:color w:val="000000" w:themeColor="text1"/>
                <w:szCs w:val="20"/>
              </w:rPr>
              <w:t xml:space="preserve"> assays have also been developed</w:t>
            </w:r>
            <w:r w:rsidR="005940EC" w:rsidRPr="00E40BE2">
              <w:rPr>
                <w:rFonts w:ascii="Times New Roman" w:hAnsi="Times New Roman"/>
                <w:bCs/>
                <w:color w:val="000000" w:themeColor="text1"/>
                <w:szCs w:val="20"/>
              </w:rPr>
              <w:t xml:space="preserve"> </w:t>
            </w:r>
            <w:r w:rsidR="009A11E5" w:rsidRPr="00E40BE2">
              <w:rPr>
                <w:rFonts w:ascii="Times New Roman" w:hAnsi="Times New Roman"/>
              </w:rPr>
              <w:fldChar w:fldCharType="begin" w:fldLock="1"/>
            </w:r>
            <w:r w:rsidR="00295FB2">
              <w:rPr>
                <w:rFonts w:ascii="Times New Roman" w:hAnsi="Times New Roman"/>
              </w:rPr>
              <w:instrText>ADDIN CSL_CITATION {"citationItems":[{"id":"ITEM-1","itemData":{"DOI":"10.1016/j.cmi.2015.03.014","ISSN":"14690691","abstract":"Schistosomiasis is a water-based parasitic disease that affects over 250 million people. Control efforts have long been in vain, which is one reason why schistosomiasis is considered a neglected tropical disease. However, since the new millennium, interventions against schistosomiasis are escalating. The initial impetus stems from a 2001 World Health Assembly resolution, urging member states to scale-up deworming of school-aged children with the anthelminthic drug praziquantel. Because praziquantel is safe, efficacious and inexpensive when delivered through the school platform, diagnosis before drug intervention was deemed unnecessary and not cost-effective. Hence, there was little interest in research and development of novel diagnostic tools. With the recent publication of the World Health Organization (WHO) Roadmap to overcome the impact of neglected tropical diseases in 2020, we have entered a new era. Elimination of schistosomiasis has become the buzzword and this has important ramifications for diagnostic tools. Indeed, measuring progress towards the WHO Roadmap and whether local elimination has been achieved requires highly accurate diagnostic assays. Here, we introduce target product profiles for diagnostic tools that are required for different stages of a schistosomiasis control programme. We provide an update of the latest developments in schistosomiasis diagnosis, including microscopic techniques, rapid diagnostic tests for antigen detection, polymerase chain reaction (PCR) assays and proxy markers for morbidity assessments. Particular emphasis is placed on challenges and solutions for new technologies to enter clinical practice.","author":[{"dropping-particle":"","family":"Utzinger","given":"J.","non-dropping-particle":"","parse-names":false,"suffix":""},{"dropping-particle":"","family":"Becker","given":"S. L.","non-dropping-particle":"","parse-names":false,"suffix":""},{"dropping-particle":"","family":"Lieshout","given":"L.","non-dropping-particle":"van","parse-names":false,"suffix":""},{"dropping-particle":"","family":"Dam","given":"G. J.","non-dropping-particle":"van","parse-names":false,"suffix":""},{"dropping-particle":"","family":"Knopp","given":"S.","non-dropping-particle":"","parse-names":false,"suffix":""}],"container-title":"Clinical Microbiology and Infection","id":"ITEM-1","issue":"6","issued":{"date-parts":[["2015"]]},"page":"529-542","publisher":"Elsevier Ltd","title":"New diagnostic tools in schistosomiasis","type":"article-journal","volume":"21"},"uris":["http://www.mendeley.com/documents/?uuid=3d8cf679-b3c8-46af-ab30-49c17397ae49"]},{"id":"ITEM-2","itemData":{"DOI":"10.1017/pao.2016.13","ISSN":"2055-7094","abstract":"The current mainstay for control of the four major helminth diseases in humans (lymphatic filariasis, onchocerciasis, soil-transmitted helminthiases and schistosomiasis) is with preventive chemotherapy by mass administration of key anthelminthics. Following the London Declaration on Neglected Tropical Diseases in 2012, a roadmap for the elimination and control of these helminthiases by 2020 has been devised. With expected declines in prevalence and intensity of these infections, there is urgent need for implementing more sensitive, high-throughput and cost-effective diagnostic tools. Currently available diagnostic approaches for surveying, monitoring and evaluating helminth control programmes are based on microscopical observation of eggs/larvae, and/or detection of antibodies or parasite antigens in stool, urine or blood; all relatively low-throughput and of limited sensitivity and specificity. Newly proposed approaches for helminthiases diagnosis include the nucleic acid-based methods of (multiplex) real-time polymerase chain reaction assays, loop-mediated isothermal amplification and recombinase polymerase amplification. However, as well as sensitivity/specificity evaluation, their comparison to current ‘gold standard’ diagnostics and future application in individual-/community-based diagnosis, or in xenomonitoring requires consideration of relative costs, agreement of standard methods and strategic interpretation of resulting data before control/elimination programmes might best utilize molecular diagnostics to inform decision making. We review current nucleic-acid-based molecular diagnostic methods and highlight the needs and future research required to refine these tools for monitoring and evaluation of control and elimination programmes for four major human helminthiases.","author":[{"dropping-particle":"","family":"MINETTI","given":"CORRADO","non-dropping-particle":"","parse-names":false,"suffix":""},{"dropping-particle":"","family":"LACOURSE","given":"E. JAMES","non-dropping-particle":"","parse-names":false,"suffix":""},{"dropping-particle":"","family":"REIMER","given":"LISA","non-dropping-particle":"","parse-names":false,"suffix":""},{"dropping-particle":"","family":"STOTHARD","given":"J. RUSSELL","non-dropping-particle":"","parse-names":false,"suffix":""}],"container-title":"Parasitology Open","id":"ITEM-2","issue":"2016","issued":{"date-parts":[["2016"]]},"title":"Focusing nucleic acid-based molecular diagnostics and xenomonitoring approaches for human helminthiases amenable to preventive chemotherapy","type":"article-journal","volume":"2"},"uris":["http://www.mendeley.com/documents/?uuid=fdf20bd5-4658-4b02-b9aa-5c0bde4e13fd"]},{"id":"ITEM-3","itemData":{"DOI":"10.1155/2018/1267826","ISSN":"20900031","abstract":"Human intestinal schistosomiasis is caused by the blood fluke, Schistosoma mansoni. With intensified efforts to control schistosomiasis by mass drug administration using praziquantel (PZQ), there is an urgent need to have accessible, quality-assured diagnostic tests for case detection and disease surveillance and for monitoring efficacy of treatment and other interventions. Current diagnostic tools are limited by suboptimal sensitivity, slow turn-around-time, affordability, and inability to distinguish current from past infections. We describe a simple and rapid diagnostic assay, based on the loop-mediated isothermal amplification (LAMP) technology for diagnosis of S. mansoni infection in human faecal samples. The LAMP primers used in this assay were previously described and they target a 121-bp DNA repeat sequence in S. mansoni. The LAMP assay was optimized at an isothermal temperature of 63°C for 1 hour. The amplified DNA was either visualized under ultraviolet light after electrophoresis or by directly observing the color change after staining the amplicons with CYBR Green dye. The LAMP assay was evaluated against the microscopy-based procedure and the results were analysed using Cohen's kappa coefficient to determine the degree of agreement between the two techniques. The LAMP assay reliably detected S. mansoni ova DNA in faecal samples and parasite DNA in amounts as low as 32fg. When the assay was tested for specificity against other faecal-based soil-transmitted helminths (STH), no cross-reactivity was observed. The LAMP assay was superior to the Kato-Katz assay with a 97% specificity; a high positivity score reliably detecting S. mansoni and a Kappa Coefficient of 0.9 suggested an exceptional agreement between the two techniques. The LAMP assay developed has great potential for application in field settings to support S. mansoni control and elimination campaigns.","author":[{"dropping-particle":"","family":"Mwangi","given":"Ibrahim N.","non-dropping-particle":"","parse-names":false,"suffix":""},{"dropping-particle":"","family":"Agola","given":"Eric L.","non-dropping-particle":"","parse-names":false,"suffix":""},{"dropping-particle":"","family":"Mugambi","given":"Robert M.","non-dropping-particle":"","parse-names":false,"suffix":""},{"dropping-particle":"","family":"Shiraho","given":"Esther A.","non-dropping-particle":"","parse-names":false,"suffix":""},{"dropping-particle":"","family":"Mkoji","given":"Gerald M.","non-dropping-particle":"","parse-names":false,"suffix":""}],"container-title":"Journal of Parasitology Research","id":"ITEM-3","issued":{"date-parts":[["2018"]]},"title":"Development and Evaluation of a Loop-Mediated Isothermal Amplification Assay for Diagnosis of Schistosoma mansoni Infection in Faecal Samples","type":"article-journal","volume":"2018"},"uris":["http://www.mendeley.com/documents/?uuid=e8381ebb-ef71-438b-a522-182cfcfce866"]},{"id":"ITEM-4","itemData":{"DOI":"10.1016/j.ab.2018.01.031","ISSN":"10960309","PMID":"29425749","abstract":"Infection with Schistosoma mansoni causes intestinal schistosomiasis, a major health problem across Africa. The accurate diagnosis of intestinal schistosomiasis is vital to inform surveillance/control programs. Diagnosis mainly relies on microscopic detection of eggs in faecal samples but many factors affect sensitivity. Molecular diagnostics are sensitive and specific but application is limited as necessary infrastructure, financial resources and skilled personnel are often lacking in endemic settings. Recombinase Polymerase Amplification (RPA) is an isothermal DNA amplification/detection technology that is practical in nearly any setting. Here we developed a RPA lateral flow (LF) assay targeting the 28S rDNA region of S. mansoni. The 28S LF-RPA assay's lower limit of detection was 10pg DNA with the lower test parameters permitting sufficient amplification being 6 min and 25°C. Optimal assay parameters were 40–45°C and 10 min with an analytical sensitivity of 102 copies of DNA. Additionally the PCRD3 lateral flow detection cassettes proved more robust and sensitive compared to the Milenia HybriDetect strips. This 28S LF-RPA assay produces quick reproducible results that are easy to interpret, require little infrastructure and is a promising PON test for the field molecular diagnosis of intestinal schistosomiasis.","author":[{"dropping-particle":"","family":"Poulton","given":"Kate","non-dropping-particle":"","parse-names":false,"suffix":""},{"dropping-particle":"","family":"Webster","given":"Bonnie","non-dropping-particle":"","parse-names":false,"suffix":""}],"container-title":"Analytical Biochemistry","id":"ITEM-4","issue":"February","issued":{"date-parts":[["2018"]]},"page":"65-71","publisher":"Elsevier","title":"Development of a lateral flow recombinase polymerase assay for the diagnosis of Schistosoma mansoni infections","type":"article-journal","volume":"546"},"uris":["http://www.mendeley.com/documents/?uuid=0e31ea0f-ad33-4d07-8adb-1f6c5b68a7c5"]}],"mendeley":{"formattedCitation":"[71,75–77]","plainTextFormattedCitation":"[71,75–77]","previouslyFormattedCitation":"[71,75–77]"},"properties":{"noteIndex":0},"schema":"https://github.com/citation-style-language/schema/raw/master/csl-citation.json"}</w:instrText>
            </w:r>
            <w:r w:rsidR="009A11E5" w:rsidRPr="00E40BE2">
              <w:rPr>
                <w:rFonts w:ascii="Times New Roman" w:hAnsi="Times New Roman"/>
              </w:rPr>
              <w:fldChar w:fldCharType="separate"/>
            </w:r>
            <w:r w:rsidR="007048D4" w:rsidRPr="007048D4">
              <w:rPr>
                <w:rFonts w:ascii="Times New Roman" w:hAnsi="Times New Roman"/>
                <w:noProof/>
              </w:rPr>
              <w:t>[71,75–77]</w:t>
            </w:r>
            <w:r w:rsidR="009A11E5" w:rsidRPr="00E40BE2">
              <w:rPr>
                <w:rFonts w:ascii="Times New Roman" w:hAnsi="Times New Roman"/>
              </w:rPr>
              <w:fldChar w:fldCharType="end"/>
            </w:r>
            <w:r w:rsidR="005C5944" w:rsidRPr="00E40BE2">
              <w:rPr>
                <w:rFonts w:ascii="Times New Roman" w:hAnsi="Times New Roman"/>
              </w:rPr>
              <w:t>)</w:t>
            </w:r>
            <w:r w:rsidR="009A11E5" w:rsidRPr="00E40BE2">
              <w:rPr>
                <w:rFonts w:ascii="Times New Roman" w:hAnsi="Times New Roman"/>
              </w:rPr>
              <w:t>.</w:t>
            </w:r>
          </w:p>
        </w:tc>
      </w:tr>
      <w:tr w:rsidR="0044479C" w:rsidRPr="00CF28BD" w14:paraId="2CC20EFF" w14:textId="77777777" w:rsidTr="00E348F6">
        <w:trPr>
          <w:trHeight w:val="2130"/>
          <w:jc w:val="center"/>
        </w:trPr>
        <w:tc>
          <w:tcPr>
            <w:tcW w:w="1568" w:type="dxa"/>
            <w:tcBorders>
              <w:bottom w:val="single" w:sz="8" w:space="0" w:color="auto"/>
            </w:tcBorders>
            <w:vAlign w:val="center"/>
          </w:tcPr>
          <w:p w14:paraId="678C48B5" w14:textId="77777777" w:rsidR="0044479C" w:rsidRPr="00E40BE2" w:rsidRDefault="0044479C" w:rsidP="00660637">
            <w:pPr>
              <w:autoSpaceDE w:val="0"/>
              <w:autoSpaceDN w:val="0"/>
              <w:adjustRightInd w:val="0"/>
              <w:snapToGrid w:val="0"/>
              <w:spacing w:line="276" w:lineRule="auto"/>
              <w:jc w:val="center"/>
              <w:rPr>
                <w:b/>
                <w:i/>
                <w:iCs/>
                <w:sz w:val="20"/>
                <w:szCs w:val="20"/>
              </w:rPr>
            </w:pPr>
            <w:r w:rsidRPr="00E40BE2">
              <w:rPr>
                <w:b/>
                <w:i/>
                <w:iCs/>
                <w:sz w:val="20"/>
                <w:szCs w:val="20"/>
              </w:rPr>
              <w:t>G.  duodenalis</w:t>
            </w:r>
          </w:p>
        </w:tc>
        <w:tc>
          <w:tcPr>
            <w:tcW w:w="2401" w:type="dxa"/>
            <w:tcBorders>
              <w:bottom w:val="single" w:sz="8" w:space="0" w:color="auto"/>
            </w:tcBorders>
            <w:vAlign w:val="center"/>
          </w:tcPr>
          <w:p w14:paraId="7FC02F31" w14:textId="74D7FB54" w:rsidR="0044479C" w:rsidRPr="00E40BE2" w:rsidRDefault="0044479C" w:rsidP="00660637">
            <w:pPr>
              <w:autoSpaceDE w:val="0"/>
              <w:autoSpaceDN w:val="0"/>
              <w:adjustRightInd w:val="0"/>
              <w:snapToGrid w:val="0"/>
              <w:spacing w:line="276" w:lineRule="auto"/>
              <w:jc w:val="center"/>
              <w:rPr>
                <w:sz w:val="20"/>
                <w:szCs w:val="20"/>
              </w:rPr>
            </w:pPr>
            <w:r w:rsidRPr="00E40BE2">
              <w:rPr>
                <w:sz w:val="20"/>
                <w:szCs w:val="20"/>
              </w:rPr>
              <w:t xml:space="preserve">Identification of cysts in concentrated faecal smear </w:t>
            </w:r>
            <w:r w:rsidRPr="009C225F">
              <w:rPr>
                <w:sz w:val="20"/>
                <w:szCs w:val="20"/>
              </w:rPr>
              <w:t>via</w:t>
            </w:r>
            <w:r w:rsidRPr="00E40BE2">
              <w:rPr>
                <w:sz w:val="20"/>
                <w:szCs w:val="20"/>
              </w:rPr>
              <w:t xml:space="preserve"> </w:t>
            </w:r>
            <w:r w:rsidRPr="00E40BE2">
              <w:rPr>
                <w:bCs/>
                <w:color w:val="000000" w:themeColor="text1"/>
                <w:sz w:val="20"/>
                <w:szCs w:val="20"/>
              </w:rPr>
              <w:t>formalin/ether concentration techniques</w:t>
            </w:r>
            <w:r w:rsidR="003E4E72" w:rsidRPr="00E40BE2">
              <w:rPr>
                <w:bCs/>
                <w:color w:val="000000" w:themeColor="text1"/>
                <w:sz w:val="20"/>
                <w:szCs w:val="20"/>
              </w:rPr>
              <w:t>,</w:t>
            </w:r>
            <w:r w:rsidRPr="00E40BE2">
              <w:rPr>
                <w:bCs/>
                <w:color w:val="000000" w:themeColor="text1"/>
                <w:sz w:val="20"/>
                <w:szCs w:val="20"/>
              </w:rPr>
              <w:t xml:space="preserve"> flotation techniques</w:t>
            </w:r>
            <w:r w:rsidR="003E4E72" w:rsidRPr="00E40BE2">
              <w:rPr>
                <w:bCs/>
                <w:color w:val="000000" w:themeColor="text1"/>
                <w:sz w:val="20"/>
                <w:szCs w:val="20"/>
              </w:rPr>
              <w:t xml:space="preserve"> or immunofluorescent antibody microscopy</w:t>
            </w:r>
            <w:r w:rsidRPr="00E40BE2">
              <w:rPr>
                <w:bCs/>
                <w:color w:val="000000" w:themeColor="text1"/>
                <w:sz w:val="20"/>
                <w:szCs w:val="20"/>
              </w:rPr>
              <w:t xml:space="preserve"> </w:t>
            </w:r>
            <w:r w:rsidRPr="00E40BE2">
              <w:rPr>
                <w:bCs/>
                <w:color w:val="000000" w:themeColor="text1"/>
                <w:sz w:val="20"/>
                <w:szCs w:val="20"/>
              </w:rPr>
              <w:fldChar w:fldCharType="begin" w:fldLock="1"/>
            </w:r>
            <w:r w:rsidR="001A0DC3" w:rsidRPr="00E40BE2">
              <w:rPr>
                <w:bCs/>
                <w:color w:val="000000" w:themeColor="text1"/>
                <w:sz w:val="20"/>
                <w:szCs w:val="20"/>
              </w:rPr>
              <w:instrText>ADDIN CSL_CITATION {"citationItems":[{"id":"ITEM-1","itemData":{"DOI":"10.22037/ghfbb.v0i0.1414","ISSN":"20084234","PMID":"30949313","abstract":"Giardiasis has a global distribution and it is a common cause of diarrhea in both children and adults and is transmitted via the fecal-oral route through direct or indirect ingestion of cysts. The laboratory diagnosis of Giardia spp. is mainly based on demonstration of microscopic cyst or trophozoite in stool samples but several immunological-based assays and molecular methods are also available for giardiasis diagnosis. The aim of this study was to conduct a review of the applied methods in medical laboratory and to highlight pitfalls and challenges of them for diagnosis of giardiasis. In this article we have evaluated the Giardia diagnostic methods with a broad review of literature, electronic databases and books. The search has covered the articles and some textbooks that have published up to 2018. It has been concluded that traditional microscopy combination with stool concentration method should still be held in the routine medical laboratory due to economical and high sensitivity and immunological-based assay and molecular methods which are recommended to use as a complementary test to the traditional technique.","author":[{"dropping-particle":"","family":"Hossein Hooshyar, Parvin Rostamkhani, Mohsen Arbabi","given":"Mahdi Delavari","non-dropping-particle":"","parse-names":false,"suffix":""}],"container-title":"Gastroenterology and Hepatology","id":"ITEM-1","issued":{"date-parts":[["2019"]]},"page":"95, 347–349.","title":"Giardia lamblia infection: review of current diagnostic strategies","type":"article-journal"},"uris":["http://www.mendeley.com/documents/?uuid=779955bf-50cc-4d95-9157-fc2e8594e75e"]}],"mendeley":{"formattedCitation":"[68]","plainTextFormattedCitation":"[68]","previouslyFormattedCitation":"[68]"},"properties":{"noteIndex":0},"schema":"https://github.com/citation-style-language/schema/raw/master/csl-citation.json"}</w:instrText>
            </w:r>
            <w:r w:rsidRPr="00E40BE2">
              <w:rPr>
                <w:bCs/>
                <w:color w:val="000000" w:themeColor="text1"/>
                <w:sz w:val="20"/>
                <w:szCs w:val="20"/>
              </w:rPr>
              <w:fldChar w:fldCharType="separate"/>
            </w:r>
            <w:r w:rsidR="001D3544" w:rsidRPr="00E40BE2">
              <w:rPr>
                <w:bCs/>
                <w:noProof/>
                <w:color w:val="000000" w:themeColor="text1"/>
                <w:sz w:val="20"/>
                <w:szCs w:val="20"/>
              </w:rPr>
              <w:t>[68]</w:t>
            </w:r>
            <w:r w:rsidRPr="00E40BE2">
              <w:rPr>
                <w:bCs/>
                <w:color w:val="000000" w:themeColor="text1"/>
                <w:sz w:val="20"/>
                <w:szCs w:val="20"/>
              </w:rPr>
              <w:fldChar w:fldCharType="end"/>
            </w:r>
          </w:p>
        </w:tc>
        <w:tc>
          <w:tcPr>
            <w:tcW w:w="2835" w:type="dxa"/>
            <w:tcBorders>
              <w:bottom w:val="single" w:sz="8" w:space="0" w:color="auto"/>
            </w:tcBorders>
            <w:vAlign w:val="center"/>
          </w:tcPr>
          <w:p w14:paraId="3A211FA1" w14:textId="653BA42E" w:rsidR="0044479C" w:rsidRPr="00E40BE2" w:rsidRDefault="0044479C" w:rsidP="00C64F2D">
            <w:pPr>
              <w:pStyle w:val="MDPI31text"/>
              <w:spacing w:line="276" w:lineRule="auto"/>
              <w:ind w:firstLine="0"/>
              <w:jc w:val="center"/>
              <w:rPr>
                <w:rFonts w:ascii="Times New Roman" w:hAnsi="Times New Roman"/>
                <w:bCs/>
                <w:color w:val="000000" w:themeColor="text1"/>
                <w:szCs w:val="20"/>
              </w:rPr>
            </w:pPr>
            <w:r w:rsidRPr="00E40BE2">
              <w:rPr>
                <w:rFonts w:ascii="Times New Roman" w:hAnsi="Times New Roman"/>
                <w:bCs/>
                <w:color w:val="000000" w:themeColor="text1"/>
                <w:szCs w:val="20"/>
              </w:rPr>
              <w:t xml:space="preserve">Detection of species-specific antigens in faecal samples </w:t>
            </w:r>
            <w:r w:rsidR="00522CC5" w:rsidRPr="00E40BE2">
              <w:rPr>
                <w:rFonts w:ascii="Times New Roman" w:hAnsi="Times New Roman"/>
                <w:bCs/>
                <w:color w:val="000000" w:themeColor="text1"/>
                <w:szCs w:val="20"/>
              </w:rPr>
              <w:t>using</w:t>
            </w:r>
            <w:r w:rsidRPr="00E40BE2">
              <w:rPr>
                <w:rFonts w:ascii="Times New Roman" w:hAnsi="Times New Roman"/>
                <w:bCs/>
                <w:color w:val="000000" w:themeColor="text1"/>
                <w:szCs w:val="20"/>
              </w:rPr>
              <w:t xml:space="preserve"> </w:t>
            </w:r>
            <w:r w:rsidR="00E45619" w:rsidRPr="00E40BE2">
              <w:rPr>
                <w:rFonts w:ascii="Times New Roman" w:hAnsi="Times New Roman"/>
                <w:bCs/>
                <w:color w:val="000000" w:themeColor="text1"/>
                <w:szCs w:val="20"/>
              </w:rPr>
              <w:t>ELISA or</w:t>
            </w:r>
            <w:r w:rsidR="000F0255" w:rsidRPr="00E40BE2">
              <w:rPr>
                <w:rFonts w:ascii="Times New Roman" w:hAnsi="Times New Roman"/>
                <w:bCs/>
                <w:color w:val="000000" w:themeColor="text1"/>
                <w:szCs w:val="20"/>
              </w:rPr>
              <w:t xml:space="preserve"> </w:t>
            </w:r>
            <w:r w:rsidRPr="00E40BE2">
              <w:rPr>
                <w:rFonts w:ascii="Times New Roman" w:hAnsi="Times New Roman"/>
                <w:bCs/>
                <w:color w:val="000000" w:themeColor="text1"/>
                <w:szCs w:val="20"/>
                <w:u w:val="single"/>
              </w:rPr>
              <w:t>lateral-flow test strips</w:t>
            </w:r>
            <w:r w:rsidR="00E45619" w:rsidRPr="00E40BE2">
              <w:rPr>
                <w:rFonts w:ascii="Times New Roman" w:hAnsi="Times New Roman"/>
                <w:bCs/>
                <w:color w:val="000000" w:themeColor="text1"/>
                <w:szCs w:val="20"/>
              </w:rPr>
              <w:t xml:space="preserve"> </w:t>
            </w:r>
            <w:r w:rsidR="00AD1D67" w:rsidRPr="00E40BE2">
              <w:rPr>
                <w:rFonts w:ascii="Times New Roman" w:hAnsi="Times New Roman"/>
                <w:bCs/>
                <w:color w:val="000000" w:themeColor="text1"/>
                <w:szCs w:val="20"/>
                <w:u w:val="single"/>
              </w:rPr>
              <w:fldChar w:fldCharType="begin" w:fldLock="1"/>
            </w:r>
            <w:r w:rsidR="00295FB2">
              <w:rPr>
                <w:rFonts w:ascii="Times New Roman" w:hAnsi="Times New Roman"/>
                <w:bCs/>
                <w:color w:val="000000" w:themeColor="text1"/>
                <w:szCs w:val="20"/>
                <w:u w:val="single"/>
              </w:rPr>
              <w:instrText>ADDIN CSL_CITATION {"citationItems":[{"id":"ITEM-1","itemData":{"DOI":"10.1016/j.biotechadv.2013.10.009","ISSN":"07349750","abstract":"Giardiasis is a gastrointestinal disease of humans and other animals caused by species of parasitic protists of the genus Giardia. This disease is transmitted mainly via the faecal-oral route (e.g., in water or food) and is of socioeconomic importance worldwide. The accurate detection and genetic characterisation of the different species and population variants (usually referred to as assemblages and/or sub-assemblages) of Giardia are central to understanding their transmission patterns and host spectra. The present article provides a background on Giardia and giardiasis, and reviews some key techniques employed for the identification and genetic characterisation of Giardia in biological samples, the diagnosis of infection and the analysis of genetic variation within and among species of Giardia. Advances in molecular techniques provide a solid basis for investigating the systematics, population genetics, ecology and epidemiology of Giardia species and genotypes as well as the prevention and control of giardiasis. © 2013 Elsevier Inc.","author":[{"dropping-particle":"V.","family":"Koehler","given":"Anson","non-dropping-particle":"","parse-names":false,"suffix":""},{"dropping-particle":"","family":"Jex","given":"Aaron R.","non-dropping-particle":"","parse-names":false,"suffix":""},{"dropping-particle":"","family":"Haydon","given":"Shane R.","non-dropping-particle":"","parse-names":false,"suffix":""},{"dropping-particle":"","family":"Stevens","given":"Melita A.","non-dropping-particle":"","parse-names":false,"suffix":""},{"dropping-particle":"","family":"Gasser","given":"Robin B.","non-dropping-particle":"","parse-names":false,"suffix":""}],"container-title":"Biotechnology Advances","id":"ITEM-1","issue":"2","issued":{"date-parts":[["2014"]]},"page":"280-289","publisher":"Elsevier Inc.","title":"Giardia/giardiasis - A perspective on diagnostic and analytical tools","type":"article-journal","volume":"32"},"uris":["http://www.mendeley.com/documents/?uuid=92c4c515-0115-4afe-a75a-f941fcee3fe9"]},{"id":"ITEM-2","itemData":{"DOI":"10.1016/j.parint.2013.08.008","ISSN":"13835769","abstract":"Diagnostic testing in the United Kingdom for Cryptosporidium and Giardia species is routinely performed by microscopy. In this study, two hundred stool samples from human clinical cases were examined for the presence of these two parasites comparing microscopy with an antigen immunoassay, Quik Chek (Techlab, Inc.). The Quik Chek assay was shown to have a sensitivity and specificity for Cryptosporidium detection of 87.6% and 98.9% respectively and for Giardia detection, 93.3% and 99.4% respectively. The high correlation with microscopy data provides evidence to support implementation of this rapid test within diagnostic microbiology laboratories. © 2013 Elsevier Ireland Ltd.","author":[{"dropping-particle":"","family":"L.Alexander","given":"Claire","non-dropping-particle":"","parse-names":false,"suffix":""},{"dropping-particle":"","family":"Niebel","given":"Marc","non-dropping-particle":"","parse-names":false,"suffix":""},{"dropping-particle":"","family":"Jones","given":"Brian","non-dropping-particle":"","parse-names":false,"suffix":""}],"container-title":"Parasitology International","id":"ITEM-2","issue":"6","issued":{"date-parts":[["2013"]]},"page":"552-553","publisher":"Elsevier Ireland Ltd","title":"The rapid detection of Cryptosporidium and Giardia species in clinical stools using the Quik Chek immunoassay","type":"article-journal","volume":"62"},"uris":["http://www.mendeley.com/documents/?uuid=361f58f5-3062-4c33-9144-3b949fd3ed7f"]},{"id":"ITEM-3","itemData":{"DOI":"10.1093/trstmh/trw072","ISSN":"18783503","abstract":"Background: Water-borne parasitic diseases associated with poverty still blight the lives of African school children. In Uganda, intestinal schistosomiasis is still common along the shoreline of Lake Albert, despite ongoing control, and co-infection with giardiasis and malaria is poorly described. To shed light on putative interactions between diseases, a prospective cross-sectional parasitological survey was undertaken in five primary schools. Methods: Stool samples from 254 school children, aged 5-10 years, were examined by microscopy and rapid diagnostic tests (RDTs), with additional real-time PCR assays for detection of Giardia DNA. A finger-prick blood sample was also taken from each child and tested for malaria, and haemoblobin levels measured. Assocations between diseases and anaemia were assessed. Results: Intestinal schistosomiasis (46.5%), giardiasis (41.6%) and malaria (56.2%) were common, and a quarter of children were anaemic (&lt; 115 g/L). Up to 87.0% of children were excreting Giardia DNA and the prevalence of heavy infection by real-time PCR (Ct≤19) was 19.5%, being positively associated with light, moderate and heavy egg-patent schistosomiasis, as well as with anaemia. Conclusions: In this setting, an extensive burden of giardiasis was revealed with heavy intensity infections associated with egg-patent intestinal schistosomiasis and anaemia. To improve child health, greater attention on giardiasis is needed along with exploring joined-up actions across diseases that promote better water hygiene and sanitation measures.","author":[{"dropping-particle":"","family":"Al-Shehri","given":"Hajri","non-dropping-particle":"","parse-names":false,"suffix":""},{"dropping-particle":"","family":"Stanton","given":"Michelle C.","non-dropping-particle":"","parse-names":false,"suffix":""},{"dropping-particle":"","family":"LaCourse","given":"James E.","non-dropping-particle":"","parse-names":false,"suffix":""},{"dropping-particle":"","family":"Atuhaire","given":"Aaron","non-dropping-particle":"","parse-names":false,"suffix":""},{"dropping-particle":"","family":"Arinaitwe","given":"Moses","non-dropping-particle":"","parse-names":false,"suffix":""},{"dropping-particle":"","family":"Wamboko","given":"Aida","non-dropping-particle":"","parse-names":false,"suffix":""},{"dropping-particle":"","family":"Adriko","given":"Moses","non-dropping-particle":"","parse-names":false,"suffix":""},{"dropping-particle":"","family":"Kabatereine","given":"Narcis B.","non-dropping-particle":"","parse-names":false,"suffix":""},{"dropping-particle":"","family":"Stothard","given":"J. Russell","non-dropping-particle":"","parse-names":false,"suffix":""}],"container-title":"Transactions of the Royal Society of Tropical Medicine and Hygiene","id":"ITEM-3","issue":"10","issued":{"date-parts":[["2016"]]},"page":"597-603","title":"An extensive burden of giardiasis associated with intestinal schistosomiasis and anaemia in school children on the shoreline of Lake Albert, Uganda","type":"article-journal","volume":"110"},"uris":["http://www.mendeley.com/documents/?uuid=9927f4ed-e1bd-4ca4-a075-6e3dc23f87b8"]},{"id":"ITEM-4","itemData":{"DOI":"10.1016/j.parint.2016.08.012","ISSN":"18730329","abstract":"Techniques for Giardia diagnosis based on microscopy are usually applied as routine laboratory testing; however, they typically exhibit low sensitivity. This study aimed to evaluate Giardia duodenalis and other intestinal parasitic infections in different pediatric groups, with an emphasis on the comparison of Giardia diagnostic techniques. Feces from 824 children from different groups (diarrheic, malnourished, with cancer and from day care) were examined by microscopy and ELISA for Giardia, Cryptosporidium sp. and Entamoeba histolytica coproantigen detection. Giardia-positive samples from day-care children, identified by either microscopy or ELISA, were further tested by PCR targeting of the β-giardin and Gdh genes. Statistically significant differences (P &lt; 0.05) were observed when comparing the frequency of each protozoan among the groups. Giardia duodenalis was more frequent in day-care children and Cryptosporidium sp. in diarrheic and malnourished groups; infections by Entamoeba histolytica were found only in children with diarrhea. Considering positivity for Giardia by at least one method, ELISA was found to be more sensitive than microscopy (97% versus 55%). To examine discrepancies among the diagnostic methods, 71 Giardia-positive stool samples from day-care children were tested by PCR; of these, DNA was amplified from 51 samples (77.4%). Concordance of positivity between microscopy and ELISA was found for 48 samples, with 43 confirmed by PCR. Parasite DNA was amplified from eleven of the 20 Giardia samples (55%) identified only by ELISA. This study shows the higher sensitivity of ELISA over microscopy for Giardia diagnosis when a single sample is analyzed and emphasizes the need for methods based on coproantigen detection to identify this parasite in diarrheic fecal samples.","author":[{"dropping-particle":"","family":"Silva","given":"Renata K.N.R.","non-dropping-particle":"","parse-names":false,"suffix":""},{"dropping-particle":"","family":"Pacheco","given":"Flávia T.F.","non-dropping-particle":"","parse-names":false,"suffix":""},{"dropping-particle":"","family":"Martins","given":"Adson S.","non-dropping-particle":"","parse-names":false,"suffix":""},{"dropping-particle":"","family":"Menezes","given":"Joelma F.","non-dropping-particle":"","parse-names":false,"suffix":""},{"dropping-particle":"","family":"Costa-Ribeiro","given":"Hugo","non-dropping-particle":"","parse-names":false,"suffix":""},{"dropping-particle":"","family":"Ribeiro","given":"Tereza C.M.","non-dropping-particle":"","parse-names":false,"suffix":""},{"dropping-particle":"","family":"Mattos","given":"Ângela P.","non-dropping-particle":"","parse-names":false,"suffix":""},{"dropping-particle":"","family":"Oliveira","given":"Ricardo R.","non-dropping-particle":"","parse-names":false,"suffix":""},{"dropping-particle":"","family":"Soares","given":"Neci M.","non-dropping-particle":"","parse-names":false,"suffix":""},{"dropping-particle":"","family":"Teixeira","given":"Márcia C.A.","non-dropping-particle":"","parse-names":false,"suffix":""}],"container-title":"Parasitology International","id":"ITEM-4","issue":"6","issued":{"date-parts":[["2016"]]},"page":"635-640","title":"Performance of microscopy and ELISA for diagnosing Giardia duodenalis infection in different pediatric groups","type":"article-journal","volume":"65"},"uris":["http://www.mendeley.com/documents/?uuid=0bc1e1a5-6482-4732-9ddb-02209c92642a"]}],"mendeley":{"formattedCitation":"[11,78–80]","plainTextFormattedCitation":"[11,78–80]","previouslyFormattedCitation":"[11,78–80]"},"properties":{"noteIndex":0},"schema":"https://github.com/citation-style-language/schema/raw/master/csl-citation.json"}</w:instrText>
            </w:r>
            <w:r w:rsidR="00AD1D67" w:rsidRPr="00E40BE2">
              <w:rPr>
                <w:rFonts w:ascii="Times New Roman" w:hAnsi="Times New Roman"/>
                <w:bCs/>
                <w:color w:val="000000" w:themeColor="text1"/>
                <w:szCs w:val="20"/>
                <w:u w:val="single"/>
              </w:rPr>
              <w:fldChar w:fldCharType="separate"/>
            </w:r>
            <w:r w:rsidR="007048D4" w:rsidRPr="007048D4">
              <w:rPr>
                <w:rFonts w:ascii="Times New Roman" w:hAnsi="Times New Roman"/>
                <w:bCs/>
                <w:noProof/>
                <w:color w:val="000000" w:themeColor="text1"/>
                <w:szCs w:val="20"/>
              </w:rPr>
              <w:t>[11,78–80]</w:t>
            </w:r>
            <w:r w:rsidR="00AD1D67" w:rsidRPr="00E40BE2">
              <w:rPr>
                <w:rFonts w:ascii="Times New Roman" w:hAnsi="Times New Roman"/>
                <w:bCs/>
                <w:color w:val="000000" w:themeColor="text1"/>
                <w:szCs w:val="20"/>
                <w:u w:val="single"/>
              </w:rPr>
              <w:fldChar w:fldCharType="end"/>
            </w:r>
          </w:p>
        </w:tc>
        <w:tc>
          <w:tcPr>
            <w:tcW w:w="2657" w:type="dxa"/>
            <w:tcBorders>
              <w:bottom w:val="single" w:sz="8" w:space="0" w:color="auto"/>
            </w:tcBorders>
            <w:vAlign w:val="center"/>
          </w:tcPr>
          <w:p w14:paraId="2AEACF52" w14:textId="6A019D32" w:rsidR="0044479C" w:rsidRPr="00E40BE2" w:rsidRDefault="00A07068" w:rsidP="00E348F6">
            <w:pPr>
              <w:jc w:val="center"/>
              <w:rPr>
                <w:sz w:val="20"/>
                <w:szCs w:val="20"/>
              </w:rPr>
            </w:pPr>
            <w:r w:rsidRPr="00E40BE2">
              <w:rPr>
                <w:bCs/>
                <w:color w:val="000000" w:themeColor="text1"/>
                <w:sz w:val="20"/>
                <w:szCs w:val="20"/>
              </w:rPr>
              <w:t xml:space="preserve">Detection and amplification of </w:t>
            </w:r>
            <w:r w:rsidR="00AA4FDF" w:rsidRPr="00E40BE2">
              <w:rPr>
                <w:bCs/>
                <w:color w:val="000000" w:themeColor="text1"/>
                <w:sz w:val="20"/>
                <w:szCs w:val="20"/>
              </w:rPr>
              <w:t>species-</w:t>
            </w:r>
            <w:r w:rsidR="0044479C" w:rsidRPr="00E40BE2">
              <w:rPr>
                <w:bCs/>
                <w:color w:val="000000" w:themeColor="text1"/>
                <w:sz w:val="20"/>
                <w:szCs w:val="20"/>
              </w:rPr>
              <w:t>specific DNA in faecal samples using PCR/qPCR</w:t>
            </w:r>
            <w:r w:rsidR="00A90B26" w:rsidRPr="00E40BE2">
              <w:rPr>
                <w:bCs/>
                <w:color w:val="000000" w:themeColor="text1"/>
                <w:sz w:val="20"/>
                <w:szCs w:val="20"/>
              </w:rPr>
              <w:t xml:space="preserve"> </w:t>
            </w:r>
            <w:r w:rsidR="00690A31" w:rsidRPr="00E40BE2">
              <w:rPr>
                <w:sz w:val="20"/>
                <w:szCs w:val="20"/>
              </w:rPr>
              <w:fldChar w:fldCharType="begin" w:fldLock="1"/>
            </w:r>
            <w:r w:rsidR="00295FB2">
              <w:rPr>
                <w:sz w:val="20"/>
                <w:szCs w:val="20"/>
              </w:rPr>
              <w:instrText>ADDIN CSL_CITATION {"citationItems":[{"id":"ITEM-1","itemData":{"DOI":"10.1016/j.biotechadv.2013.10.009","ISSN":"07349750","abstract":"Giardiasis is a gastrointestinal disease of humans and other animals caused by species of parasitic protists of the genus Giardia. This disease is transmitted mainly via the faecal-oral route (e.g., in water or food) and is of socioeconomic importance worldwide. The accurate detection and genetic characterisation of the different species and population variants (usually referred to as assemblages and/or sub-assemblages) of Giardia are central to understanding their transmission patterns and host spectra. The present article provides a background on Giardia and giardiasis, and reviews some key techniques employed for the identification and genetic characterisation of Giardia in biological samples, the diagnosis of infection and the analysis of genetic variation within and among species of Giardia. Advances in molecular techniques provide a solid basis for investigating the systematics, population genetics, ecology and epidemiology of Giardia species and genotypes as well as the prevention and control of giardiasis. © 2013 Elsevier Inc.","author":[{"dropping-particle":"V.","family":"Koehler","given":"Anson","non-dropping-particle":"","parse-names":false,"suffix":""},{"dropping-particle":"","family":"Jex","given":"Aaron R.","non-dropping-particle":"","parse-names":false,"suffix":""},{"dropping-particle":"","family":"Haydon","given":"Shane R.","non-dropping-particle":"","parse-names":false,"suffix":""},{"dropping-particle":"","family":"Stevens","given":"Melita A.","non-dropping-particle":"","parse-names":false,"suffix":""},{"dropping-particle":"","family":"Gasser","given":"Robin B.","non-dropping-particle":"","parse-names":false,"suffix":""}],"container-title":"Biotechnology Advances","id":"ITEM-1","issue":"2","issued":{"date-parts":[["2014"]]},"page":"280-289","publisher":"Elsevier Inc.","title":"Giardia/giardiasis - A perspective on diagnostic and analytical tools","type":"article-journal","volume":"32"},"uris":["http://www.mendeley.com/documents/?uuid=92c4c515-0115-4afe-a75a-f941fcee3fe9"]}],"mendeley":{"formattedCitation":"[78]","plainTextFormattedCitation":"[78]","previouslyFormattedCitation":"[78]"},"properties":{"noteIndex":0},"schema":"https://github.com/citation-style-language/schema/raw/master/csl-citation.json"}</w:instrText>
            </w:r>
            <w:r w:rsidR="00690A31" w:rsidRPr="00E40BE2">
              <w:rPr>
                <w:sz w:val="20"/>
                <w:szCs w:val="20"/>
              </w:rPr>
              <w:fldChar w:fldCharType="separate"/>
            </w:r>
            <w:r w:rsidR="007048D4" w:rsidRPr="007048D4">
              <w:rPr>
                <w:noProof/>
                <w:sz w:val="20"/>
                <w:szCs w:val="20"/>
              </w:rPr>
              <w:t>[78]</w:t>
            </w:r>
            <w:r w:rsidR="00690A31" w:rsidRPr="00E40BE2">
              <w:rPr>
                <w:sz w:val="20"/>
                <w:szCs w:val="20"/>
              </w:rPr>
              <w:fldChar w:fldCharType="end"/>
            </w:r>
            <w:r w:rsidR="00690A31" w:rsidRPr="00E40BE2">
              <w:rPr>
                <w:sz w:val="20"/>
                <w:szCs w:val="20"/>
              </w:rPr>
              <w:t xml:space="preserve">, </w:t>
            </w:r>
            <w:r w:rsidR="00A90B26" w:rsidRPr="00E40BE2">
              <w:rPr>
                <w:bCs/>
                <w:color w:val="000000" w:themeColor="text1"/>
                <w:sz w:val="20"/>
                <w:szCs w:val="20"/>
              </w:rPr>
              <w:t>(</w:t>
            </w:r>
            <w:r w:rsidR="00A90B26" w:rsidRPr="00E40BE2">
              <w:rPr>
                <w:bCs/>
                <w:color w:val="000000" w:themeColor="text1"/>
                <w:sz w:val="20"/>
                <w:szCs w:val="20"/>
                <w:u w:val="single"/>
              </w:rPr>
              <w:t>LAMP</w:t>
            </w:r>
            <w:r w:rsidR="00A90B26" w:rsidRPr="00E40BE2">
              <w:rPr>
                <w:bCs/>
                <w:color w:val="000000" w:themeColor="text1"/>
                <w:sz w:val="20"/>
                <w:szCs w:val="20"/>
              </w:rPr>
              <w:t xml:space="preserve"> and </w:t>
            </w:r>
            <w:r w:rsidR="00A90B26" w:rsidRPr="00E40BE2">
              <w:rPr>
                <w:bCs/>
                <w:color w:val="000000" w:themeColor="text1"/>
                <w:sz w:val="20"/>
                <w:szCs w:val="20"/>
                <w:u w:val="single"/>
              </w:rPr>
              <w:t>RPA</w:t>
            </w:r>
            <w:r w:rsidR="00A90B26" w:rsidRPr="00E40BE2">
              <w:rPr>
                <w:bCs/>
                <w:color w:val="000000" w:themeColor="text1"/>
                <w:sz w:val="20"/>
                <w:szCs w:val="20"/>
              </w:rPr>
              <w:t xml:space="preserve"> assays have also been developed</w:t>
            </w:r>
            <w:r w:rsidR="00B41337" w:rsidRPr="00E40BE2">
              <w:rPr>
                <w:bCs/>
                <w:color w:val="000000" w:themeColor="text1"/>
                <w:sz w:val="20"/>
                <w:szCs w:val="20"/>
              </w:rPr>
              <w:t xml:space="preserve"> </w:t>
            </w:r>
            <w:r w:rsidR="00B41337" w:rsidRPr="00E40BE2">
              <w:rPr>
                <w:bCs/>
                <w:color w:val="000000" w:themeColor="text1"/>
                <w:sz w:val="20"/>
                <w:szCs w:val="20"/>
                <w:u w:val="single"/>
              </w:rPr>
              <w:fldChar w:fldCharType="begin" w:fldLock="1"/>
            </w:r>
            <w:r w:rsidR="00295FB2">
              <w:rPr>
                <w:bCs/>
                <w:color w:val="000000" w:themeColor="text1"/>
                <w:sz w:val="20"/>
                <w:szCs w:val="20"/>
                <w:u w:val="single"/>
              </w:rPr>
              <w:instrText>ADDIN CSL_CITATION {"citationItems":[{"id":"ITEM-1","itemData":{"DOI":"10.1186/s13071-020-04168-1","ISSN":"1756-3305","author":[{"dropping-particle":"","family":"Gonzalez","given":"Sandra J Molina","non-dropping-particle":"","parse-names":false,"suffix":""},{"dropping-particle":"","family":"Bhattacharyya","given":"Tapan","non-dropping-particle":"","parse-names":false,"suffix":""},{"dropping-particle":"","family":"Alshehri","given":"Hajri R","non-dropping-particle":"","parse-names":false,"suffix":""},{"dropping-particle":"","family":"Poulton","given":"Kate","non-dropping-particle":"","parse-names":false,"suffix":""},{"dropping-particle":"","family":"Allen","given":"Stephen","non-dropping-particle":"","parse-names":false,"suffix":""},{"dropping-particle":"","family":"Miles","given":"Michael A","non-dropping-particle":"","parse-names":false,"suffix":""},{"dropping-particle":"","family":"Arianitwe","given":"Moses","non-dropping-particle":"","parse-names":false,"suffix":""},{"dropping-particle":"","family":"Tukahebwa","given":"Edridah M","non-dropping-particle":"","parse-names":false,"suffix":""},{"dropping-particle":"","family":"Webster","given":"Bonnie","non-dropping-particle":"","parse-names":false,"suffix":""},{"dropping-particle":"","family":"Stothard","given":"J Russell","non-dropping-particle":"","parse-names":false,"suffix":""}],"container-title":"Parasites &amp; Vectors","id":"ITEM-1","issued":{"date-parts":[["2020"]]},"page":"1-9","publisher":"BioMed Central","title":"Application of a recombinase polymerase amplification ( RPA ) assay and pilot field testing for Giardia duodenalis at Lake Albert , Uganda","type":"article-journal"},"uris":["http://www.mendeley.com/documents/?uuid=dafe4d06-afc3-4347-98d3-0dbc259069c2"]},{"id":"ITEM-2","itemData":{"DOI":"10.4269/ajtmh.14-0593","ISSN":"00029637","abstract":"Giardia duodenalis is one of the most commonly identified parasites in stool samples. Although relatively easy to treat, giardiasis can be difficult to detect as it presents similar to other diarrheal diseases. Here, we present a recombinase polymerase amplification-based Giardia (RPAG) assay to detect the presence of Giardia in stool samples. The RPAG assay was characterized on the bench top using stool samples spiked with Giardia cysts where it showed a limit-of-detection nearly as low as the gold standard polymerase chain reaction assay. The RPAG assay was then tested in the highlands of Peru on 104 stool samples collected from the surrounding communities where it showed 73% sensitivity and 95% specificity against a polymerase chain reaction and microscopy composite gold standard. Further improvements in clinical sensitivity will be needed for the RPAG assay to have clinical relevance.","author":[{"dropping-particle":"","family":"Crannell","given":"Zachary Austin","non-dropping-particle":"","parse-names":false,"suffix":""},{"dropping-particle":"","family":"Cabada","given":"Miguel Mauricio","non-dropping-particle":"","parse-names":false,"suffix":""},{"dropping-particle":"","family":"Castellanos-Gonzalez","given":"Alejandro","non-dropping-particle":"","parse-names":false,"suffix":""},{"dropping-particle":"","family":"Irani","given":"Ayesha","non-dropping-particle":"","parse-names":false,"suffix":""},{"dropping-particle":"","family":"White","given":"Arthur Clinton","non-dropping-particle":"","parse-names":false,"suffix":""},{"dropping-particle":"","family":"Richards-Kortum","given":"Rebecca","non-dropping-particle":"","parse-names":false,"suffix":""}],"container-title":"American Journal of Tropical Medicine and Hygiene","id":"ITEM-2","issue":"3","issued":{"date-parts":[["2015"]]},"page":"583-587","title":"Recombinase polymerase amplification-based assay to diagnose giardia in stool samples","type":"article-journal","volume":"92"},"uris":["http://www.mendeley.com/documents/?uuid=6beb932d-ffe5-44d7-9e16-6b328a88bb40"]},{"id":"ITEM-3","itemData":{"DOI":"10.1007/s00436-009-1391-3","ISBN":"0043600913","ISSN":"09320113","abstract":"The detection of two human-pathogenic Giardia duodenalis assemblages A and B in faecal and water samples by loop-mediated isothermal amplification (LAMP) has been evaluated. The LAMP reaction is reproducible, rapid and specific for the detection G. duodenalis and has lower costs compared to the other molecular assays. This is the first application of LAMP for Giardia detection. © 2009 Springer-Verlag.","author":[{"dropping-particle":"","family":"Plutzer","given":"J.","non-dropping-particle":"","parse-names":false,"suffix":""},{"dropping-particle":"","family":"Karanis","given":"P.","non-dropping-particle":"","parse-names":false,"suffix":""}],"container-title":"Parasitology Research","id":"ITEM-3","issue":"6","issued":{"date-parts":[["2009"]]},"page":"1527-1533","title":"Rapid identification of Giardia duodenalis by loop-mediated isothermal amplification (LAMP) from faecal and environmental samples and comparative findings by PCR and real-time PCR methods","type":"article-journal","volume":"104"},"uris":["http://www.mendeley.com/documents/?uuid=0e4c2838-04f7-475d-b9ea-12dad064724d"]}],"mendeley":{"formattedCitation":"[81–83]","plainTextFormattedCitation":"[81–83]","previouslyFormattedCitation":"[81–83]"},"properties":{"noteIndex":0},"schema":"https://github.com/citation-style-language/schema/raw/master/csl-citation.json"}</w:instrText>
            </w:r>
            <w:r w:rsidR="00B41337" w:rsidRPr="00E40BE2">
              <w:rPr>
                <w:bCs/>
                <w:color w:val="000000" w:themeColor="text1"/>
                <w:sz w:val="20"/>
                <w:szCs w:val="20"/>
                <w:u w:val="single"/>
              </w:rPr>
              <w:fldChar w:fldCharType="separate"/>
            </w:r>
            <w:r w:rsidR="007048D4" w:rsidRPr="007048D4">
              <w:rPr>
                <w:bCs/>
                <w:noProof/>
                <w:color w:val="000000" w:themeColor="text1"/>
                <w:sz w:val="20"/>
                <w:szCs w:val="20"/>
              </w:rPr>
              <w:t>[81–83]</w:t>
            </w:r>
            <w:r w:rsidR="00B41337" w:rsidRPr="00E40BE2">
              <w:rPr>
                <w:bCs/>
                <w:color w:val="000000" w:themeColor="text1"/>
                <w:sz w:val="20"/>
                <w:szCs w:val="20"/>
                <w:u w:val="single"/>
              </w:rPr>
              <w:fldChar w:fldCharType="end"/>
            </w:r>
            <w:r w:rsidR="00A90B26" w:rsidRPr="00E40BE2">
              <w:rPr>
                <w:bCs/>
                <w:color w:val="000000" w:themeColor="text1"/>
                <w:sz w:val="20"/>
                <w:szCs w:val="20"/>
              </w:rPr>
              <w:t>).</w:t>
            </w:r>
          </w:p>
        </w:tc>
      </w:tr>
    </w:tbl>
    <w:p w14:paraId="0851A20C" w14:textId="77777777" w:rsidR="00236729" w:rsidRDefault="00236729" w:rsidP="00660637">
      <w:pPr>
        <w:pStyle w:val="MDPI31text"/>
        <w:spacing w:line="276" w:lineRule="auto"/>
      </w:pPr>
    </w:p>
    <w:p w14:paraId="6193D51A" w14:textId="397E0C24" w:rsidR="004D573A" w:rsidRDefault="004D573A" w:rsidP="00660637">
      <w:pPr>
        <w:pStyle w:val="MDPI31text"/>
        <w:spacing w:line="276" w:lineRule="auto"/>
      </w:pPr>
      <w:r>
        <w:t>Though highly sensitive, immunoassays such as the enzyme-linked immunosorbent assay (ELISA) and molecular assays such as PCR/</w:t>
      </w:r>
      <w:r w:rsidR="005521E7">
        <w:t>q</w:t>
      </w:r>
      <w:r>
        <w:t xml:space="preserve">PCR require specialist laboratory infrastructure seldom available in disease-endemic areas, preventing their use at </w:t>
      </w:r>
      <w:r w:rsidR="007B4AAB">
        <w:t>point-of-care</w:t>
      </w:r>
      <w:r>
        <w:t xml:space="preserve"> </w:t>
      </w:r>
      <w:r>
        <w:fldChar w:fldCharType="begin" w:fldLock="1"/>
      </w:r>
      <w:r w:rsidR="00690A31">
        <w:instrText>ADDIN CSL_CITATION {"citationItems":[{"id":"ITEM-1","itemData":{"DOI":"10.3389/fimmu.2018.02635","ISSN":"16643224","PMID":"30487796","abstract":"Background: Traditional microscopic examination of urine or stool for schistosome eggs lacks sensitivity compared to measurement of schistosome worm-derived circulating antigens in serum or urine. The ease and non-invasiveness of urine collection makes urine an ideal sample for schistosome antigen detection. In this study several user-friendly, lateral-flow (LF) based urine assays were evaluated against a composite reference that defined infection as detection of either eggs in urine or anodic antigen in serum. Method: In a Tanzanian population with a S. haematobium prevalence of 40-50% (S. mansoni prevalence &lt;2%), clinical samples from 44 women aged 18 to 35 years were analyzed for Schistosoma infection. Urine and stool samples were examined microscopically for eggs, and serum samples were analyzed for the presence of the anodic antigen. Urines were further subjected to a set of LF assays detecting (circulating) anodic (CAA) and cathodic antigen (CCA) as well as antibodies against soluble egg antigens (SEA) and crude cercarial antigen preparation (SCAP). Results: The urine LF anodic antigen assay utilizing luminescent upconverting reporter particles (UCP) confirmed its increased sensitivity when performed with larger sample volume. Qualitatively, the anodic antigen assay performed on 250 μL urine matched the performance of the standard anodic antigen assay performed on 20 μL serum. However, the ratio of anodic antigen levels in urine vs. serum of individual patients varied with absolute levels always higher in serum. The 10 μL urine UCP-LF cathodic antigen assay correlated with the commercially available urine POC-CCA (40 μL) test, while conferring better sensitivity with a quantitative result. Urinary antibodies against SEA and SCAP overlap and correlate with the presence of urinary egg and serum anodic antigen levels. Conclusions: The UCP-LF anodic antigen assay using 250 μL of urine is an expedient user-friendly assay and a suitable non-invasive alternative to serum-based antigen testing and urinary egg detection. Individual biological differences in the clearance process of the circulating antigens are thought to explain the observed high variation in the type and level of antigen (anodic or cathodic) measured in urine or serum. Simultaneous detection of anodic and cathodic antigen may be considered to further increase accuracy.","author":[{"dropping-particle":"","family":"Dood","given":"Claudia J.","non-dropping-particle":"De","parse-names":false,"suffix":""},{"dropping-particle":"","family":"Hoekstra","given":"Pytsje T.","non-dropping-particle":"","parse-names":false,"suffix":""},{"dropping-particle":"","family":"Mngara","given":"Julius","non-dropping-particle":"","parse-names":false,"suffix":""},{"dropping-particle":"","family":"Kalluvya","given":"Samuel E.","non-dropping-particle":"","parse-names":false,"suffix":""},{"dropping-particle":"","family":"Dam","given":"Govert J.","non-dropping-particle":"Van","parse-names":false,"suffix":""},{"dropping-particle":"","family":"Downs","given":"Jennifer A.","non-dropping-particle":"","parse-names":false,"suffix":""},{"dropping-particle":"","family":"Corstjens","given":"Paul L.A.M.","non-dropping-particle":"","parse-names":false,"suffix":""}],"container-title":"Frontiers in Immunology","id":"ITEM-1","issue":"NOV","issued":{"date-parts":[["2018"]]},"page":"1-9","title":"Refining diagnosis of schistosoma haematobium infections: Antigen and antibody detection in urine","type":"article-journal","volume":"9"},"uris":["http://www.mendeley.com/documents/?uuid=46e5e073-97da-42dc-8682-c845c9dace5c"]},{"id":"ITEM-2","itemData":{"DOI":"10.1017/pao.2016.13","abstract":"The current mainstay for control of the four major helminth diseases in humans (lymphatic filariasis, onchocerciasis, soil-transmitted helminthiases and schistosomiasis) is with preventive chemotherapy by mass administration of key anthelminthics. Following the London Declaration on Neglected Tropical Diseases in 2012, a roadmap for the elimination and control of these helminthiases by 2020 has been devised. With expected declines in prevalence and intensity of these infections, there is urgent need for implementing more sensitive, high-throughput and cost-effective diagnostic tools. Currently available diagnostic approaches for surveying, monitoring and evaluating helminth control programmes are based on microscopical observation of eggs/larvae, and/or detection of antibodies or parasite antigens in stool, urine or blood; all relatively low-throughput and of limited sensitivity and specificity. Newly proposed approaches for helminthiases diagnosis include the nucleic acid-based methods of (multiplex) real-time polymerase chain reaction assays, loop-mediated isothermal amplification and recombinase polymerase amplification. However, as well as sensitivity/specificity evaluation, their comparison to current ‘gold standard’ diagnostics and future application in individual-/community-based diagnosis, or in xenomonitoring requires consideration of relative costs, agreement of standard methods and strategic interpretation of resulting data before control/elimination programmes might best utilize molecular diagnostics to inform decision making. We review current nucleic-acid-based molecular diagnostic methods and highlight the needs and future research required to refine these tools for monitoring and evaluation of control and elimination programmes for four major human helminthiases.","author":[{"dropping-particle":"","family":"MINETTI","given":"CORRADO","non-dropping-particle":"","parse-names":false,"suffix":""},{"dropping-particle":"","family":"LACOURSE","given":"E. JAMES","non-dropping-particle":"","parse-names":false,"suffix":""},{"dropping-particle":"","family":"REIMER","given":"LISA","non-dropping-particle":"","parse-names":false,"suffix":""},{"dropping-particle":"","family":"STOTHARD","given":"J. RUSSELL","non-dropping-particle":"","parse-names":false,"suffix":""}],"container-title":"Parasitology Open","id":"ITEM-2","issue":"2016","issued":{"date-parts":[["2016"]]},"title":"Focusing nucleic acid-based molecular diagnostics and xenomonitoring approaches for human helminthiases amenable to preventive chemotherapy","type":"article-journal","volume":"2"},"uris":["http://www.mendeley.com/documents/?uuid=59192358-b32f-4eca-a434-9118c2ab87a8"]}],"mendeley":{"formattedCitation":"[84,85]","plainTextFormattedCitation":"[84,85]","previouslyFormattedCitation":"[84,85]"},"properties":{"noteIndex":0},"schema":"https://github.com/citation-style-language/schema/raw/master/csl-citation.json"}</w:instrText>
      </w:r>
      <w:r>
        <w:fldChar w:fldCharType="separate"/>
      </w:r>
      <w:r w:rsidR="009A11E5" w:rsidRPr="009A11E5">
        <w:rPr>
          <w:noProof/>
        </w:rPr>
        <w:t>[84,85]</w:t>
      </w:r>
      <w:r>
        <w:fldChar w:fldCharType="end"/>
      </w:r>
      <w:r>
        <w:t xml:space="preserve">. As such, a number of rapid and field-deployable RDTs, have also been developed to detect trace levels of parasite-derived antigens and parasite-derived DNA in urine and faecal samples. Some examples include straightforward lateral-flow dipsticks to detect </w:t>
      </w:r>
      <w:r>
        <w:rPr>
          <w:i/>
          <w:iCs/>
        </w:rPr>
        <w:t xml:space="preserve">S. mansoni </w:t>
      </w:r>
      <w:r>
        <w:t xml:space="preserve">circulating cathodic antigen </w:t>
      </w:r>
      <w:r w:rsidR="007D7113">
        <w:t xml:space="preserve">(CCA) </w:t>
      </w:r>
      <w:r>
        <w:t xml:space="preserve">in urine samples and </w:t>
      </w:r>
      <w:r>
        <w:rPr>
          <w:i/>
          <w:iCs/>
        </w:rPr>
        <w:t xml:space="preserve">G. duodenalis </w:t>
      </w:r>
      <w:r>
        <w:t>(</w:t>
      </w:r>
      <w:r w:rsidR="00E250C0">
        <w:t>with or without</w:t>
      </w:r>
      <w:r>
        <w:t xml:space="preserve"> </w:t>
      </w:r>
      <w:r w:rsidRPr="005F2568">
        <w:rPr>
          <w:i/>
          <w:iCs/>
        </w:rPr>
        <w:t>Cryptosporidium</w:t>
      </w:r>
      <w:r>
        <w:rPr>
          <w:i/>
          <w:iCs/>
        </w:rPr>
        <w:t xml:space="preserve"> </w:t>
      </w:r>
      <w:r>
        <w:t>spp.) cyst antigen</w:t>
      </w:r>
      <w:r>
        <w:rPr>
          <w:i/>
          <w:iCs/>
        </w:rPr>
        <w:t xml:space="preserve"> </w:t>
      </w:r>
      <w:r>
        <w:t xml:space="preserve">in </w:t>
      </w:r>
      <w:r w:rsidR="003D337F">
        <w:t>faecal</w:t>
      </w:r>
      <w:r>
        <w:t xml:space="preserve"> samples, as well as loop-mediated isothermal amplification (LAMP) and </w:t>
      </w:r>
      <w:r w:rsidR="00A872E2" w:rsidRPr="000F1FC2">
        <w:t xml:space="preserve">recombinase polymerase </w:t>
      </w:r>
      <w:r w:rsidR="00766BFE">
        <w:t>amplification</w:t>
      </w:r>
      <w:r w:rsidR="00A872E2" w:rsidRPr="000F1FC2">
        <w:t xml:space="preserve"> (RPA) </w:t>
      </w:r>
      <w:r>
        <w:t xml:space="preserve">assays to detect species-specific </w:t>
      </w:r>
      <w:r>
        <w:rPr>
          <w:i/>
          <w:iCs/>
        </w:rPr>
        <w:t xml:space="preserve">Schistosoma- </w:t>
      </w:r>
      <w:r>
        <w:t xml:space="preserve">and </w:t>
      </w:r>
      <w:r w:rsidRPr="005F2568">
        <w:rPr>
          <w:i/>
          <w:iCs/>
        </w:rPr>
        <w:t>Giardia</w:t>
      </w:r>
      <w:r>
        <w:rPr>
          <w:i/>
          <w:iCs/>
        </w:rPr>
        <w:t>-</w:t>
      </w:r>
      <w:r>
        <w:t xml:space="preserve">derived DNA in urine and </w:t>
      </w:r>
      <w:r w:rsidR="004C3D77">
        <w:t>faecal</w:t>
      </w:r>
      <w:r>
        <w:t xml:space="preserve"> samples </w:t>
      </w:r>
      <w:r>
        <w:fldChar w:fldCharType="begin" w:fldLock="1"/>
      </w:r>
      <w:r w:rsidR="00690A31">
        <w:instrText>ADDIN CSL_CITATION {"citationItems":[{"id":"ITEM-1","itemData":{"DOI":"10.1093/trstmh/trw072","ISSN":"18783503","abstract":"Background: Water-borne parasitic diseases associated with poverty still blight the lives of African school children. In Uganda, intestinal schistosomiasis is still common along the shoreline of Lake Albert, despite ongoing control, and co-infection with giardiasis and malaria is poorly described. To shed light on putative interactions between diseases, a prospective cross-sectional parasitological survey was undertaken in five primary schools. Methods: Stool samples from 254 school children, aged 5-10 years, were examined by microscopy and rapid diagnostic tests (RDTs), with additional real-time PCR assays for detection of Giardia DNA. A finger-prick blood sample was also taken from each child and tested for malaria, and haemoblobin levels measured. Assocations between diseases and anaemia were assessed. Results: Intestinal schistosomiasis (46.5%), giardiasis (41.6%) and malaria (56.2%) were common, and a quarter of children were anaemic (&lt; 115 g/L). Up to 87.0% of children were excreting Giardia DNA and the prevalence of heavy infection by real-time PCR (Ct≤19) was 19.5%, being positively associated with light, moderate and heavy egg-patent schistosomiasis, as well as with anaemia. Conclusions: In this setting, an extensive burden of giardiasis was revealed with heavy intensity infections associated with egg-patent intestinal schistosomiasis and anaemia. To improve child health, greater attention on giardiasis is needed along with exploring joined-up actions across diseases that promote better water hygiene and sanitation measures.","author":[{"dropping-particle":"","family":"Al-Shehri","given":"Hajri","non-dropping-particle":"","parse-names":false,"suffix":""},{"dropping-particle":"","family":"Stanton","given":"Michelle C.","non-dropping-particle":"","parse-names":false,"suffix":""},{"dropping-particle":"","family":"LaCourse","given":"James E.","non-dropping-particle":"","parse-names":false,"suffix":""},{"dropping-particle":"","family":"Atuhaire","given":"Aaron","non-dropping-particle":"","parse-names":false,"suffix":""},{"dropping-particle":"","family":"Arinaitwe","given":"Moses","non-dropping-particle":"","parse-names":false,"suffix":""},{"dropping-particle":"","family":"Wamboko","given":"Aida","non-dropping-particle":"","parse-names":false,"suffix":""},{"dropping-particle":"","family":"Adriko","given":"Moses","non-dropping-particle":"","parse-names":false,"suffix":""},{"dropping-particle":"","family":"Kabatereine","given":"Narcis B.","non-dropping-particle":"","parse-names":false,"suffix":""},{"dropping-particle":"","family":"Stothard","given":"J. Russell","non-dropping-particle":"","parse-names":false,"suffix":""}],"container-title":"Transactions of the Royal Society of Tropical Medicine and Hygiene","id":"ITEM-1","issue":"10","issued":{"date-parts":[["2016"]]},"page":"597-603","title":"An extensive burden of giardiasis associated with intestinal schistosomiasis and anaemia in school children on the shoreline of Lake Albert, Uganda","type":"article-journal","volume":"110"},"uris":["http://www.mendeley.com/documents/?uuid=9927f4ed-e1bd-4ca4-a075-6e3dc23f87b8"]},{"id":"ITEM-2","itemData":{"DOI":"10.1016/j.actatropica.2018.01.011","ISSN":"18736254","PMID":"29395034","abstract":"The detection and characterization of genotypes and sub genotypes of Cryptosporidium and Giardia is essential for their enumeration, surveillance, prevention, and control. Different diagnostic methods are available for the analysis of Cryptosporidium and Giardia including conventional phenotypic tools that face major limitations in the specific diagnosis of these protozoan parasites. The substantial advancement in the development of genetic signature based molecular tools for the quantification, diagnosis and genetic variation analysis has increased the understanding of the epidemiology and preventive measures of related infections. The conventional methods such as microscopy, antibody and enzyme based approaches, offer better detection results when combined with advanced molecular methods. Gene based approaches increase the precision of identification, for example, many signatures detected in environmental matrices represent species/genotype that are not infectious to humans. This review summarizes the available methods and the advantages and limitations of advance detection techniques like nucleic acid-based approaches for the detection of viable oocysts and cysts of Cryptosporidium and Giardia along with the conventional and widely accepted detection techniques like microscopy, antibody and enzyme based ones. This technical article also encourages the wide application of molecular methods in genetic characterization of distinct species of Cryptosporidium and Giardia, to adopt necessary preventive measures with reliable identification and mapping the source of contamination.","author":[{"dropping-particle":"","family":"Adeyemo","given":"Folasade Esther","non-dropping-particle":"","parse-names":false,"suffix":""},{"dropping-particle":"","family":"Singh","given":"Gulshan","non-dropping-particle":"","parse-names":false,"suffix":""},{"dropping-particle":"","family":"Reddy","given":"Poovendhree","non-dropping-particle":"","parse-names":false,"suffix":""},{"dropping-particle":"","family":"Stenström","given":"Thor Axel","non-dropping-particle":"","parse-names":false,"suffix":""}],"container-title":"Acta Tropica","id":"ITEM-2","issue":"January","issued":{"date-parts":[["2018"]]},"page":"15-28","publisher":"Elsevier","title":"Methods for the detection of Cryptosporidium and Giardia: From microscopy to nucleic acid based tools in clinical and environmental regimes","type":"article-journal","volume":"184"},"uris":["http://www.mendeley.com/documents/?uuid=652a4c63-738c-4bdb-93be-393639d5a6a2"]},{"id":"ITEM-3","itemData":{"DOI":"10.1017/pao.2016.13","abstract":"The current mainstay for control of the four major helminth diseases in humans (lymphatic filariasis, onchocerciasis, soil-transmitted helminthiases and schistosomiasis) is with preventive chemotherapy by mass administration of key anthelminthics. Following the London Declaration on Neglected Tropical Diseases in 2012, a roadmap for the elimination and control of these helminthiases by 2020 has been devised. With expected declines in prevalence and intensity of these infections, there is urgent need for implementing more sensitive, high-throughput and cost-effective diagnostic tools. Currently available diagnostic approaches for surveying, monitoring and evaluating helminth control programmes are based on microscopical observation of eggs/larvae, and/or detection of antibodies or parasite antigens in stool, urine or blood; all relatively low-throughput and of limited sensitivity and specificity. Newly proposed approaches for helminthiases diagnosis include the nucleic acid-based methods of (multiplex) real-time polymerase chain reaction assays, loop-mediated isothermal amplification and recombinase polymerase amplification. However, as well as sensitivity/specificity evaluation, their comparison to current ‘gold standard’ diagnostics and future application in individual-/community-based diagnosis, or in xenomonitoring requires consideration of relative costs, agreement of standard methods and strategic interpretation of resulting data before control/elimination programmes might best utilize molecular diagnostics to inform decision making. We review current nucleic-acid-based molecular diagnostic methods and highlight the needs and future research required to refine these tools for monitoring and evaluation of control and elimination programmes for four major human helminthiases.","author":[{"dropping-particle":"","family":"MINETTI","given":"CORRADO","non-dropping-particle":"","parse-names":false,"suffix":""},{"dropping-particle":"","family":"LACOURSE","given":"E. JAMES","non-dropping-particle":"","parse-names":false,"suffix":""},{"dropping-particle":"","family":"REIMER","given":"LISA","non-dropping-particle":"","parse-names":false,"suffix":""},{"dropping-particle":"","family":"STOTHARD","given":"J. RUSSELL","non-dropping-particle":"","parse-names":false,"suffix":""}],"container-title":"Parasitology Open","id":"ITEM-3","issue":"2016","issued":{"date-parts":[["2016"]]},"title":"Focusing nucleic acid-based molecular diagnostics and xenomonitoring approaches for human helminthiases amenable to preventive chemotherapy","type":"article-journal","volume":"2"},"uris":["http://www.mendeley.com/documents/?uuid=59192358-b32f-4eca-a434-9118c2ab87a8"]}],"mendeley":{"formattedCitation":"[11,64,85]","plainTextFormattedCitation":"[11,64,85]","previouslyFormattedCitation":"[11,64,85]"},"properties":{"noteIndex":0},"schema":"https://github.com/citation-style-language/schema/raw/master/csl-citation.json"}</w:instrText>
      </w:r>
      <w:r>
        <w:fldChar w:fldCharType="separate"/>
      </w:r>
      <w:r w:rsidR="009A11E5" w:rsidRPr="009A11E5">
        <w:rPr>
          <w:noProof/>
        </w:rPr>
        <w:t>[11,64,85]</w:t>
      </w:r>
      <w:r>
        <w:fldChar w:fldCharType="end"/>
      </w:r>
      <w:r>
        <w:t>.</w:t>
      </w:r>
    </w:p>
    <w:p w14:paraId="7F63443F" w14:textId="0C806317" w:rsidR="004D573A" w:rsidRDefault="004D573A" w:rsidP="00660637">
      <w:pPr>
        <w:pStyle w:val="MDPI31text"/>
        <w:spacing w:line="276" w:lineRule="auto"/>
        <w:rPr>
          <w:bCs/>
        </w:rPr>
      </w:pPr>
      <w:r w:rsidRPr="00DE5C9E">
        <w:t xml:space="preserve">Whilst </w:t>
      </w:r>
      <w:r>
        <w:t>POC-</w:t>
      </w:r>
      <w:r w:rsidRPr="00DE5C9E">
        <w:t xml:space="preserve">RDTs have many advantages over light-microscopy, microscopy remains less financially expensive to carry out and so </w:t>
      </w:r>
      <w:commentRangeStart w:id="22"/>
      <w:r w:rsidR="00BA1072">
        <w:t xml:space="preserve">it </w:t>
      </w:r>
      <w:r w:rsidRPr="00DE5C9E">
        <w:t xml:space="preserve">is </w:t>
      </w:r>
      <w:commentRangeEnd w:id="22"/>
      <w:r w:rsidR="00015CDA">
        <w:rPr>
          <w:rStyle w:val="CommentReference"/>
          <w:rFonts w:asciiTheme="minorHAnsi" w:eastAsiaTheme="minorHAnsi" w:hAnsiTheme="minorHAnsi" w:cstheme="minorBidi"/>
          <w:snapToGrid/>
          <w:color w:val="auto"/>
          <w:lang w:val="en-GB" w:eastAsia="en-US" w:bidi="ar-SA"/>
        </w:rPr>
        <w:commentReference w:id="22"/>
      </w:r>
      <w:r w:rsidRPr="00DE5C9E">
        <w:t xml:space="preserve">the </w:t>
      </w:r>
      <w:r w:rsidR="001A4F57" w:rsidRPr="00DE5C9E">
        <w:t>favo</w:t>
      </w:r>
      <w:r w:rsidR="001A4F57">
        <w:t>r</w:t>
      </w:r>
      <w:r w:rsidR="001A4F57" w:rsidRPr="00DE5C9E">
        <w:t>ed</w:t>
      </w:r>
      <w:r w:rsidRPr="00DE5C9E">
        <w:t xml:space="preserve"> method of diagnosis during routine monitoring and control programmes</w:t>
      </w:r>
      <w:r>
        <w:t xml:space="preserve"> with only limited financial resources available </w:t>
      </w:r>
      <w:r>
        <w:fldChar w:fldCharType="begin" w:fldLock="1"/>
      </w:r>
      <w:r w:rsidR="00295FB2">
        <w:instrText>ADDIN CSL_CITATION {"citationItems":[{"id":"ITEM-1","itemData":{"DOI":"10.1017/pao.2016.13","ISSN":"2055-7094","abstract":"The current mainstay for control of the four major helminth diseases in humans (lymphatic filariasis, onchocerciasis, soil-transmitted helminthiases and schistosomiasis) is with preventive chemotherapy by mass administration of key anthelminthics. Following the London Declaration on Neglected Tropical Diseases in 2012, a roadmap for the elimination and control of these helminthiases by 2020 has been devised. With expected declines in prevalence and intensity of these infections, there is urgent need for implementing more sensitive, high-throughput and cost-effective diagnostic tools. Currently available diagnostic approaches for surveying, monitoring and evaluating helminth control programmes are based on microscopical observation of eggs/larvae, and/or detection of antibodies or parasite antigens in stool, urine or blood; all relatively low-throughput and of limited sensitivity and specificity. Newly proposed approaches for helminthiases diagnosis include the nucleic acid-based methods of (multiplex) real-time polymerase chain reaction assays, loop-mediated isothermal amplification and recombinase polymerase amplification. However, as well as sensitivity/specificity evaluation, their comparison to current ‘gold standard’ diagnostics and future application in individual-/community-based diagnosis, or in xenomonitoring requires consideration of relative costs, agreement of standard methods and strategic interpretation of resulting data before control/elimination programmes might best utilize molecular diagnostics to inform decision making. We review current nucleic-acid-based molecular diagnostic methods and highlight the needs and future research required to refine these tools for monitoring and evaluation of control and elimination programmes for four major human helminthiases.","author":[{"dropping-particle":"","family":"MINETTI","given":"CORRADO","non-dropping-particle":"","parse-names":false,"suffix":""},{"dropping-particle":"","family":"LACOURSE","given":"E. JAMES","non-dropping-particle":"","parse-names":false,"suffix":""},{"dropping-particle":"","family":"REIMER","given":"LISA","non-dropping-particle":"","parse-names":false,"suffix":""},{"dropping-particle":"","family":"STOTHARD","given":"J. RUSSELL","non-dropping-particle":"","parse-names":false,"suffix":""}],"container-title":"Parasitology Open","id":"ITEM-1","issue":"2016","issued":{"date-parts":[["2016"]]},"title":"Focusing nucleic acid-based molecular diagnostics and xenomonitoring approaches for human helminthiases amenable to preventive chemotherapy","type":"article-journal","volume":"2"},"uris":["http://www.mendeley.com/documents/?uuid=fdf20bd5-4658-4b02-b9aa-5c0bde4e13fd"]},{"id":"ITEM-2","itemData":{"DOI":"10.22037/ghfbb.v0i0.1414","ISSN":"20084234","PMID":"30949313","abstract":"Giardiasis has a global distribution and it is a common cause of diarrhea in both children and adults and is transmitted via the fecal-oral route through direct or indirect ingestion of cysts. The laboratory diagnosis of Giardia spp. is mainly based on demonstration of microscopic cyst or trophozoite in stool samples but several immunological-based assays and molecular methods are also available for giardiasis diagnosis. The aim of this study was to conduct a review of the applied methods in medical laboratory and to highlight pitfalls and challenges of them for diagnosis of giardiasis. In this article we have evaluated the Giardia diagnostic methods with a broad review of literature, electronic databases and books. The search has covered the articles and some textbooks that have published up to 2018. It has been concluded that traditional microscopy combination with stool concentration method should still be held in the routine medical laboratory due to economical and high sensitivity and immunological-based assay and molecular methods which are recommended to use as a complementary test to the traditional technique.","author":[{"dropping-particle":"","family":"Hossein Hooshyar, Parvin Rostamkhani, Mohsen Arbabi","given":"Mahdi Delavari","non-dropping-particle":"","parse-names":false,"suffix":""}],"container-title":"Gastroenterology and Hepatology","id":"ITEM-2","issued":{"date-parts":[["2019"]]},"page":"95, 347–349.","title":"Giardia lamblia infection: review of current diagnostic strategies","type":"article-journal"},"uris":["http://www.mendeley.com/documents/?uuid=779955bf-50cc-4d95-9157-fc2e8594e75e"]},{"id":"ITEM-3","itemData":{"DOI":"10.1016/j.biotechadv.2013.10.009","ISSN":"07349750","abstract":"Giardiasis is a gastrointestinal disease of humans and other animals caused by species of parasitic protists of the genus Giardia. This disease is transmitted mainly via the faecal-oral route (e.g., in water or food) and is of socioeconomic importance worldwide. The accurate detection and genetic characterisation of the different species and population variants (usually referred to as assemblages and/or sub-assemblages) of Giardia are central to understanding their transmission patterns and host spectra. The present article provides a background on Giardia and giardiasis, and reviews some key techniques employed for the identification and genetic characterisation of Giardia in biological samples, the diagnosis of infection and the analysis of genetic variation within and among species of Giardia. Advances in molecular techniques provide a solid basis for investigating the systematics, population genetics, ecology and epidemiology of Giardia species and genotypes as well as the prevention and control of giardiasis. © 2013 Elsevier Inc.","author":[{"dropping-particle":"V.","family":"Koehler","given":"Anson","non-dropping-particle":"","parse-names":false,"suffix":""},{"dropping-particle":"","family":"Jex","given":"Aaron R.","non-dropping-particle":"","parse-names":false,"suffix":""},{"dropping-particle":"","family":"Haydon","given":"Shane R.","non-dropping-particle":"","parse-names":false,"suffix":""},{"dropping-particle":"","family":"Stevens","given":"Melita A.","non-dropping-particle":"","parse-names":false,"suffix":""},{"dropping-particle":"","family":"Gasser","given":"Robin B.","non-dropping-particle":"","parse-names":false,"suffix":""}],"container-title":"Biotechnology Advances","id":"ITEM-3","issue":"2","issued":{"date-parts":[["2014"]]},"page":"280-289","publisher":"Elsevier Inc.","title":"Giardia/giardiasis - A perspective on diagnostic and analytical tools","type":"article-journal","volume":"32"},"uris":["http://www.mendeley.com/documents/?uuid=92c4c515-0115-4afe-a75a-f941fcee3fe9"]}],"mendeley":{"formattedCitation":"[68,75,78]","plainTextFormattedCitation":"[68,75,78]","previouslyFormattedCitation":"[68,75,78]"},"properties":{"noteIndex":0},"schema":"https://github.com/citation-style-language/schema/raw/master/csl-citation.json"}</w:instrText>
      </w:r>
      <w:r>
        <w:fldChar w:fldCharType="separate"/>
      </w:r>
      <w:r w:rsidR="007048D4" w:rsidRPr="007048D4">
        <w:rPr>
          <w:noProof/>
        </w:rPr>
        <w:t>[68,75,78]</w:t>
      </w:r>
      <w:r>
        <w:fldChar w:fldCharType="end"/>
      </w:r>
      <w:r>
        <w:t>.</w:t>
      </w:r>
      <w:r w:rsidRPr="00DE5C9E">
        <w:t xml:space="preserve"> In addition, and though promising, assays such as </w:t>
      </w:r>
      <w:r>
        <w:t>LAMP and</w:t>
      </w:r>
      <w:r w:rsidRPr="00DE5C9E">
        <w:t xml:space="preserve"> RPA to detect species-specific parasite DNA currently require further assessment and validation before their upscaled and routine use </w:t>
      </w:r>
      <w:r>
        <w:t>in</w:t>
      </w:r>
      <w:r w:rsidRPr="00DE5C9E">
        <w:t xml:space="preserve"> such control programmes</w:t>
      </w:r>
      <w:r>
        <w:t xml:space="preserve"> </w:t>
      </w:r>
      <w:r>
        <w:fldChar w:fldCharType="begin" w:fldLock="1"/>
      </w:r>
      <w:r w:rsidR="00295FB2">
        <w:instrText>ADDIN CSL_CITATION {"citationItems":[{"id":"ITEM-1","itemData":{"DOI":"10.1017/pao.2016.13","abstract":"The current mainstay for control of the four major helminth diseases in humans (lymphatic filariasis, onchocerciasis, soil-transmitted helminthiases and schistosomiasis) is with preventive chemotherapy by mass administration of key anthelminthics. Following the London Declaration on Neglected Tropical Diseases in 2012, a roadmap for the elimination and control of these helminthiases by 2020 has been devised. With expected declines in prevalence and intensity of these infections, there is urgent need for implementing more sensitive, high-throughput and cost-effective diagnostic tools. Currently available diagnostic approaches for surveying, monitoring and evaluating helminth control programmes are based on microscopical observation of eggs/larvae, and/or detection of antibodies or parasite antigens in stool, urine or blood; all relatively low-throughput and of limited sensitivity and specificity. Newly proposed approaches for helminthiases diagnosis include the nucleic acid-based methods of (multiplex) real-time polymerase chain reaction assays, loop-mediated isothermal amplification and recombinase polymerase amplification. However, as well as sensitivity/specificity evaluation, their comparison to current ‘gold standard’ diagnostics and future application in individual-/community-based diagnosis, or in xenomonitoring requires consideration of relative costs, agreement of standard methods and strategic interpretation of resulting data before control/elimination programmes might best utilize molecular diagnostics to inform decision making. We review current nucleic-acid-based molecular diagnostic methods and highlight the needs and future research required to refine these tools for monitoring and evaluation of control and elimination programmes for four major human helminthiases.","author":[{"dropping-particle":"","family":"MINETTI","given":"CORRADO","non-dropping-particle":"","parse-names":false,"suffix":""},{"dropping-particle":"","family":"LACOURSE","given":"E. JAMES","non-dropping-particle":"","parse-names":false,"suffix":""},{"dropping-particle":"","family":"REIMER","given":"LISA","non-dropping-particle":"","parse-names":false,"suffix":""},{"dropping-particle":"","family":"STOTHARD","given":"J. RUSSELL","non-dropping-particle":"","parse-names":false,"suffix":""}],"container-title":"Parasitology Open","id":"ITEM-1","issue":"2016","issued":{"date-parts":[["2016"]]},"title":"Focusing nucleic acid-based molecular diagnostics and xenomonitoring approaches for human helminthiases amenable to preventive chemotherapy","type":"article-journal","volume":"2"},"uris":["http://www.mendeley.com/documents/?uuid=59192358-b32f-4eca-a434-9118c2ab87a8"]},{"id":"ITEM-2","itemData":{"DOI":"10.1186/s13071-020-04168-1","ISSN":"1756-3305","author":[{"dropping-particle":"","family":"Gonzalez","given":"Sandra J Molina","non-dropping-particle":"","parse-names":false,"suffix":""},{"dropping-particle":"","family":"Bhattacharyya","given":"Tapan","non-dropping-particle":"","parse-names":false,"suffix":""},{"dropping-particle":"","family":"Alshehri","given":"Hajri R","non-dropping-particle":"","parse-names":false,"suffix":""},{"dropping-particle":"","family":"Poulton","given":"Kate","non-dropping-particle":"","parse-names":false,"suffix":""},{"dropping-particle":"","family":"Allen","given":"Stephen","non-dropping-particle":"","parse-names":false,"suffix":""},{"dropping-particle":"","family":"Miles","given":"Michael A","non-dropping-particle":"","parse-names":false,"suffix":""},{"dropping-particle":"","family":"Arianitwe","given":"Moses","non-dropping-particle":"","parse-names":false,"suffix":""},{"dropping-particle":"","family":"Tukahebwa","given":"Edridah M","non-dropping-particle":"","parse-names":false,"suffix":""},{"dropping-particle":"","family":"Webster","given":"Bonnie","non-dropping-particle":"","parse-names":false,"suffix":""},{"dropping-particle":"","family":"Stothard","given":"J Russell","non-dropping-particle":"","parse-names":false,"suffix":""}],"container-title":"Parasites &amp; Vectors","id":"ITEM-2","issued":{"date-parts":[["2020"]]},"page":"1-9","publisher":"BioMed Central","title":"Application of a recombinase polymerase amplification ( RPA ) assay and pilot field testing for Giardia duodenalis at Lake Albert , Uganda","type":"article-journal"},"uris":["http://www.mendeley.com/documents/?uuid=dafe4d06-afc3-4347-98d3-0dbc259069c2"]}],"mendeley":{"formattedCitation":"[81,85]","plainTextFormattedCitation":"[81,85]","previouslyFormattedCitation":"[81,85]"},"properties":{"noteIndex":0},"schema":"https://github.com/citation-style-language/schema/raw/master/csl-citation.json"}</w:instrText>
      </w:r>
      <w:r>
        <w:fldChar w:fldCharType="separate"/>
      </w:r>
      <w:r w:rsidR="007048D4" w:rsidRPr="007048D4">
        <w:rPr>
          <w:noProof/>
        </w:rPr>
        <w:t>[81,85]</w:t>
      </w:r>
      <w:r>
        <w:fldChar w:fldCharType="end"/>
      </w:r>
      <w:r>
        <w:t xml:space="preserve">. Nevertheless, continued development, assessment and validation of POC-RDT’s is widely advocated as affordable and sensitive </w:t>
      </w:r>
      <w:r w:rsidR="00B57DB4">
        <w:t>point-of-care</w:t>
      </w:r>
      <w:r>
        <w:t xml:space="preserve"> diagnostics, capable of detecting low-levels of infection within individuals able to maintain disease transmission, are sorely needed </w:t>
      </w:r>
      <w:r>
        <w:fldChar w:fldCharType="begin" w:fldLock="1"/>
      </w:r>
      <w:r w:rsidR="00690A31">
        <w:instrText>ADDIN CSL_CITATION {"citationItems":[{"id":"ITEM-1","itemData":{"DOI":"10.1016/S1473-3099(20)30254-1","ISSN":"14744457","abstract":"Although preventive chemotherapy has been instrumental in reducing schistosomiasis incidence worldwide, serious challenges remain. These problems include the omission of certain groups from campaigns of mass drug administration, the existence of persistent disease hotspots, and the risk of recrudescent infections. Central to these challenges is the fact that the diagnostic tools currently used to establish the burden of infection are not sensitive enough, especially in low-endemic settings, which results in underestimation of the true prevalence of active Schistosoma spp infections. This central issue necessitates that the current schistosomiasis control strategies recommended by WHO are re-evaluated and, possibly, adapted. More targeted interventions and novel approaches have been used to estimate the prevalence of schistosomiasis, such as establishing infection burden by use of precision mapping, which provides high resolution spatial information that delineates variations in prevalence within a defined geographical area. Such information is instrumental in guiding targeted intervention campaigns. However, the need for highly accurate diagnostic tools in such strategies is a crucial factor that is often neglected. The availability of highly sensitive diagnostic tests also opens up the possibility of applying strategies of sample pooling to reduce the cost of control programmes. To interrupt the transmission of, and eventually eliminate, schistosomiasis, better local targeting of preventive chemotherapy, in combination with highly sensitive diagnostic tools, is crucial.","author":[{"dropping-particle":"","family":"Amoah","given":"Abena S.","non-dropping-particle":"","parse-names":false,"suffix":""},{"dropping-particle":"","family":"Hoekstra","given":"Pytsje T.","non-dropping-particle":"","parse-names":false,"suffix":""},{"dropping-particle":"","family":"Casacuberta-Partal","given":"Miriam","non-dropping-particle":"","parse-names":false,"suffix":""},{"dropping-particle":"","family":"Coffeng","given":"Luc E.","non-dropping-particle":"","parse-names":false,"suffix":""},{"dropping-particle":"","family":"Corstjens","given":"Paul L.A.M.","non-dropping-particle":"","parse-names":false,"suffix":""},{"dropping-particle":"","family":"Greco","given":"Beatrice","non-dropping-particle":"","parse-names":false,"suffix":""},{"dropping-particle":"","family":"Lieshout","given":"Lisette","non-dropping-particle":"van","parse-names":false,"suffix":""},{"dropping-particle":"","family":"Lim","given":"Mark D.","non-dropping-particle":"","parse-names":false,"suffix":""},{"dropping-particle":"","family":"Markwalter","given":"Christine F.","non-dropping-particle":"","parse-names":false,"suffix":""},{"dropping-particle":"","family":"Odiere","given":"Maurice R.","non-dropping-particle":"","parse-names":false,"suffix":""},{"dropping-particle":"","family":"Reinhard-Rupp","given":"Jutta","non-dropping-particle":"","parse-names":false,"suffix":""},{"dropping-particle":"","family":"Roestenberg","given":"Meta","non-dropping-particle":"","parse-names":false,"suffix":""},{"dropping-particle":"","family":"Stothard","given":"Russell","non-dropping-particle":"","parse-names":false,"suffix":""},{"dropping-particle":"","family":"Tchuem Tchuenté","given":"Louis Albert","non-dropping-particle":"","parse-names":false,"suffix":""},{"dropping-particle":"","family":"Vlas","given":"Sake J.","non-dropping-particle":"de","parse-names":false,"suffix":""},{"dropping-particle":"","family":"Dam","given":"Govert J.","non-dropping-particle":"van","parse-names":false,"suffix":""}],"container-title":"The Lancet Infectious Diseases","id":"ITEM-1","issue":"20","issued":{"date-parts":[["2020"]]},"page":"1-8","title":"Sensitive diagnostic tools and targeted drug administration strategies are needed to eliminate schistosomiasis","type":"article-journal","volume":"3099"},"uris":["http://www.mendeley.com/documents/?uuid=079b5283-ab12-4933-b020-d008d20df55a"]}],"mendeley":{"formattedCitation":"[86]","plainTextFormattedCitation":"[86]","previouslyFormattedCitation":"[86]"},"properties":{"noteIndex":0},"schema":"https://github.com/citation-style-language/schema/raw/master/csl-citation.json"}</w:instrText>
      </w:r>
      <w:r>
        <w:fldChar w:fldCharType="separate"/>
      </w:r>
      <w:r w:rsidR="009A11E5" w:rsidRPr="009A11E5">
        <w:rPr>
          <w:noProof/>
        </w:rPr>
        <w:t>[86]</w:t>
      </w:r>
      <w:r>
        <w:fldChar w:fldCharType="end"/>
      </w:r>
      <w:r>
        <w:t xml:space="preserve">. </w:t>
      </w:r>
      <w:r>
        <w:rPr>
          <w:bCs/>
        </w:rPr>
        <w:t xml:space="preserve">Given these challenges in reliably detecting infection </w:t>
      </w:r>
      <w:r w:rsidR="00924AC3">
        <w:rPr>
          <w:bCs/>
        </w:rPr>
        <w:t>using</w:t>
      </w:r>
      <w:r>
        <w:rPr>
          <w:bCs/>
        </w:rPr>
        <w:t xml:space="preserve"> human samples, particularly in low-endemicity settings, alternative methods of detecting and monitoring disease transmission within a</w:t>
      </w:r>
      <w:r w:rsidR="00636BCA">
        <w:rPr>
          <w:bCs/>
        </w:rPr>
        <w:t>n endemic</w:t>
      </w:r>
      <w:r w:rsidR="00081413">
        <w:rPr>
          <w:bCs/>
        </w:rPr>
        <w:t>-</w:t>
      </w:r>
      <w:r>
        <w:rPr>
          <w:bCs/>
        </w:rPr>
        <w:t>foci such as parasite host surveillance and use of environmental DNA (eDNA) have also been explored.</w:t>
      </w:r>
    </w:p>
    <w:p w14:paraId="50FC56DC" w14:textId="7EE176EC" w:rsidR="004D573A" w:rsidRPr="00B4733E" w:rsidRDefault="00BC21D0" w:rsidP="00660637">
      <w:pPr>
        <w:pStyle w:val="MDPI22heading2"/>
        <w:spacing w:line="276" w:lineRule="auto"/>
      </w:pPr>
      <w:r>
        <w:t>3</w:t>
      </w:r>
      <w:r w:rsidR="00B4733E" w:rsidRPr="00B4733E">
        <w:t xml:space="preserve">.2. </w:t>
      </w:r>
      <w:r w:rsidR="004D573A" w:rsidRPr="00B4733E">
        <w:t>Exploring the One Health interface with increased host surveillance</w:t>
      </w:r>
    </w:p>
    <w:p w14:paraId="7B9D0618" w14:textId="012AA09E" w:rsidR="004D573A" w:rsidRDefault="004D573A" w:rsidP="00704223">
      <w:pPr>
        <w:pStyle w:val="MDPI31text"/>
        <w:spacing w:line="276" w:lineRule="auto"/>
        <w:ind w:firstLine="420"/>
      </w:pPr>
      <w:r>
        <w:t xml:space="preserve">Intermediate hosts and definitive reservoir hosts, such as </w:t>
      </w:r>
      <w:r>
        <w:rPr>
          <w:i/>
          <w:iCs/>
        </w:rPr>
        <w:t xml:space="preserve">Biomphalaria </w:t>
      </w:r>
      <w:r>
        <w:t>freshwater snails (</w:t>
      </w:r>
      <w:r>
        <w:rPr>
          <w:i/>
          <w:iCs/>
        </w:rPr>
        <w:t>S. mansoni</w:t>
      </w:r>
      <w:r>
        <w:t>) and rodents or cattle (</w:t>
      </w:r>
      <w:r>
        <w:rPr>
          <w:i/>
          <w:iCs/>
        </w:rPr>
        <w:t>S. mansoni</w:t>
      </w:r>
      <w:r>
        <w:t xml:space="preserve"> and </w:t>
      </w:r>
      <w:r>
        <w:rPr>
          <w:i/>
          <w:iCs/>
        </w:rPr>
        <w:t>G. duodenalis</w:t>
      </w:r>
      <w:r>
        <w:t xml:space="preserve">, respectively), offer an alternative means of detecting and monitoring disease transmission in areas where detecting transmission </w:t>
      </w:r>
      <w:r w:rsidR="00E22F34">
        <w:t>through</w:t>
      </w:r>
      <w:r>
        <w:rPr>
          <w:i/>
          <w:iCs/>
        </w:rPr>
        <w:t xml:space="preserve"> </w:t>
      </w:r>
      <w:r>
        <w:t xml:space="preserve">human diagnosis may be unreliable </w:t>
      </w:r>
      <w:r>
        <w:fldChar w:fldCharType="begin" w:fldLock="1"/>
      </w:r>
      <w:r w:rsidR="00690A31">
        <w:instrText>ADDIN CSL_CITATION {"citationItems":[{"id":"ITEM-1","itemData":{"DOI":"10.1186/s13071-016-1847-0","ISSN":"17563305","PMID":"27986092","abstract":"Background: Elimination of urogenital schistosomiasis transmission is a priority for the Zanzibar Ministry of Health. Preventative chemotherapy together with additional control interventions have successfully alleviated much of the disease burden. However, a persistently high Schistosoma haematobium prevalence is found in certain areas. Our aim was to characterise and evaluate these persistent \"hot-spots\" of transmission and reinfection in comparison with low-prevalence areas, to support the intervention planning for schistosomiasis elimination in Zanzibar. Methods: Prevalences of S. haematobium were annually determined by a single urine filtration in schoolchildren from 45 administrative areas (shehias) in Unguja in 2012, 2013 and 2014. Coverage data for biannual treatment with praziquantel were available from ministerial databases and internal surveys. Among the 45 shehias, five hot-spot (≥ 15 % prevalence) and two low-prevalence (≤ 5 %) shehias were identified and surveyed in mid-2014. Human-water contact sites (HWCSs) and the presence of S. haematobium-infected and uninfected Bulinus globosus, as well as safe water sources (SWSs) and their reliability in terms of water availability were determined and mapped. Results: We found no major difference in the treatment coverage between persistent hot-spot and low-prevalence shehias. On average, there were considerably more HWCSs containing B. globosus in hot-spot than in low-prevalence shehias (n = 8 vs n = 2) and also more HWCSs containing infected B. globosus (n = 2 vs n = 0). There was no striking difference in the average abundance of SWSs in hot-spot and low-prevalence shehias (n = 45 vs n = 38) and also no difference when considering SWSs with a constant water supply (average: 62 % vs 62 %). The average number of taps with a constant water supply, however, was lower in hot-spot shehias (n = 7 vs n = 14). Average distances from schools to the nearest HWCS were considerably shorter in hot-spot shehias (n = 229 m vs n = 722 m). Conclusion: The number of HWCSs, their infestation with B. globosus and their distance to schools seem to play a major role for a persistently high S. haematobium prevalence in children. In addition to treatment, increasing access to reliably working taps, targeted snail control at HWCSs near schools and enhanced behaviour change measures are needed to reduce prevalences in hot-spot areas and to finally reach elimination. Trial registration: ISRCTN48837681.","author":[{"dropping-particle":"","family":"Pennance","given":"Tom","non-dropping-particle":"","parse-names":false,"suffix":""},{"dropping-particle":"","family":"Person","given":"Bobbie","non-dropping-particle":"","parse-names":false,"suffix":""},{"dropping-particle":"","family":"Muhsin","given":"Mtumweni Ali","non-dropping-particle":"","parse-names":false,"suffix":""},{"dropping-particle":"","family":"Khamis","given":"Alipo Naim","non-dropping-particle":"","parse-names":false,"suffix":""},{"dropping-particle":"","family":"Muhsin","given":"Juma","non-dropping-particle":"","parse-names":false,"suffix":""},{"dropping-particle":"","family":"Khamis","given":"Iddi Simba","non-dropping-particle":"","parse-names":false,"suffix":""},{"dropping-particle":"","family":"Mohammed","given":"Khalfan Abdallah","non-dropping-particle":"","parse-names":false,"suffix":""},{"dropping-particle":"","family":"Kabole","given":"Fatma","non-dropping-particle":"","parse-names":false,"suffix":""},{"dropping-particle":"","family":"Rollinson","given":"David","non-dropping-particle":"","parse-names":false,"suffix":""},{"dropping-particle":"","family":"Knopp","given":"Stefanie","non-dropping-particle":"","parse-names":false,"suffix":""}],"container-title":"Parasites and Vectors","id":"ITEM-1","issue":"1","issued":{"date-parts":[["2016"]]},"page":"1-13","publisher":"Parasites &amp; Vectors","title":"Urogenital schistosomiasis transmission on Unguja Island, Zanzibar: Characterisation of persistent hot-spots","type":"article-journal","volume":"9"},"uris":["http://www.mendeley.com/documents/?uuid=86b30983-8756-4828-a8c2-3ff802a12660"]}],"mendeley":{"formattedCitation":"[87]","plainTextFormattedCitation":"[87]","previouslyFormattedCitation":"[87]"},"properties":{"noteIndex":0},"schema":"https://github.com/citation-style-language/schema/raw/master/csl-citation.json"}</w:instrText>
      </w:r>
      <w:r>
        <w:fldChar w:fldCharType="separate"/>
      </w:r>
      <w:r w:rsidR="009A11E5" w:rsidRPr="009A11E5">
        <w:rPr>
          <w:noProof/>
        </w:rPr>
        <w:t>[87]</w:t>
      </w:r>
      <w:r>
        <w:fldChar w:fldCharType="end"/>
      </w:r>
      <w:r>
        <w:t xml:space="preserve">. Collecting freshwater snails capable of transmitting schistosomes and carrying out shedding analyses to assess cercarial emergence, for example, may help identify active transmission sites </w:t>
      </w:r>
      <w:r>
        <w:fldChar w:fldCharType="begin" w:fldLock="1"/>
      </w:r>
      <w:r w:rsidR="00690A31">
        <w:instrText>ADDIN CSL_CITATION {"citationItems":[{"id":"ITEM-1","itemData":{"DOI":"10.1186/s13071-016-1847-0","ISSN":"17563305","PMID":"27986092","abstract":"Background: Elimination of urogenital schistosomiasis transmission is a priority for the Zanzibar Ministry of Health. Preventative chemotherapy together with additional control interventions have successfully alleviated much of the disease burden. However, a persistently high Schistosoma haematobium prevalence is found in certain areas. Our aim was to characterise and evaluate these persistent \"hot-spots\" of transmission and reinfection in comparison with low-prevalence areas, to support the intervention planning for schistosomiasis elimination in Zanzibar. Methods: Prevalences of S. haematobium were annually determined by a single urine filtration in schoolchildren from 45 administrative areas (shehias) in Unguja in 2012, 2013 and 2014. Coverage data for biannual treatment with praziquantel were available from ministerial databases and internal surveys. Among the 45 shehias, five hot-spot (≥ 15 % prevalence) and two low-prevalence (≤ 5 %) shehias were identified and surveyed in mid-2014. Human-water contact sites (HWCSs) and the presence of S. haematobium-infected and uninfected Bulinus globosus, as well as safe water sources (SWSs) and their reliability in terms of water availability were determined and mapped. Results: We found no major difference in the treatment coverage between persistent hot-spot and low-prevalence shehias. On average, there were considerably more HWCSs containing B. globosus in hot-spot than in low-prevalence shehias (n = 8 vs n = 2) and also more HWCSs containing infected B. globosus (n = 2 vs n = 0). There was no striking difference in the average abundance of SWSs in hot-spot and low-prevalence shehias (n = 45 vs n = 38) and also no difference when considering SWSs with a constant water supply (average: 62 % vs 62 %). The average number of taps with a constant water supply, however, was lower in hot-spot shehias (n = 7 vs n = 14). Average distances from schools to the nearest HWCS were considerably shorter in hot-spot shehias (n = 229 m vs n = 722 m). Conclusion: The number of HWCSs, their infestation with B. globosus and their distance to schools seem to play a major role for a persistently high S. haematobium prevalence in children. In addition to treatment, increasing access to reliably working taps, targeted snail control at HWCSs near schools and enhanced behaviour change measures are needed to reduce prevalences in hot-spot areas and to finally reach elimination. Trial registration: ISRCTN48837681.","author":[{"dropping-particle":"","family":"Pennance","given":"Tom","non-dropping-particle":"","parse-names":false,"suffix":""},{"dropping-particle":"","family":"Person","given":"Bobbie","non-dropping-particle":"","parse-names":false,"suffix":""},{"dropping-particle":"","family":"Muhsin","given":"Mtumweni Ali","non-dropping-particle":"","parse-names":false,"suffix":""},{"dropping-particle":"","family":"Khamis","given":"Alipo Naim","non-dropping-particle":"","parse-names":false,"suffix":""},{"dropping-particle":"","family":"Muhsin","given":"Juma","non-dropping-particle":"","parse-names":false,"suffix":""},{"dropping-particle":"","family":"Khamis","given":"Iddi Simba","non-dropping-particle":"","parse-names":false,"suffix":""},{"dropping-particle":"","family":"Mohammed","given":"Khalfan Abdallah","non-dropping-particle":"","parse-names":false,"suffix":""},{"dropping-particle":"","family":"Kabole","given":"Fatma","non-dropping-particle":"","parse-names":false,"suffix":""},{"dropping-particle":"","family":"Rollinson","given":"David","non-dropping-particle":"","parse-names":false,"suffix":""},{"dropping-particle":"","family":"Knopp","given":"Stefanie","non-dropping-particle":"","parse-names":false,"suffix":""}],"container-title":"Parasites and Vectors","id":"ITEM-1","issue":"1","issued":{"date-parts":[["2016"]]},"page":"1-13","publisher":"Parasites &amp; Vectors","title":"Urogenital schistosomiasis transmission on Unguja Island, Zanzibar: Characterisation of persistent hot-spots","type":"article-journal","volume":"9"},"uris":["http://www.mendeley.com/documents/?uuid=86b30983-8756-4828-a8c2-3ff802a12660"]},{"id":"ITEM-2","itemData":{"DOI":"10.1017/s0031182016000998","ISSN":"0031-1820","abstract":" Part of Robert T. Leiper's (1881–1969) lasting legacy in medical helminthology is grounded on his pioneering work on schistosomiasis (Bilharzia). Having undertaken many expeditions to the tropics, his fascination with parasite life cycles typically allowed him to devise simple preventive measures that curtailed transmission. Building on his formative work with others in Africa and Asia, and again in Egypt in 1915, he elucidated the life cycles of African schistosomes. His mandate, then commissioned by the British War Office, was to prevent and break transmission of this disease in British troops. This he did by raising standing orders based on simple water hygiene measures. Whilst feasible in military camp settings, today their routine implementation is sadly out of reach for millions of Africans living in poverty. Whilst we celebrate the centenary of Leiper's research we draw attention to some of his lesser known colleagues, then focus on schistosomiasis in Uganda discussing why expanded access to treatment with praziquantel is needed now. Looking to WHO 2020 targets for neglected tropical diseases, we introduce COU NTD OWN, an implementation research consortium funded by DFID, UK, which fosters the scale-up of interventions and confirm the current relevance of Leiper's original research. ","author":[{"dropping-particle":"","family":"STOTHARD","given":"J. RUSSELL","non-dropping-particle":"","parse-names":false,"suffix":""},{"dropping-particle":"","family":"ARCHER","given":"JOHN","non-dropping-particle":"","parse-names":false,"suffix":""},{"dropping-particle":"","family":"GYAPONG","given":"MARGARET","non-dropping-particle":"","parse-names":false,"suffix":""},{"dropping-particle":"","family":"TCHUEM-TCHUENTÉ","given":"LOUIS ALBERT","non-dropping-particle":"","parse-names":false,"suffix":""},{"dropping-particle":"","family":"BUSTINDUY","given":"AMAYA L.","non-dropping-particle":"","parse-names":false,"suffix":""},{"dropping-particle":"","family":"KABATEREINE","given":"NARCIS B.","non-dropping-particle":"","parse-names":false,"suffix":""},{"dropping-particle":"","family":"AL-SHEHRI","given":"HAJRI","non-dropping-particle":"","parse-names":false,"suffix":""}],"container-title":"Parasitology","id":"ITEM-2","issue":"12","issued":{"date-parts":[["2016"]]},"page":"1602-1612","title":"A centenary of Robert T. Leiper's lasting legacy on schistosomiasis and a COUNTDOWN on control of neglected tropical diseases","type":"article-journal","volume":"144"},"uris":["http://www.mendeley.com/documents/?uuid=35f818bf-10ad-4392-bc07-452c725bd2dc"]}],"mendeley":{"formattedCitation":"[87,88]","plainTextFormattedCitation":"[87,88]","previouslyFormattedCitation":"[87,88]"},"properties":{"noteIndex":0},"schema":"https://github.com/citation-style-language/schema/raw/master/csl-citation.json"}</w:instrText>
      </w:r>
      <w:r>
        <w:fldChar w:fldCharType="separate"/>
      </w:r>
      <w:r w:rsidR="009A11E5" w:rsidRPr="009A11E5">
        <w:rPr>
          <w:noProof/>
        </w:rPr>
        <w:t>[87,88]</w:t>
      </w:r>
      <w:r>
        <w:fldChar w:fldCharType="end"/>
      </w:r>
      <w:r>
        <w:t xml:space="preserve">. This approach, however, can also be </w:t>
      </w:r>
      <w:r w:rsidRPr="00AF74ED">
        <w:t>unreliable</w:t>
      </w:r>
      <w:r w:rsidRPr="00763887">
        <w:rPr>
          <w:color w:val="70AD47" w:themeColor="accent6"/>
        </w:rPr>
        <w:t xml:space="preserve"> </w:t>
      </w:r>
      <w:r>
        <w:t xml:space="preserve">as very few snails are typically found to be shedding cercariae </w:t>
      </w:r>
      <w:r>
        <w:fldChar w:fldCharType="begin" w:fldLock="1"/>
      </w:r>
      <w:r w:rsidR="00690A31">
        <w:instrText>ADDIN CSL_CITATION {"citationItems":[{"id":"ITEM-1","itemData":{"DOI":"10.1016/j.pt.2006.09.006","ISSN":"14714922","abstract":"Current population-based schistosomiasis treatment programs are a first step to reducing the global burden of Schistosoma-related disease; however, they might not dramatically reduce parasite transmission in highly endemic areas. Consequently, the benefits of these programs remain in doubt because recurring low-level reinfection is likely to be associated with subtle but persistent morbidities such as anemia, undernutrition and diminished performance status. The real health benefits of transmission control need to be reconsidered and attention given to more aggressive and, ultimately, more affordable parasite elimination strategies. The next generation of schistosomiasis control can be optimized using new monitoring tools and effective transmission containment. © 2006 Elsevier Ltd. All rights reserved.","author":[{"dropping-particle":"","family":"King","given":"Charles H.","non-dropping-particle":"","parse-names":false,"suffix":""},{"dropping-particle":"","family":"Sturrock","given":"Robert F.","non-dropping-particle":"","parse-names":false,"suffix":""},{"dropping-particle":"","family":"Kariuki","given":"H. Curtis","non-dropping-particle":"","parse-names":false,"suffix":""},{"dropping-particle":"","family":"Hamburger","given":"Joseph","non-dropping-particle":"","parse-names":false,"suffix":""}],"container-title":"Trends in Parasitology","id":"ITEM-1","issue":"12","issued":{"date-parts":[["2006"]]},"page":"575-582","title":"Transmission control for schistosomiasis - why it matters now","type":"article-journal","volume":"22"},"uris":["http://www.mendeley.com/documents/?uuid=80f23e71-8f9a-4388-b907-f7b9f0dc33b3"]}],"mendeley":{"formattedCitation":"[89]","plainTextFormattedCitation":"[89]","previouslyFormattedCitation":"[89]"},"properties":{"noteIndex":0},"schema":"https://github.com/citation-style-language/schema/raw/master/csl-citation.json"}</w:instrText>
      </w:r>
      <w:r>
        <w:fldChar w:fldCharType="separate"/>
      </w:r>
      <w:r w:rsidR="009A11E5" w:rsidRPr="009A11E5">
        <w:rPr>
          <w:noProof/>
        </w:rPr>
        <w:t>[89]</w:t>
      </w:r>
      <w:r>
        <w:fldChar w:fldCharType="end"/>
      </w:r>
      <w:r>
        <w:t xml:space="preserve">. </w:t>
      </w:r>
    </w:p>
    <w:p w14:paraId="51FFAE32" w14:textId="2FAB5E77" w:rsidR="004D573A" w:rsidRPr="002C4B50" w:rsidRDefault="004D573A" w:rsidP="002C4B50">
      <w:pPr>
        <w:pStyle w:val="MDPI31text"/>
        <w:spacing w:line="276" w:lineRule="auto"/>
      </w:pPr>
      <w:r>
        <w:t xml:space="preserve">For this reason, </w:t>
      </w:r>
      <w:r w:rsidR="00DA4DA3">
        <w:t xml:space="preserve">highly sensitive </w:t>
      </w:r>
      <w:r>
        <w:t xml:space="preserve">molecular xenomonitoring approaches to detect </w:t>
      </w:r>
      <w:r>
        <w:rPr>
          <w:i/>
          <w:iCs/>
        </w:rPr>
        <w:t xml:space="preserve">Schistosoma </w:t>
      </w:r>
      <w:r>
        <w:t>DNA</w:t>
      </w:r>
      <w:r w:rsidR="00913839">
        <w:t xml:space="preserve"> </w:t>
      </w:r>
      <w:r>
        <w:t>in snail host</w:t>
      </w:r>
      <w:r w:rsidR="00913839">
        <w:t xml:space="preserve"> tissues</w:t>
      </w:r>
      <w:r>
        <w:t xml:space="preserve"> have also been developed and assessed </w:t>
      </w:r>
      <w:r>
        <w:fldChar w:fldCharType="begin" w:fldLock="1"/>
      </w:r>
      <w:r w:rsidR="00690A31">
        <w:instrText>ADDIN CSL_CITATION {"citationItems":[{"id":"ITEM-1","itemData":{"DOI":"10.4269/ajtmh.19-0831","ISSN":"0002-9637","abstract":"The Schistosomiasis Consortium for Operational Research and Evaluation (SCORE) was created in 2008 to answer questions of importance to program managers working to reduce the burden of schistosomiasis in Africa. In the past, intermediate host snail monitoring and control was an important part of integrated schistosomiasis control. However, in Africa, efforts to control snails have declined dramatically over the last 30 years. A resurgence of interest in the control of snails has been prompted by the realization, backed by a World Health Assembly resolution (WHA65.21), that mass drug administration alone may be insufficient to achieve schistosomiasis elimination. The SCORE has supported work on snail identification and mapping and investigated how xenomonitoring techniques can aid in the identification of infected snails and thereby identify potential transmission areas. Focal mollusciciding with niclosamide was undertaken in Zanzibar and Côte d’Ivoire as a part of elimination studies. Two studies involving biological control of snails were conducted: one explored the association of freshwater riverine prawns and snail hosts in Côte d’Ivoire and the other assessed the current distribution of &lt;span class=","author":[{"dropping-particle":"","family":"Allan","given":"Fiona","non-dropping-particle":"","parse-names":false,"suffix":""},{"dropping-particle":"","family":"Ame","given":"Shaali M.","non-dropping-particle":"","parse-names":false,"suffix":""},{"dropping-particle":"","family":"Tian-Bi","given":"Yves-Nathan T.","non-dropping-particle":"","parse-names":false,"suffix":""},{"dropping-particle":"V.","family":"Hofkin","given":"Bruce","non-dropping-particle":"","parse-names":false,"suffix":""},{"dropping-particle":"","family":"Webster","given":"Bonnie L.","non-dropping-particle":"","parse-names":false,"suffix":""},{"dropping-particle":"","family":"Diakité","given":"Nana R.","non-dropping-particle":"","parse-names":false,"suffix":""},{"dropping-particle":"","family":"N’Goran","given":"Eliezer K.","non-dropping-particle":"","parse-names":false,"suffix":""},{"dropping-particle":"","family":"Kabole","given":"Fatma","non-dropping-particle":"","parse-names":false,"suffix":""},{"dropping-particle":"","family":"Khamis","given":"Iddi S.","non-dropping-particle":"","parse-names":false,"suffix":""},{"dropping-particle":"","family":"Gouvras","given":"Anouk N.","non-dropping-particle":"","parse-names":false,"suffix":""},{"dropping-particle":"","family":"Emery","given":"Aidan M.","non-dropping-particle":"","parse-names":false,"suffix":""},{"dropping-particle":"","family":"Pennance","given":"Tom","non-dropping-particle":"","parse-names":false,"suffix":""},{"dropping-particle":"","family":"Rabone","given":"Muriel","non-dropping-particle":"","parse-names":false,"suffix":""},{"dropping-particle":"","family":"Kinung’hi","given":"Safari","non-dropping-particle":"","parse-names":false,"suffix":""},{"dropping-particle":"","family":"Hamidou","given":"Amina Amadou","non-dropping-particle":"","parse-names":false,"suffix":""},{"dropping-particle":"","family":"Mkoji","given":"Gerald M.","non-dropping-particle":"","parse-names":false,"suffix":""},{"dropping-particle":"","family":"McLaughlin","given":"John P.","non-dropping-particle":"","parse-names":false,"suffix":""},{"dropping-particle":"","family":"Kuris","given":"Armand M.","non-dropping-particle":"","parse-names":false,"suffix":""},{"dropping-particle":"","family":"Loker","given":"Eric S.","non-dropping-particle":"","parse-names":false,"suffix":""},{"dropping-particle":"","family":"Knopp","given":"Stefanie","non-dropping-particle":"","parse-names":false,"suffix":""},{"dropping-particle":"","family":"Rollinson","given":"David","non-dropping-particle":"","parse-names":false,"suffix":""}],"container-title":"The American Journal of Tropical Medicine and Hygiene","id":"ITEM-1","issued":{"date-parts":[["2020"]]},"page":"1-14","title":"Snail-Related Contributions from the Schistosomiasis Consortium for Operational Research and Evaluation Program Including Xenomonitoring, Focal Mollusciciding, Biological Control, and Modeling","type":"article-journal"},"uris":["http://www.mendeley.com/documents/?uuid=db020f09-da70-4613-b3be-87283461f768"]}],"mendeley":{"formattedCitation":"[90]","plainTextFormattedCitation":"[90]","previouslyFormattedCitation":"[90]"},"properties":{"noteIndex":0},"schema":"https://github.com/citation-style-language/schema/raw/master/csl-citation.json"}</w:instrText>
      </w:r>
      <w:r>
        <w:fldChar w:fldCharType="separate"/>
      </w:r>
      <w:r w:rsidR="009A11E5" w:rsidRPr="009A11E5">
        <w:rPr>
          <w:noProof/>
        </w:rPr>
        <w:t>[90]</w:t>
      </w:r>
      <w:r>
        <w:fldChar w:fldCharType="end"/>
      </w:r>
      <w:r>
        <w:t xml:space="preserve">. Using PCR to detect </w:t>
      </w:r>
      <w:r>
        <w:rPr>
          <w:i/>
          <w:iCs/>
        </w:rPr>
        <w:t xml:space="preserve">Schistosoma </w:t>
      </w:r>
      <w:r>
        <w:t xml:space="preserve">DNA within snail hosts, for example, can detect prepatent infections and is not affected by diurnal </w:t>
      </w:r>
      <w:r w:rsidRPr="00542DD7">
        <w:t>fluctuatio</w:t>
      </w:r>
      <w:r>
        <w:t xml:space="preserve">ns in cercarial shedding in the same way that cercarial shedding is; allowing a more reliable assessment of schistosome presence in a given locality than shedding analyses can allow. An </w:t>
      </w:r>
      <w:r w:rsidR="00285607">
        <w:t>added</w:t>
      </w:r>
      <w:r>
        <w:t xml:space="preserve"> advantage of molecular xenomonitoring by use of PCR is the ability to genotype parasite and snail DNA, providing valuable opportunities to better understand disease transmission and molecular epidemiology such as more reliable species identification of human-infecting cercariae and snail intermediate hosts than can be achieved using morphological analysis and the detection of </w:t>
      </w:r>
      <w:r>
        <w:rPr>
          <w:i/>
          <w:iCs/>
        </w:rPr>
        <w:t xml:space="preserve">Schistosoma </w:t>
      </w:r>
      <w:r>
        <w:t xml:space="preserve">hybridisation events </w:t>
      </w:r>
      <w:r w:rsidRPr="00235992">
        <w:fldChar w:fldCharType="begin" w:fldLock="1"/>
      </w:r>
      <w:r w:rsidR="001A0DC3">
        <w:instrText>ADDIN CSL_CITATION {"citationItems":[{"id":"ITEM-1","itemData":{"DOI":"10.1007/s00436-020-06709-0","ISSN":"14321955","abstract":"Schistosomiasis remains a parasitic infection which poses serious public health consequences around the world, particularly on the African continent where cases of introgression/hybridization between human and cattle schistosomiasis are being discovered on a more frequent basis in humans, specifically between Schistosoma haematobium and S. bovis. The aim of this paper is to analyze the occurrence of S. bovis in cattle and its relationship with S. haematobium in an area where cattle and humans share the same site in Benin (West Africa). We used the chronobiology of cercarial emergence as an ecological parameter and both molecular biology (COI mtDNA and ITS rDNA) of the larvae and morphology of the eggs as taxonomic parameters. The results showed a chronobiological polymorphism in the cercarial emergence rhythm. They showed for the first time the presence of S. bovis in Benin, the presence of introgressive hybridization between S. bovis and S. haematobium in domestic cattle, and the presence of atypical chronobiological patterns in schistosomes from cattle, with typical S. haematobium shedding pattern, double-peak patterns, and nocturnal patterns. Our results showed that the chronobiological life-history trait is useful for the detection of new hosts and also may reveal the possible presence of introgressive hybridization in schistosomes. Our results, for the first time, place cattle as reservoir host for S. haematobium and S. bovis x S. haematobium. The consequences of these results on the epidemiology of the disease, the transmission to humans, and the control of the disease are very important.","author":[{"dropping-particle":"","family":"Savassi","given":"Boris A.E.S.","non-dropping-particle":"","parse-names":false,"suffix":""},{"dropping-particle":"","family":"Mouahid","given":"Gabriel","non-dropping-particle":"","parse-names":false,"suffix":""},{"dropping-particle":"","family":"Lasica","given":"Chrystelle","non-dropping-particle":"","parse-names":false,"suffix":""},{"dropping-particle":"","family":"Mahaman","given":"Samoussou Dine K.","non-dropping-particle":"","parse-names":false,"suffix":""},{"dropping-particle":"","family":"Garcia","given":"André","non-dropping-particle":"","parse-names":false,"suffix":""},{"dropping-particle":"","family":"Courtin","given":"David","non-dropping-particle":"","parse-names":false,"suffix":""},{"dropping-particle":"","family":"Allienne","given":"Jean François","non-dropping-particle":"","parse-names":false,"suffix":""},{"dropping-particle":"","family":"Ibikounlé","given":"Moudachirou","non-dropping-particle":"","parse-names":false,"suffix":""},{"dropping-particle":"","family":"Moné","given":"Hélène","non-dropping-particle":"","parse-names":false,"suffix":""}],"container-title":"Parasitology Research","id":"ITEM-1","issued":{"date-parts":[["2020"]]},"publisher":"Parasitology Research","title":"Cattle as natural host for Schistosoma haematobium (Bilharz, 1852) Weinland, 1858 x Schistosoma bovis Sonsino, 1876 interactions, with new cercarial emergence and genetic patterns","type":"article-journal"},"uris":["http://www.mendeley.com/documents/?uuid=1df383d2-cf28-41a2-8eb7-85c67e595307"]}],"mendeley":{"formattedCitation":"[55]","plainTextFormattedCitation":"[55]","previouslyFormattedCitation":"[55]"},"properties":{"noteIndex":0},"schema":"https://github.com/citation-style-language/schema/raw/master/csl-citation.json"}</w:instrText>
      </w:r>
      <w:r w:rsidRPr="00235992">
        <w:fldChar w:fldCharType="separate"/>
      </w:r>
      <w:r w:rsidR="001D3544" w:rsidRPr="001D3544">
        <w:rPr>
          <w:noProof/>
        </w:rPr>
        <w:t>[55]</w:t>
      </w:r>
      <w:r w:rsidRPr="00235992">
        <w:fldChar w:fldCharType="end"/>
      </w:r>
      <w:r>
        <w:t xml:space="preserve">. </w:t>
      </w:r>
      <w:r w:rsidR="00A33BF1">
        <w:t xml:space="preserve">In addition, </w:t>
      </w:r>
      <w:r w:rsidR="0057123C">
        <w:t xml:space="preserve">collecting and </w:t>
      </w:r>
      <w:r w:rsidR="001A1C5C">
        <w:t xml:space="preserve">screening freshwater snail hosts for the presence of </w:t>
      </w:r>
      <w:r w:rsidR="00C57A38">
        <w:t xml:space="preserve">parasite DNA </w:t>
      </w:r>
      <w:r w:rsidR="00E71609">
        <w:t xml:space="preserve">can be more straightforward and more lucrative than </w:t>
      </w:r>
      <w:r w:rsidR="00EE232B">
        <w:t>collecting and screening</w:t>
      </w:r>
      <w:r w:rsidR="00FA7616">
        <w:t xml:space="preserve"> </w:t>
      </w:r>
      <w:r w:rsidR="00EE232B">
        <w:t>human faecal samples</w:t>
      </w:r>
      <w:r w:rsidR="00C50D84">
        <w:t xml:space="preserve"> for parasite DNA</w:t>
      </w:r>
      <w:r w:rsidR="002D2E07">
        <w:t xml:space="preserve"> </w:t>
      </w:r>
      <w:r w:rsidR="002D2E07">
        <w:fldChar w:fldCharType="begin" w:fldLock="1"/>
      </w:r>
      <w:r w:rsidR="00690A31">
        <w:instrText>ADDIN CSL_CITATION {"citationItems":[{"id":"ITEM-1","itemData":{"DOI":"10.4269/ajtmh.19-0831","ISSN":"0002-9637","abstract":"The Schistosomiasis Consortium for Operational Research and Evaluation (SCORE) was created in 2008 to answer questions of importance to program managers working to reduce the burden of schistosomiasis in Africa. In the past, intermediate host snail monitoring and control was an important part of integrated schistosomiasis control. However, in Africa, efforts to control snails have declined dramatically over the last 30 years. A resurgence of interest in the control of snails has been prompted by the realization, backed by a World Health Assembly resolution (WHA65.21), that mass drug administration alone may be insufficient to achieve schistosomiasis elimination. The SCORE has supported work on snail identification and mapping and investigated how xenomonitoring techniques can aid in the identification of infected snails and thereby identify potential transmission areas. Focal mollusciciding with niclosamide was undertaken in Zanzibar and Côte d’Ivoire as a part of elimination studies. Two studies involving biological control of snails were conducted: one explored the association of freshwater riverine prawns and snail hosts in Côte d’Ivoire and the other assessed the current distribution of &lt;span class=","author":[{"dropping-particle":"","family":"Allan","given":"Fiona","non-dropping-particle":"","parse-names":false,"suffix":""},{"dropping-particle":"","family":"Ame","given":"Shaali M.","non-dropping-particle":"","parse-names":false,"suffix":""},{"dropping-particle":"","family":"Tian-Bi","given":"Yves-Nathan T.","non-dropping-particle":"","parse-names":false,"suffix":""},{"dropping-particle":"V.","family":"Hofkin","given":"Bruce","non-dropping-particle":"","parse-names":false,"suffix":""},{"dropping-particle":"","family":"Webster","given":"Bonnie L.","non-dropping-particle":"","parse-names":false,"suffix":""},{"dropping-particle":"","family":"Diakité","given":"Nana R.","non-dropping-particle":"","parse-names":false,"suffix":""},{"dropping-particle":"","family":"N’Goran","given":"Eliezer K.","non-dropping-particle":"","parse-names":false,"suffix":""},{"dropping-particle":"","family":"Kabole","given":"Fatma","non-dropping-particle":"","parse-names":false,"suffix":""},{"dropping-particle":"","family":"Khamis","given":"Iddi S.","non-dropping-particle":"","parse-names":false,"suffix":""},{"dropping-particle":"","family":"Gouvras","given":"Anouk N.","non-dropping-particle":"","parse-names":false,"suffix":""},{"dropping-particle":"","family":"Emery","given":"Aidan M.","non-dropping-particle":"","parse-names":false,"suffix":""},{"dropping-particle":"","family":"Pennance","given":"Tom","non-dropping-particle":"","parse-names":false,"suffix":""},{"dropping-particle":"","family":"Rabone","given":"Muriel","non-dropping-particle":"","parse-names":false,"suffix":""},{"dropping-particle":"","family":"Kinung’hi","given":"Safari","non-dropping-particle":"","parse-names":false,"suffix":""},{"dropping-particle":"","family":"Hamidou","given":"Amina Amadou","non-dropping-particle":"","parse-names":false,"suffix":""},{"dropping-particle":"","family":"Mkoji","given":"Gerald M.","non-dropping-particle":"","parse-names":false,"suffix":""},{"dropping-particle":"","family":"McLaughlin","given":"John P.","non-dropping-particle":"","parse-names":false,"suffix":""},{"dropping-particle":"","family":"Kuris","given":"Armand M.","non-dropping-particle":"","parse-names":false,"suffix":""},{"dropping-particle":"","family":"Loker","given":"Eric S.","non-dropping-particle":"","parse-names":false,"suffix":""},{"dropping-particle":"","family":"Knopp","given":"Stefanie","non-dropping-particle":"","parse-names":false,"suffix":""},{"dropping-particle":"","family":"Rollinson","given":"David","non-dropping-particle":"","parse-names":false,"suffix":""}],"container-title":"The American Journal of Tropical Medicine and Hygiene","id":"ITEM-1","issued":{"date-parts":[["2020"]]},"page":"1-14","title":"Snail-Related Contributions from the Schistosomiasis Consortium for Operational Research and Evaluation Program Including Xenomonitoring, Focal Mollusciciding, Biological Control, and Modeling","type":"article-journal"},"uris":["http://www.mendeley.com/documents/?uuid=db020f09-da70-4613-b3be-87283461f768"]}],"mendeley":{"formattedCitation":"[90]","plainTextFormattedCitation":"[90]","previouslyFormattedCitation":"[90]"},"properties":{"noteIndex":0},"schema":"https://github.com/citation-style-language/schema/raw/master/csl-citation.json"}</w:instrText>
      </w:r>
      <w:r w:rsidR="002D2E07">
        <w:fldChar w:fldCharType="separate"/>
      </w:r>
      <w:r w:rsidR="009A11E5" w:rsidRPr="009A11E5">
        <w:rPr>
          <w:noProof/>
        </w:rPr>
        <w:t>[90]</w:t>
      </w:r>
      <w:r w:rsidR="002D2E07">
        <w:fldChar w:fldCharType="end"/>
      </w:r>
      <w:r w:rsidR="00EE232B">
        <w:t xml:space="preserve">. </w:t>
      </w:r>
      <w:r>
        <w:t xml:space="preserve">Currently, however, mass collection and molecular screening of freshwater snail hosts using PCR remains logistically, technically and financially demanding, and so development of a high-throughput methodology, possibly incorporating use of rapid and point-of-care DNA amplification technologies such as LAMP or RPA, or pooling of snail samples, should </w:t>
      </w:r>
      <w:r w:rsidRPr="00847A64">
        <w:rPr>
          <w:color w:val="000000" w:themeColor="text1"/>
        </w:rPr>
        <w:t xml:space="preserve">also be further explored and assessed </w:t>
      </w:r>
      <w:r w:rsidRPr="00847A64">
        <w:rPr>
          <w:color w:val="000000" w:themeColor="text1"/>
        </w:rPr>
        <w:fldChar w:fldCharType="begin" w:fldLock="1"/>
      </w:r>
      <w:r w:rsidR="00690A31">
        <w:rPr>
          <w:color w:val="000000" w:themeColor="text1"/>
        </w:rPr>
        <w:instrText>ADDIN CSL_CITATION {"citationItems":[{"id":"ITEM-1","itemData":{"DOI":"10.4269/ajtmh.2010.09-0764","ISSN":"00029637","abstract":"Monitoring post-control transmission of schistosomes by examining humans becomes less effective as infection rates among humans decrease. Molecular monitoring of prepatent schistosome infection in snails by the polymerase chain reaction (PCR) has been used for studying human-to-snail transmission, and snail prepatent infection rates were found to correspond to infection prevalence and average intensity in human populations contacting the sites studied. We have now developed loop-mediated isothermal amplification (LAMP) assays for identifying Schistosoma mansoni and S. haematobium to facilitate large-scale evaluation of post-intervention transmission potential. LAMP primers were designed based on the Sm1-7 and Dral repeated sequences of the corresponding schistosomes, and amplification by LAMP of these 121-basepair highly abundant sequences provided a detection sensitivity of 0.1 fg of genomic DNA. When these LAMP assays were applied for examining infected laboratory snails, it was possible to identify infection from the first day after exposure to miracidia. The potential advantages of these assays are discussed. Copyright © 2010 by The American Society of Tropical Medicine and Hygiene.","author":[{"dropping-particle":"","family":"Abbasi","given":"Ibrahim","non-dropping-particle":"","parse-names":false,"suffix":""},{"dropping-particle":"","family":"King","given":"Charles H.","non-dropping-particle":"","parse-names":false,"suffix":""},{"dropping-particle":"","family":"Muchiri","given":"Eric M.","non-dropping-particle":"","parse-names":false,"suffix":""},{"dropping-particle":"","family":"Hamburger","given":"Joseph","non-dropping-particle":"","parse-names":false,"suffix":""}],"container-title":"American Journal of Tropical Medicine and Hygiene","id":"ITEM-1","issue":"2","issued":{"date-parts":[["2010"]]},"page":"427-432","title":"Detection of Schistosoma mansoni and Schistosoma haematobium DNA by loop-mediated isothermal amplification: Identification of infected snails from early prepatency","type":"article-journal","volume":"83"},"uris":["http://www.mendeley.com/documents/?uuid=8922af82-95a1-4837-b6da-490da85349ca"]},{"id":"ITEM-2","itemData":{"DOI":"10.1371/journal.pntd.0005225","ISSN":"19352735","PMID":"27941967","abstract":"Background: Schistosomiasis remains one of the most common endemic parasitic diseases affecting over 230 million people worlwide. Schistosoma mansoni is the main species causing intestinal and hepatic schistosomiasis and the fresh water pulmonate snails of the genus Biomphalaria are best known for their role as intermediate hosts of the parasite. The development of new molecular monitoring assays for large-scale screening of snails from transmission sites to detect the presence of schistosomes is an important point to consider for snail control interventions related to schistosomiasis elimination. Our work was focussed on developing and evaluating a new LAMP assay combined with a simple DNA extraction method to detect S. mansoni in experimentally infected snails as a diagnostic tool for field conditions. Methodology/Principal findings: A LAMP assay using a set of six primers targeting a sequence of S. mansoni ribosomal intergenic spacer 28S-18S rRNA was designed. The detection limit of the LAMP assay was 0.1 fg of S. mansoni DNA at 63°C for 50 minutes. LAMP was evaluated by examining S. mansoni DNA in B. glabrata snails experimentally exposed to miracidia at different times post-exposure: early prepatent period (before cercarial shedding), light infections (snails exposed to a low number of miracidia) and detection of infected snails in pooled samples (within a group of uninfected snails). DNA for LAMP assays was obtained by using a commercial DNA extraction kit or a simple heat NaOH extraction method. We detected S. mansoni DNA in all groups of snails by using no complicated requirement procedure for DNA obtaining. Conclusions/Significance: Our LAMP assay, named Biompha-LAMP, is specific, sensitive, rapid and potentially adaptable as a cost-effective method for screening of intermediate hosts infected with S. mansoni in both individual snails and pooled samples. The assay could be suitable for large-scale field surveys for schistosomes control campaigns in endemic areas.","author":[{"dropping-particle":"","family":"Gandasegui","given":"Javier","non-dropping-particle":"","parse-names":false,"suffix":""},{"dropping-particle":"","family":"Fernández-Soto","given":"Pedro","non-dropping-particle":"","parse-names":false,"suffix":""},{"dropping-particle":"","family":"Hernández-Goenaga","given":"Juan","non-dropping-particle":"","parse-names":false,"suffix":""},{"dropping-particle":"","family":"López-Abán","given":"Julio","non-dropping-particle":"","parse-names":false,"suffix":""},{"dropping-particle":"","family":"Vicente","given":"Belén","non-dropping-particle":"","parse-names":false,"suffix":""},{"dropping-particle":"","family":"Muro","given":"Antonio","non-dropping-particle":"","parse-names":false,"suffix":""}],"container-title":"PLoS Neglected Tropical Diseases","id":"ITEM-2","issue":"12","issued":{"date-parts":[["2016"]]},"page":"1-14","title":"Biompha-LAMP: A New Rapid Loop-Mediated Isothermal Amplification Assay for Detecting Schistosoma mansoni in Biomphalaria glabrata Snail Host","type":"article-journal","volume":"10"},"uris":["http://www.mendeley.com/documents/?uuid=da837de9-7947-4f1b-a5c1-2ddbaaed1f13"]}],"mendeley":{"formattedCitation":"[91,92]","plainTextFormattedCitation":"[91,92]","previouslyFormattedCitation":"[91,92]"},"properties":{"noteIndex":0},"schema":"https://github.com/citation-style-language/schema/raw/master/csl-citation.json"}</w:instrText>
      </w:r>
      <w:r w:rsidRPr="00847A64">
        <w:rPr>
          <w:color w:val="000000" w:themeColor="text1"/>
        </w:rPr>
        <w:fldChar w:fldCharType="separate"/>
      </w:r>
      <w:r w:rsidR="009A11E5" w:rsidRPr="009A11E5">
        <w:rPr>
          <w:noProof/>
          <w:color w:val="000000" w:themeColor="text1"/>
        </w:rPr>
        <w:t>[91,92]</w:t>
      </w:r>
      <w:r w:rsidRPr="00847A64">
        <w:rPr>
          <w:color w:val="000000" w:themeColor="text1"/>
        </w:rPr>
        <w:fldChar w:fldCharType="end"/>
      </w:r>
      <w:r w:rsidRPr="00847A64">
        <w:rPr>
          <w:color w:val="000000" w:themeColor="text1"/>
        </w:rPr>
        <w:t>.</w:t>
      </w:r>
    </w:p>
    <w:p w14:paraId="58CA8828" w14:textId="54394064" w:rsidR="004D573A" w:rsidRPr="00853D54" w:rsidRDefault="004D573A" w:rsidP="00853D54">
      <w:pPr>
        <w:pStyle w:val="MDPI31text"/>
        <w:spacing w:line="276" w:lineRule="auto"/>
        <w:rPr>
          <w:color w:val="000000" w:themeColor="text1"/>
          <w:highlight w:val="yellow"/>
        </w:rPr>
      </w:pPr>
      <w:commentRangeStart w:id="23"/>
      <w:r w:rsidRPr="006564DC">
        <w:rPr>
          <w:color w:val="000000" w:themeColor="text1"/>
        </w:rPr>
        <w:t xml:space="preserve">Similarly, molecular detection of </w:t>
      </w:r>
      <w:r w:rsidRPr="006564DC">
        <w:rPr>
          <w:i/>
          <w:iCs/>
          <w:color w:val="000000" w:themeColor="text1"/>
        </w:rPr>
        <w:t xml:space="preserve">S. mansoni </w:t>
      </w:r>
      <w:r w:rsidRPr="006564DC">
        <w:rPr>
          <w:color w:val="000000" w:themeColor="text1"/>
        </w:rPr>
        <w:t xml:space="preserve">and </w:t>
      </w:r>
      <w:r w:rsidRPr="006564DC">
        <w:rPr>
          <w:i/>
          <w:iCs/>
          <w:color w:val="000000" w:themeColor="text1"/>
        </w:rPr>
        <w:t xml:space="preserve">G. duodenalis </w:t>
      </w:r>
      <w:r w:rsidRPr="006564DC">
        <w:rPr>
          <w:color w:val="000000" w:themeColor="text1"/>
        </w:rPr>
        <w:t xml:space="preserve">DNA </w:t>
      </w:r>
      <w:r w:rsidR="00B01EEE" w:rsidRPr="006564DC">
        <w:rPr>
          <w:color w:val="000000" w:themeColor="text1"/>
        </w:rPr>
        <w:t xml:space="preserve">in DNA extracted from faeces collected from </w:t>
      </w:r>
      <w:r w:rsidRPr="006564DC">
        <w:rPr>
          <w:color w:val="000000" w:themeColor="text1"/>
        </w:rPr>
        <w:t xml:space="preserve">definitive reservoir hosts capable of perpetuating transmission, such as rodents </w:t>
      </w:r>
      <w:r w:rsidR="00443AEF" w:rsidRPr="006564DC">
        <w:rPr>
          <w:color w:val="000000" w:themeColor="text1"/>
        </w:rPr>
        <w:t>(</w:t>
      </w:r>
      <w:r w:rsidR="00443AEF" w:rsidRPr="006564DC">
        <w:rPr>
          <w:i/>
          <w:iCs/>
          <w:color w:val="000000" w:themeColor="text1"/>
        </w:rPr>
        <w:t>S. mansoni</w:t>
      </w:r>
      <w:r w:rsidR="00443AEF" w:rsidRPr="006564DC">
        <w:rPr>
          <w:color w:val="000000" w:themeColor="text1"/>
        </w:rPr>
        <w:t xml:space="preserve">) </w:t>
      </w:r>
      <w:r w:rsidRPr="006564DC">
        <w:rPr>
          <w:color w:val="000000" w:themeColor="text1"/>
        </w:rPr>
        <w:t>and cattle</w:t>
      </w:r>
      <w:r w:rsidR="00443AEF" w:rsidRPr="006564DC">
        <w:rPr>
          <w:color w:val="000000" w:themeColor="text1"/>
        </w:rPr>
        <w:t xml:space="preserve"> (</w:t>
      </w:r>
      <w:r w:rsidR="00443AEF" w:rsidRPr="006564DC">
        <w:rPr>
          <w:i/>
          <w:iCs/>
          <w:color w:val="000000" w:themeColor="text1"/>
        </w:rPr>
        <w:t>Giardia</w:t>
      </w:r>
      <w:r w:rsidR="00443AEF" w:rsidRPr="006564DC">
        <w:rPr>
          <w:color w:val="000000" w:themeColor="text1"/>
        </w:rPr>
        <w:t>)</w:t>
      </w:r>
      <w:r w:rsidRPr="006564DC">
        <w:rPr>
          <w:color w:val="000000" w:themeColor="text1"/>
        </w:rPr>
        <w:t>, has also been used to monitor disease transmission</w:t>
      </w:r>
      <w:r w:rsidR="0023494D" w:rsidRPr="006564DC">
        <w:rPr>
          <w:color w:val="000000" w:themeColor="text1"/>
        </w:rPr>
        <w:t xml:space="preserve"> with success</w:t>
      </w:r>
      <w:r w:rsidR="007048D4" w:rsidRPr="006564DC">
        <w:rPr>
          <w:color w:val="000000" w:themeColor="text1"/>
        </w:rPr>
        <w:t xml:space="preserve"> </w:t>
      </w:r>
      <w:r w:rsidR="007048D4" w:rsidRPr="006564DC">
        <w:rPr>
          <w:color w:val="000000" w:themeColor="text1"/>
        </w:rPr>
        <w:fldChar w:fldCharType="begin" w:fldLock="1"/>
      </w:r>
      <w:r w:rsidR="00570C44" w:rsidRPr="006564DC">
        <w:rPr>
          <w:color w:val="000000" w:themeColor="text1"/>
        </w:rPr>
        <w:instrText>ADDIN CSL_CITATION {"citationItems":[{"id":"ITEM-1","itemData":{"DOI":"10.1128/CMR.00033-10","ISSN":"08938512","PMID":"21233509","author":[{"dropping-particle":"","family":"Yaoyu","given":"Feng","non-dropping-particle":"","parse-names":false,"suffix":""},{"dropping-particle":"","family":"Xiao","given":"Lihua","non-dropping-particle":"","parse-names":false,"suffix":""}],"container-title":"Clinical Microbiology Reviews","id":"ITEM-1","issue":"1","issued":{"date-parts":[["2011"]]},"page":"110-140","title":"Zoonotic potential and molecular epidemiology of Giardia species and giardiasis","type":"article-journal","volume":"24"},"uris":["http://www.mendeley.com/documents/?uuid=a4f4fb55-9ebe-47ad-a134-bb4f02c9dade"]},{"id":"ITEM-2","itemData":{"DOI":"10.1093/infdis/jiy029","ISSN":"15376613","PMID":"29365139","abstract":"The complex multi-host disease dynamics of schistosomiasis and Schistosoma spp., including the emergence of zoonotic parasite hybrids, remain largely unexplored in West Africa. We elucidated the role of wild small mammals as reservoir for zoonotic Schistosoma species and hybrids in endemic areas of Senegal. We identified Schistosoma mansoni, Schistosoma bovis, and a Schistosoma haematobium/S. bovis hybrid, with local prevalence in wild rodents ranging from 1.9% to 28.6%. Our findings indicate that rodents may be an important local reservoir for zoonotic schistosomiasis in endemic areas of West Africa, amplifying transmission to humans and acting as natural definitive hosts of schistosome hybrids.","author":[{"dropping-particle":"","family":"Catalano","given":"Stefano","non-dropping-particle":"","parse-names":false,"suffix":""},{"dropping-particle":"","family":"Sène","given":"Mariama","non-dropping-particle":"","parse-names":false,"suffix":""},{"dropping-particle":"","family":"Diouf","given":"Nicolas D.","non-dropping-particle":"","parse-names":false,"suffix":""},{"dropping-particle":"","family":"Fall","given":"Cheikh B.","non-dropping-particle":"","parse-names":false,"suffix":""},{"dropping-particle":"","family":"Borlase","given":"Anna","non-dropping-particle":"","parse-names":false,"suffix":""},{"dropping-particle":"","family":"Léger","given":"Elsa","non-dropping-particle":"","parse-names":false,"suffix":""},{"dropping-particle":"","family":"Bâ","given":"Khalilou","non-dropping-particle":"","parse-names":false,"suffix":""},{"dropping-particle":"","family":"Webster","given":"Joanne P.","non-dropping-particle":"","parse-names":false,"suffix":""}],"container-title":"Journal of Infectious Diseases","id":"ITEM-2","issue":"3","issued":{"date-parts":[["2018"]]},"page":"429-433","title":"Rodents as natural hosts of zoonotic schistosoma species and hybrids: An epidemiological and evolutionary perspective from West Africa","type":"article-journal","volume":"218"},"uris":["http://www.mendeley.com/documents/?uuid=6b5fef66-2834-4ed9-a77d-c3af69576b28"]}],"mendeley":{"formattedCitation":"[49,58]","plainTextFormattedCitation":"[49,58]","previouslyFormattedCitation":"[49,58]"},"properties":{"noteIndex":0},"schema":"https://github.com/citation-style-language/schema/raw/master/csl-citation.json"}</w:instrText>
      </w:r>
      <w:r w:rsidR="007048D4" w:rsidRPr="006564DC">
        <w:rPr>
          <w:color w:val="000000" w:themeColor="text1"/>
        </w:rPr>
        <w:fldChar w:fldCharType="separate"/>
      </w:r>
      <w:r w:rsidR="00295FB2" w:rsidRPr="006564DC">
        <w:rPr>
          <w:noProof/>
          <w:color w:val="000000" w:themeColor="text1"/>
        </w:rPr>
        <w:t>[49,58]</w:t>
      </w:r>
      <w:r w:rsidR="007048D4" w:rsidRPr="006564DC">
        <w:rPr>
          <w:color w:val="000000" w:themeColor="text1"/>
        </w:rPr>
        <w:fldChar w:fldCharType="end"/>
      </w:r>
      <w:r w:rsidR="00185A9A" w:rsidRPr="006564DC">
        <w:rPr>
          <w:color w:val="000000" w:themeColor="text1"/>
        </w:rPr>
        <w:t>.</w:t>
      </w:r>
      <w:r w:rsidR="00F16314" w:rsidRPr="006564DC">
        <w:rPr>
          <w:color w:val="000000" w:themeColor="text1"/>
        </w:rPr>
        <w:t xml:space="preserve"> </w:t>
      </w:r>
      <w:r w:rsidR="001A60BD" w:rsidRPr="006564DC">
        <w:rPr>
          <w:color w:val="000000" w:themeColor="text1"/>
        </w:rPr>
        <w:t>An added benefit of c</w:t>
      </w:r>
      <w:r w:rsidR="00F16314" w:rsidRPr="006564DC">
        <w:rPr>
          <w:color w:val="000000" w:themeColor="text1"/>
        </w:rPr>
        <w:t>ollecting and analysing faecal samples in this way</w:t>
      </w:r>
      <w:r w:rsidR="00B82A77" w:rsidRPr="006564DC">
        <w:rPr>
          <w:color w:val="000000" w:themeColor="text1"/>
        </w:rPr>
        <w:t xml:space="preserve"> </w:t>
      </w:r>
      <w:r w:rsidR="001A60BD" w:rsidRPr="006564DC">
        <w:rPr>
          <w:color w:val="000000" w:themeColor="text1"/>
        </w:rPr>
        <w:t>is that this method also</w:t>
      </w:r>
      <w:r w:rsidR="00B82A77" w:rsidRPr="006564DC">
        <w:rPr>
          <w:color w:val="000000" w:themeColor="text1"/>
        </w:rPr>
        <w:t xml:space="preserve"> provides an opportunity</w:t>
      </w:r>
      <w:r w:rsidR="00481CFA" w:rsidRPr="006564DC">
        <w:rPr>
          <w:color w:val="000000" w:themeColor="text1"/>
        </w:rPr>
        <w:t xml:space="preserve"> to assess and</w:t>
      </w:r>
      <w:r w:rsidR="001A60BD" w:rsidRPr="006564DC">
        <w:rPr>
          <w:color w:val="000000" w:themeColor="text1"/>
        </w:rPr>
        <w:t xml:space="preserve"> </w:t>
      </w:r>
      <w:r w:rsidRPr="006564DC">
        <w:rPr>
          <w:color w:val="000000" w:themeColor="text1"/>
        </w:rPr>
        <w:t xml:space="preserve">better understand wild-type </w:t>
      </w:r>
      <w:r w:rsidRPr="006564DC">
        <w:rPr>
          <w:i/>
          <w:iCs/>
          <w:color w:val="000000" w:themeColor="text1"/>
        </w:rPr>
        <w:t xml:space="preserve">Schistosoma </w:t>
      </w:r>
      <w:r w:rsidRPr="006564DC">
        <w:rPr>
          <w:color w:val="000000" w:themeColor="text1"/>
        </w:rPr>
        <w:t xml:space="preserve">hybridisation events and zoonotic transmission of human-infecting </w:t>
      </w:r>
      <w:r w:rsidRPr="006564DC">
        <w:rPr>
          <w:i/>
          <w:iCs/>
          <w:color w:val="000000" w:themeColor="text1"/>
        </w:rPr>
        <w:t xml:space="preserve">G. duodenalis </w:t>
      </w:r>
      <w:r w:rsidR="00326748" w:rsidRPr="006564DC">
        <w:rPr>
          <w:color w:val="000000" w:themeColor="text1"/>
        </w:rPr>
        <w:t xml:space="preserve">through genotyping </w:t>
      </w:r>
      <w:commentRangeEnd w:id="23"/>
      <w:r w:rsidR="006564DC">
        <w:rPr>
          <w:rStyle w:val="CommentReference"/>
          <w:rFonts w:asciiTheme="minorHAnsi" w:eastAsiaTheme="minorHAnsi" w:hAnsiTheme="minorHAnsi" w:cstheme="minorBidi"/>
          <w:snapToGrid/>
          <w:color w:val="auto"/>
          <w:lang w:val="en-GB" w:eastAsia="en-US" w:bidi="ar-SA"/>
        </w:rPr>
        <w:commentReference w:id="23"/>
      </w:r>
      <w:r w:rsidRPr="006564DC">
        <w:rPr>
          <w:i/>
          <w:iCs/>
          <w:color w:val="000000" w:themeColor="text1"/>
        </w:rPr>
        <w:fldChar w:fldCharType="begin" w:fldLock="1"/>
      </w:r>
      <w:r w:rsidR="008A1246" w:rsidRPr="006564DC">
        <w:rPr>
          <w:i/>
          <w:iCs/>
          <w:color w:val="000000" w:themeColor="text1"/>
        </w:rPr>
        <w:instrText>ADDIN CSL_CITATION {"citationItems":[{"id":"ITEM-1","itemData":{"DOI":"10.1017/S0031182018001117","ISSN":"14698161","PMID":"29978772","abstract":"This study aimed to determine the prevalence and assemblages of Giardia duodenalis present in Scottish beef and dairy cattle at different ages, to try to ascertain if cattle could play a role in the spread of zoonotic assemblages of Giardia. A total of 388 fecal samples (128 beef and 253 dairy, seven of unknown breed) were collected from 19 farms in Scotland. Samples were sub-divided by host age, 1, 2, 3, 4, 5 and 6, 7-24 and ≥25 weeks. DNA was extracted and tested by PCR to detect G. duodenalis DNA. Of the 388 samples, 126 tested positive, giving an overall prevalence of 32.5%, with positive samples being observed in all age groups tested. The prevalence in dairy cattle was 44.7% (113/235), which was significantly higher (P &lt; 0.001) than the prevalence in beef cattle 10.1% (13/128). Sequence analysis demonstrated the presence of assemblage E (77.2%, sequence types E-S1-E-S5), assemblage B (18.2%) and assemblage A (sub-assemblages AI-AII) (4.6%). These data demonstrate that G. duodenalis is found routinely in both dairy and beef cattle throughout Scotland; the presence of assemblages A and B also indicates that cattle may play a role in the spread of potentially zoonotic assemblages of Giardia.","author":[{"dropping-particle":"","family":"Bartley","given":"Paul M.","non-dropping-particle":"","parse-names":false,"suffix":""},{"dropping-particle":"","family":"Roehe","given":"Beeke K.","non-dropping-particle":"","parse-names":false,"suffix":""},{"dropping-particle":"","family":"Thomson","given":"Sarah","non-dropping-particle":"","parse-names":false,"suffix":""},{"dropping-particle":"","family":"Shaw","given":"Hannah J.","non-dropping-particle":"","parse-names":false,"suffix":""},{"dropping-particle":"","family":"Peto","given":"Frederieke","non-dropping-particle":"","parse-names":false,"suffix":""},{"dropping-particle":"","family":"Innes","given":"Elisabeth A.","non-dropping-particle":"","parse-names":false,"suffix":""},{"dropping-particle":"","family":"Katzer","given":"Frank","non-dropping-particle":"","parse-names":false,"suffix":""}],"container-title":"Parasitology","id":"ITEM-1","issue":"9","issued":{"date-parts":[["2019"]]},"page":"1123-1130","title":"Detection of potentially human infectious assemblages of Giardia duodenalis in fecal samples from beef and dairy cattle in Scotland","type":"article-journal","volume":"146"},"uris":["http://www.mendeley.com/documents/?uuid=7ac72e95-2bf8-4b20-b6ab-649b1efbae61"]},{"id":"ITEM-2","itemData":{"DOI":"10.1007/s12639-019-01179-3","ISSN":"09750703","abstract":"Gastrointestinal parasites can induce low productivity in livestock by causing acute or chronic enteritis. Veterinarians make great efforts to design rational and effective hygienic protocols for both the prevention and treatment of diarrhea. Although prevalences can vary depending on the examined areas or the ages of the hosts, and the methods used for detections, it is helpful to accumulate data across many areas to evaluate parasitic distribution. A coprological survey in cattle was conducted in Tangerang, Banten Province of Indonesia, in order to determine the prevalence of the parasites, including those of diarrhea-associated diseases. Furthermore, the risk of transmission of Giardia intestinalis and Cryptosporidium spp. to human was genetically analyzed. Gastrointestinal parasites were detected in 87 of 109 cattle samples, including 85 carrying Eimeria spp., 36 carrying Fasciola gigantica, 35 carrying Strongyloides spp., 33 carrying Paramphistomum spp., and 15 carrying Capillaria spp. Giardia intestinalis and Cryptosporidium spp., parasites with zoonotic potential, were detected in 9 and 1 cattle samples, respectively. Molecular analyses identified the G. intestinalis isolate as a member of Assemblage E, which has been recently detected in humans in another country. These results may be helpful in understanding the hygienic risk affecting the livestock productivity and zoonotic potential of cattle in Indonesia.","author":[{"dropping-particle":"","family":"Sawitri","given":"Dyah Haryuningtyas","non-dropping-particle":"","parse-names":false,"suffix":""},{"dropping-particle":"","family":"Wardhana","given":"April Hari","non-dropping-particle":"","parse-names":false,"suffix":""},{"dropping-particle":"","family":"Martindah","given":"Eny","non-dropping-particle":"","parse-names":false,"suffix":""},{"dropping-particle":"","family":"Ekawasti","given":"Fitrine","non-dropping-particle":"","parse-names":false,"suffix":""},{"dropping-particle":"","family":"Dewi","given":"Dias Aprita","non-dropping-particle":"","parse-names":false,"suffix":""},{"dropping-particle":"","family":"Utomo","given":"Bambang Ngaji","non-dropping-particle":"","parse-names":false,"suffix":""},{"dropping-particle":"","family":"Shibahara","given":"Tomoyuki","non-dropping-particle":"","parse-names":false,"suffix":""},{"dropping-particle":"","family":"Kusumoto","given":"Masahiro","non-dropping-particle":"","parse-names":false,"suffix":""},{"dropping-particle":"","family":"Tokoro","given":"Masaharu","non-dropping-particle":"","parse-names":false,"suffix":""},{"dropping-particle":"","family":"Sasai","given":"Kazumi","non-dropping-particle":"","parse-names":false,"suffix":""},{"dropping-particle":"","family":"Matsubayashi","given":"Makoto","non-dropping-particle":"","parse-names":false,"suffix":""}],"container-title":"Journal of Parasitic Diseases","id":"ITEM-2","issue":"1","issued":{"date-parts":[["2020"]]},"page":"174-179","publisher":"Springer India","title":"Detections of gastrointestinal parasites, including Giardia intestinalis and Cryptosporidium spp., in cattle of Banten province, Indonesia","type":"article-journal","volume":"44"},"uris":["http://www.mendeley.com/documents/?uuid=f645a8bb-cc1e-4097-bfe1-0151797ef0d9"]},{"id":"ITEM-3","itemData":{"DOI":"10.1007/s00436-020-06709-0","ISSN":"14321955","abstract":"Schistosomiasis remains a parasitic infection which poses serious public health consequences around the world, particularly on the African continent where cases of introgression/hybridization between human and cattle schistosomiasis are being discovered on a more frequent basis in humans, specifically between Schistosoma haematobium and S. bovis. The aim of this paper is to analyze the occurrence of S. bovis in cattle and its relationship with S. haematobium in an area where cattle and humans share the same site in Benin (West Africa). We used the chronobiology of cercarial emergence as an ecological parameter and both molecular biology (COI mtDNA and ITS rDNA) of the larvae and morphology of the eggs as taxonomic parameters. The results showed a chronobiological polymorphism in the cercarial emergence rhythm. They showed for the first time the presence of S. bovis in Benin, the presence of introgressive hybridization between S. bovis and S. haematobium in domestic cattle, and the presence of atypical chronobiological patterns in schistosomes from cattle, with typical S. haematobium shedding pattern, double-peak patterns, and nocturnal patterns. Our results showed that the chronobiological life-history trait is useful for the detection of new hosts and also may reveal the possible presence of introgressive hybridization in schistosomes. Our results, for the first time, place cattle as reservoir host for S. haematobium and S. bovis x S. haematobium. The consequences of these results on the epidemiology of the disease, the transmission to humans, and the control of the disease are very important.","author":[{"dropping-particle":"","family":"Savassi","given":"Boris A.E.S.","non-dropping-particle":"","parse-names":false,"suffix":""},{"dropping-particle":"","family":"Mouahid","given":"Gabriel","non-dropping-particle":"","parse-names":false,"suffix":""},{"dropping-particle":"","family":"Lasica","given":"Chrystelle","non-dropping-particle":"","parse-names":false,"suffix":""},{"dropping-particle":"","family":"Mahaman","given":"Samoussou Dine K.","non-dropping-particle":"","parse-names":false,"suffix":""},{"dropping-particle":"","family":"Garcia","given":"André","non-dropping-particle":"","parse-names":false,"suffix":""},{"dropping-particle":"","family":"Courtin","given":"David","non-dropping-particle":"","parse-names":false,"suffix":""},{"dropping-particle":"","family":"Allienne","given":"Jean François","non-dropping-particle":"","parse-names":false,"suffix":""},{"dropping-particle":"","family":"Ibikounlé","given":"Moudachirou","non-dropping-particle":"","parse-names":false,"suffix":""},{"dropping-particle":"","family":"Moné","given":"Hélène","non-dropping-particle":"","parse-names":false,"suffix":""}],"container-title":"Parasitology Research","id":"ITEM-3","issued":{"date-parts":[["2020"]]},"publisher":"Parasitology Research","title":"Cattle as natural host for Schistosoma haematobium (Bilharz, 1852) Weinland, 1858 x Schistosoma bovis Sonsino, 1876 interactions, with new cercarial emergence and genetic patterns","type":"article-journal"},"uris":["http://www.mendeley.com/documents/?uuid=1df383d2-cf28-41a2-8eb7-85c67e595307"]}],"mendeley":{"formattedCitation":"[55,93,94]","plainTextFormattedCitation":"[55,93,94]","previouslyFormattedCitation":"[55,93,94]"},"properties":{"noteIndex":0},"schema":"https://github.com/citation-style-language/schema/raw/master/csl-citation.json"}</w:instrText>
      </w:r>
      <w:r w:rsidRPr="006564DC">
        <w:rPr>
          <w:i/>
          <w:iCs/>
          <w:color w:val="000000" w:themeColor="text1"/>
        </w:rPr>
        <w:fldChar w:fldCharType="separate"/>
      </w:r>
      <w:r w:rsidR="00570C44" w:rsidRPr="006564DC">
        <w:rPr>
          <w:iCs/>
          <w:noProof/>
          <w:color w:val="000000" w:themeColor="text1"/>
        </w:rPr>
        <w:t>[55,93,94]</w:t>
      </w:r>
      <w:r w:rsidRPr="006564DC">
        <w:rPr>
          <w:i/>
          <w:iCs/>
          <w:color w:val="000000" w:themeColor="text1"/>
        </w:rPr>
        <w:fldChar w:fldCharType="end"/>
      </w:r>
      <w:r w:rsidRPr="006564DC">
        <w:rPr>
          <w:color w:val="000000" w:themeColor="text1"/>
        </w:rPr>
        <w:t>.</w:t>
      </w:r>
      <w:r w:rsidR="00853D54">
        <w:rPr>
          <w:color w:val="000000" w:themeColor="text1"/>
        </w:rPr>
        <w:t xml:space="preserve"> </w:t>
      </w:r>
      <w:r w:rsidRPr="009E592F">
        <w:rPr>
          <w:color w:val="000000" w:themeColor="text1"/>
        </w:rPr>
        <w:t>Again, however, this approach too requires significant financial and technological resources and so is unlikely to be widely integrated into control programmes undertaken in low-resource areas such as rural regions of sub-Saharan Africa without further development and use of field-deployable DNA amplification technologies.</w:t>
      </w:r>
    </w:p>
    <w:p w14:paraId="48337973" w14:textId="567DAA06" w:rsidR="001C190F" w:rsidRPr="001A4F57" w:rsidRDefault="00203B2D" w:rsidP="00660637">
      <w:pPr>
        <w:spacing w:before="240" w:after="120" w:line="276" w:lineRule="auto"/>
        <w:jc w:val="both"/>
        <w:rPr>
          <w:rFonts w:ascii="Palatino Linotype" w:hAnsi="Palatino Linotype"/>
          <w:bCs/>
          <w:i/>
          <w:iCs/>
          <w:color w:val="000000" w:themeColor="text1"/>
          <w:sz w:val="20"/>
          <w:szCs w:val="20"/>
        </w:rPr>
      </w:pPr>
      <w:r w:rsidRPr="001A4F57">
        <w:rPr>
          <w:rFonts w:ascii="Palatino Linotype" w:hAnsi="Palatino Linotype"/>
          <w:bCs/>
          <w:i/>
          <w:iCs/>
          <w:color w:val="000000" w:themeColor="text1"/>
          <w:sz w:val="20"/>
          <w:szCs w:val="20"/>
        </w:rPr>
        <w:t>3</w:t>
      </w:r>
      <w:r w:rsidR="00847A64" w:rsidRPr="001A4F57">
        <w:rPr>
          <w:rFonts w:ascii="Palatino Linotype" w:hAnsi="Palatino Linotype"/>
          <w:bCs/>
          <w:i/>
          <w:iCs/>
          <w:color w:val="000000" w:themeColor="text1"/>
          <w:sz w:val="20"/>
          <w:szCs w:val="20"/>
        </w:rPr>
        <w:t>.3 Detecting parasitic contamination through water sampling and by environmental DNA (eDNA) analysis</w:t>
      </w:r>
    </w:p>
    <w:p w14:paraId="2E323139" w14:textId="1557EC09" w:rsidR="00847A64" w:rsidRPr="001A4F57" w:rsidRDefault="00847A64" w:rsidP="00261B51">
      <w:pPr>
        <w:ind w:firstLine="420"/>
        <w:jc w:val="both"/>
        <w:rPr>
          <w:rFonts w:ascii="Palatino Linotype" w:hAnsi="Palatino Linotype"/>
          <w:bCs/>
          <w:i/>
          <w:iCs/>
          <w:color w:val="000000" w:themeColor="text1"/>
          <w:sz w:val="20"/>
          <w:szCs w:val="20"/>
        </w:rPr>
      </w:pPr>
      <w:r w:rsidRPr="001A4F57">
        <w:rPr>
          <w:rFonts w:ascii="Palatino Linotype" w:hAnsi="Palatino Linotype"/>
          <w:bCs/>
          <w:color w:val="000000" w:themeColor="text1"/>
          <w:sz w:val="20"/>
          <w:szCs w:val="20"/>
        </w:rPr>
        <w:t xml:space="preserve">Extensive screening of environmental water samples for contamination with </w:t>
      </w:r>
      <w:r w:rsidRPr="001A4F57">
        <w:rPr>
          <w:rFonts w:ascii="Palatino Linotype" w:hAnsi="Palatino Linotype"/>
          <w:bCs/>
          <w:i/>
          <w:iCs/>
          <w:color w:val="000000" w:themeColor="text1"/>
          <w:sz w:val="20"/>
          <w:szCs w:val="20"/>
        </w:rPr>
        <w:t xml:space="preserve">Giardia </w:t>
      </w:r>
      <w:r w:rsidRPr="001A4F57">
        <w:rPr>
          <w:rFonts w:ascii="Palatino Linotype" w:hAnsi="Palatino Linotype"/>
          <w:bCs/>
          <w:color w:val="000000" w:themeColor="text1"/>
          <w:sz w:val="20"/>
          <w:szCs w:val="20"/>
        </w:rPr>
        <w:t xml:space="preserve">cysts using the United States Environmental Protection Agency method 1623 (US-EPA method 1623) has been carried out in many areas of the world such as the USA </w:t>
      </w:r>
      <w:r w:rsidRPr="001A4F57">
        <w:rPr>
          <w:rFonts w:ascii="Palatino Linotype" w:hAnsi="Palatino Linotype"/>
          <w:bCs/>
          <w:color w:val="000000" w:themeColor="text1"/>
          <w:sz w:val="20"/>
          <w:szCs w:val="20"/>
        </w:rPr>
        <w:fldChar w:fldCharType="begin" w:fldLock="1"/>
      </w:r>
      <w:r w:rsidR="008A1246">
        <w:rPr>
          <w:rFonts w:ascii="Palatino Linotype" w:hAnsi="Palatino Linotype"/>
          <w:bCs/>
          <w:color w:val="000000" w:themeColor="text1"/>
          <w:sz w:val="20"/>
          <w:szCs w:val="20"/>
        </w:rPr>
        <w:instrText>ADDIN CSL_CITATION {"citationItems":[{"id":"ITEM-1","itemData":{"DOI":"10.1128/AEM.68.12.5952-5955.2002","ISSN":"00992240","PMID":"12450815","abstract":"Relatively few studies have examined recoveries from source waters by using Environmental Protection Agency method 1623 with organism spike doses that are environmentally realistic and at turbidity levels commonly found in surface waters. In this study, we evaluated the filtration capacities and recovery efficiencies of the Gelman Envirochek (standard filter) and the Gelman Envirochek high-volume (HV) sampling capsules under environmental conditions. We also examined the performance of method 1623 under ambient conditions with matrix spike experiments using 10 organisms/liter. Under turbid conditions, the HV capsule filtered approximately twice the volume filtered by the standard filter, but neither could filter 10 liters without clogging. In low-turbidity waters, oocyst, but not cyst, recoveries were significantly higher when the HV capsule was used. In turbid waters, organism recoveries were lower than those in nonturbid waters and were not significantly different for the different filters. When the HV capsule was used, Cryptosporidium recoveries ranged from 36 to 75%, and Giardia recoveries ranged from 0.5 to 53%. For both organisms, recoveries varied significantly by site. Turbidity could explain variation in Giardia recoveries (r2 = 0.80) but not variation in Cryptosporidium recoveries (r2 = 0.16). The inconsistent recoveries across sites suggested that the background matrix of the ambient water affected recovery by method 1623. A control sample collected at the height of the winter rainy season detected one organism, highlighting the difficulty of using this method to accurately measure pathogen abundance under natural conditions. Our findings support the use of the HV filter under field conditions but suggest that designing a cost-effective and statistically valid monitoring program to evaluate sources and loads of protozoan pathogens may be difficult.","author":[{"dropping-particle":"","family":"DiGiorgio","given":"Carol L.","non-dropping-particle":"","parse-names":false,"suffix":""},{"dropping-particle":"","family":"Gonzalez","given":"David A.","non-dropping-particle":"","parse-names":false,"suffix":""},{"dropping-particle":"","family":"Huitt","given":"Christopher C.","non-dropping-particle":"","parse-names":false,"suffix":""}],"container-title":"Applied and Environmental Microbiology","id":"ITEM-1","issue":"12","issued":{"date-parts":[["2002"]]},"page":"5952-5955","title":"Cryptosporidium and Giardia recoveries in natural waters by using environmental protection agency method 1623","type":"article-journal","volume":"68"},"uris":["http://www.mendeley.com/documents/?uuid=eafcac82-3383-4c24-ba1c-e4971fc9eda7"]}],"mendeley":{"formattedCitation":"[95]","plainTextFormattedCitation":"[95]","previouslyFormattedCitation":"[95]"},"properties":{"noteIndex":0},"schema":"https://github.com/citation-style-language/schema/raw/master/csl-citation.json"}</w:instrText>
      </w:r>
      <w:r w:rsidRPr="001A4F57">
        <w:rPr>
          <w:rFonts w:ascii="Palatino Linotype" w:hAnsi="Palatino Linotype"/>
          <w:bCs/>
          <w:color w:val="000000" w:themeColor="text1"/>
          <w:sz w:val="20"/>
          <w:szCs w:val="20"/>
        </w:rPr>
        <w:fldChar w:fldCharType="separate"/>
      </w:r>
      <w:r w:rsidR="00570C44" w:rsidRPr="00570C44">
        <w:rPr>
          <w:rFonts w:ascii="Palatino Linotype" w:hAnsi="Palatino Linotype"/>
          <w:bCs/>
          <w:noProof/>
          <w:color w:val="000000" w:themeColor="text1"/>
          <w:sz w:val="20"/>
          <w:szCs w:val="20"/>
        </w:rPr>
        <w:t>[95]</w:t>
      </w:r>
      <w:r w:rsidRPr="001A4F57">
        <w:rPr>
          <w:rFonts w:ascii="Palatino Linotype" w:hAnsi="Palatino Linotype"/>
          <w:bCs/>
          <w:color w:val="000000" w:themeColor="text1"/>
          <w:sz w:val="20"/>
          <w:szCs w:val="20"/>
        </w:rPr>
        <w:fldChar w:fldCharType="end"/>
      </w:r>
      <w:r w:rsidRPr="001A4F57">
        <w:rPr>
          <w:rFonts w:ascii="Palatino Linotype" w:hAnsi="Palatino Linotype"/>
          <w:bCs/>
          <w:color w:val="000000" w:themeColor="text1"/>
          <w:sz w:val="20"/>
          <w:szCs w:val="20"/>
        </w:rPr>
        <w:t xml:space="preserve">. Through collection and filtration of water samples, protozoan cysts can be detected and quantified, allowing viable transmission sites to be identified </w:t>
      </w:r>
      <w:r w:rsidRPr="001A4F57">
        <w:rPr>
          <w:rFonts w:ascii="Palatino Linotype" w:hAnsi="Palatino Linotype"/>
          <w:bCs/>
          <w:color w:val="000000" w:themeColor="text1"/>
          <w:sz w:val="20"/>
          <w:szCs w:val="20"/>
        </w:rPr>
        <w:fldChar w:fldCharType="begin" w:fldLock="1"/>
      </w:r>
      <w:r w:rsidR="008A1246">
        <w:rPr>
          <w:rFonts w:ascii="Palatino Linotype" w:hAnsi="Palatino Linotype"/>
          <w:bCs/>
          <w:color w:val="000000" w:themeColor="text1"/>
          <w:sz w:val="20"/>
          <w:szCs w:val="20"/>
        </w:rPr>
        <w:instrText>ADDIN CSL_CITATION {"citationItems":[{"id":"ITEM-1","itemData":{"URL":"https://www.epa.gov/sites/production/files/2015-07/documents/epa-1623.pdf","accessed":{"date-parts":[["2020","7","24"]]},"author":[{"dropping-particle":"","family":"EPA","given":"","non-dropping-particle":"","parse-names":false,"suffix":""}],"id":"ITEM-1","issue":"December","issued":{"date-parts":[["2005"]]},"title":"United States Environmental Protection Agency. Method 1623: Cryptosporidium and Giardia in Water by Filtration/IMS/FA","type":"webpage"},"uris":["http://www.mendeley.com/documents/?uuid=eedb84a4-b8c8-4c51-abc4-338c312f30a4"]}],"mendeley":{"formattedCitation":"[96]","plainTextFormattedCitation":"[96]","previouslyFormattedCitation":"[96]"},"properties":{"noteIndex":0},"schema":"https://github.com/citation-style-language/schema/raw/master/csl-citation.json"}</w:instrText>
      </w:r>
      <w:r w:rsidRPr="001A4F57">
        <w:rPr>
          <w:rFonts w:ascii="Palatino Linotype" w:hAnsi="Palatino Linotype"/>
          <w:bCs/>
          <w:color w:val="000000" w:themeColor="text1"/>
          <w:sz w:val="20"/>
          <w:szCs w:val="20"/>
        </w:rPr>
        <w:fldChar w:fldCharType="separate"/>
      </w:r>
      <w:r w:rsidR="00570C44" w:rsidRPr="00570C44">
        <w:rPr>
          <w:rFonts w:ascii="Palatino Linotype" w:hAnsi="Palatino Linotype"/>
          <w:bCs/>
          <w:noProof/>
          <w:color w:val="000000" w:themeColor="text1"/>
          <w:sz w:val="20"/>
          <w:szCs w:val="20"/>
        </w:rPr>
        <w:t>[96]</w:t>
      </w:r>
      <w:r w:rsidRPr="001A4F57">
        <w:rPr>
          <w:rFonts w:ascii="Palatino Linotype" w:hAnsi="Palatino Linotype"/>
          <w:bCs/>
          <w:color w:val="000000" w:themeColor="text1"/>
          <w:sz w:val="20"/>
          <w:szCs w:val="20"/>
        </w:rPr>
        <w:fldChar w:fldCharType="end"/>
      </w:r>
      <w:r w:rsidRPr="001A4F57">
        <w:rPr>
          <w:rFonts w:ascii="Palatino Linotype" w:hAnsi="Palatino Linotype"/>
          <w:bCs/>
          <w:color w:val="000000" w:themeColor="text1"/>
          <w:sz w:val="20"/>
          <w:szCs w:val="20"/>
        </w:rPr>
        <w:t xml:space="preserve">. Although straightforward to carry out, this method does not differentiate between morphologically identical </w:t>
      </w:r>
      <w:r w:rsidRPr="001A4F57">
        <w:rPr>
          <w:rFonts w:ascii="Palatino Linotype" w:hAnsi="Palatino Linotype"/>
          <w:bCs/>
          <w:i/>
          <w:iCs/>
          <w:color w:val="000000" w:themeColor="text1"/>
          <w:sz w:val="20"/>
          <w:szCs w:val="20"/>
        </w:rPr>
        <w:t xml:space="preserve">Giardia </w:t>
      </w:r>
      <w:r w:rsidRPr="001A4F57">
        <w:rPr>
          <w:rFonts w:ascii="Palatino Linotype" w:hAnsi="Palatino Linotype"/>
          <w:bCs/>
          <w:color w:val="000000" w:themeColor="text1"/>
          <w:sz w:val="20"/>
          <w:szCs w:val="20"/>
        </w:rPr>
        <w:t xml:space="preserve">assemblages A-H and so identification of human-infecting </w:t>
      </w:r>
      <w:r w:rsidRPr="001A4F57">
        <w:rPr>
          <w:rFonts w:ascii="Palatino Linotype" w:hAnsi="Palatino Linotype"/>
          <w:bCs/>
          <w:i/>
          <w:iCs/>
          <w:color w:val="000000" w:themeColor="text1"/>
          <w:sz w:val="20"/>
          <w:szCs w:val="20"/>
        </w:rPr>
        <w:t xml:space="preserve">Giardia </w:t>
      </w:r>
      <w:r w:rsidRPr="001A4F57">
        <w:rPr>
          <w:rFonts w:ascii="Palatino Linotype" w:hAnsi="Palatino Linotype"/>
          <w:bCs/>
          <w:color w:val="000000" w:themeColor="text1"/>
          <w:sz w:val="20"/>
          <w:szCs w:val="20"/>
        </w:rPr>
        <w:t xml:space="preserve">transmission sites, specifically, is not possible. As such, revised methods of detecting and monitoring assemblage-specific </w:t>
      </w:r>
      <w:r w:rsidRPr="001A4F57">
        <w:rPr>
          <w:rFonts w:ascii="Palatino Linotype" w:hAnsi="Palatino Linotype"/>
          <w:bCs/>
          <w:i/>
          <w:iCs/>
          <w:color w:val="000000" w:themeColor="text1"/>
          <w:sz w:val="20"/>
          <w:szCs w:val="20"/>
        </w:rPr>
        <w:t>Giardia</w:t>
      </w:r>
      <w:r w:rsidRPr="001A4F57">
        <w:rPr>
          <w:rFonts w:ascii="Palatino Linotype" w:hAnsi="Palatino Linotype"/>
          <w:bCs/>
          <w:color w:val="000000" w:themeColor="text1"/>
          <w:sz w:val="20"/>
          <w:szCs w:val="20"/>
        </w:rPr>
        <w:t xml:space="preserve">-contaminated water sources, such as through detection and genotypic analysis of parasite-derived environmental DNA (eDNA), have been developed. </w:t>
      </w:r>
    </w:p>
    <w:p w14:paraId="66A559E0" w14:textId="2E77068D" w:rsidR="004D573A" w:rsidRDefault="004D573A" w:rsidP="00660637">
      <w:pPr>
        <w:pStyle w:val="MDPI31text"/>
        <w:spacing w:line="276" w:lineRule="auto"/>
      </w:pPr>
      <w:r>
        <w:t xml:space="preserve">Assessing and monitoring disease transmission within a given foci </w:t>
      </w:r>
      <w:r w:rsidR="009D0057">
        <w:t>through</w:t>
      </w:r>
      <w:r>
        <w:rPr>
          <w:i/>
          <w:iCs/>
        </w:rPr>
        <w:t xml:space="preserve"> </w:t>
      </w:r>
      <w:r>
        <w:t xml:space="preserve">the detection of parasite-derived </w:t>
      </w:r>
      <w:r w:rsidR="00745B29">
        <w:t>e</w:t>
      </w:r>
      <w:r>
        <w:t xml:space="preserve">DNA rather than, or in conjunction with, using human bodily samples, has been explored with respect to a range of waterborne pathogens, including both schistosomiasis and giardiasis </w:t>
      </w:r>
      <w:r>
        <w:fldChar w:fldCharType="begin" w:fldLock="1"/>
      </w:r>
      <w:r w:rsidR="008A1246">
        <w:instrText>ADDIN CSL_CITATION {"citationItems":[{"id":"ITEM-1","itemData":{"DOI":"10.1016/j.pt.2015.06.013","ISSN":"14715007","abstract":"Nucleic acid extraction and sequencing of genes from organisms within environmental samples encompasses a variety of techniques collectively referred to as environmental DNA or 'eDNA'. The key advantages of eDNA analysis include the detection of cryptic or otherwise elusive organisms, large-scale sampling with fewer biases than specimen-based methods, and generation of data for molecular systematics. These are particularly relevant for parasitology because parasites can be difficult to locate and are morphologically intractable and genetically divergent. However, parasites have rarely been the focus of eDNA studies. Focusing on eukaryote parasites, we review the increasing diversity of the 'eDNA toolbox'. Combining eDNA methods with complementary tools offers much potential to understand parasite communities, disease risk, and parasite roles in broader ecosystem processes such as food web structuring and community assembly.","author":[{"dropping-particle":"","family":"Bass","given":"David","non-dropping-particle":"","parse-names":false,"suffix":""},{"dropping-particle":"","family":"Stentiford","given":"Grant D.","non-dropping-particle":"","parse-names":false,"suffix":""},{"dropping-particle":"","family":"Littlewood","given":"D. T.J.","non-dropping-particle":"","parse-names":false,"suffix":""},{"dropping-particle":"","family":"Hartikainen","given":"Hanna","non-dropping-particle":"","parse-names":false,"suffix":""}],"container-title":"Trends in Parasitology","id":"ITEM-1","issue":"10","issued":{"date-parts":[["2015"]]},"page":"499-513","publisher":"Elsevier Ltd","title":"Diverse Applications of Environmental DNA Methods in Parasitology","type":"article-journal","volume":"31"},"uris":["http://www.mendeley.com/documents/?uuid=a34ae67f-29a2-4e72-bc22-1f2774a5e2a2"]},{"id":"ITEM-2","itemData":{"DOI":"10.1073/pnas.1815046116","ISSN":"10916490","abstract":"Schistosomiasis is a water-based, infectious disease with high morbidity and significant economic burdens affecting &gt;250 million people globally. Disease control has, with notable success, for decades focused on drug treatment of infected human populations, but a recent paradigm shift now entails moving from control to elimination. To achieve this ambitious goal, more sensitive diagnostic tools are needed to monitor progress toward transmission interruption in the environment, especially in low-intensity infection areas. We report on the development of an environmental DNA (eDNA)-based tool to efficiently detect DNA traces of the parasite Schistosoma mansoni directly in the aquatic environment, where the nonhuman part of the parasite life cycle occurs. This is a report of the successful detection of S. mansoni in freshwater samples by using aquatic eDNA. True eDNA was detected in as few as 10 cercariae per liter of water in laboratory experiments. The field applicability of the method was tested at known transmission sites in Kenya, where comparison of schistosome detection by conventional snail surveys (snail collection and cercariae shedding) with eDNA (water samples) showed 71% agreement between the methods. The eDNA method furthermore detected schistosome presence at two additional sites where snail shedding failed, demonstrating a higher sensitivity of eDNA sampling. We conclude that eDNA provides a promising tool to substantially improve the environmental surveillance of S. mansoni. Given the proper method and guideline development, eDNA could become an essential future component of the schistosomiasis control tool box needed to achieve the goal of elimination.","author":[{"dropping-particle":"","family":"Sengupta","given":"Mita E.","non-dropping-particle":"","parse-names":false,"suffix":""},{"dropping-particle":"","family":"Hellström","given":"Micaela","non-dropping-particle":"","parse-names":false,"suffix":""},{"dropping-particle":"","family":"Kariuki","given":"Henry C.","non-dropping-particle":"","parse-names":false,"suffix":""},{"dropping-particle":"","family":"Olsen","given":"Annette","non-dropping-particle":"","parse-names":false,"suffix":""},{"dropping-particle":"","family":"Thomsen","given":"Philip F.","non-dropping-particle":"","parse-names":false,"suffix":""},{"dropping-particle":"","family":"Mejer","given":"Helena","non-dropping-particle":"","parse-names":false,"suffix":""},{"dropping-particle":"","family":"Willerslev","given":"Eske","non-dropping-particle":"","parse-names":false,"suffix":""},{"dropping-particle":"","family":"Mwanje","given":"Mariam T.","non-dropping-particle":"","parse-names":false,"suffix":""},{"dropping-particle":"","family":"Madsen","given":"Henry","non-dropping-particle":"","parse-names":false,"suffix":""},{"dropping-particle":"","family":"Kristensen","given":"Thomas K.","non-dropping-particle":"","parse-names":false,"suffix":""},{"dropping-particle":"","family":"Stensgaard","given":"Anna Sofie","non-dropping-particle":"","parse-names":false,"suffix":""},{"dropping-particle":"","family":"Vennervald","given":"Birgitte J.","non-dropping-particle":"","parse-names":false,"suffix":""}],"container-title":"Proceedings of the National Academy of Sciences of the United States of America","id":"ITEM-2","issue":"18","issued":{"date-parts":[["2019"]]},"page":"8931-8940","title":"Environmental DNA for improved detection and environmental surveillance of schistosomiasis","type":"article-journal","volume":"116"},"uris":["http://www.mendeley.com/documents/?uuid=a4821ffc-527a-4401-bdee-f0cb0038792a"]},{"id":"ITEM-3","itemData":{"DOI":"10.1016/j.watres.2011.03.032","ISSN":"00431354","abstract":"Currently, USEPA Method 1623 is the standard assay used for simultaneous detection of Giardia cysts and Cryptosporidium oocysts in various water matrices. However, the method is unable to distinguish between species, genotype, or to assess viability. Therefore, the objective of the present study was to address the shortcomings of USEPA Method 1623 by developing a novel molecular-based method that can assess viability of Giardia cysts in environmental waters and identify genotypes that pose a human health threat (assemblage groups A and B). Primers and TaqMan® probes were designed to target the beta-giardin gene in order to discriminate among species and assemblages. Viability was determined by detection of de-novo mRNA synthesis after heat induction. The beta-giardin primer/probe sets were able to detect and differentiate between Giardia lamblia assemblages A and B, and did not detect Giardia muris (mouse species) or G. lamblia assemblages C, D, E and F (non-human), with the exception of Probe A which did detect G. lamblia assemblage F DNA. Additionally, DNA or cDNA of other waterborne organisms were not detected, suggesting that the method is specific to Giardia assemblages. Assay applicability was demonstrated by detection of viable G. lamblia cysts in spiked (assemblage B) and unspiked (assemblage A and B) reclaimed water samples. © 2011.","author":[{"dropping-particle":"","family":"Baque","given":"Robert H.","non-dropping-particle":"","parse-names":false,"suffix":""},{"dropping-particle":"","family":"Gilliam","given":"Amy O.","non-dropping-particle":"","parse-names":false,"suffix":""},{"dropping-particle":"","family":"Robles","given":"Liza D.","non-dropping-particle":"","parse-names":false,"suffix":""},{"dropping-particle":"","family":"Jakubowski","given":"Walter","non-dropping-particle":"","parse-names":false,"suffix":""},{"dropping-particle":"","family":"Slifko","given":"Theresa R.","non-dropping-particle":"","parse-names":false,"suffix":""}],"container-title":"Water Research","id":"ITEM-3","issue":"10","issued":{"date-parts":[["2011"]]},"page":"3175-3184","publisher":"Elsevier Ltd","title":"A real-time RT-PCR method to detect viable Giardia lamblia cysts in environmental waters","type":"article-journal","volume":"45"},"uris":["http://www.mendeley.com/documents/?uuid=cdfb2b1a-e20e-4e37-b5ab-bffcff99bfa7"]}],"mendeley":{"formattedCitation":"[97–99]","plainTextFormattedCitation":"[97–99]","previouslyFormattedCitation":"[97–99]"},"properties":{"noteIndex":0},"schema":"https://github.com/citation-style-language/schema/raw/master/csl-citation.json"}</w:instrText>
      </w:r>
      <w:r>
        <w:fldChar w:fldCharType="separate"/>
      </w:r>
      <w:r w:rsidR="00570C44" w:rsidRPr="00570C44">
        <w:rPr>
          <w:noProof/>
        </w:rPr>
        <w:t>[97–99]</w:t>
      </w:r>
      <w:r>
        <w:fldChar w:fldCharType="end"/>
      </w:r>
      <w:r>
        <w:t>. Dependence of both parasites on freshwater provides an ideal target for sample collection and assessment using PCR/</w:t>
      </w:r>
      <w:r w:rsidR="005521E7">
        <w:t>q</w:t>
      </w:r>
      <w:r>
        <w:t xml:space="preserve">PCR, LAMP or RPA assays </w:t>
      </w:r>
      <w:r>
        <w:fldChar w:fldCharType="begin" w:fldLock="1"/>
      </w:r>
      <w:r w:rsidR="008A1246">
        <w:instrText>ADDIN CSL_CITATION {"citationItems":[{"id":"ITEM-1","itemData":{"DOI":"10.1371/journal.pntd.0008129","ISBN":"1111111111","ISSN":"19352735","PMID":"32203507","abstract":"Background Schistosomiasis is a neglected tropical parasitic disease associated with severe pathology, mortality and economic loss worldwide. Programs for disease control may benefit from specific and sensitive diagnostic methods to detect Schistosoma trematodes in aquatic environ-ments. Here we report the development of novel environmental DNA (eDNA) qPCR assays for the presence of the human-infecting species Schistosoma mansoni, S. haematobium and S. japonicum. Methodology/Principal findings We first tested the specificity of the assays across the three species using genomic DNA preparations which showed successful amplification of target sequences with no cross amplification between the three focal species. In addition, we evaluated the specificity of the assays using synthetic DNA of multiple Schistosoma species, and demonstrated a high overall specificity; however, S. japonicum and S. haematobium assays showed cross-spe-cies amplification with very closely-related species. We next tested the effectiveness of the S. mansoni assay using eDNA samples from aquaria containing infected host gastropods, with the target species revealed as present in all infected aquaria. Finally, we evaluated the effectiveness of the S. mansoni and S. haematobium assays using eDNA samples from eight discrete natural freshwater sites in Tanzania, and demonstrated strong correspon-dence between infection status established using eDNA and conventional assays of parasite prevalence in host snails. Conclusions/Significance Collectively, our results suggest that eDNA monitoring is able to detect schistosomes in freshwater bodies, but refinement of the field sampling, storage and assay methods are likely to optimise its performance. We anticipate that environmental DNA-based approaches will help to inform epidemiological studies and contribute to efforts to control and eliminate schistosomiasis in endemic areas.","author":[{"dropping-particle":"","family":"Alzaylaee","given":"Hind","non-dropping-particle":"","parse-names":false,"suffix":""},{"dropping-particle":"","family":"Collins","given":"Rupert A.","non-dropping-particle":"","parse-names":false,"suffix":""},{"dropping-particle":"","family":"Rinaldi","given":"Gabriel","non-dropping-particle":"","parse-names":false,"suffix":""},{"dropping-particle":"","family":"Shechonge","given":"Asilatu","non-dropping-particle":"","parse-names":false,"suffix":""},{"dropping-particle":"","family":"Ngatunga","given":"Benjamin","non-dropping-particle":"","parse-names":false,"suffix":""},{"dropping-particle":"","family":"Morgan","given":"Eric R.","non-dropping-particle":"","parse-names":false,"suffix":""},{"dropping-particle":"","family":"Genner","given":"Martin J.","non-dropping-particle":"","parse-names":false,"suffix":""}],"container-title":"PLoS Neglected Tropical Diseases","id":"ITEM-1","issue":"3","issued":{"date-parts":[["2020"]]},"page":"1-19","title":"Schistosoma species detection by environmental DNA assays in african freshwaters","type":"article-journal","volume":"14"},"uris":["http://www.mendeley.com/documents/?uuid=0fed0e21-27ba-4dcd-8d37-519d28cadf40"]},{"id":"ITEM-2","itemData":{"DOI":"10.2166/wh.2017.039","ISSN":"14778920","abstract":"Giardia intestinalis is a protozoan parasite, transmitted to humans and animals by the faecal-oral route, mainly through contaminated water and food. Knowledge about the distribution of this parasite in surface water in Poland is fragmentary and incomplete. Accordingly, 36 environmental water samples taken from surface water reservoirs and wells were collected in Pomerania and Warmia- Masuria provinces, Poland. The 50 L samples were filtered and subsequently analysed with three molecular detection methods: loop-mediated isothermal amplification (LAMP), real-time polymerase chain reaction (real-time PCR) and nested PCR. Of the samples examined, Giardia DNA was found in 15 (42%) samples with the use of LAMP; in 12 (33%) of these samples, Giardia DNA from this parasite was also detected using real-time PCR; and in 9 (25%) using nested PCR. Sequencing of selected positive samples confirmed that the PCR products were fragments of the Giardia intestinalis small subunit rRNA gene. Genotyping using multiplex real-time PCR indicated the presence of assemblages A and B, with the latter predominating. The results indicate that surface water in Poland, as well as water taken from surface wells, may be a source of Giardia strains which are potentially pathogenic for humans. It was also demonstrated that LAMP assay is more sensitive than the other two molecular assays.","author":[{"dropping-particle":"","family":"Lass","given":"Anna","non-dropping-particle":"","parse-names":false,"suffix":""},{"dropping-particle":"","family":"Szostakowska","given":"Beata","non-dropping-particle":"","parse-names":false,"suffix":""},{"dropping-particle":"","family":"Korzeniewski","given":"Krzysztof","non-dropping-particle":"","parse-names":false,"suffix":""},{"dropping-particle":"","family":"Karanis","given":"Panagiotis","non-dropping-particle":"","parse-names":false,"suffix":""}],"container-title":"Journal of Water and Health","id":"ITEM-2","issue":"5","issued":{"date-parts":[["2017"]]},"page":"775-787","title":"Detection of Giardia intestinalis in water samples collected from natural water reservoirs and wells in northern and north-eastern Poland using LAMP, real-time PCR and nested PCR","type":"article-journal","volume":"15"},"uris":["http://www.mendeley.com/documents/?uuid=a399c4f5-417c-4084-b7a1-c638139199ad"]},{"id":"ITEM-3","itemData":{"DOI":"10.1007/s00436-009-1391-3","ISBN":"0043600913","ISSN":"09320113","abstract":"The detection of two human-pathogenic Giardia duodenalis assemblages A and B in faecal and water samples by loop-mediated isothermal amplification (LAMP) has been evaluated. The LAMP reaction is reproducible, rapid and specific for the detection G. duodenalis and has lower costs compared to the other molecular assays. This is the first application of LAMP for Giardia detection. © 2009 Springer-Verlag.","author":[{"dropping-particle":"","family":"Plutzer","given":"J.","non-dropping-particle":"","parse-names":false,"suffix":""},{"dropping-particle":"","family":"Karanis","given":"P.","non-dropping-particle":"","parse-names":false,"suffix":""}],"container-title":"Parasitology Research","id":"ITEM-3","issue":"6","issued":{"date-parts":[["2009"]]},"page":"1527-1533","title":"Rapid identification of Giardia duodenalis by loop-mediated isothermal amplification (LAMP) from faecal and environmental samples and comparative findings by PCR and real-time PCR methods","type":"article-journal","volume":"104"},"uris":["http://www.mendeley.com/documents/?uuid=0e4c2838-04f7-475d-b9ea-12dad064724d"]}],"mendeley":{"formattedCitation":"[83,100,101]","plainTextFormattedCitation":"[83,100,101]","previouslyFormattedCitation":"[83,100,101]"},"properties":{"noteIndex":0},"schema":"https://github.com/citation-style-language/schema/raw/master/csl-citation.json"}</w:instrText>
      </w:r>
      <w:r>
        <w:fldChar w:fldCharType="separate"/>
      </w:r>
      <w:r w:rsidR="00570C44" w:rsidRPr="00570C44">
        <w:rPr>
          <w:noProof/>
        </w:rPr>
        <w:t>[83,100,101]</w:t>
      </w:r>
      <w:r>
        <w:fldChar w:fldCharType="end"/>
      </w:r>
      <w:r>
        <w:t xml:space="preserve">. In addition, collection of water samples to detect eDNA derived from </w:t>
      </w:r>
      <w:r>
        <w:rPr>
          <w:i/>
          <w:iCs/>
        </w:rPr>
        <w:t xml:space="preserve">Schistosoma </w:t>
      </w:r>
      <w:r>
        <w:t xml:space="preserve">freshwater snail hosts to identify and monitor the presence of snail species capable of transmitting infection within a given waterbody has also been assessed </w:t>
      </w:r>
      <w:r>
        <w:fldChar w:fldCharType="begin" w:fldLock="1"/>
      </w:r>
      <w:r w:rsidR="008A1246">
        <w:instrText>ADDIN CSL_CITATION {"citationItems":[{"id":"ITEM-1","itemData":{"DOI":"10.1186/s13071-020-3941-6","ISSN":"17563305","PMID":"32051004","abstract":"Background: Schistosomiasis is a neglected tropical disease that infects over 200 million people worldwide. Control measures can benefit from improved surveillance methods in freshwaters, with environmental DNA (eDNA) surveys having the potential to offer effective and rapid detection of schistosomes. However, sampling eDNA directly from natural water bodies can lead to inaccurate estimation of infection risk if schistosome eDNA is rare in the environment. Here we report a xenomonitoring method that allows schistosome infections of host snail species to be determined from eDNA in water used to house those snails. Methods: Host snail species were collected and placed in containers of water and allowed to shed cercariae, and then water samples were filtered and tested using qPCR assays specific to the African species Schistosoma mansoni and Schistosoma haematobium. We evaluated this \"eDNA-based xenomonitoring\" approach by experimentally comparing the results to those obtained from direct qPCR screening of tissue sourced from the snails in the experiment. Results: We found that our method accurately diagnosed the presence of S. mansoni-infected snails in all tests, and S. haematobium-infected snails in 92% of tests. Moreover, we found that the abundance of Schistosoma eDNA in experiments was directly dependent on the number and biomass of infected snails. Conclusions: These results provide a strong indication that this surveillance method combining the utility of eDNA-based monitoring with the reliability of traditional xenomonitoring approaches could be used to accurately assay the presence of Schistosoma species in natural habitats. This approach may be well-suited for epidemiological studies and monitoring in endemic areas, where it can assist schistosomiasis control by indicating infection risk from freshwaters and guiding necessary interventions to eliminate the disease.[Figure not available: see fulltext.]","author":[{"dropping-particle":"","family":"Alzaylaee","given":"Hind","non-dropping-particle":"","parse-names":false,"suffix":""},{"dropping-particle":"","family":"Collins","given":"Rupert A.","non-dropping-particle":"","parse-names":false,"suffix":""},{"dropping-particle":"","family":"Shechonge","given":"Asilatu","non-dropping-particle":"","parse-names":false,"suffix":""},{"dropping-particle":"","family":"Ngatunga","given":"Benjamin P.","non-dropping-particle":"","parse-names":false,"suffix":""},{"dropping-particle":"","family":"Morgan","given":"Eric R.","non-dropping-particle":"","parse-names":false,"suffix":""},{"dropping-particle":"","family":"Genner","given":"Martin J.","non-dropping-particle":"","parse-names":false,"suffix":""}],"container-title":"Parasites and Vectors","id":"ITEM-1","issue":"1","issued":{"date-parts":[["2020"]]},"page":"1-11","publisher":"BioMed Central","title":"Environmental DNA-based xenomonitoring for determining Schistosoma presence in tropical freshwaters","type":"article-journal","volume":"13"},"uris":["http://www.mendeley.com/documents/?uuid=bfc2cd14-54ed-4d7f-b768-35ca404c1d93"]},{"id":"ITEM-2","itemData":{"DOI":"10.1002/edn3.53","ISSN":"2637-4943","author":[{"dropping-particle":"","family":"Mulero","given":"Stephen","non-dropping-particle":"","parse-names":false,"suffix":""},{"dropping-particle":"","family":"Boissier","given":"Jérôme","non-dropping-particle":"","parse-names":false,"suffix":""},{"dropping-particle":"","family":"Allienne","given":"Jean‐François","non-dropping-particle":"","parse-names":false,"suffix":""},{"dropping-particle":"","family":"Quilichini","given":"Yann","non-dropping-particle":"","parse-names":false,"suffix":""},{"dropping-particle":"","family":"Foata","given":"Joséphine","non-dropping-particle":"","parse-names":false,"suffix":""},{"dropping-particle":"","family":"Pointier","given":"Jean‐Pierre","non-dropping-particle":"","parse-names":false,"suffix":""},{"dropping-particle":"","family":"Rey","given":"Olivier","non-dropping-particle":"","parse-names":false,"suffix":""}],"container-title":"Environmental DNA","id":"ITEM-2","issue":"2","issued":{"date-parts":[["2020"]]},"page":"161-174","title":" Environmental DNA for detecting Bulinus truncatus : A new environmental surveillance tool for schistosomiasis emergence risk assessment ","type":"article-journal","volume":"2"},"uris":["http://www.mendeley.com/documents/?uuid=140de050-ba76-427c-afe3-9f12ce0f63ec"]}],"mendeley":{"formattedCitation":"[102,103]","plainTextFormattedCitation":"[102,103]","previouslyFormattedCitation":"[102,103]"},"properties":{"noteIndex":0},"schema":"https://github.com/citation-style-language/schema/raw/master/csl-citation.json"}</w:instrText>
      </w:r>
      <w:r>
        <w:fldChar w:fldCharType="separate"/>
      </w:r>
      <w:r w:rsidR="00570C44" w:rsidRPr="00570C44">
        <w:rPr>
          <w:noProof/>
        </w:rPr>
        <w:t>[102,103]</w:t>
      </w:r>
      <w:r>
        <w:fldChar w:fldCharType="end"/>
      </w:r>
      <w:r>
        <w:t>.</w:t>
      </w:r>
    </w:p>
    <w:p w14:paraId="6143BD0B" w14:textId="2AAF76D1" w:rsidR="00F3716E" w:rsidRDefault="004D573A" w:rsidP="00F3716E">
      <w:pPr>
        <w:pStyle w:val="MDPI31text"/>
        <w:spacing w:line="276" w:lineRule="auto"/>
        <w:rPr>
          <w:color w:val="000000" w:themeColor="text1"/>
        </w:rPr>
      </w:pPr>
      <w:r>
        <w:t xml:space="preserve">Again, though promising, the upscaled and routine use of molecular assays to detect parasite- and/or parasite host-derived eDNA remains beyond the financial reach of most LMIC control programmes and too requires further methodological development, assessment and validation. Nevertheless, continued development of this approach to better understand the potential of eDNA as an effective monitoring tool and to reduce associated financial costs has been encouraged </w:t>
      </w:r>
      <w:r>
        <w:fldChar w:fldCharType="begin" w:fldLock="1"/>
      </w:r>
      <w:r w:rsidR="00295FB2">
        <w:instrText>ADDIN CSL_CITATION {"citationItems":[{"id":"ITEM-1","itemData":{"DOI":"10.1017/pao.2016.13","ISSN":"2055-7094","abstract":"The current mainstay for control of the four major helminth diseases in humans (lymphatic filariasis, onchocerciasis, soil-transmitted helminthiases and schistosomiasis) is with preventive chemotherapy by mass administration of key anthelminthics. Following the London Declaration on Neglected Tropical Diseases in 2012, a roadmap for the elimination and control of these helminthiases by 2020 has been devised. With expected declines in prevalence and intensity of these infections, there is urgent need for implementing more sensitive, high-throughput and cost-effective diagnostic tools. Currently available diagnostic approaches for surveying, monitoring and evaluating helminth control programmes are based on microscopical observation of eggs/larvae, and/or detection of antibodies or parasite antigens in stool, urine or blood; all relatively low-throughput and of limited sensitivity and specificity. Newly proposed approaches for helminthiases diagnosis include the nucleic acid-based methods of (multiplex) real-time polymerase chain reaction assays, loop-mediated isothermal amplification and recombinase polymerase amplification. However, as well as sensitivity/specificity evaluation, their comparison to current ‘gold standard’ diagnostics and future application in individual-/community-based diagnosis, or in xenomonitoring requires consideration of relative costs, agreement of standard methods and strategic interpretation of resulting data before control/elimination programmes might best utilize molecular diagnostics to inform decision making. We review current nucleic-acid-based molecular diagnostic methods and highlight the needs and future research required to refine these tools for monitoring and evaluation of control and elimination programmes for four major human helminthiases.","author":[{"dropping-particle":"","family":"MINETTI","given":"CORRADO","non-dropping-particle":"","parse-names":false,"suffix":""},{"dropping-particle":"","family":"LACOURSE","given":"E. JAMES","non-dropping-particle":"","parse-names":false,"suffix":""},{"dropping-particle":"","family":"REIMER","given":"LISA","non-dropping-particle":"","parse-names":false,"suffix":""},{"dropping-particle":"","family":"STOTHARD","given":"J. RUSSELL","non-dropping-particle":"","parse-names":false,"suffix":""}],"container-title":"Parasitology Open","id":"ITEM-1","issue":"2016","issued":{"date-parts":[["2016"]]},"title":"Focusing nucleic acid-based molecular diagnostics and xenomonitoring approaches for human helminthiases amenable to preventive chemotherapy","type":"article-journal","volume":"2"},"uris":["http://www.mendeley.com/documents/?uuid=fdf20bd5-4658-4b02-b9aa-5c0bde4e13fd"]}],"mendeley":{"formattedCitation":"[75]","plainTextFormattedCitation":"[75]","previouslyFormattedCitation":"[75]"},"properties":{"noteIndex":0},"schema":"https://github.com/citation-style-language/schema/raw/master/csl-citation.json"}</w:instrText>
      </w:r>
      <w:r>
        <w:fldChar w:fldCharType="separate"/>
      </w:r>
      <w:r w:rsidR="007048D4" w:rsidRPr="007048D4">
        <w:rPr>
          <w:noProof/>
        </w:rPr>
        <w:t>[75]</w:t>
      </w:r>
      <w:r>
        <w:fldChar w:fldCharType="end"/>
      </w:r>
      <w:r>
        <w:t xml:space="preserve">. </w:t>
      </w:r>
      <w:r w:rsidRPr="003B77DD">
        <w:rPr>
          <w:color w:val="000000" w:themeColor="text1"/>
        </w:rPr>
        <w:t xml:space="preserve">In particular, and like </w:t>
      </w:r>
      <w:r>
        <w:rPr>
          <w:color w:val="000000" w:themeColor="text1"/>
        </w:rPr>
        <w:t xml:space="preserve">molecular </w:t>
      </w:r>
      <w:r w:rsidRPr="003B77DD">
        <w:rPr>
          <w:color w:val="000000" w:themeColor="text1"/>
        </w:rPr>
        <w:t>xenomonitoring approaches, the monitoring of eDNA to identify disease transmission may prove extremely useful in areas of low disease endemicity where identifying infection in individual patients may be challenging.</w:t>
      </w:r>
    </w:p>
    <w:p w14:paraId="0E9CFCAB" w14:textId="7EF7E1EB" w:rsidR="00F3716E" w:rsidRPr="00B4733E" w:rsidRDefault="00B77016" w:rsidP="00F3716E">
      <w:pPr>
        <w:pStyle w:val="MDPI22heading2"/>
        <w:spacing w:line="276" w:lineRule="auto"/>
      </w:pPr>
      <w:r>
        <w:t>3</w:t>
      </w:r>
      <w:r w:rsidR="00032894">
        <w:t>.4</w:t>
      </w:r>
      <w:r w:rsidR="00F3716E" w:rsidRPr="00B4733E">
        <w:t>.A case example of co-infection and morbidity surveillance in Uganda</w:t>
      </w:r>
    </w:p>
    <w:p w14:paraId="63962F54" w14:textId="0B17CEB6" w:rsidR="00BE1AA7" w:rsidRPr="002D79F8" w:rsidRDefault="00F3716E" w:rsidP="00FF45C4">
      <w:pPr>
        <w:pStyle w:val="MDPI31text"/>
        <w:spacing w:line="276" w:lineRule="auto"/>
      </w:pPr>
      <w:r w:rsidRPr="002D79F8">
        <w:t>Given the</w:t>
      </w:r>
      <w:r w:rsidR="00F74BD3" w:rsidRPr="002D79F8">
        <w:t xml:space="preserve">se key </w:t>
      </w:r>
      <w:r w:rsidRPr="002D79F8">
        <w:t xml:space="preserve">similarities in disease transmission biology and </w:t>
      </w:r>
      <w:r w:rsidR="009B3FFD" w:rsidRPr="002D79F8">
        <w:t>co-</w:t>
      </w:r>
      <w:r w:rsidR="005F4C49" w:rsidRPr="002D79F8">
        <w:t>endemicity</w:t>
      </w:r>
      <w:r w:rsidRPr="002D79F8">
        <w:t xml:space="preserve"> of </w:t>
      </w:r>
      <w:r w:rsidR="003B0445" w:rsidRPr="002D79F8">
        <w:t>both intestinal schistosomiasis and giardiasis</w:t>
      </w:r>
      <w:r w:rsidR="008F66D5" w:rsidRPr="002D79F8">
        <w:t xml:space="preserve"> </w:t>
      </w:r>
      <w:r w:rsidRPr="002D79F8">
        <w:t xml:space="preserve">throughout </w:t>
      </w:r>
      <w:r w:rsidR="00A031CF" w:rsidRPr="002D79F8">
        <w:t xml:space="preserve">much of </w:t>
      </w:r>
      <w:r w:rsidRPr="002D79F8">
        <w:t xml:space="preserve">sub-Saharan Africa, co-infection with </w:t>
      </w:r>
      <w:r w:rsidR="00FC3701" w:rsidRPr="002D79F8">
        <w:t xml:space="preserve">both parasites </w:t>
      </w:r>
      <w:r w:rsidRPr="002D79F8">
        <w:t xml:space="preserve">is likely commonplace, yet only little formal attention is given towards co-surveillance of both diseases. This is despite that each parasite may influence reciprocal infection susceptibilities and disease-associated pathologies, before and after anti-parasitic treatment(s). </w:t>
      </w:r>
      <w:r w:rsidR="00F00B02">
        <w:t xml:space="preserve">As an example, </w:t>
      </w:r>
      <w:r w:rsidR="000B31AE">
        <w:t xml:space="preserve">it is possible that </w:t>
      </w:r>
      <w:r w:rsidR="000B31AE" w:rsidRPr="00495340">
        <w:rPr>
          <w:i/>
          <w:iCs/>
        </w:rPr>
        <w:t>S. mansoni</w:t>
      </w:r>
      <w:r w:rsidR="000B31AE" w:rsidRPr="00495340">
        <w:t xml:space="preserve"> egg-induced perforations to the bowel with associated mucosal bleeding, inflammation and bacterial translocation may influence an individual’s susceptibility to chronic </w:t>
      </w:r>
      <w:r w:rsidR="000B31AE" w:rsidRPr="00495340">
        <w:rPr>
          <w:i/>
          <w:iCs/>
        </w:rPr>
        <w:t>Giardia</w:t>
      </w:r>
      <w:r w:rsidR="000B31AE" w:rsidRPr="00495340">
        <w:t xml:space="preserve"> infection</w:t>
      </w:r>
      <w:r w:rsidR="00FF45C4" w:rsidRPr="00495340">
        <w:t xml:space="preserve">. </w:t>
      </w:r>
      <w:r w:rsidR="0086553C" w:rsidRPr="00495340">
        <w:t>This</w:t>
      </w:r>
      <w:r w:rsidR="0086553C">
        <w:t xml:space="preserve"> extent to which this occurs, however, is</w:t>
      </w:r>
      <w:r w:rsidR="00977577">
        <w:t xml:space="preserve"> currently</w:t>
      </w:r>
      <w:r w:rsidR="0086553C">
        <w:t xml:space="preserve"> unknown.</w:t>
      </w:r>
    </w:p>
    <w:p w14:paraId="0EA6A01D" w14:textId="593ABFAA" w:rsidR="00F3716E" w:rsidRPr="00B4733E" w:rsidRDefault="00F3716E" w:rsidP="00F3716E">
      <w:pPr>
        <w:pStyle w:val="MDPI31text"/>
        <w:spacing w:line="276" w:lineRule="auto"/>
      </w:pPr>
      <w:r>
        <w:t xml:space="preserve">This lack of attention on co-infection and co-surveillance may </w:t>
      </w:r>
      <w:r w:rsidRPr="00152AD9">
        <w:t>be, in part, due to an unfortunate division within parasitology which often siloes macro-parasite (helminths) and micro-parasite (protists) research.</w:t>
      </w:r>
      <w:r>
        <w:t xml:space="preserve"> Though sparse, r</w:t>
      </w:r>
      <w:r w:rsidRPr="00F30FED">
        <w:t xml:space="preserve">ecent </w:t>
      </w:r>
      <w:r>
        <w:t xml:space="preserve">epidemiological </w:t>
      </w:r>
      <w:r w:rsidRPr="00F30FED">
        <w:t xml:space="preserve">studies are now </w:t>
      </w:r>
      <w:r w:rsidRPr="00B80907">
        <w:t xml:space="preserve">beginning to shed more detailed light on the prevalence of co-infection of intestinal schistosomiasis and </w:t>
      </w:r>
      <w:r>
        <w:t>giardiasis</w:t>
      </w:r>
      <w:r w:rsidRPr="00B80907">
        <w:t xml:space="preserve">, with detection of associated morbidities, throughout rural areas of sub-Saharan Africa </w:t>
      </w:r>
      <w:r w:rsidRPr="00B80907">
        <w:fldChar w:fldCharType="begin" w:fldLock="1"/>
      </w:r>
      <w:r w:rsidR="00F0018A">
        <w:instrText>ADDIN CSL_CITATION {"citationItems":[{"id":"ITEM-1","itemData":{"DOI":"10.1093/trstmh/trw072","ISSN":"18783503","abstract":"Background: Water-borne parasitic diseases associated with poverty still blight the lives of African school children. In Uganda, intestinal schistosomiasis is still common along the shoreline of Lake Albert, despite ongoing control, and co-infection with giardiasis and malaria is poorly described. To shed light on putative interactions between diseases, a prospective cross-sectional parasitological survey was undertaken in five primary schools. Methods: Stool samples from 254 school children, aged 5-10 years, were examined by microscopy and rapid diagnostic tests (RDTs), with additional real-time PCR assays for detection of Giardia DNA. A finger-prick blood sample was also taken from each child and tested for malaria, and haemoblobin levels measured. Assocations between diseases and anaemia were assessed. Results: Intestinal schistosomiasis (46.5%), giardiasis (41.6%) and malaria (56.2%) were common, and a quarter of children were anaemic (&lt; 115 g/L). Up to 87.0% of children were excreting Giardia DNA and the prevalence of heavy infection by real-time PCR (Ct≤19) was 19.5%, being positively associated with light, moderate and heavy egg-patent schistosomiasis, as well as with anaemia. Conclusions: In this setting, an extensive burden of giardiasis was revealed with heavy intensity infections associated with egg-patent intestinal schistosomiasis and anaemia. To improve child health, greater attention on giardiasis is needed along with exploring joined-up actions across diseases that promote better water hygiene and sanitation measures.","author":[{"dropping-particle":"","family":"Al-Shehri","given":"Hajri","non-dropping-particle":"","parse-names":false,"suffix":""},{"dropping-particle":"","family":"Stanton","given":"Michelle C.","non-dropping-particle":"","parse-names":false,"suffix":""},{"dropping-particle":"","family":"LaCourse","given":"James E.","non-dropping-particle":"","parse-names":false,"suffix":""},{"dropping-particle":"","family":"Atuhaire","given":"Aaron","non-dropping-particle":"","parse-names":false,"suffix":""},{"dropping-particle":"","family":"Arinaitwe","given":"Moses","non-dropping-particle":"","parse-names":false,"suffix":""},{"dropping-particle":"","family":"Wamboko","given":"Aida","non-dropping-particle":"","parse-names":false,"suffix":""},{"dropping-particle":"","family":"Adriko","given":"Moses","non-dropping-particle":"","parse-names":false,"suffix":""},{"dropping-particle":"","family":"Kabatereine","given":"Narcis B.","non-dropping-particle":"","parse-names":false,"suffix":""},{"dropping-particle":"","family":"Stothard","given":"J. Russell","non-dropping-particle":"","parse-names":false,"suffix":""}],"container-title":"Transactions of the Royal Society of Tropical Medicine and Hygiene","id":"ITEM-1","issue":"10","issued":{"date-parts":[["2016"]]},"page":"597-603","title":"An extensive burden of giardiasis associated with intestinal schistosomiasis and anaemia in school children on the shoreline of Lake Albert, Uganda","type":"article-journal","volume":"110"},"uris":["http://www.mendeley.com/documents/?uuid=9927f4ed-e1bd-4ca4-a075-6e3dc23f87b8"]},{"id":"ITEM-2","itemData":{"DOI":"10.1016/j.parepi.2018.02.003","ISSN":"24056731","abstract":"Hundreds of millions of people are infected with helminths and intestinal protozoa, particularly children in low- and middle-income countries. Preventive chemotherapy is the main strategy to control helminthiases. However, rapid re-infection occurs in settings where there is a lack of clean water, sanitation and hygiene. In August and September 2014, we conducted a cross-sectional epidemiological survey in 56 communities of three departments of south-central Côte d'Ivoire. Study participants were invited to provide stool and urine samples. Stool samples were examined for helminth and intestinal protozoa infections using the Kato-Katz technique and a formalin-ether concentration method. Urine samples were subjected to a filtration method for the diagnosis of Schistosoma haematobium. Information on sociodemographic characteristics, knowledge, attitude, practices and beliefs with regard to hygiene, sanitation and intestinal parasitic diseases were collected using a questionnaire administered to household heads. Multivariable logistic regression models were employed to analyse associations between parasite infections and risk factors. Overall, 4,305 participants had complete parasitological and questionnaire data. Hookworm was the predominant helminth species (21.2%), while Ascaris lumbricoides, Trichuris trichiura, Schistosoma mansoni and S. haematobium showed prevalences below 10%. Infections with pathogenic intestinal protozoa (e.g. Entamoeba histolytica/E. dispar and Giardia intestinalis) were similarly prevalent in the three departments. Hookworm infection was associated with open defecation and participants' age and sex. Entamoeba coli infection was negatively associated with the use of tap water at home (odds ratio (OR) = 0.66; p = 0.032). Disposal of garbage in close proximity to people's home was positively associated with G. intestinalis (OR = 1.30; p = 0.015). Taken together, helminth and intestinal protozoa infections affected a considerable proportion of rural dwellers in south-central Côte d'Ivoire at the onset of a cluster-randomised intervention trial. Our results will serve as baseline to monitor the effect of a package of interventions, including preventive chemotherapy, sanitation and health education on re-infection with helminths and intestinal protozoa. Trial registration: ISRCTN53102033 (date assigned: 26 March 2014)","author":[{"dropping-particle":"","family":"Coulibaly","given":"Gaoussou","non-dropping-particle":"","parse-names":false,"suffix":""},{"dropping-particle":"","family":"Ouattara","given":"Mamadou","non-dropping-particle":"","parse-names":false,"suffix":""},{"dropping-particle":"","family":"Dongo","given":"Kouassi","non-dropping-particle":"","parse-names":false,"suffix":""},{"dropping-particle":"","family":"Hürlimann","given":"Eveline","non-dropping-particle":"","parse-names":false,"suffix":""},{"dropping-particle":"","family":"Bassa","given":"Fidèle K.","non-dropping-particle":"","parse-names":false,"suffix":""},{"dropping-particle":"","family":"Koné","given":"Naférima","non-dropping-particle":"","parse-names":false,"suffix":""},{"dropping-particle":"","family":"Essé","given":"Clémence","non-dropping-particle":"","parse-names":false,"suffix":""},{"dropping-particle":"","family":"Yapi","given":"Richard B.","non-dropping-particle":"","parse-names":false,"suffix":""},{"dropping-particle":"","family":"Bonfoh","given":"Bassirou","non-dropping-particle":"","parse-names":false,"suffix":""},{"dropping-particle":"","family":"Utzinger","given":"Jürg","non-dropping-particle":"","parse-names":false,"suffix":""},{"dropping-particle":"","family":"Raso","given":"Giovanna","non-dropping-particle":"","parse-names":false,"suffix":""},{"dropping-particle":"","family":"N'Goran","given":"Eliézer K.","non-dropping-particle":"","parse-names":false,"suffix":""}],"container-title":"Parasite Epidemiology and Control","id":"ITEM-2","issue":"2","issued":{"date-parts":[["2018"]]},"page":"63-76","publisher":"Elsevier","title":"Epidemiology of intestinal parasite infections in three departments of south-central Côte d'Ivoire before the implementation of a cluster-randomised trial","type":"article-journal","volume":"3"},"uris":["http://www.mendeley.com/documents/?uuid=c36045c5-7e2b-42a3-a6da-de6adeb91f7a"]},{"id":"ITEM-3","itemData":{"DOI":"10.3390/tropicalmed4020086","ISSN":"24146366","abstract":"Intestinal parasite infections are frequent causes of diarrhea and malnutrition among children in the tropics. Transmission of helminths and intestinal protozoa is intimately connected with conditions of poverty, including inadequate sanitation and hygiene. Concurrent infections with several intestinal pathogens may lead to excess morbidity. Yet, there is a paucity of epidemiological data from Mali. In this study, stool samples from 56 individuals, aged 2-63 years, from Bamako and Niono, south-central Mali were examined for intestinal parasites using stool microscopy. Additionally, stool samples were subjected to a rapid diagnostic test (RDT) and polymerase chain reaction (PCR) for the detection of Cryptosporidium spp. and Giardia intestinalis. The predominant pathogens were Schistosoma mansoni and G. intestinalis with prevalences of 41% and 38%, respectively. Hymenolepis nana was detected in 4% of the participants, while no eggs of soil-transmitted helminths were found. Concurrent infections with G. intestinalis and S. mansoni were diagnosed in 16% of the participants. For the detection of G. intestinalis, PCR was more sensitive (100%) than RDT (62%) and microscopy (48%). As helminth-protozoa coinfections might have important implications for morbidity control programs, future studies should employ diagnostic tools beyond stool microscopy to accurately assess the co-endemicity of giardiasis and schistosomiasis.","author":[{"dropping-particle":"","family":"Fofana","given":"Hassan K.M.","non-dropping-particle":"","parse-names":false,"suffix":""},{"dropping-particle":"","family":"Schwarzkopf","given":"Maren","non-dropping-particle":"","parse-names":false,"suffix":""},{"dropping-particle":"","family":"Doumbia","given":"Mama N.","non-dropping-particle":"","parse-names":false,"suffix":""},{"dropping-particle":"","family":"Saye","given":"Rénion","non-dropping-particle":"","parse-names":false,"suffix":""},{"dropping-particle":"","family":"Nimmesgern","given":"Anna","non-dropping-particle":"","parse-names":false,"suffix":""},{"dropping-particle":"","family":"Landouré","given":"Aly","non-dropping-particle":"","parse-names":false,"suffix":""},{"dropping-particle":"","family":"Traoré","given":"Mamadou S.","non-dropping-particle":"","parse-names":false,"suffix":""},{"dropping-particle":"","family":"Mertens","given":"Pascal","non-dropping-particle":"","parse-names":false,"suffix":""},{"dropping-particle":"","family":"Utzinger","given":"Jürg","non-dropping-particle":"","parse-names":false,"suffix":""},{"dropping-particle":"","family":"Sacko","given":"Moussa","non-dropping-particle":"","parse-names":false,"suffix":""},{"dropping-particle":"","family":"Becker","given":"Sören L.","non-dropping-particle":"","parse-names":false,"suffix":""}],"container-title":"Tropical Medicine and Infectious Disease","id":"ITEM-3","issue":"2","issued":{"date-parts":[["2019"]]},"page":"4-9","title":"Prevalence of giardia intestinalis infection in schistosomiasis-endemic areas in south-central Mali","type":"article-journal","volume":"4"},"uris":["http://www.mendeley.com/documents/?uuid=51c1309c-4129-4152-8c2a-f48a9aee5080"]}],"mendeley":{"formattedCitation":"[11,104,105]","plainTextFormattedCitation":"[11,104,105]","previouslyFormattedCitation":"[11,104,105]"},"properties":{"noteIndex":0},"schema":"https://github.com/citation-style-language/schema/raw/master/csl-citation.json"}</w:instrText>
      </w:r>
      <w:r w:rsidRPr="00B80907">
        <w:fldChar w:fldCharType="separate"/>
      </w:r>
      <w:r w:rsidR="00F0018A" w:rsidRPr="00F0018A">
        <w:rPr>
          <w:noProof/>
        </w:rPr>
        <w:t>[11,104,105]</w:t>
      </w:r>
      <w:r w:rsidRPr="00B80907">
        <w:fldChar w:fldCharType="end"/>
      </w:r>
      <w:r w:rsidRPr="00B80907">
        <w:t>.</w:t>
      </w:r>
      <w:r>
        <w:t xml:space="preserve"> A suitable example arises from two recent studies assessing co-infection in school-aged children along the shoreline of Lake Albert, Uganda, which, desp</w:t>
      </w:r>
      <w:r w:rsidRPr="00ED2DC5">
        <w:t xml:space="preserve">ite ongoing preventive chemotherapy for intestinal schistosomiasis, can </w:t>
      </w:r>
      <w:r>
        <w:t xml:space="preserve">still </w:t>
      </w:r>
      <w:r w:rsidRPr="00ED2DC5">
        <w:t xml:space="preserve">be considered hyper-endemic for </w:t>
      </w:r>
      <w:r w:rsidRPr="00ED2DC5">
        <w:rPr>
          <w:i/>
          <w:iCs/>
        </w:rPr>
        <w:t>S. mansoni</w:t>
      </w:r>
      <w:r>
        <w:t xml:space="preserve"> today (Figure 2) </w:t>
      </w:r>
      <w:r>
        <w:fldChar w:fldCharType="begin" w:fldLock="1"/>
      </w:r>
      <w:r w:rsidR="00690A31">
        <w:instrText>ADDIN CSL_CITATION {"citationItems":[{"id":"ITEM-1","itemData":{"DOI":"10.1017/s0031182016000998","ISSN":"0031-1820","abstract":" Part of Robert T. Leiper's (1881–1969) lasting legacy in medical helminthology is grounded on his pioneering work on schistosomiasis (Bilharzia). Having undertaken many expeditions to the tropics, his fascination with parasite life cycles typically allowed him to devise simple preventive measures that curtailed transmission. Building on his formative work with others in Africa and Asia, and again in Egypt in 1915, he elucidated the life cycles of African schistosomes. His mandate, then commissioned by the British War Office, was to prevent and break transmission of this disease in British troops. This he did by raising standing orders based on simple water hygiene measures. Whilst feasible in military camp settings, today their routine implementation is sadly out of reach for millions of Africans living in poverty. Whilst we celebrate the centenary of Leiper's research we draw attention to some of his lesser known colleagues, then focus on schistosomiasis in Uganda discussing why expanded access to treatment with praziquantel is needed now. Looking to WHO 2020 targets for neglected tropical diseases, we introduce COU NTD OWN, an implementation research consortium funded by DFID, UK, which fosters the scale-up of interventions and confirm the current relevance of Leiper's original research. ","author":[{"dropping-particle":"","family":"STOTHARD","given":"J. RUSSELL","non-dropping-particle":"","parse-names":false,"suffix":""},{"dropping-particle":"","family":"ARCHER","given":"JOHN","non-dropping-particle":"","parse-names":false,"suffix":""},{"dropping-particle":"","family":"GYAPONG","given":"MARGARET","non-dropping-particle":"","parse-names":false,"suffix":""},{"dropping-particle":"","family":"TCHUEM-TCHUENTÉ","given":"LOUIS ALBERT","non-dropping-particle":"","parse-names":false,"suffix":""},{"dropping-particle":"","family":"BUSTINDUY","given":"AMAYA L.","non-dropping-particle":"","parse-names":false,"suffix":""},{"dropping-particle":"","family":"KABATEREINE","given":"NARCIS B.","non-dropping-particle":"","parse-names":false,"suffix":""},{"dropping-particle":"","family":"AL-SHEHRI","given":"HAJRI","non-dropping-particle":"","parse-names":false,"suffix":""}],"container-title":"Parasitology","id":"ITEM-1","issue":"12","issued":{"date-parts":[["2016"]]},"page":"1602-1612","title":"A centenary of Robert T. Leiper's lasting legacy on schistosomiasis and a COUNTDOWN on control of neglected tropical diseases","type":"article-journal","volume":"144"},"uris":["http://www.mendeley.com/documents/?uuid=35f818bf-10ad-4392-bc07-452c725bd2dc"]}],"mendeley":{"formattedCitation":"[88]","plainTextFormattedCitation":"[88]","previouslyFormattedCitation":"[88]"},"properties":{"noteIndex":0},"schema":"https://github.com/citation-style-language/schema/raw/master/csl-citation.json"}</w:instrText>
      </w:r>
      <w:r>
        <w:fldChar w:fldCharType="separate"/>
      </w:r>
      <w:r w:rsidR="009A11E5" w:rsidRPr="009A11E5">
        <w:rPr>
          <w:noProof/>
        </w:rPr>
        <w:t>[88]</w:t>
      </w:r>
      <w:r>
        <w:fldChar w:fldCharType="end"/>
      </w:r>
      <w:r>
        <w:t>.</w:t>
      </w:r>
      <w:r w:rsidRPr="0049394D">
        <w:t xml:space="preserve"> </w:t>
      </w:r>
      <w:r>
        <w:t xml:space="preserve">Here, initial infection with </w:t>
      </w:r>
      <w:r>
        <w:rPr>
          <w:i/>
          <w:iCs/>
        </w:rPr>
        <w:t xml:space="preserve">S. mansoni </w:t>
      </w:r>
      <w:r>
        <w:t xml:space="preserve">occurs very soon after birth, with all ages vulnerable to infection and chronic disease </w:t>
      </w:r>
      <w:r>
        <w:fldChar w:fldCharType="begin" w:fldLock="1"/>
      </w:r>
      <w:r w:rsidR="00F0018A">
        <w:instrText>ADDIN CSL_CITATION {"citationItems":[{"id":"ITEM-1","itemData":{"DOI":"10.1016/j.pt.2013.02.001","ISSN":"14714922","abstract":"The occurrence of schistosomiasis within African infants and preschool children has been much better documented in recent years, revealing an important burden of disease previously overlooked. Despite mounting evidence showing that treatment with praziquantel is safe, beneficial, and could be delivered within ongoing public health interventions, young children still do not have satisfactory access to this drug, and a significant treatment gap exists. Progress towards resolution of this unfortunate health inequity is highlighted, including the development of an appropriate paediatric praziquantel formulation, and present blocks are identified on securing this issue within the international health agenda. © 2013 Elsevier Ltd.","author":[{"dropping-particle":"","family":"Stothard","given":"J. Russell","non-dropping-particle":"","parse-names":false,"suffix":""},{"dropping-particle":"","family":"Sousa-Figueiredo","given":"José C.","non-dropping-particle":"","parse-names":false,"suffix":""},{"dropping-particle":"","family":"Betson","given":"Martha","non-dropping-particle":"","parse-names":false,"suffix":""},{"dropping-particle":"","family":"Bustinduy","given":"Amaya","non-dropping-particle":"","parse-names":false,"suffix":""},{"dropping-particle":"","family":"Reinhard-Rupp","given":"Jutta","non-dropping-particle":"","parse-names":false,"suffix":""}],"container-title":"Trends in Parasitology","id":"ITEM-1","issue":"4","issued":{"date-parts":[["2013"]]},"page":"197-205","title":"Schistosomiasis in African infants and preschool children: Let them now be treated!","type":"article-journal","volume":"29"},"uris":["http://www.mendeley.com/documents/?uuid=eee493ab-b4c5-4101-bfbb-5771d0d14051"]}],"mendeley":{"formattedCitation":"[106]","plainTextFormattedCitation":"[106]","previouslyFormattedCitation":"[106]"},"properties":{"noteIndex":0},"schema":"https://github.com/citation-style-language/schema/raw/master/csl-citation.json"}</w:instrText>
      </w:r>
      <w:r>
        <w:fldChar w:fldCharType="separate"/>
      </w:r>
      <w:r w:rsidR="00F0018A" w:rsidRPr="00F0018A">
        <w:rPr>
          <w:noProof/>
        </w:rPr>
        <w:t>[106]</w:t>
      </w:r>
      <w:r>
        <w:fldChar w:fldCharType="end"/>
      </w:r>
      <w:r>
        <w:t xml:space="preserve">. </w:t>
      </w:r>
    </w:p>
    <w:p w14:paraId="29594424" w14:textId="77777777" w:rsidR="00F3716E" w:rsidRDefault="00F3716E" w:rsidP="00F3716E">
      <w:pPr>
        <w:pStyle w:val="MDPI52figure"/>
        <w:spacing w:line="276" w:lineRule="auto"/>
      </w:pPr>
      <w:r>
        <w:rPr>
          <w:noProof/>
        </w:rPr>
        <w:drawing>
          <wp:inline distT="0" distB="0" distL="0" distR="0" wp14:anchorId="5EE60FA8" wp14:editId="3AF37646">
            <wp:extent cx="3152393" cy="3719265"/>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8964" cy="3738816"/>
                    </a:xfrm>
                    <a:prstGeom prst="rect">
                      <a:avLst/>
                    </a:prstGeom>
                  </pic:spPr>
                </pic:pic>
              </a:graphicData>
            </a:graphic>
          </wp:inline>
        </w:drawing>
      </w:r>
    </w:p>
    <w:p w14:paraId="6097D71E" w14:textId="77777777" w:rsidR="00F3716E" w:rsidRDefault="00F3716E" w:rsidP="00F3716E">
      <w:pPr>
        <w:pStyle w:val="MDPI51figurecaption"/>
        <w:spacing w:line="276" w:lineRule="auto"/>
      </w:pPr>
      <w:r w:rsidRPr="00067176">
        <w:rPr>
          <w:b/>
          <w:bCs/>
        </w:rPr>
        <w:t xml:space="preserve">Figure 2. </w:t>
      </w:r>
      <w:r w:rsidRPr="00F63BCF">
        <w:t xml:space="preserve">High prevalence of intestinal schistosomiasis (assessed using Urine-CCA POC-RDT) and </w:t>
      </w:r>
      <w:r w:rsidRPr="00AA27DC">
        <w:t>giardiasis</w:t>
      </w:r>
      <w:r w:rsidRPr="006A6A6E">
        <w:t xml:space="preserve"> </w:t>
      </w:r>
      <w:r w:rsidRPr="00F63BCF">
        <w:t>co-infection (assessed using Quik</w:t>
      </w:r>
      <w:r>
        <w:t xml:space="preserve"> </w:t>
      </w:r>
      <w:r w:rsidRPr="00F63BCF">
        <w:t>Chek POC-RDT</w:t>
      </w:r>
      <w:r>
        <w:t xml:space="preserve"> (TechLab, USA)</w:t>
      </w:r>
      <w:r w:rsidRPr="00F63BCF">
        <w:t>) in school-aged children across multiple communities along the shoreline of Lake Albert, Uganda in 2015 and 2017 [8].</w:t>
      </w:r>
    </w:p>
    <w:p w14:paraId="3C248306" w14:textId="20DD7CC1" w:rsidR="00F3716E" w:rsidRPr="000C5289" w:rsidRDefault="00F3716E" w:rsidP="00F3716E">
      <w:pPr>
        <w:pStyle w:val="MDPI31text"/>
        <w:spacing w:line="276" w:lineRule="auto"/>
      </w:pPr>
      <w:r w:rsidRPr="000C5289">
        <w:t xml:space="preserve">Beginning in 2015, Al-Shehri </w:t>
      </w:r>
      <w:r w:rsidRPr="000C5289">
        <w:rPr>
          <w:i/>
          <w:iCs/>
        </w:rPr>
        <w:t>et al.</w:t>
      </w:r>
      <w:r>
        <w:rPr>
          <w:i/>
          <w:iCs/>
        </w:rPr>
        <w:t xml:space="preserve"> </w:t>
      </w:r>
      <w:r>
        <w:t xml:space="preserve">[8] </w:t>
      </w:r>
      <w:r w:rsidRPr="000C5289">
        <w:t xml:space="preserve">conducted a novel attempt to integrate surveillance for intestinal schistosomiasis, </w:t>
      </w:r>
      <w:r>
        <w:t>giardiasis</w:t>
      </w:r>
      <w:r w:rsidRPr="000C5289">
        <w:t xml:space="preserve"> and malaria using available point-of-care rapid diagnostic tests (RDTs) combined with later real-time </w:t>
      </w:r>
      <w:r>
        <w:t>q</w:t>
      </w:r>
      <w:r w:rsidRPr="000C5289">
        <w:t xml:space="preserve">PCR analysis of stool and finger-prick collected blood with parasite-specific TaqMan DNA® probes. This was the first attempt to quantify </w:t>
      </w:r>
      <w:r>
        <w:t>giardiasis</w:t>
      </w:r>
      <w:r w:rsidRPr="000C5289">
        <w:t xml:space="preserve"> with the </w:t>
      </w:r>
      <w:r>
        <w:t>point-of-care</w:t>
      </w:r>
      <w:r w:rsidRPr="000C5289">
        <w:t xml:space="preserve"> Quik</w:t>
      </w:r>
      <w:r>
        <w:t xml:space="preserve"> </w:t>
      </w:r>
      <w:r w:rsidRPr="000C5289">
        <w:t>Chek RDT</w:t>
      </w:r>
      <w:r>
        <w:t xml:space="preserve"> (TechLab, USA)</w:t>
      </w:r>
      <w:r w:rsidRPr="000C5289">
        <w:t xml:space="preserve">, finding 42% of children attending Runga and Bugoigo primary schools to be positive (Figure 2). Upon </w:t>
      </w:r>
      <w:r>
        <w:t>q</w:t>
      </w:r>
      <w:r w:rsidRPr="000C5289">
        <w:t xml:space="preserve">PCR analysis of ethanol preserved stool using an 18S rDNA </w:t>
      </w:r>
      <w:r w:rsidRPr="005F2568">
        <w:rPr>
          <w:i/>
          <w:iCs/>
        </w:rPr>
        <w:t>Giardia</w:t>
      </w:r>
      <w:r w:rsidRPr="000C5289">
        <w:t xml:space="preserve">-specific TaqMan® probe, </w:t>
      </w:r>
      <w:r w:rsidRPr="000C5289">
        <w:rPr>
          <w:rFonts w:eastAsia="Times New Roman,Arial"/>
          <w:noProof/>
        </w:rPr>
        <w:t>u</w:t>
      </w:r>
      <w:r w:rsidRPr="000C5289">
        <w:t>p to 87.0</w:t>
      </w:r>
      <w:r w:rsidRPr="000C5289">
        <w:rPr>
          <w:noProof/>
        </w:rPr>
        <w:t xml:space="preserve">% of children were found excreting </w:t>
      </w:r>
      <w:r w:rsidRPr="00895D95">
        <w:rPr>
          <w:rStyle w:val="A0"/>
          <w:i/>
          <w:iCs/>
          <w:noProof/>
          <w:color w:val="000000" w:themeColor="text1"/>
          <w:sz w:val="20"/>
          <w:szCs w:val="20"/>
        </w:rPr>
        <w:t>Giardia</w:t>
      </w:r>
      <w:r w:rsidRPr="00895D95">
        <w:rPr>
          <w:rStyle w:val="A0"/>
          <w:noProof/>
          <w:color w:val="000000" w:themeColor="text1"/>
          <w:sz w:val="20"/>
          <w:szCs w:val="20"/>
        </w:rPr>
        <w:t xml:space="preserve"> DNA. Of note, the prevalence of heavy infection by real-time PCR </w:t>
      </w:r>
      <w:r w:rsidRPr="00895D95">
        <w:rPr>
          <w:rFonts w:eastAsia="Times New Roman,Arial"/>
          <w:noProof/>
          <w:szCs w:val="20"/>
        </w:rPr>
        <w:t>(Ct ≤ 19) was 19.5% and strongly associated with</w:t>
      </w:r>
      <w:r w:rsidRPr="000C5289">
        <w:rPr>
          <w:rFonts w:eastAsia="Times New Roman,Arial"/>
          <w:noProof/>
        </w:rPr>
        <w:t xml:space="preserve"> Quik-Chek RDTs, </w:t>
      </w:r>
      <w:r>
        <w:rPr>
          <w:rFonts w:eastAsia="Times New Roman,Arial"/>
          <w:noProof/>
        </w:rPr>
        <w:t xml:space="preserve">as well as </w:t>
      </w:r>
      <w:r w:rsidRPr="000C5289">
        <w:rPr>
          <w:rFonts w:eastAsia="Times New Roman,Arial"/>
          <w:noProof/>
        </w:rPr>
        <w:t>postively correlated with increasing intensities of egg-patent schistosomiasis</w:t>
      </w:r>
      <w:r>
        <w:rPr>
          <w:rFonts w:eastAsia="Times New Roman,Arial"/>
          <w:noProof/>
        </w:rPr>
        <w:t xml:space="preserve"> and host</w:t>
      </w:r>
      <w:r w:rsidRPr="000C5289">
        <w:rPr>
          <w:rFonts w:eastAsia="Times New Roman,Arial"/>
          <w:noProof/>
        </w:rPr>
        <w:t xml:space="preserve"> anaemia</w:t>
      </w:r>
      <w:r w:rsidRPr="000C5289">
        <w:t xml:space="preserve"> </w:t>
      </w:r>
      <w:r w:rsidRPr="000C5289">
        <w:fldChar w:fldCharType="begin" w:fldLock="1"/>
      </w:r>
      <w:r w:rsidR="002A145D">
        <w:instrText>ADDIN CSL_CITATION {"citationItems":[{"id":"ITEM-1","itemData":{"DOI":"10.1093/trstmh/trw072","ISSN":"18783503","abstract":"Background: Water-borne parasitic diseases associated with poverty still blight the lives of African school children. In Uganda, intestinal schistosomiasis is still common along the shoreline of Lake Albert, despite ongoing control, and co-infection with giardiasis and malaria is poorly described. To shed light on putative interactions between diseases, a prospective cross-sectional parasitological survey was undertaken in five primary schools. Methods: Stool samples from 254 school children, aged 5-10 years, were examined by microscopy and rapid diagnostic tests (RDTs), with additional real-time PCR assays for detection of Giardia DNA. A finger-prick blood sample was also taken from each child and tested for malaria, and haemoblobin levels measured. Assocations between diseases and anaemia were assessed. Results: Intestinal schistosomiasis (46.5%), giardiasis (41.6%) and malaria (56.2%) were common, and a quarter of children were anaemic (&lt; 115 g/L). Up to 87.0% of children were excreting Giardia DNA and the prevalence of heavy infection by real-time PCR (Ct≤19) was 19.5%, being positively associated with light, moderate and heavy egg-patent schistosomiasis, as well as with anaemia. Conclusions: In this setting, an extensive burden of giardiasis was revealed with heavy intensity infections associated with egg-patent intestinal schistosomiasis and anaemia. To improve child health, greater attention on giardiasis is needed along with exploring joined-up actions across diseases that promote better water hygiene and sanitation measures.","author":[{"dropping-particle":"","family":"Al-Shehri","given":"Hajri","non-dropping-particle":"","parse-names":false,"suffix":""},{"dropping-particle":"","family":"Stanton","given":"Michelle C.","non-dropping-particle":"","parse-names":false,"suffix":""},{"dropping-particle":"","family":"LaCourse","given":"James E.","non-dropping-particle":"","parse-names":false,"suffix":""},{"dropping-particle":"","family":"Atuhaire","given":"Aaron","non-dropping-particle":"","parse-names":false,"suffix":""},{"dropping-particle":"","family":"Arinaitwe","given":"Moses","non-dropping-particle":"","parse-names":false,"suffix":""},{"dropping-particle":"","family":"Wamboko","given":"Aida","non-dropping-particle":"","parse-names":false,"suffix":""},{"dropping-particle":"","family":"Adriko","given":"Moses","non-dropping-particle":"","parse-names":false,"suffix":""},{"dropping-particle":"","family":"Kabatereine","given":"Narcis B.","non-dropping-particle":"","parse-names":false,"suffix":""},{"dropping-particle":"","family":"Stothard","given":"J. Russell","non-dropping-particle":"","parse-names":false,"suffix":""}],"container-title":"Transactions of the Royal Society of Tropical Medicine and Hygiene","id":"ITEM-1","issue":"10","issued":{"date-parts":[["2016"]]},"page":"597-603","title":"An extensive burden of giardiasis associated with intestinal schistosomiasis and anaemia in school children on the shoreline of Lake Albert, Uganda","type":"article-journal","volume":"110"},"uris":["http://www.mendeley.com/documents/?uuid=9927f4ed-e1bd-4ca4-a075-6e3dc23f87b8"]}],"mendeley":{"formattedCitation":"[11]","plainTextFormattedCitation":"[11]","previouslyFormattedCitation":"[11]"},"properties":{"noteIndex":0},"schema":"https://github.com/citation-style-language/schema/raw/master/csl-citation.json"}</w:instrText>
      </w:r>
      <w:r w:rsidRPr="000C5289">
        <w:fldChar w:fldCharType="separate"/>
      </w:r>
      <w:r w:rsidR="002512CA" w:rsidRPr="002512CA">
        <w:rPr>
          <w:noProof/>
        </w:rPr>
        <w:t>[11]</w:t>
      </w:r>
      <w:r w:rsidRPr="000C5289">
        <w:fldChar w:fldCharType="end"/>
      </w:r>
      <w:r w:rsidRPr="000C5289">
        <w:t>.</w:t>
      </w:r>
    </w:p>
    <w:p w14:paraId="5FC350F3" w14:textId="42DE0DAB" w:rsidR="00F3716E" w:rsidRPr="00136C05" w:rsidRDefault="00F3716E" w:rsidP="00F3716E">
      <w:pPr>
        <w:pStyle w:val="MDPI31text"/>
        <w:spacing w:line="276" w:lineRule="auto"/>
        <w:rPr>
          <w:noProof/>
          <w:shd w:val="clear" w:color="auto" w:fill="FFFFFF"/>
        </w:rPr>
      </w:pPr>
      <w:r w:rsidRPr="005F2568">
        <w:rPr>
          <w:bCs/>
          <w:i/>
          <w:iCs/>
        </w:rPr>
        <w:t>Giardia</w:t>
      </w:r>
      <w:r w:rsidRPr="00136C05">
        <w:t xml:space="preserve"> species assemblages present were also later</w:t>
      </w:r>
      <w:r>
        <w:t xml:space="preserve"> identified and</w:t>
      </w:r>
      <w:r w:rsidRPr="00136C05">
        <w:t xml:space="preserve"> characterised with specific </w:t>
      </w:r>
      <w:r w:rsidRPr="00136C05">
        <w:rPr>
          <w:noProof/>
        </w:rPr>
        <w:t>triose phosphate</w:t>
      </w:r>
      <w:r w:rsidRPr="00136C05">
        <w:t xml:space="preserve"> isomerase (TPI) Taqman</w:t>
      </w:r>
      <w:r w:rsidRPr="00136C05">
        <w:rPr>
          <w:rFonts w:eastAsia="Times New Roman,Arial,AdvTT3713"/>
          <w:noProof/>
        </w:rPr>
        <w:t>®</w:t>
      </w:r>
      <w:r w:rsidRPr="00136C05">
        <w:t xml:space="preserve"> probes and by sequence characterisation of the </w:t>
      </w:r>
      <w:r w:rsidRPr="00136C05">
        <w:rPr>
          <w:rStyle w:val="Emphasis"/>
          <w:rFonts w:asciiTheme="majorBidi" w:hAnsiTheme="majorBidi" w:cstheme="majorBidi"/>
          <w:color w:val="000000" w:themeColor="text1"/>
          <w:shd w:val="clear" w:color="auto" w:fill="FFFFFF"/>
        </w:rPr>
        <w:t>β</w:t>
      </w:r>
      <w:r w:rsidRPr="00136C05">
        <w:rPr>
          <w:shd w:val="clear" w:color="auto" w:fill="FFFFFF"/>
        </w:rPr>
        <w:t>-</w:t>
      </w:r>
      <w:r w:rsidRPr="00136C05">
        <w:rPr>
          <w:noProof/>
          <w:shd w:val="clear" w:color="auto" w:fill="FFFFFF"/>
        </w:rPr>
        <w:t>giardin</w:t>
      </w:r>
      <w:r w:rsidRPr="00136C05">
        <w:rPr>
          <w:rStyle w:val="Emphasis"/>
          <w:rFonts w:asciiTheme="majorBidi" w:hAnsiTheme="majorBidi" w:cstheme="majorBidi"/>
          <w:color w:val="000000" w:themeColor="text1"/>
          <w:shd w:val="clear" w:color="auto" w:fill="FFFFFF"/>
        </w:rPr>
        <w:t xml:space="preserve"> gene</w:t>
      </w:r>
      <w:r w:rsidRPr="00136C05">
        <w:t xml:space="preserve"> </w:t>
      </w:r>
      <w:r w:rsidRPr="00136C05">
        <w:fldChar w:fldCharType="begin" w:fldLock="1"/>
      </w:r>
      <w:r w:rsidR="00F0018A">
        <w:instrText>ADDIN CSL_CITATION {"citationItems":[{"id":"ITEM-1","itemData":{"DOI":"10.1016/j.parepi.2018.e00074","ISSN":"24056731","abstract":"As part of an epidemiological survey for gastrointestinal parasites in school children across five primary schools on the shoreline of Lake Albert, the prevalence of giardiasis was 87.0% (n = 254) as determined by real-time PCR analysis of faecal samples with a genus-specific Giardia 18S rDNA probe. Faecal samples were further characterised with taxon assemblage-specific triose phosphate isomerase (TPI) Taqman® probes and by sequence characterisation of the β-giardin gene. While less sensitive than the 18S rDNA assay, general prevalence by TPI probes was 52.4%, with prevalence by taxon assemblage of 8.3% (assemblage A), 35.8% (assemblage B) and 8.3% co-infection (A &amp; B assemblages). While assemblage B was dominant across the sample, proportions of assemblages A and B, and co-infections thereof, varied by school and by age of child; mixed infections were particularly common at Runga school (OR = 6.9 [95% CI; 2.5, 19.3]) and in children aged 6 and under (OR = 2.7 [95% CI; 1.0, 7.3]). Infection with assemblage B was associated with underweight children (OR = 2.0 [95% CI; 1.0, 3.9]). The presence of each assemblage was also confirmed by sequence analysis of the β-giardin gene finding sub-assemblage AII and further genetic diversity within assemblage B. To better explore the local epidemiology of giardiasis and its impact on child health, additional sampling of school children with assemblage typing would be worthwhile.","author":[{"dropping-particle":"","family":"Al-Shehri","given":"Hajri","non-dropping-particle":"","parse-names":false,"suffix":""},{"dropping-particle":"","family":"James LaCourse","given":"E.","non-dropping-particle":"","parse-names":false,"suffix":""},{"dropping-particle":"","family":"Klimach","given":"Otto","non-dropping-particle":"","parse-names":false,"suffix":""},{"dropping-particle":"","family":"Kabatereine","given":"Narcis B.","non-dropping-particle":"","parse-names":false,"suffix":""},{"dropping-particle":"","family":"Stothard","given":"J. Russell","non-dropping-particle":"","parse-names":false,"suffix":""}],"container-title":"Parasite Epidemiology and Control","id":"ITEM-1","issued":{"date-parts":[["2019"]]},"page":"e00074","publisher":"The Authors","title":"Molecular characterisation and taxon assemblage typing of giardiasis in primary school children living close to the shoreline of Lake Albert, Uganda","type":"article-journal","volume":"4"},"uris":["http://www.mendeley.com/documents/?uuid=f6b03f9a-52b4-467e-a89f-e6e6fb16f1a0"]}],"mendeley":{"formattedCitation":"[107]","plainTextFormattedCitation":"[107]","previouslyFormattedCitation":"[107]"},"properties":{"noteIndex":0},"schema":"https://github.com/citation-style-language/schema/raw/master/csl-citation.json"}</w:instrText>
      </w:r>
      <w:r w:rsidRPr="00136C05">
        <w:fldChar w:fldCharType="separate"/>
      </w:r>
      <w:r w:rsidR="00F0018A" w:rsidRPr="00F0018A">
        <w:rPr>
          <w:noProof/>
        </w:rPr>
        <w:t>[107]</w:t>
      </w:r>
      <w:r w:rsidRPr="00136C05">
        <w:fldChar w:fldCharType="end"/>
      </w:r>
      <w:r w:rsidRPr="00136C05">
        <w:t xml:space="preserve">. Whilst less sensitive than the 18S rDNA assay, general prevalence by TPI probes was 52%, with prevalence by taxon assemblage </w:t>
      </w:r>
      <w:r w:rsidRPr="00136C05">
        <w:rPr>
          <w:noProof/>
        </w:rPr>
        <w:t>of</w:t>
      </w:r>
      <w:r w:rsidRPr="00136C05">
        <w:t xml:space="preserve"> 8% (assemblage A), 36% (assemblage B) and 8% co-infection (A &amp; B assemblages), and whilst assemblage B was dominant across the sample, proportions of assemblages A and B, and co-infections thereof, varied by school and </w:t>
      </w:r>
      <w:r w:rsidRPr="00136C05">
        <w:rPr>
          <w:noProof/>
        </w:rPr>
        <w:t>by age of</w:t>
      </w:r>
      <w:r w:rsidRPr="00136C05">
        <w:t xml:space="preserve"> child. Mixed infections were particularly common at Runga school and in children aged 6 and under. Most importantly, infection with assemblage B was associated with underweight children. The presence of each assemblage was also confirmed by </w:t>
      </w:r>
      <w:r w:rsidRPr="00136C05">
        <w:rPr>
          <w:noProof/>
          <w:shd w:val="clear" w:color="auto" w:fill="FFFFFF"/>
        </w:rPr>
        <w:t xml:space="preserve">sequence analysis of the </w:t>
      </w:r>
      <w:r w:rsidRPr="00136C05">
        <w:rPr>
          <w:rStyle w:val="Emphasis"/>
          <w:rFonts w:asciiTheme="majorBidi" w:hAnsiTheme="majorBidi" w:cstheme="majorBidi"/>
          <w:color w:val="000000" w:themeColor="text1"/>
          <w:shd w:val="clear" w:color="auto" w:fill="FFFFFF"/>
        </w:rPr>
        <w:t>β</w:t>
      </w:r>
      <w:r w:rsidRPr="00136C05">
        <w:rPr>
          <w:shd w:val="clear" w:color="auto" w:fill="FFFFFF"/>
        </w:rPr>
        <w:t>-</w:t>
      </w:r>
      <w:r w:rsidRPr="00136C05">
        <w:rPr>
          <w:noProof/>
          <w:shd w:val="clear" w:color="auto" w:fill="FFFFFF"/>
        </w:rPr>
        <w:t>giardin gene finding sub-assemblage AII and further genetic diversity within assemblage B</w:t>
      </w:r>
      <w:r>
        <w:rPr>
          <w:noProof/>
          <w:shd w:val="clear" w:color="auto" w:fill="FFFFFF"/>
        </w:rPr>
        <w:t>; a</w:t>
      </w:r>
      <w:r>
        <w:rPr>
          <w:bCs/>
        </w:rPr>
        <w:t xml:space="preserve">lso of note, was the </w:t>
      </w:r>
      <w:r w:rsidRPr="00F66319">
        <w:rPr>
          <w:bCs/>
        </w:rPr>
        <w:t xml:space="preserve">absence </w:t>
      </w:r>
      <w:r w:rsidRPr="00861B6E">
        <w:rPr>
          <w:rStyle w:val="Emphasis"/>
          <w:i w:val="0"/>
          <w:iCs w:val="0"/>
          <w:color w:val="000000" w:themeColor="text1"/>
          <w:shd w:val="clear" w:color="auto" w:fill="FFFFFF"/>
        </w:rPr>
        <w:t>cryptosporidiosis</w:t>
      </w:r>
      <w:r w:rsidRPr="00F66319">
        <w:rPr>
          <w:bCs/>
        </w:rPr>
        <w:t>, another pertinent water-borne disease</w:t>
      </w:r>
      <w:r>
        <w:rPr>
          <w:bCs/>
        </w:rPr>
        <w:t xml:space="preserve">, concurrently </w:t>
      </w:r>
      <w:r w:rsidRPr="00F66319">
        <w:rPr>
          <w:bCs/>
        </w:rPr>
        <w:t>detectable</w:t>
      </w:r>
      <w:r>
        <w:rPr>
          <w:bCs/>
        </w:rPr>
        <w:t xml:space="preserve"> by</w:t>
      </w:r>
      <w:r w:rsidRPr="00F66319">
        <w:rPr>
          <w:bCs/>
        </w:rPr>
        <w:t xml:space="preserve"> the</w:t>
      </w:r>
      <w:r>
        <w:rPr>
          <w:bCs/>
        </w:rPr>
        <w:t xml:space="preserve"> same</w:t>
      </w:r>
      <w:r w:rsidRPr="00F66319">
        <w:rPr>
          <w:bCs/>
        </w:rPr>
        <w:t xml:space="preserve"> </w:t>
      </w:r>
      <w:r w:rsidRPr="00B15602">
        <w:rPr>
          <w:bCs/>
        </w:rPr>
        <w:t>Quik</w:t>
      </w:r>
      <w:r>
        <w:rPr>
          <w:bCs/>
        </w:rPr>
        <w:t xml:space="preserve"> </w:t>
      </w:r>
      <w:r w:rsidRPr="00B15602">
        <w:rPr>
          <w:bCs/>
        </w:rPr>
        <w:t>Chek</w:t>
      </w:r>
      <w:r w:rsidRPr="00F66319">
        <w:rPr>
          <w:bCs/>
        </w:rPr>
        <w:t xml:space="preserve"> RDT.</w:t>
      </w:r>
    </w:p>
    <w:p w14:paraId="77B80AB9" w14:textId="77777777" w:rsidR="004A68CF" w:rsidRDefault="00F3716E" w:rsidP="00F3716E">
      <w:pPr>
        <w:pStyle w:val="MDPI31text"/>
        <w:spacing w:line="276" w:lineRule="auto"/>
      </w:pPr>
      <w:r w:rsidRPr="000F1FC2">
        <w:rPr>
          <w:rFonts w:cstheme="majorBidi"/>
          <w:noProof/>
          <w:shd w:val="clear" w:color="auto" w:fill="FFFFFF"/>
        </w:rPr>
        <w:t>To assess any changes through time, a repeat epidemiological survey</w:t>
      </w:r>
      <w:r w:rsidRPr="000F1FC2">
        <w:t xml:space="preserve"> was undertaken in 2017 which included reinspection of Bugoigo school and expanded </w:t>
      </w:r>
      <w:r>
        <w:t>point-of-care</w:t>
      </w:r>
      <w:r w:rsidRPr="000F1FC2">
        <w:t xml:space="preserve"> testing with Quik Chek (Figure 2). The prevalence of giardiasis at Bugoigo primary school was shown to be identical with a third of children examined positive by Quik Chek, with even higher local prevalence in pre-school-age children (63%) and their mothers (55%), good evidence for pervasive nature of giardiasis across all ages. Away from the lake at Biiso and Busingiro, the prevalence of giardiasis and intestinal schistosomiasis declined, suggesting that the risk of infection is perhaps higher on the lake shoreline. This study also attempted to evaluate a new POC-RDT </w:t>
      </w:r>
      <w:r w:rsidR="00CD643C" w:rsidRPr="009B73E9">
        <w:t xml:space="preserve">RDT </w:t>
      </w:r>
      <w:r w:rsidRPr="009B73E9">
        <w:t xml:space="preserve">onsite, as well as a pilot assessment of giardiasis in local livestock and companion animals </w:t>
      </w:r>
      <w:r w:rsidRPr="009B73E9">
        <w:fldChar w:fldCharType="begin" w:fldLock="1"/>
      </w:r>
      <w:r w:rsidR="00295FB2" w:rsidRPr="009B73E9">
        <w:instrText>ADDIN CSL_CITATION {"citationItems":[{"id":"ITEM-1","itemData":{"DOI":"10.1186/s13071-020-04168-1","ISSN":"1756-3305","author":[{"dropping-particle":"","family":"Gonzalez","given":"Sandra J Molina","non-dropping-particle":"","parse-names":false,"suffix":""},{"dropping-particle":"","family":"Bhattacharyya","given":"Tapan","non-dropping-particle":"","parse-names":false,"suffix":""},{"dropping-particle":"","family":"Alshehri","given":"Hajri R","non-dropping-particle":"","parse-names":false,"suffix":""},{"dropping-particle":"","family":"Poulton","given":"Kate","non-dropping-particle":"","parse-names":false,"suffix":""},{"dropping-particle":"","family":"Allen","given":"Stephen","non-dropping-particle":"","parse-names":false,"suffix":""},{"dropping-particle":"","family":"Miles","given":"Michael A","non-dropping-particle":"","parse-names":false,"suffix":""},{"dropping-particle":"","family":"Arianitwe","given":"Moses","non-dropping-particle":"","parse-names":false,"suffix":""},{"dropping-particle":"","family":"Tukahebwa","given":"Edridah M","non-dropping-particle":"","parse-names":false,"suffix":""},{"dropping-particle":"","family":"Webster","given":"Bonnie","non-dropping-particle":"","parse-names":false,"suffix":""},{"dropping-particle":"","family":"Stothard","given":"J Russell","non-dropping-particle":"","parse-names":false,"suffix":""}],"container-title":"Parasites &amp; Vectors","id":"ITEM-1","issued":{"date-parts":[["2020"]]},"page":"1-9","publisher":"BioMed Central","title":"Application of a recombinase polymerase amplification ( RPA ) assay and pilot field testing for Giardia duodenalis at Lake Albert , Uganda","type":"article-journal"},"uris":["http://www.mendeley.com/documents/?uuid=dafe4d06-afc3-4347-98d3-0dbc259069c2"]}],"mendeley":{"formattedCitation":"[81]","plainTextFormattedCitation":"[81]","previouslyFormattedCitation":"[81]"},"properties":{"noteIndex":0},"schema":"https://github.com/citation-style-language/schema/raw/master/csl-citation.json"}</w:instrText>
      </w:r>
      <w:r w:rsidRPr="009B73E9">
        <w:fldChar w:fldCharType="separate"/>
      </w:r>
      <w:r w:rsidR="007048D4" w:rsidRPr="009B73E9">
        <w:rPr>
          <w:noProof/>
        </w:rPr>
        <w:t>[81]</w:t>
      </w:r>
      <w:r w:rsidRPr="009B73E9">
        <w:fldChar w:fldCharType="end"/>
      </w:r>
      <w:r w:rsidRPr="009B73E9">
        <w:t>. Ultimately, the RPA assay did not perform as well as expected, in need of further optimisation of stool DNA extraction protocols.</w:t>
      </w:r>
      <w:r w:rsidR="00764697">
        <w:t xml:space="preserve"> </w:t>
      </w:r>
    </w:p>
    <w:p w14:paraId="4FF5AF90" w14:textId="27E8B9B1" w:rsidR="004A68CF" w:rsidRPr="004165AB" w:rsidRDefault="00CC1EAD" w:rsidP="00F3716E">
      <w:pPr>
        <w:pStyle w:val="MDPI31text"/>
        <w:spacing w:line="276" w:lineRule="auto"/>
      </w:pPr>
      <w:commentRangeStart w:id="24"/>
      <w:r>
        <w:t>F</w:t>
      </w:r>
      <w:r w:rsidR="004953FD">
        <w:t xml:space="preserve">urther to human-surveillance, </w:t>
      </w:r>
      <w:r w:rsidR="00BA7CD3">
        <w:t xml:space="preserve">screening for </w:t>
      </w:r>
      <w:r w:rsidR="00533BF3">
        <w:rPr>
          <w:i/>
          <w:iCs/>
        </w:rPr>
        <w:t xml:space="preserve">S. mansoni </w:t>
      </w:r>
      <w:r w:rsidR="00BA7CD3">
        <w:t>transmission</w:t>
      </w:r>
      <w:r w:rsidR="00426BAD">
        <w:t xml:space="preserve"> has </w:t>
      </w:r>
      <w:r w:rsidR="00580458">
        <w:t xml:space="preserve">also </w:t>
      </w:r>
      <w:r w:rsidR="00D71674">
        <w:t xml:space="preserve">taken place along the same shoreline </w:t>
      </w:r>
      <w:r w:rsidR="006B3634">
        <w:t xml:space="preserve">by </w:t>
      </w:r>
      <w:r w:rsidR="002E384A">
        <w:t xml:space="preserve">collection </w:t>
      </w:r>
      <w:r w:rsidR="00447BE8">
        <w:t>and cercarial shedding of</w:t>
      </w:r>
      <w:r w:rsidR="002E384A">
        <w:t xml:space="preserve"> </w:t>
      </w:r>
      <w:r w:rsidR="002E384A">
        <w:rPr>
          <w:i/>
          <w:iCs/>
        </w:rPr>
        <w:t xml:space="preserve">Biomphalaria </w:t>
      </w:r>
      <w:r w:rsidR="002E384A">
        <w:t>freshwater snail hosts</w:t>
      </w:r>
      <w:r w:rsidR="002B32B9">
        <w:t xml:space="preserve"> with success</w:t>
      </w:r>
      <w:r w:rsidR="001F04AA">
        <w:t xml:space="preserve"> </w:t>
      </w:r>
      <w:r w:rsidR="00F0018A">
        <w:fldChar w:fldCharType="begin" w:fldLock="1"/>
      </w:r>
      <w:r w:rsidR="00FF7476">
        <w:instrText>ADDIN CSL_CITATION {"citationItems":[{"id":"ITEM-1","itemData":{"DOI":"10.1017/s0031182016000998","ISSN":"0031-1820","abstract":" Part of Robert T. Leiper's (1881–1969) lasting legacy in medical helminthology is grounded on his pioneering work on schistosomiasis (Bilharzia). Having undertaken many expeditions to the tropics, his fascination with parasite life cycles typically allowed him to devise simple preventive measures that curtailed transmission. Building on his formative work with others in Africa and Asia, and again in Egypt in 1915, he elucidated the life cycles of African schistosomes. His mandate, then commissioned by the British War Office, was to prevent and break transmission of this disease in British troops. This he did by raising standing orders based on simple water hygiene measures. Whilst feasible in military camp settings, today their routine implementation is sadly out of reach for millions of Africans living in poverty. Whilst we celebrate the centenary of Leiper's research we draw attention to some of his lesser known colleagues, then focus on schistosomiasis in Uganda discussing why expanded access to treatment with praziquantel is needed now. Looking to WHO 2020 targets for neglected tropical diseases, we introduce COU NTD OWN, an implementation research consortium funded by DFID, UK, which fosters the scale-up of interventions and confirm the current relevance of Leiper's original research. ","author":[{"dropping-particle":"","family":"STOTHARD","given":"J. RUSSELL","non-dropping-particle":"","parse-names":false,"suffix":""},{"dropping-particle":"","family":"ARCHER","given":"JOHN","non-dropping-particle":"","parse-names":false,"suffix":""},{"dropping-particle":"","family":"GYAPONG","given":"MARGARET","non-dropping-particle":"","parse-names":false,"suffix":""},{"dropping-particle":"","family":"TCHUEM-TCHUENTÉ","given":"LOUIS ALBERT","non-dropping-particle":"","parse-names":false,"suffix":""},{"dropping-particle":"","family":"BUSTINDUY","given":"AMAYA L.","non-dropping-particle":"","parse-names":false,"suffix":""},{"dropping-particle":"","family":"KABATEREINE","given":"NARCIS B.","non-dropping-particle":"","parse-names":false,"suffix":""},{"dropping-particle":"","family":"AL-SHEHRI","given":"HAJRI","non-dropping-particle":"","parse-names":false,"suffix":""}],"container-title":"Parasitology","id":"ITEM-1","issue":"12","issued":{"date-parts":[["2016"]]},"page":"1602-1612","title":"A centenary of Robert T. Leiper's lasting legacy on schistosomiasis and a COUNTDOWN on control of neglected tropical diseases","type":"article-journal","volume":"144"},"uris":["http://www.mendeley.com/documents/?uuid=35f818bf-10ad-4392-bc07-452c725bd2dc"]},{"id":"ITEM-2","itemData":{"DOI":"10.1016/j.actatropica.2012.10.003","ISSN":"0001706X","abstract":"Intestinal schistosomiasis continues to be hyper-endemic in the fishing community of Bugoigo located on the eastern shore of Lake Albert, Uganda. Our study aimed to identify the factors that determine the local distribution and abundance of Biomphalaria, as well as infection(s) with Schistosoma mansoni inclusive of their genetic diversity. In addition, a DNA barcoding approach was taken to genotype schistosome cercariae, exploring the micro-epidemiology of infections. Over a 3-week period in June-July 2010, several hundred Biomphalaria spp. were collected, together with environmental information, from 10 selected sites, representive of both putative wave-exposed (n= 5) and wave-sheltered shorelines (n= 5). A Mann-Whitney U-test and a generalized linear model were used to assess associations with snail abundance and parasite infections across the shoreline. Levels of local wave action were recorded over the 19-day period using digital accelerometers. The general absence of wave action on the sheltered shoreline likely helped to raise and focalize other environmental parameters, such as water conductivity by lack of mixing, that foster transmission of intestinal schistosomiasis. Over the study period, a total of 10 infected snails were encountered and a selection of schistosome cercariae from each infected snail was harvested for analysis by DNA barcoding. In total, 91 DNA barcodes were generated with 15 unique barcode types identified. Of these, 4 barcodes had been found previously in Lake Albert and (or) Victoria, the remaining 11 were newly encountered here and described. The distribution of DNA barcodes across infected snails and sampled locations revealed a complicated spatial sub-structuring. By shedding new light on the fine-scale patterning of infections, DNA barcoding has revealed a rather heterogeneous landscape of cercariae, likely inclusive of multi-miracidial infections within the snail, which will in turn interplay with human water contact activities to shape the genetic diversity of worm populations within infected people. © 2012 Elsevier B.V.","author":[{"dropping-particle":"","family":"Levitz","given":"Sarah","non-dropping-particle":"","parse-names":false,"suffix":""},{"dropping-particle":"","family":"Standley","given":"Claire J.","non-dropping-particle":"","parse-names":false,"suffix":""},{"dropping-particle":"","family":"Adriko","given":"Moses","non-dropping-particle":"","parse-names":false,"suffix":""},{"dropping-particle":"","family":"Kabatereine","given":"Narcis B.","non-dropping-particle":"","parse-names":false,"suffix":""},{"dropping-particle":"","family":"Stothard","given":"J. Russell","non-dropping-particle":"","parse-names":false,"suffix":""}],"container-title":"Acta Tropica","id":"ITEM-2","issue":"2","issued":{"date-parts":[["2013"]]},"page":"284-291","publisher":"Elsevier B.V.","title":"Environmental epidemiology of intestinal schistosomiasis and genetic diversity of Schistosoma mansoni infections in snails at Bugoigo village, Lake Albert","type":"article-journal","volume":"128"},"uris":["http://www.mendeley.com/documents/?uuid=2bbdd69c-39cd-4922-b2c0-8b6f00806487"]}],"mendeley":{"formattedCitation":"[88,108]","plainTextFormattedCitation":"[88,108]","previouslyFormattedCitation":"[88,108]"},"properties":{"noteIndex":0},"schema":"https://github.com/citation-style-language/schema/raw/master/csl-citation.json"}</w:instrText>
      </w:r>
      <w:r w:rsidR="00F0018A">
        <w:fldChar w:fldCharType="separate"/>
      </w:r>
      <w:r w:rsidR="00F0018A" w:rsidRPr="00F0018A">
        <w:rPr>
          <w:noProof/>
        </w:rPr>
        <w:t>[88,108]</w:t>
      </w:r>
      <w:r w:rsidR="00F0018A">
        <w:fldChar w:fldCharType="end"/>
      </w:r>
      <w:r w:rsidR="00F0018A">
        <w:t>.</w:t>
      </w:r>
      <w:r w:rsidR="00006FEE">
        <w:t xml:space="preserve"> </w:t>
      </w:r>
      <w:r w:rsidR="00D36EBC">
        <w:t xml:space="preserve">Future </w:t>
      </w:r>
      <w:r w:rsidR="008D11FA">
        <w:t>surveillance</w:t>
      </w:r>
      <w:r w:rsidR="00D36EBC">
        <w:t xml:space="preserve"> should </w:t>
      </w:r>
      <w:r w:rsidR="003A79A8">
        <w:t xml:space="preserve">also </w:t>
      </w:r>
      <w:r w:rsidR="003A0834">
        <w:t>be carried out</w:t>
      </w:r>
      <w:r w:rsidR="003A79A8">
        <w:t xml:space="preserve"> through molecular xenomonitoring of collected snails (and so omitting the need for shedding analyses)</w:t>
      </w:r>
      <w:r w:rsidR="006516B2">
        <w:t xml:space="preserve">, </w:t>
      </w:r>
      <w:r w:rsidR="005216DA">
        <w:t xml:space="preserve">collection and screening of </w:t>
      </w:r>
      <w:r w:rsidR="00963542">
        <w:t>non-human</w:t>
      </w:r>
      <w:r w:rsidR="00FD0957">
        <w:t xml:space="preserve"> </w:t>
      </w:r>
      <w:r w:rsidR="00D659ED">
        <w:t>definitive</w:t>
      </w:r>
      <w:r w:rsidR="008416DB">
        <w:t xml:space="preserve"> hosts </w:t>
      </w:r>
      <w:r w:rsidR="006F5837">
        <w:t xml:space="preserve">to identify </w:t>
      </w:r>
      <w:r w:rsidR="006F5837">
        <w:rPr>
          <w:i/>
          <w:iCs/>
        </w:rPr>
        <w:t xml:space="preserve">S. mansoni </w:t>
      </w:r>
      <w:r w:rsidR="006F5837">
        <w:t xml:space="preserve">and </w:t>
      </w:r>
      <w:r w:rsidR="006F5837" w:rsidRPr="006F6055">
        <w:rPr>
          <w:bCs/>
          <w:i/>
          <w:iCs/>
        </w:rPr>
        <w:t>G. duodenalis</w:t>
      </w:r>
      <w:r w:rsidR="006F5837">
        <w:rPr>
          <w:bCs/>
          <w:i/>
          <w:iCs/>
        </w:rPr>
        <w:t xml:space="preserve"> </w:t>
      </w:r>
      <w:r w:rsidR="006F5837">
        <w:rPr>
          <w:bCs/>
        </w:rPr>
        <w:t xml:space="preserve">DNA </w:t>
      </w:r>
      <w:r w:rsidR="00FD0957">
        <w:t xml:space="preserve">and through collection </w:t>
      </w:r>
      <w:r w:rsidR="00332432">
        <w:t xml:space="preserve">and screening of surface water samples </w:t>
      </w:r>
      <w:r w:rsidR="00FE0C2B">
        <w:t xml:space="preserve">to identify </w:t>
      </w:r>
      <w:r w:rsidR="00FE0C2B">
        <w:rPr>
          <w:i/>
          <w:iCs/>
        </w:rPr>
        <w:t xml:space="preserve">S. mansoni </w:t>
      </w:r>
      <w:r w:rsidR="00FE0C2B">
        <w:t xml:space="preserve">and </w:t>
      </w:r>
      <w:r w:rsidR="004165AB" w:rsidRPr="006F6055">
        <w:rPr>
          <w:bCs/>
          <w:i/>
          <w:iCs/>
        </w:rPr>
        <w:t>G. duodenalis</w:t>
      </w:r>
      <w:r w:rsidR="004165AB">
        <w:rPr>
          <w:bCs/>
          <w:i/>
          <w:iCs/>
        </w:rPr>
        <w:t xml:space="preserve"> </w:t>
      </w:r>
      <w:r w:rsidR="004165AB">
        <w:rPr>
          <w:bCs/>
        </w:rPr>
        <w:t>eDNA.</w:t>
      </w:r>
      <w:commentRangeEnd w:id="24"/>
      <w:r w:rsidR="00701273">
        <w:rPr>
          <w:rStyle w:val="CommentReference"/>
          <w:rFonts w:asciiTheme="minorHAnsi" w:eastAsiaTheme="minorHAnsi" w:hAnsiTheme="minorHAnsi" w:cstheme="minorBidi"/>
          <w:snapToGrid/>
          <w:color w:val="auto"/>
          <w:lang w:val="en-GB" w:eastAsia="en-US" w:bidi="ar-SA"/>
        </w:rPr>
        <w:commentReference w:id="24"/>
      </w:r>
    </w:p>
    <w:p w14:paraId="69E0B4D3" w14:textId="4FD5FE31" w:rsidR="004D573A" w:rsidRPr="00B4733E" w:rsidRDefault="000528ED" w:rsidP="00660637">
      <w:pPr>
        <w:pStyle w:val="MDPI22heading2"/>
        <w:spacing w:line="276" w:lineRule="auto"/>
      </w:pPr>
      <w:r>
        <w:t>3</w:t>
      </w:r>
      <w:r w:rsidR="00B4733E" w:rsidRPr="00B4733E">
        <w:t>.</w:t>
      </w:r>
      <w:r w:rsidRPr="00EC0C9D">
        <w:t>5</w:t>
      </w:r>
      <w:r w:rsidR="00B4733E" w:rsidRPr="00EC0C9D">
        <w:t xml:space="preserve">. </w:t>
      </w:r>
      <w:r w:rsidR="004D573A" w:rsidRPr="00EC0C9D">
        <w:t>Access to treatment and large-scale campaigns</w:t>
      </w:r>
    </w:p>
    <w:p w14:paraId="3BA24536" w14:textId="138DAB3F" w:rsidR="00D93588" w:rsidRPr="00D93588" w:rsidRDefault="004D573A" w:rsidP="00460A0B">
      <w:pPr>
        <w:pStyle w:val="MDPI31text"/>
        <w:spacing w:line="276" w:lineRule="auto"/>
        <w:ind w:firstLine="420"/>
      </w:pPr>
      <w:r w:rsidRPr="00950B87">
        <w:rPr>
          <w:bCs/>
          <w:color w:val="000000" w:themeColor="text1"/>
        </w:rPr>
        <w:t xml:space="preserve">In areas where schistosomiasis transmission is identified, </w:t>
      </w:r>
      <w:r w:rsidRPr="00950B87">
        <w:t xml:space="preserve">preventive chemotherapy through repeated mass drug administration (MDA) of the donated anthelmintic drug praziquantel </w:t>
      </w:r>
      <w:r>
        <w:t xml:space="preserve">(40 </w:t>
      </w:r>
      <w:r w:rsidRPr="00C454ED">
        <w:rPr>
          <w:iCs/>
          <w:color w:val="000000" w:themeColor="text1"/>
          <w:u w:color="70AD47" w:themeColor="accent6"/>
        </w:rPr>
        <w:t xml:space="preserve">mg </w:t>
      </w:r>
      <w:r>
        <w:rPr>
          <w:iCs/>
          <w:color w:val="000000" w:themeColor="text1"/>
          <w:u w:color="70AD47" w:themeColor="accent6"/>
        </w:rPr>
        <w:t>/</w:t>
      </w:r>
      <w:r w:rsidRPr="00C454ED">
        <w:rPr>
          <w:iCs/>
          <w:color w:val="000000" w:themeColor="text1"/>
          <w:u w:color="70AD47" w:themeColor="accent6"/>
        </w:rPr>
        <w:t>kg body weight</w:t>
      </w:r>
      <w:r>
        <w:t xml:space="preserve">) </w:t>
      </w:r>
      <w:r w:rsidRPr="00950B87">
        <w:t xml:space="preserve">is the principal strategy for </w:t>
      </w:r>
      <w:r>
        <w:t>disease</w:t>
      </w:r>
      <w:r w:rsidRPr="00950B87">
        <w:t xml:space="preserve"> control</w:t>
      </w:r>
      <w:r>
        <w:t xml:space="preserve"> </w:t>
      </w:r>
      <w:r>
        <w:fldChar w:fldCharType="begin" w:fldLock="1"/>
      </w:r>
      <w:r w:rsidR="00FF7476">
        <w:instrText>ADDIN CSL_CITATION {"citationItems":[{"id":"ITEM-1","itemData":{"DOI":"10.1016/j.actatropica.2013.06.007","ISSN":"0001706X","abstract":"The regular administration of the anthelminthic drug praziquantel (PZQ) to school-aged children (and other high-risk groups) is the cornerstone of schistosomiasis control. Whilst the performance of PZQ against single schistosome species infections is well-known, performance against mixed species infections is less so, as are patterns of re-infection following treatment. To address this, a study using a double treatment with PZQ, administered at 40. mg/kg spaced by 3 weeks, took place in two mixed intestinal-urogenital schistosomiasis foci in northern Cameroon (Bessoum and Ouro-Doukoudje) and in one single intestinal schistosomiasis infection focus (Makenene). A total of just under 1000 children were examined and the Schistosoma-infected children were re-examined at several parasitological follow-ups over a 1-year period posttreatment. Overall cure rates against Schistosoma spp. in the three settings were good, 83.3% (95% confidence interval (CI) = 77.9-87.7%) in Bessoum, 89.0% (95% CI = 79.1-94.6%) in Ouro Doukoudje, and 95.3% (95% CI = 89.5-98.0%) in Makenene. Interestingly, no case of mixed schistosome infection was found after treatment. Cure rates for S. mansoni varied from 99.5% to 100%, while that for S. haematobium were considerably lower, varying from 82.7% to 88.0%. Across transmission settings, patterns of re-infection for each schistosome species were different such that generalizations across foci were difficult. For example, at the 6-month follow-up, re-infection rates were higher for S. haematobium than for S. mansoni with re-infection rates for S. haematobium varying from 9.5% to 66.7%, while for S. mansoni, lower rates were observed, ranging between nil and 24.5%. At the 12-month follow-up, re-infection rates varied from 9.1% to 66.7% for S. haematobium and from nil to 27.6% for S. mansoni. Alongside these parasitological studies, concurrent malacological surveys took place to monitor the presence of intermediate host snails of schistosomiasis. In the two northern settings, three species of Bulinus (intermediate host snail of S. haematobium) were collected; i.e. Bulinus truncatus, B. globosus and B. senegalensis, however, Biomphalaria pfeifferi (intermediate host snail of S. mansoni) was much rarer despite repeated and intensive searching and was suggestive of limited local transmission potential of S. mansoni during this time. While this study highlights that performance of PZQ was satisfactory in this region, with somewhat greater impa…","author":[{"dropping-particle":"","family":"Tchuem Tchuenté","given":"Louis Albert","non-dropping-particle":"","parse-names":false,"suffix":""},{"dropping-particle":"","family":"Momo","given":"Sabine C.","non-dropping-particle":"","parse-names":false,"suffix":""},{"dropping-particle":"","family":"Stothard","given":"J. Russell","non-dropping-particle":"","parse-names":false,"suffix":""},{"dropping-particle":"","family":"Rollinson","given":"David","non-dropping-particle":"","parse-names":false,"suffix":""}],"container-title":"Acta Tropica","id":"ITEM-1","issue":"2","issued":{"date-parts":[["2013"]]},"page":"275-283","publisher":"Elsevier B.V.","title":"Efficacy of praziquantel and reinfection patterns in single and mixed infection foci for intestinal and urogenital schistosomiasis in Cameroon","type":"article-journal","volume":"128"},"uris":["http://www.mendeley.com/documents/?uuid=9028edb9-00a5-44d3-845c-7e66e89b81c2"]}],"mendeley":{"formattedCitation":"[109]","plainTextFormattedCitation":"[109]","previouslyFormattedCitation":"[109]"},"properties":{"noteIndex":0},"schema":"https://github.com/citation-style-language/schema/raw/master/csl-citation.json"}</w:instrText>
      </w:r>
      <w:r>
        <w:fldChar w:fldCharType="separate"/>
      </w:r>
      <w:r w:rsidR="00F0018A" w:rsidRPr="00F0018A">
        <w:rPr>
          <w:noProof/>
        </w:rPr>
        <w:t>[109]</w:t>
      </w:r>
      <w:r>
        <w:fldChar w:fldCharType="end"/>
      </w:r>
      <w:r w:rsidRPr="00950B87">
        <w:t>. Because the highest burden of infection is typically seen in children and young adolescents, MDA is customarily carried out in schools but aims to limit overall transmission within a community through a reduced human reservoir of infection whilst also reducing overall disease morbidity</w:t>
      </w:r>
      <w:r>
        <w:t xml:space="preserve"> </w:t>
      </w:r>
      <w:r w:rsidRPr="00636111">
        <w:fldChar w:fldCharType="begin" w:fldLock="1"/>
      </w:r>
      <w:r w:rsidR="00FF7476">
        <w:instrText>ADDIN CSL_CITATION {"citationItems":[{"id":"ITEM-1","itemData":{"DOI":"10.1586/14787210.2013.811931","ISSN":"14787210","abstract":"Preventive chemotherapy campaigns against schistosomiasis have progressively scaled-up during the last decade, administering single standard dose praziquantel (40 mg/kg) treatments to millions of African children. Steps taken in securing international advocacy and national level implementation are traced to highlight an international treatment platform set for further expansion, including surveillance of schistosomiasis, school-level targeting with better on-site drug administration and annual reporting of programmatic indicators (i.e., treatment coverage), potentially in real-time. Several shortcomings in need of resolution are identified and efficacy of praziquantel is assessed by a systematic review. If WHO predictions in reduction of schistosomiasis are to be realized, careful international harmonization and tailoring of national resources are required. Maintaining an effective drug distribution system and regularly checking drug efficacy are paramount. © 2013 Informa UK Ltd.","author":[{"dropping-particle":"","family":"Stothard","given":"J. Russell","non-dropping-particle":"","parse-names":false,"suffix":""},{"dropping-particle":"","family":"Sousa-Figueiredo","given":"José C.","non-dropping-particle":"","parse-names":false,"suffix":""},{"dropping-particle":"","family":"Navaratnam","given":"Annalan M.D.","non-dropping-particle":"","parse-names":false,"suffix":""}],"container-title":"Expert Review of Anti-Infective Therapy","id":"ITEM-1","issue":"7","issued":{"date-parts":[["2013"]]},"page":"733-752","title":"Advocacy, policies and practicalities of preventive chemotherapy campaigns for African children with schistosomiasis","type":"article-journal","volume":"11"},"uris":["http://www.mendeley.com/documents/?uuid=62d1f001-1f4b-4667-8ef1-e7110d96c34a"]}],"mendeley":{"formattedCitation":"[110]","plainTextFormattedCitation":"[110]","previouslyFormattedCitation":"[110]"},"properties":{"noteIndex":0},"schema":"https://github.com/citation-style-language/schema/raw/master/csl-citation.json"}</w:instrText>
      </w:r>
      <w:r w:rsidRPr="00636111">
        <w:fldChar w:fldCharType="separate"/>
      </w:r>
      <w:r w:rsidR="00F0018A" w:rsidRPr="00F0018A">
        <w:rPr>
          <w:noProof/>
        </w:rPr>
        <w:t>[110]</w:t>
      </w:r>
      <w:r w:rsidRPr="00636111">
        <w:fldChar w:fldCharType="end"/>
      </w:r>
      <w:r w:rsidRPr="00636111">
        <w:t xml:space="preserve">. </w:t>
      </w:r>
      <w:r w:rsidR="00D93588" w:rsidRPr="00636111">
        <w:t>Though praziquantel</w:t>
      </w:r>
      <w:r w:rsidR="00410AF0" w:rsidRPr="00636111">
        <w:t>’</w:t>
      </w:r>
      <w:r w:rsidR="00D93588" w:rsidRPr="00636111">
        <w:t>s mechanism of action is not currently fully understood, significant</w:t>
      </w:r>
      <w:r w:rsidR="00D93588" w:rsidRPr="00950B87">
        <w:t xml:space="preserve"> reductions in disease prevalence and morbidity have been seen globally since MDA programmes began in 2001</w:t>
      </w:r>
      <w:r w:rsidR="00D93588">
        <w:t xml:space="preserve"> </w:t>
      </w:r>
      <w:commentRangeStart w:id="25"/>
      <w:r w:rsidR="00D93588">
        <w:fldChar w:fldCharType="begin" w:fldLock="1"/>
      </w:r>
      <w:r w:rsidR="00FF7476">
        <w:instrText>ADDIN CSL_CITATION {"citationItems":[{"id":"ITEM-1","itemData":{"DOI":"10.1016/j.pt.2019.11.002","ISSN":"14715007","abstract":"Infections caused by parasitic flatworms impose a considerable worldwide health burden. One of the most impactful is schistosomiasis, a disease caused by parasitic blood flukes. Treatment of schistosomiasis has relied on a single drug – praziquantel (PZQ) – for decades. The utility of PZQ as an essential medication is, however, intertwined with a stark gap in our knowledge as to how this drug works. No flatworm target has been identified that readily explains how PZQ paralyzes and damages schistosomes. Recently, a schistosome ion channel was discovered that is activated by PZQ and displays characteristics which mirror key features of PZQ action on schistosomes. Here, the journey to discovery of this target, properties of this ion channel, and remaining questions are reviewed.","author":[{"dropping-particle":"","family":"Park","given":"Sang Kyu","non-dropping-particle":"","parse-names":false,"suffix":""},{"dropping-particle":"","family":"Marchant","given":"Jonathan S.","non-dropping-particle":"","parse-names":false,"suffix":""}],"container-title":"Trends in Parasitology","id":"ITEM-1","issue":"2","issued":{"date-parts":[["2020"]]},"page":"182-194","publisher":"Elsevier Inc.","title":"The Journey to Discovering a Flatworm Target of Praziquantel: A Long TRP","type":"article-journal","volume":"36"},"uris":["http://www.mendeley.com/documents/?uuid=e16146a2-eb4f-4713-a1b1-554ef00ad9da"]},{"id":"ITEM-2","itemData":{"DOI":"10.1016/S1473-3099(16)30535-7","ISSN":"14744457","PMID":"27914852","abstract":"In 2001, the World Health Assembly (WHA) passed the landmark WHA 54.19 resolution for global scale-up of mass administration of anthelmintic drugs for morbidity control of schistosomiasis and soil-transmitted helminthiasis, which affect more than 1·5 billion of the world's poorest people. Since then, more than a decade of research and experience has yielded crucial knowledge on the control and elimination of these helminthiases. However, the global strategy has remained largely unchanged since the original 2001 WHA resolution and associated WHO guidelines on preventive chemotherapy. In this Personal View, we highlight recent advances that, taken together, support a call to revise the global strategy and guidelines for preventive chemotherapy and complementary interventions against schistosomiasis and soil-transmitted helminthiasis. These advances include the development of guidance that is specific to goals of morbidity control and elimination of transmission. We quantify the result of forgoing this opportunity by computing the yearly disease burden, mortality, and lost economic productivity associated with maintaining the status quo. Without change, we estimate that the population of sub-Saharan Africa will probably lose 2·3 million disability-adjusted life-years and US$3·5 billion of economic productivity every year, which is comparable to recent acute epidemics, including the 2014 Ebola and 2015 Zika epidemics. We propose that the time is now to strengthen the global strategy to address the substantial disease burden of schistosomiasis and soil-transmitted helminthiasis.","author":[{"dropping-particle":"","family":"Lo","given":"Nathan C.","non-dropping-particle":"","parse-names":false,"suffix":""},{"dropping-particle":"","family":"Addiss","given":"David G.","non-dropping-particle":"","parse-names":false,"suffix":""},{"dropping-particle":"","family":"Hotez","given":"Peter J.","non-dropping-particle":"","parse-names":false,"suffix":""},{"dropping-particle":"","family":"King","given":"Charles H.","non-dropping-particle":"","parse-names":false,"suffix":""},{"dropping-particle":"","family":"Stothard","given":"J. Russell","non-dropping-particle":"","parse-names":false,"suffix":""},{"dropping-particle":"","family":"Evans","given":"Darin S.","non-dropping-particle":"","parse-names":false,"suffix":""},{"dropping-particle":"","family":"Colley","given":"Daniel G.","non-dropping-particle":"","parse-names":false,"suffix":""},{"dropping-particle":"","family":"Lin","given":"William","non-dropping-particle":"","parse-names":false,"suffix":""},{"dropping-particle":"","family":"Coulibaly","given":"Jean T.","non-dropping-particle":"","parse-names":false,"suffix":""},{"dropping-particle":"","family":"Bustinduy","given":"Amaya L.","non-dropping-particle":"","parse-names":false,"suffix":""},{"dropping-particle":"","family":"Raso","given":"Giovanna","non-dropping-particle":"","parse-names":false,"suffix":""},{"dropping-particle":"","family":"Bendavid","given":"Eran","non-dropping-particle":"","parse-names":false,"suffix":""},{"dropping-particle":"","family":"Bogoch","given":"Isaac I.","non-dropping-particle":"","parse-names":false,"suffix":""},{"dropping-particle":"","family":"Fenwick","given":"Alan","non-dropping-particle":"","parse-names":false,"suffix":""},{"dropping-particle":"","family":"Savioli","given":"Lorenzo","non-dropping-particle":"","parse-names":false,"suffix":""},{"dropping-particle":"","family":"Molyneux","given":"David","non-dropping-particle":"","parse-names":false,"suffix":""},{"dropping-particle":"","family":"Utzinger","given":"Jürg","non-dropping-particle":"","parse-names":false,"suffix":""},{"dropping-particle":"","family":"Andrews","given":"Jason R.","non-dropping-particle":"","parse-names":false,"suffix":""}],"container-title":"The Lancet Infectious Diseases","id":"ITEM-2","issue":"2","issued":{"date-parts":[["2017"]]},"page":"e64-e69","publisher":"Elsevier Ltd","title":"A call to strengthen the global strategy against schistosomiasis and soil-transmitted helminthiasis: the time is now","type":"article-journal","volume":"17"},"uris":["http://www.mendeley.com/documents/?uuid=1ceea87b-2854-4845-9bb9-2ca3dea49c81"]}],"mendeley":{"formattedCitation":"[111,112]","plainTextFormattedCitation":"[111,112]","previouslyFormattedCitation":"[111,112]"},"properties":{"noteIndex":0},"schema":"https://github.com/citation-style-language/schema/raw/master/csl-citation.json"}</w:instrText>
      </w:r>
      <w:r w:rsidR="00D93588">
        <w:fldChar w:fldCharType="separate"/>
      </w:r>
      <w:r w:rsidR="00F0018A" w:rsidRPr="00F0018A">
        <w:rPr>
          <w:noProof/>
        </w:rPr>
        <w:t>[111,112]</w:t>
      </w:r>
      <w:r w:rsidR="00D93588">
        <w:fldChar w:fldCharType="end"/>
      </w:r>
      <w:commentRangeEnd w:id="25"/>
      <w:r w:rsidR="00924AE7">
        <w:rPr>
          <w:rStyle w:val="CommentReference"/>
          <w:rFonts w:asciiTheme="minorHAnsi" w:eastAsiaTheme="minorHAnsi" w:hAnsiTheme="minorHAnsi" w:cstheme="minorBidi"/>
          <w:snapToGrid/>
          <w:color w:val="auto"/>
          <w:lang w:val="en-GB" w:eastAsia="en-US" w:bidi="ar-SA"/>
        </w:rPr>
        <w:commentReference w:id="25"/>
      </w:r>
      <w:r w:rsidR="00D93588" w:rsidRPr="00950B87">
        <w:t>. Reinfection of schistosomiasis following treatment is, however, commonplace owing to a communities’ reliance on freshwater and so MDA must be repeated annually or biannually, depending on disease prevalence, to achieve a sustained impact</w:t>
      </w:r>
      <w:r w:rsidR="00D93588">
        <w:t>.</w:t>
      </w:r>
    </w:p>
    <w:p w14:paraId="6771138C" w14:textId="55551DEF" w:rsidR="004D573A" w:rsidRDefault="004D573A" w:rsidP="003E543C">
      <w:pPr>
        <w:pStyle w:val="MDPI31text"/>
        <w:spacing w:line="276" w:lineRule="auto"/>
      </w:pPr>
      <w:r>
        <w:t>Severe adverse effects are seen only very rarely when distributing praziquantel, making it well suited for mass distribution</w:t>
      </w:r>
      <w:r w:rsidRPr="00A01F0E">
        <w:t>.</w:t>
      </w:r>
      <w:r w:rsidR="004A3DC2" w:rsidRPr="00A01F0E">
        <w:t xml:space="preserve"> </w:t>
      </w:r>
      <w:commentRangeStart w:id="26"/>
      <w:r w:rsidRPr="00A01F0E">
        <w:t xml:space="preserve">Praziquantel, however, typically does not achieve 100% infection clearance </w:t>
      </w:r>
      <w:r w:rsidR="00E87F4C" w:rsidRPr="00A01F0E">
        <w:t>primarily</w:t>
      </w:r>
      <w:r w:rsidRPr="00A01F0E">
        <w:t xml:space="preserve"> because dosing is usually based only on height</w:t>
      </w:r>
      <w:r w:rsidR="000051EF">
        <w:t xml:space="preserve"> </w:t>
      </w:r>
      <w:r w:rsidRPr="00A01F0E">
        <w:t>and so does not account for differences in body mass</w:t>
      </w:r>
      <w:r w:rsidR="002F60FB" w:rsidRPr="00A01F0E">
        <w:t xml:space="preserve">. </w:t>
      </w:r>
      <w:r w:rsidR="000C1C4B" w:rsidRPr="00A01F0E">
        <w:t>As a result</w:t>
      </w:r>
      <w:r w:rsidR="002F60FB" w:rsidRPr="00A01F0E">
        <w:t>,</w:t>
      </w:r>
      <w:r w:rsidRPr="00A01F0E">
        <w:t xml:space="preserve"> treatment success </w:t>
      </w:r>
      <w:r w:rsidR="00965DE9">
        <w:t xml:space="preserve">varies </w:t>
      </w:r>
      <w:r w:rsidRPr="00A01F0E">
        <w:t xml:space="preserve">between individuals meaning many are still able to continue maintaining transmission </w:t>
      </w:r>
      <w:commentRangeEnd w:id="26"/>
      <w:r w:rsidR="00EA6EFB" w:rsidRPr="00A01F0E">
        <w:rPr>
          <w:rStyle w:val="CommentReference"/>
          <w:rFonts w:asciiTheme="minorHAnsi" w:eastAsiaTheme="minorHAnsi" w:hAnsiTheme="minorHAnsi" w:cstheme="minorBidi"/>
          <w:snapToGrid/>
          <w:color w:val="auto"/>
          <w:lang w:val="en-GB" w:eastAsia="en-US" w:bidi="ar-SA"/>
        </w:rPr>
        <w:commentReference w:id="26"/>
      </w:r>
      <w:r>
        <w:fldChar w:fldCharType="begin" w:fldLock="1"/>
      </w:r>
      <w:r w:rsidR="00FF7476">
        <w:instrText>ADDIN CSL_CITATION {"citationItems":[{"id":"ITEM-1","itemData":{"DOI":"10.1007/s00436-012-3151-z","ISSN":"09320113","abstract":"Since praziquantel was developed in 1970s, it has replaced other antischistosomal drugs to become the only drug of choice for treatment of human schistosomiases, due to high efficacy, excellent tolerability, few and transient side effects, simple administration, and competitive cost. Praziquantel-based chemotherapy has been involved in the global control strategy of the disease and led to the control strategy shifting from disease control to morbidity control, which has greatly reduced the prevalence and intensity of infections. Given that the drug has been widely used for morbidity control in endemic areas for more than three decades, the emergence of resistance of Schistosoma to praziquantel under drug selection pressure has been paid much attention. It is possible to induce resistance of Schistosoma mansoni and Schistosoma japonicum to praziquantel in mice under laboratorial conditions, and a reduced susceptibility to praziquantel in the field isolates of S. mansoni has been found in many foci. In addition, there are several schistosomiasis cases caused by Schistosoma haematobium infections in which repeated standard treatment fails to clear the infection. However, in the absence of exact mechanisms of action of praziquantel, the mechanisms of drug resistance in schistosomes remain unclear. The present review mainly demonstrates the evidence of drug resistance in the laboratory and field and the mechanism of praziquantel resistance and proposes some strategies for control of praziquantel resistance in schistosomes. © 2012 Springer-Verlag Berlin Heidelberg.","author":[{"dropping-particle":"","family":"Wang","given":"Wei","non-dropping-particle":"","parse-names":false,"suffix":""},{"dropping-particle":"","family":"Wang","given":"Li","non-dropping-particle":"","parse-names":false,"suffix":""},{"dropping-particle":"","family":"Liang","given":"You Sheng","non-dropping-particle":"","parse-names":false,"suffix":""}],"container-title":"Parasitology Research","id":"ITEM-1","issue":"5","issued":{"date-parts":[["2012"]]},"page":"1871-1877","title":"Susceptibility or resistance of praziquantel in human schistosomiasis: A review","type":"article-journal","volume":"111"},"uris":["http://www.mendeley.com/documents/?uuid=42cfefd6-642c-4208-a6e4-2feb15a94bec"]}],"mendeley":{"formattedCitation":"[113]","plainTextFormattedCitation":"[113]","previouslyFormattedCitation":"[113]"},"properties":{"noteIndex":0},"schema":"https://github.com/citation-style-language/schema/raw/master/csl-citation.json"}</w:instrText>
      </w:r>
      <w:r>
        <w:fldChar w:fldCharType="separate"/>
      </w:r>
      <w:r w:rsidR="00F0018A" w:rsidRPr="00F0018A">
        <w:rPr>
          <w:noProof/>
        </w:rPr>
        <w:t>[113]</w:t>
      </w:r>
      <w:r>
        <w:fldChar w:fldCharType="end"/>
      </w:r>
      <w:r>
        <w:t xml:space="preserve">. In addition, and whilst local school-systems provide a viable means of mass-distributing praziquantel, important human reservoirs of infection, including pre-school-aged children and adults, typically remain untreated </w:t>
      </w:r>
      <w:r>
        <w:fldChar w:fldCharType="begin" w:fldLock="1"/>
      </w:r>
      <w:r w:rsidR="00FF7476">
        <w:instrText>ADDIN CSL_CITATION {"citationItems":[{"id":"ITEM-1","itemData":{"DOI":"10.1371/journal.pntd.0004946","ISSN":"19352735","author":[{"dropping-particle":"","family":"Bustinduy","given":"Amaya L.","non-dropping-particle":"","parse-names":false,"suffix":""},{"dropping-particle":"","family":"Friedman","given":"Jennifer F.","non-dropping-particle":"","parse-names":false,"suffix":""},{"dropping-particle":"","family":"Kjetland","given":"Eyrun Floerecke","non-dropping-particle":"","parse-names":false,"suffix":""},{"dropping-particle":"","family":"Ezeamama","given":"Amara E.","non-dropping-particle":"","parse-names":false,"suffix":""},{"dropping-particle":"","family":"Kabatereine","given":"Narcis B.","non-dropping-particle":"","parse-names":false,"suffix":""},{"dropping-particle":"","family":"Stothard","given":"J. Russell","non-dropping-particle":"","parse-names":false,"suffix":""},{"dropping-particle":"","family":"King","given":"Charles H.","non-dropping-particle":"","parse-names":false,"suffix":""}],"container-title":"PLoS Neglected Tropical Diseases","id":"ITEM-1","issue":"9","issued":{"date-parts":[["2016"]]},"page":"1-7","title":"Expanding Praziquantel (PZQ) Access beyond Mass Drug Administration Programs: Paving a Way Forward for a Pediatric PZQ Formulation for Schistosomiasis","type":"article-journal","volume":"10"},"uris":["http://www.mendeley.com/documents/?uuid=1f13bc63-2234-457d-8efb-1271e308aba0"]},{"id":"ITEM-2","itemData":{"DOI":"10.1016/j.pt.2013.02.001","ISSN":"14714922","abstract":"The occurrence of schistosomiasis within African infants and preschool children has been much better documented in recent years, revealing an important burden of disease previously overlooked. Despite mounting evidence showing that treatment with praziquantel is safe, beneficial, and could be delivered within ongoing public health interventions, young children still do not have satisfactory access to this drug, and a significant treatment gap exists. Progress towards resolution of this unfortunate health inequity is highlighted, including the development of an appropriate paediatric praziquantel formulation, and present blocks are identified on securing this issue within the international health agenda. © 2013 Elsevier Ltd.","author":[{"dropping-particle":"","family":"Stothard","given":"J. Russell","non-dropping-particle":"","parse-names":false,"suffix":""},{"dropping-particle":"","family":"Sousa-Figueiredo","given":"José C.","non-dropping-particle":"","parse-names":false,"suffix":""},{"dropping-particle":"","family":"Betson","given":"Martha","non-dropping-particle":"","parse-names":false,"suffix":""},{"dropping-particle":"","family":"Bustinduy","given":"Amaya","non-dropping-particle":"","parse-names":false,"suffix":""},{"dropping-particle":"","family":"Reinhard-Rupp","given":"Jutta","non-dropping-particle":"","parse-names":false,"suffix":""}],"container-title":"Trends in Parasitology","id":"ITEM-2","issue":"4","issued":{"date-parts":[["2013"]]},"page":"197-205","title":"Schistosomiasis in African infants and preschool children: Let them now be treated!","type":"article-journal","volume":"29"},"uris":["http://www.mendeley.com/documents/?uuid=eee493ab-b4c5-4101-bfbb-5771d0d14051"]}],"mendeley":{"formattedCitation":"[106,114]","plainTextFormattedCitation":"[106,114]","previouslyFormattedCitation":"[106,114]"},"properties":{"noteIndex":0},"schema":"https://github.com/citation-style-language/schema/raw/master/csl-citation.json"}</w:instrText>
      </w:r>
      <w:r>
        <w:fldChar w:fldCharType="separate"/>
      </w:r>
      <w:r w:rsidR="00F0018A" w:rsidRPr="00F0018A">
        <w:rPr>
          <w:noProof/>
        </w:rPr>
        <w:t>[106,114]</w:t>
      </w:r>
      <w:r>
        <w:fldChar w:fldCharType="end"/>
      </w:r>
      <w:r>
        <w:t xml:space="preserve">. </w:t>
      </w:r>
    </w:p>
    <w:p w14:paraId="7807BFE4" w14:textId="72FB7E7B" w:rsidR="004D573A" w:rsidRPr="00CC196B" w:rsidRDefault="004D573A" w:rsidP="00660637">
      <w:pPr>
        <w:pStyle w:val="MDPI31text"/>
        <w:spacing w:line="276" w:lineRule="auto"/>
        <w:rPr>
          <w:szCs w:val="20"/>
        </w:rPr>
      </w:pPr>
      <w:r>
        <w:t xml:space="preserve">The need for repeated annual or biannual distribution of MDA in </w:t>
      </w:r>
      <w:r w:rsidRPr="0033394C">
        <w:t xml:space="preserve">this way has </w:t>
      </w:r>
      <w:r>
        <w:t xml:space="preserve">also </w:t>
      </w:r>
      <w:r w:rsidRPr="0033394C">
        <w:t xml:space="preserve">raised </w:t>
      </w:r>
      <w:r>
        <w:t>regular</w:t>
      </w:r>
      <w:r w:rsidRPr="0033394C">
        <w:t xml:space="preserve"> concerns about the development of praziquantel resistance in schistosomes; particularly as there is currently no-known efficacious alternative treatment to replace praziquantel if </w:t>
      </w:r>
      <w:r w:rsidRPr="0033394C">
        <w:rPr>
          <w:i/>
          <w:iCs/>
        </w:rPr>
        <w:t xml:space="preserve">Schistosoma </w:t>
      </w:r>
      <w:r w:rsidRPr="0033394C">
        <w:t>populations were to become</w:t>
      </w:r>
      <w:r>
        <w:t xml:space="preserve"> more drug-tolerant or</w:t>
      </w:r>
      <w:r w:rsidRPr="0033394C">
        <w:t xml:space="preserve"> resistant</w:t>
      </w:r>
      <w:r>
        <w:t xml:space="preserve"> </w:t>
      </w:r>
      <w:r>
        <w:fldChar w:fldCharType="begin" w:fldLock="1"/>
      </w:r>
      <w:r w:rsidR="00FF7476">
        <w:instrText>ADDIN CSL_CITATION {"citationItems":[{"id":"ITEM-1","itemData":{"DOI":"10.1186/s40249-017-0286-2","ISBN":"4024901702","ISSN":"20499957","abstract":"The current approach of morbidity control of schistosomiasis, a helminth disease of poverty with considerable public health and socioeconomic impact, is based on preventive chemotherapy with praziquantel. There is a pressing need for new drugs against this disease whose control entirely depends on this single drug that has been widely used over the past 40 years. We argue that a broader anthelminthic approach supplementing praziquantel with new antischistosomals targeting different parasite development stages would not only increase efficacy but also reduce the risk for drug resistance. Repositioning drugs already approved for other diseases provides a shortcut to clinical trials, as it is expected that such drugs rapidly pass the regulatory authorities. The antischistosomal properties of antimalarial drugs (e.g., semisynthetic artemisinins, synthetic trioxolanes, trioxaquines and mefloquine) and of drugs being developed or registered for other purposes (e.g., moxidectin and miltefosin), administered alone or in combination with praziquantel, have been tested in the laboratory and clinical trials. Another avenue to follow is the continued search for new antischistosomal properties in plants. Here, we summarise recent progress made in schistosomiasis chemotherapy, placing particular emphasis on repositioning of existing drugs against schistosomiasis.","author":[{"dropping-particle":"","family":"Bergquist","given":"Robert","non-dropping-particle":"","parse-names":false,"suffix":""},{"dropping-particle":"","family":"Utzinger","given":"Jürg","non-dropping-particle":"","parse-names":false,"suffix":""},{"dropping-particle":"","family":"Keiser","given":"Jennifer","non-dropping-particle":"","parse-names":false,"suffix":""}],"container-title":"Infectious Diseases of Poverty","id":"ITEM-1","issue":"1","issued":{"date-parts":[["2017"]]},"page":"1-10","publisher":"Infectious Diseases of Poverty","title":"Controlling schistosomiasis with praziquantel: How much longer without a viable alternative?","type":"article-journal","volume":"6"},"uris":["http://www.mendeley.com/documents/?uuid=82d24a3b-3457-4d02-bf7d-1b6e0070a798"]},{"id":"ITEM-2","itemData":{"DOI":"10.1097/QCO.0b013e328318978f","ISSN":"09517375","PMID":"18978535","abstract":"Purpose of review: Praziquantel (PZQ) is the only drug being used to treat human schistosomiasis on a large scale. This review focuses on current knowledge about the mechanisms of action of PZQ, prospects for PZQ resistance, possible future alternative drugs and on exhortations that control of schistosomiasis and other so-called neglected tropical diseases becomes more integrated. Recent findings: Schistosome calcium ion (Ca2+) channels are the only moiety so far identified as the molecular target of PZQ, but the evidence remains indirect. In the presence of cytochalasin D worms survive high concentrations of PZQ and experiments with cytochalasin D also indicated that PZQ induced worm death and Ca2+ influx are not correlated. Despite PZQ being widely used, there is no clinically relevant evidence for resistance to date, but worryingly low-cure rates have been recorded in some studies in Africa. Artemisinins and the related 1,2,4-trioxolanes are new promising antischistosomal compounds, as are inhibitors of a schistosome-specific bifunctional enzyme, thioredoxin-glutathione reductase. Summary: Use of PZQ will increase in the foreseeable future, whether given alone or coadministered with other anthelmintics in integrated control programmes. PZQ resistance remains a threat and its prevention requires adequate monitoring of current mass drug administration programmes and development of new schistosomicides. © 2008 Wolters Kluwer Health | Lippincott Williams &amp; Wilkins.","author":[{"dropping-particle":"","family":"Doenhoff","given":"Michael J.","non-dropping-particle":"","parse-names":false,"suffix":""},{"dropping-particle":"","family":"Cioli","given":"Donato","non-dropping-particle":"","parse-names":false,"suffix":""},{"dropping-particle":"","family":"Utzinger","given":"Jürg","non-dropping-particle":"","parse-names":false,"suffix":""}],"container-title":"Current Opinion in Infectious Diseases","id":"ITEM-2","issue":"6","issued":{"date-parts":[["2008"]]},"page":"659-667","title":"Praziquantel: Mechanisms of action, resistance and new derivatives for schistosomiasis","type":"article-journal","volume":"21"},"uris":["http://www.mendeley.com/documents/?uuid=fcd91813-8637-4a54-bc28-726d32b0ac93"]}],"mendeley":{"formattedCitation":"[115,116]","plainTextFormattedCitation":"[115,116]","previouslyFormattedCitation":"[115,116]"},"properties":{"noteIndex":0},"schema":"https://github.com/citation-style-language/schema/raw/master/csl-citation.json"}</w:instrText>
      </w:r>
      <w:r>
        <w:fldChar w:fldCharType="separate"/>
      </w:r>
      <w:r w:rsidR="00F0018A" w:rsidRPr="00F0018A">
        <w:rPr>
          <w:noProof/>
        </w:rPr>
        <w:t>[115,116]</w:t>
      </w:r>
      <w:r>
        <w:fldChar w:fldCharType="end"/>
      </w:r>
      <w:r>
        <w:t xml:space="preserve">. </w:t>
      </w:r>
      <w:r w:rsidRPr="00C333E2">
        <w:t xml:space="preserve">A significant reduction in praziquantel efficacy, identified by a decreased reduction in </w:t>
      </w:r>
      <w:r w:rsidRPr="00C333E2">
        <w:rPr>
          <w:i/>
          <w:iCs/>
        </w:rPr>
        <w:t xml:space="preserve">Schistosoma </w:t>
      </w:r>
      <w:r w:rsidRPr="00C333E2">
        <w:t xml:space="preserve">egg-output from infected individuals pre- and post-praziquantel treatment, has already been reported in </w:t>
      </w:r>
      <w:r w:rsidRPr="00C333E2">
        <w:rPr>
          <w:i/>
          <w:iCs/>
        </w:rPr>
        <w:t xml:space="preserve">S. mansoni </w:t>
      </w:r>
      <w:r w:rsidRPr="00C333E2">
        <w:t>populations in many communities across sub-Saharan Africa that have undergone repeated rounds of MD</w:t>
      </w:r>
      <w:r>
        <w:t xml:space="preserve">A </w:t>
      </w:r>
      <w:r>
        <w:fldChar w:fldCharType="begin" w:fldLock="1"/>
      </w:r>
      <w:r w:rsidR="00FF7476">
        <w:instrText>ADDIN CSL_CITATION {"citationItems":[{"id":"ITEM-1","itemData":{"DOI":"10.1007/s00436-012-3151-z","ISSN":"09320113","abstract":"Since praziquantel was developed in 1970s, it has replaced other antischistosomal drugs to become the only drug of choice for treatment of human schistosomiases, due to high efficacy, excellent tolerability, few and transient side effects, simple administration, and competitive cost. Praziquantel-based chemotherapy has been involved in the global control strategy of the disease and led to the control strategy shifting from disease control to morbidity control, which has greatly reduced the prevalence and intensity of infections. Given that the drug has been widely used for morbidity control in endemic areas for more than three decades, the emergence of resistance of Schistosoma to praziquantel under drug selection pressure has been paid much attention. It is possible to induce resistance of Schistosoma mansoni and Schistosoma japonicum to praziquantel in mice under laboratorial conditions, and a reduced susceptibility to praziquantel in the field isolates of S. mansoni has been found in many foci. In addition, there are several schistosomiasis cases caused by Schistosoma haematobium infections in which repeated standard treatment fails to clear the infection. However, in the absence of exact mechanisms of action of praziquantel, the mechanisms of drug resistance in schistosomes remain unclear. The present review mainly demonstrates the evidence of drug resistance in the laboratory and field and the mechanism of praziquantel resistance and proposes some strategies for control of praziquantel resistance in schistosomes. © 2012 Springer-Verlag Berlin Heidelberg.","author":[{"dropping-particle":"","family":"Wang","given":"Wei","non-dropping-particle":"","parse-names":false,"suffix":""},{"dropping-particle":"","family":"Wang","given":"Li","non-dropping-particle":"","parse-names":false,"suffix":""},{"dropping-particle":"","family":"Liang","given":"You Sheng","non-dropping-particle":"","parse-names":false,"suffix":""}],"container-title":"Parasitology Research","id":"ITEM-1","issue":"5","issued":{"date-parts":[["2012"]]},"page":"1871-1877","title":"Susceptibility or resistance of praziquantel in human schistosomiasis: A review","type":"article-journal","volume":"111"},"uris":["http://www.mendeley.com/documents/?uuid=42cfefd6-642c-4208-a6e4-2feb15a94bec"]}],"mendeley":{"formattedCitation":"[113]","plainTextFormattedCitation":"[113]","previouslyFormattedCitation":"[113]"},"properties":{"noteIndex":0},"schema":"https://github.com/citation-style-language/schema/raw/master/csl-citation.json"}</w:instrText>
      </w:r>
      <w:r>
        <w:fldChar w:fldCharType="separate"/>
      </w:r>
      <w:r w:rsidR="00F0018A" w:rsidRPr="00F0018A">
        <w:rPr>
          <w:noProof/>
        </w:rPr>
        <w:t>[113]</w:t>
      </w:r>
      <w:r>
        <w:fldChar w:fldCharType="end"/>
      </w:r>
      <w:r w:rsidRPr="00C333E2">
        <w:t xml:space="preserve">. This reduced </w:t>
      </w:r>
      <w:r>
        <w:t>efficacy may be</w:t>
      </w:r>
      <w:r w:rsidRPr="00C333E2">
        <w:t xml:space="preserve"> a direct result of selection pressure placed on schistosomes during repeated and prolonged MDA campaigns</w:t>
      </w:r>
      <w:r>
        <w:t>; highlighting an urgent need to consider alternative methods of disease control outside of MDA.</w:t>
      </w:r>
    </w:p>
    <w:p w14:paraId="5C598C75" w14:textId="327812F5" w:rsidR="004D573A" w:rsidRDefault="004D573A" w:rsidP="00660637">
      <w:pPr>
        <w:pStyle w:val="MDPI31text"/>
        <w:spacing w:line="276" w:lineRule="auto"/>
      </w:pPr>
      <w:r>
        <w:t xml:space="preserve">A variety of drugs can be used to treat </w:t>
      </w:r>
      <w:r w:rsidR="000702F8">
        <w:t>giardiasis</w:t>
      </w:r>
      <w:r w:rsidR="000702F8" w:rsidRPr="00152AD9">
        <w:t xml:space="preserve"> </w:t>
      </w:r>
      <w:r>
        <w:fldChar w:fldCharType="begin" w:fldLock="1"/>
      </w:r>
      <w:r w:rsidR="00FF7476">
        <w:instrText>ADDIN CSL_CITATION {"citationItems":[{"id":"ITEM-1","itemData":{"DOI":"10.1007/s11938-005-0047-3","ISSN":"10928472","abstract":"Tinidazole is the first-line drug treatment of giardiasis, as it requires only a single dose to cure infection in most individuals. The related drug metronidazole is as effective, but it requires 5 to 7 days of three times a day therapy. Nitazoxanide appears in limited studies to be as effective as tinidazole or metronidazole, and it does not have the bitter taste of nitroimidazoles. A good alternate for use during pregnancy is paromomycin. Cure of infection varies between 60% and 100% with one course of treatment. Less effective and/or less well-tolerated drugs for the treatment of giardiasis include albendazole, quinacrine, and furazolidone; the use of these agents should be reserved for giardiasis refractory to treatment with the first-line agents. Copyright © 2005 by Current Science Inc.","author":[{"dropping-particle":"","family":"Hill","given":"David. R.","non-dropping-particle":"","parse-names":false,"suffix":""},{"dropping-particle":"","family":"Timothy.B.","given":"Gardner","non-dropping-particle":"","parse-names":false,"suffix":""}],"container-title":"Current Treatment Options in Gastroenterology","id":"ITEM-1","issue":"1","issued":{"date-parts":[["2005"]]},"page":"13-17","title":"Treatment of giardiasis","type":"article-journal","volume":"8"},"uris":["http://www.mendeley.com/documents/?uuid=0908b0f4-5986-44e8-8e9f-556b62b0147b"]},{"id":"ITEM-2","itemData":{"DOI":"10.1002/14651858.CD007787.pub2.www.cochranelibrary.com","author":[{"dropping-particle":"","family":"Ce","given":"Granados","non-dropping-particle":"","parse-names":false,"suffix":""},{"dropping-particle":"","family":"Reveiz","given":"L","non-dropping-particle":"","parse-names":false,"suffix":""},{"dropping-particle":"","family":"Lg","given":"Uribe","non-dropping-particle":"","parse-names":false,"suffix":""},{"dropping-particle":"","family":"Cp","given":"Criollo","non-dropping-particle":"","parse-names":false,"suffix":""}],"id":"ITEM-2","issue":"12","issued":{"date-parts":[["2012"]]},"title":"Drugs for treating giardiasis ( Review )","type":"article-journal"},"uris":["http://www.mendeley.com/documents/?uuid=87bb96c5-d9d2-4162-a166-f389d73c8375"]}],"mendeley":{"formattedCitation":"[117,118]","plainTextFormattedCitation":"[117,118]","previouslyFormattedCitation":"[117,118]"},"properties":{"noteIndex":0},"schema":"https://github.com/citation-style-language/schema/raw/master/csl-citation.json"}</w:instrText>
      </w:r>
      <w:r>
        <w:fldChar w:fldCharType="separate"/>
      </w:r>
      <w:r w:rsidR="00F0018A" w:rsidRPr="00F0018A">
        <w:rPr>
          <w:noProof/>
        </w:rPr>
        <w:t>[117,118]</w:t>
      </w:r>
      <w:r>
        <w:fldChar w:fldCharType="end"/>
      </w:r>
      <w:r>
        <w:t xml:space="preserve">. Of these, metronidazole is the most predominantly used and most thoroughly studied owing to its straightforward oral administration and relatively low price. Like with schistosomiasis, reinfection with </w:t>
      </w:r>
      <w:r>
        <w:rPr>
          <w:bCs/>
        </w:rPr>
        <w:t>giardiasis</w:t>
      </w:r>
      <w:r>
        <w:t xml:space="preserve"> is also commonplace, however, repeated mass drug administration to alleviate </w:t>
      </w:r>
      <w:r>
        <w:rPr>
          <w:bCs/>
        </w:rPr>
        <w:t>giardiasis</w:t>
      </w:r>
      <w:r>
        <w:t xml:space="preserve"> transmission is not seen as a feasible strategy because the drug is not currently involved in any donation scheme, severe adverse effects of treatment are often seen, and metronidazole has only limited efficacy in clearing infection </w:t>
      </w:r>
      <w:r w:rsidRPr="000A0165">
        <w:fldChar w:fldCharType="begin" w:fldLock="1"/>
      </w:r>
      <w:r w:rsidR="00FF7476">
        <w:instrText>ADDIN CSL_CITATION {"citationItems":[{"id":"ITEM-1","itemData":{"DOI":"10.1007/s11938-005-0047-3","ISSN":"10928472","abstract":"Tinidazole is the first-line drug treatment of giardiasis, as it requires only a single dose to cure infection in most individuals. The related drug metronidazole is as effective, but it requires 5 to 7 days of three times a day therapy. Nitazoxanide appears in limited studies to be as effective as tinidazole or metronidazole, and it does not have the bitter taste of nitroimidazoles. A good alternate for use during pregnancy is paromomycin. Cure of infection varies between 60% and 100% with one course of treatment. Less effective and/or less well-tolerated drugs for the treatment of giardiasis include albendazole, quinacrine, and furazolidone; the use of these agents should be reserved for giardiasis refractory to treatment with the first-line agents. Copyright © 2005 by Current Science Inc.","author":[{"dropping-particle":"","family":"Hill","given":"David. R.","non-dropping-particle":"","parse-names":false,"suffix":""},{"dropping-particle":"","family":"Timothy.B.","given":"Gardner","non-dropping-particle":"","parse-names":false,"suffix":""}],"container-title":"Current Treatment Options in Gastroenterology","id":"ITEM-1","issue":"1","issued":{"date-parts":[["2005"]]},"page":"13-17","title":"Treatment of giardiasis","type":"article-journal","volume":"8"},"uris":["http://www.mendeley.com/documents/?uuid=0908b0f4-5986-44e8-8e9f-556b62b0147b"]}],"mendeley":{"formattedCitation":"[117]","plainTextFormattedCitation":"[117]","previouslyFormattedCitation":"[117]"},"properties":{"noteIndex":0},"schema":"https://github.com/citation-style-language/schema/raw/master/csl-citation.json"}</w:instrText>
      </w:r>
      <w:r w:rsidRPr="000A0165">
        <w:fldChar w:fldCharType="separate"/>
      </w:r>
      <w:r w:rsidR="00F0018A" w:rsidRPr="00F0018A">
        <w:rPr>
          <w:noProof/>
        </w:rPr>
        <w:t>[117]</w:t>
      </w:r>
      <w:r w:rsidRPr="000A0165">
        <w:fldChar w:fldCharType="end"/>
      </w:r>
      <w:r w:rsidRPr="000A0165">
        <w:t>. As an example, it has been reported that just one course of treatment has only an approximately 60</w:t>
      </w:r>
      <w:r>
        <w:t xml:space="preserve">% clearance rate and so repeated treatment is needed to significantly clear infection </w:t>
      </w:r>
      <w:r>
        <w:fldChar w:fldCharType="begin" w:fldLock="1"/>
      </w:r>
      <w:r w:rsidR="00FF7476">
        <w:instrText>ADDIN CSL_CITATION {"citationItems":[{"id":"ITEM-1","itemData":{"DOI":"10.1016/j.cmi.2017.05.028","ISSN":"14690691","abstract":"Background Giardia intestinalis is microaerophilic diarrhoea-causing protozoan common in countries with suboptimal sanitation. Standard treatment is with nitroimidazoles, but a growing number of refractory cases is being reported. Treatment failure has become increasingly prevalent in travellers who contract giardiasis in Asia. Clinicians are increasingly falling back on second-line and less well-known drugs to treat giardiasis. Aims To review nitroimidazole-refractory G. intestinalis infection, examine the current efficacy of standard therapeutic agents, consider potential resistance mechanisms which could cause treatment failure and describe the practical aspects of managing this emerging clinical problem. Sources A PubMed search was conducted using combinations of the following terms: refractory, Giardia, giardiasis, resistance and treatment. Articles on the pharmacotherapy, drug resistance mechanisms and use of alternative agents in nitroimidazole-refractory giardiasis were reviewed. Content We review the standard drugs for giardiasis, including their efficacy in initial treatment, mode of action and documented in vitro and in vivo drug resistance. We assess the efficacy of alternative drugs in nitroimidazole-refractory disease. Existing data suggest a potential advantage of combination treatment. Implications An optimal treatment strategy for refractory giardiasis has still to be determined, so there is no standard treatment regimen for nitroimidazole-refractory giardiasis. Further work on drug resistance mechanisms and the use of drug combinations in this condition is a priority.","author":[{"dropping-particle":"","family":"Carter","given":"E. R.","non-dropping-particle":"","parse-names":false,"suffix":""},{"dropping-particle":"","family":"Nabarro","given":"L. E.","non-dropping-particle":"","parse-names":false,"suffix":""},{"dropping-particle":"","family":"Hedley","given":"L.","non-dropping-particle":"","parse-names":false,"suffix":""},{"dropping-particle":"","family":"Chiodini","given":"P. L.","non-dropping-particle":"","parse-names":false,"suffix":""}],"container-title":"Clinical Microbiology and Infection","id":"ITEM-1","issue":"1","issued":{"date-parts":[["2018"]]},"page":"37-42","publisher":"Elsevier Ltd","title":"Nitroimidazole-refractory giardiasis: a growing problem requiring rational solutions","type":"article-journal","volume":"24"},"uris":["http://www.mendeley.com/documents/?uuid=6bce6918-e4ca-47ea-971f-a70536350744"]}],"mendeley":{"formattedCitation":"[119]","plainTextFormattedCitation":"[119]","previouslyFormattedCitation":"[119]"},"properties":{"noteIndex":0},"schema":"https://github.com/citation-style-language/schema/raw/master/csl-citation.json"}</w:instrText>
      </w:r>
      <w:r>
        <w:fldChar w:fldCharType="separate"/>
      </w:r>
      <w:r w:rsidR="00F0018A" w:rsidRPr="00F0018A">
        <w:rPr>
          <w:noProof/>
        </w:rPr>
        <w:t>[119]</w:t>
      </w:r>
      <w:r>
        <w:fldChar w:fldCharType="end"/>
      </w:r>
      <w:r>
        <w:t xml:space="preserve">. Repeated treatment, however, not only significantly increases the likelihood of severe adverse events but is difficult to carry out during MDA campaigns </w:t>
      </w:r>
      <w:r>
        <w:fldChar w:fldCharType="begin" w:fldLock="1"/>
      </w:r>
      <w:r w:rsidR="002512CA">
        <w:instrText>ADDIN CSL_CITATION {"citationItems":[{"id":"ITEM-1","itemData":{"DOI":"10.1186/s13071-017-2111-y","ISSN":"17563305","abstract":"Cryptosporidium and Giardia are important causes of diarrhoeal illness. Adequate knowledge of the molecular diversity and geographical distribution of these parasites and the environmental and climatic variables that influence their prevalence is important for effective control of infection in at-risk populations, yet relatively little is known about the epidemiology of these parasites in Africa. Cryptosporidium is associated with moderate to severe diarrhoea and increased mortality in African countries and both parasites negatively affect child growth and development. Malnutrition and HIV status are also important contributors to the prevalence of Cryptosporidium and Giardia in African countries. Molecular typing of both parasites in humans, domestic animals and wildlife to date indicates a complex picture of both anthroponotic, zoonotic and spill-back transmission cycles that requires further investigation. For Cryptosporidium, the only available drug (nitazoxanide) is ineffective in HIV and malnourished individuals and therefore more effective drugs are a high priority. Several classes of drugs with good efficacy exist for Giardia, but dosing regimens are suboptimal and emerging resistance threatens clinical utility. Climate change and population growth are also predicted to increase both malnutrition and the prevalence of these parasites in water sources. Dedicated and co-ordinated commitments from African governments involving “One Health” initiatives with multidisciplinary teams of veterinarians, medical workers, relevant government authorities, and public health specialists working together are essential to control and prevent the burden of disease caused by these parasites.","author":[{"dropping-particle":"","family":"Squire","given":"Sylvia Afriyie","non-dropping-particle":"","parse-names":false,"suffix":""},{"dropping-particle":"","family":"Ryan","given":"Una","non-dropping-particle":"","parse-names":false,"suffix":""}],"container-title":"Parasites and Vectors","id":"ITEM-1","issue":"1","issued":{"date-parts":[["2017"]]},"page":"1-32","publisher":"Parasites &amp; Vectors","title":"Cryptosporidium and Giardia in Africa: current and future challenges","type":"article-journal","volume":"10"},"uris":["http://www.mendeley.com/documents/?uuid=f3c4b128-d60d-439f-8ec9-587d1928b8f6"]}],"mendeley":{"formattedCitation":"[5]","plainTextFormattedCitation":"[5]","previouslyFormattedCitation":"[5]"},"properties":{"noteIndex":0},"schema":"https://github.com/citation-style-language/schema/raw/master/csl-citation.json"}</w:instrText>
      </w:r>
      <w:r>
        <w:fldChar w:fldCharType="separate"/>
      </w:r>
      <w:r w:rsidR="001A0DC3" w:rsidRPr="001A0DC3">
        <w:rPr>
          <w:noProof/>
        </w:rPr>
        <w:t>[5]</w:t>
      </w:r>
      <w:r>
        <w:fldChar w:fldCharType="end"/>
      </w:r>
      <w:r>
        <w:t xml:space="preserve">. In addition, the potential emergence of </w:t>
      </w:r>
      <w:r>
        <w:rPr>
          <w:bCs/>
        </w:rPr>
        <w:t>giardiasis</w:t>
      </w:r>
      <w:r>
        <w:t xml:space="preserve"> resistance to treatment with metronidazole has also recently been reported, and whilst alternative and more efficacious chemotherapies, such as tinidazole, exist, these are typically far more expensive and too can cause adverse events </w:t>
      </w:r>
      <w:r>
        <w:fldChar w:fldCharType="begin" w:fldLock="1"/>
      </w:r>
      <w:r w:rsidR="00FF7476">
        <w:instrText>ADDIN CSL_CITATION {"citationItems":[{"id":"ITEM-1","itemData":{"DOI":"10.1016/j.cmi.2017.05.028","ISSN":"14690691","abstract":"Background Giardia intestinalis is microaerophilic diarrhoea-causing protozoan common in countries with suboptimal sanitation. Standard treatment is with nitroimidazoles, but a growing number of refractory cases is being reported. Treatment failure has become increasingly prevalent in travellers who contract giardiasis in Asia. Clinicians are increasingly falling back on second-line and less well-known drugs to treat giardiasis. Aims To review nitroimidazole-refractory G. intestinalis infection, examine the current efficacy of standard therapeutic agents, consider potential resistance mechanisms which could cause treatment failure and describe the practical aspects of managing this emerging clinical problem. Sources A PubMed search was conducted using combinations of the following terms: refractory, Giardia, giardiasis, resistance and treatment. Articles on the pharmacotherapy, drug resistance mechanisms and use of alternative agents in nitroimidazole-refractory giardiasis were reviewed. Content We review the standard drugs for giardiasis, including their efficacy in initial treatment, mode of action and documented in vitro and in vivo drug resistance. We assess the efficacy of alternative drugs in nitroimidazole-refractory disease. Existing data suggest a potential advantage of combination treatment. Implications An optimal treatment strategy for refractory giardiasis has still to be determined, so there is no standard treatment regimen for nitroimidazole-refractory giardiasis. Further work on drug resistance mechanisms and the use of drug combinations in this condition is a priority.","author":[{"dropping-particle":"","family":"Carter","given":"E. R.","non-dropping-particle":"","parse-names":false,"suffix":""},{"dropping-particle":"","family":"Nabarro","given":"L. E.","non-dropping-particle":"","parse-names":false,"suffix":""},{"dropping-particle":"","family":"Hedley","given":"L.","non-dropping-particle":"","parse-names":false,"suffix":""},{"dropping-particle":"","family":"Chiodini","given":"P. L.","non-dropping-particle":"","parse-names":false,"suffix":""}],"container-title":"Clinical Microbiology and Infection","id":"ITEM-1","issue":"1","issued":{"date-parts":[["2018"]]},"page":"37-42","publisher":"Elsevier Ltd","title":"Nitroimidazole-refractory giardiasis: a growing problem requiring rational solutions","type":"article-journal","volume":"24"},"uris":["http://www.mendeley.com/documents/?uuid=6bce6918-e4ca-47ea-971f-a70536350744"]},{"id":"ITEM-2","itemData":{"DOI":"10.1007/s11938-005-0047-3","ISSN":"10928472","abstract":"Tinidazole is the first-line drug treatment of giardiasis, as it requires only a single dose to cure infection in most individuals. The related drug metronidazole is as effective, but it requires 5 to 7 days of three times a day therapy. Nitazoxanide appears in limited studies to be as effective as tinidazole or metronidazole, and it does not have the bitter taste of nitroimidazoles. A good alternate for use during pregnancy is paromomycin. Cure of infection varies between 60% and 100% with one course of treatment. Less effective and/or less well-tolerated drugs for the treatment of giardiasis include albendazole, quinacrine, and furazolidone; the use of these agents should be reserved for giardiasis refractory to treatment with the first-line agents. Copyright © 2005 by Current Science Inc.","author":[{"dropping-particle":"","family":"Hill","given":"David. R.","non-dropping-particle":"","parse-names":false,"suffix":""},{"dropping-particle":"","family":"Timothy.B.","given":"Gardner","non-dropping-particle":"","parse-names":false,"suffix":""}],"container-title":"Current Treatment Options in Gastroenterology","id":"ITEM-2","issue":"1","issued":{"date-parts":[["2005"]]},"page":"13-17","title":"Treatment of giardiasis","type":"article-journal","volume":"8"},"uris":["http://www.mendeley.com/documents/?uuid=0908b0f4-5986-44e8-8e9f-556b62b0147b"]},{"id":"ITEM-3","itemData":{"DOI":"10.1002/14651858.CD007787.pub2.www.cochranelibrary.com","author":[{"dropping-particle":"","family":"Ce","given":"Granados","non-dropping-particle":"","parse-names":false,"suffix":""},{"dropping-particle":"","family":"Reveiz","given":"L","non-dropping-particle":"","parse-names":false,"suffix":""},{"dropping-particle":"","family":"Lg","given":"Uribe","non-dropping-particle":"","parse-names":false,"suffix":""},{"dropping-particle":"","family":"Cp","given":"Criollo","non-dropping-particle":"","parse-names":false,"suffix":""}],"id":"ITEM-3","issue":"12","issued":{"date-parts":[["2012"]]},"title":"Drugs for treating giardiasis ( Review )","type":"article-journal"},"uris":["http://www.mendeley.com/documents/?uuid=87bb96c5-d9d2-4162-a166-f389d73c8375"]}],"mendeley":{"formattedCitation":"[117–119]","plainTextFormattedCitation":"[117–119]","previouslyFormattedCitation":"[117–119]"},"properties":{"noteIndex":0},"schema":"https://github.com/citation-style-language/schema/raw/master/csl-citation.json"}</w:instrText>
      </w:r>
      <w:r>
        <w:fldChar w:fldCharType="separate"/>
      </w:r>
      <w:r w:rsidR="00F0018A" w:rsidRPr="00F0018A">
        <w:rPr>
          <w:noProof/>
        </w:rPr>
        <w:t>[117–119]</w:t>
      </w:r>
      <w:r>
        <w:fldChar w:fldCharType="end"/>
      </w:r>
      <w:r>
        <w:t xml:space="preserve">. Albendazole, a broad-spectrum and efficacious anthelmintic treatment used in MDA campaigns to reduce transmission of soil-transmitted helminth and some filarial nematode infections, can also be used to treat </w:t>
      </w:r>
      <w:r w:rsidR="00E81E23">
        <w:t>giardiasis</w:t>
      </w:r>
      <w:r w:rsidR="00E81E23" w:rsidRPr="00152AD9">
        <w:t xml:space="preserve"> </w:t>
      </w:r>
      <w:r>
        <w:fldChar w:fldCharType="begin" w:fldLock="1"/>
      </w:r>
      <w:r w:rsidR="00FF7476">
        <w:instrText>ADDIN CSL_CITATION {"citationItems":[{"id":"ITEM-1","itemData":{"DOI":"10.1007/s11938-005-0047-3","ISSN":"10928472","abstract":"Tinidazole is the first-line drug treatment of giardiasis, as it requires only a single dose to cure infection in most individuals. The related drug metronidazole is as effective, but it requires 5 to 7 days of three times a day therapy. Nitazoxanide appears in limited studies to be as effective as tinidazole or metronidazole, and it does not have the bitter taste of nitroimidazoles. A good alternate for use during pregnancy is paromomycin. Cure of infection varies between 60% and 100% with one course of treatment. Less effective and/or less well-tolerated drugs for the treatment of giardiasis include albendazole, quinacrine, and furazolidone; the use of these agents should be reserved for giardiasis refractory to treatment with the first-line agents. Copyright © 2005 by Current Science Inc.","author":[{"dropping-particle":"","family":"Hill","given":"David. R.","non-dropping-particle":"","parse-names":false,"suffix":""},{"dropping-particle":"","family":"Timothy.B.","given":"Gardner","non-dropping-particle":"","parse-names":false,"suffix":""}],"container-title":"Current Treatment Options in Gastroenterology","id":"ITEM-1","issue":"1","issued":{"date-parts":[["2005"]]},"page":"13-17","title":"Treatment of giardiasis","type":"article-journal","volume":"8"},"uris":["http://www.mendeley.com/documents/?uuid=0908b0f4-5986-44e8-8e9f-556b62b0147b"]},{"id":"ITEM-2","itemData":{"DOI":"10.1371/journal.pntd.0000948","PMID":"21468309","abstract":"Background: The three major soil-transmitted helminths (STH) Ascaris lumbricoides, Trichuris trichiura and Necator americanus/Ancylostoma duodenale are among the most widespread parasites worldwide. Despite the global expansion of preventive anthelmintic treatment, standard operating procedures to monitor anthelmintic drug efficacy are lacking. The objective of this study, therefore, was to define the efficacy of a single 400 milligram dose of albendazole (ALB) against these three STH using a standardized protocol. Methodology/Principal Findings: Seven trials were undertaken among school children in Brazil, Cameroon, Cambodia, Ethiopia, India, Tanzania and Vietnam. Efficacy was assessed by the Cure Rate (CR) and the Fecal Egg Count Reduction (FECR) using the McMaster egg counting technique to determine fecal egg counts (FEC). Overall, the highest CRs were observed for A. lumbricoides (98.2%) followed by hookworms (87.8%) and T. trichiura (46.6%). There was considerable variation in the CR for the three parasites across trials (country), by age or the pre-intervention FEC (pre-treatment). The latter is probably the most important as it had a considerable effect on the CR of all three STH. Therapeutic efficacies, as reflected by the FECRs, were very high for A. lumbricoides (99.5%) and hookworms (94.8%) but significantly lower for T. trichiura (50.8%), and were affected to different extents among the 3 species by the pre-intervention FEC counts and trial (country), but not by sex or age. Conclusions/Significance: Our findings suggest that a FECR (based on arithmetic means) of &amp;95% for A. lumbricoides and &amp;90% for hookworms should be the expected minimum in all future surveys, and that therapeutic efficacy below this level following a single dose of ALB should be viewed with concern in light of potential drug resistance. A standard threshold for efficacy against T. trichiura has yet to be established, as a single-dose of ALB is unlikely to be satisfactory for this parasite. Trial Registration: ClinicalTrials.gov NCT01087099. © 2011 Vercruysse et al.","author":[{"dropping-particle":"","family":"Vercruysse","given":"Jozef","non-dropping-particle":"","parse-names":false,"suffix":""},{"dropping-particle":"","family":"Behnke","given":"Jerzy M.","non-dropping-particle":"","parse-names":false,"suffix":""},{"dropping-particle":"","family":"Albonico","given":"Marco","non-dropping-particle":"","parse-names":false,"suffix":""},{"dropping-particle":"","family":"Ame","given":"Shaali Makame","non-dropping-particle":"","parse-names":false,"suffix":""},{"dropping-particle":"","family":"Angebault","given":"Cécile","non-dropping-particle":"","parse-names":false,"suffix":""},{"dropping-particle":"","family":"Bethony","given":"Jeffrey M.","non-dropping-particle":"","parse-names":false,"suffix":""},{"dropping-particle":"","family":"Engels","given":"Dirk","non-dropping-particle":"","parse-names":false,"suffix":""},{"dropping-particle":"","family":"Guillard","given":"Bertrand","non-dropping-particle":"","parse-names":false,"suffix":""},{"dropping-particle":"","family":"Hoa","given":"Nguyen Thi Viet","non-dropping-particle":"","parse-names":false,"suffix":""},{"dropping-particle":"","family":"Kang","given":"Gagandeep","non-dropping-particle":"","parse-names":false,"suffix":""},{"dropping-particle":"","family":"Kattula","given":"Deepthi","non-dropping-particle":"","parse-names":false,"suffix":""},{"dropping-particle":"","family":"Kotze","given":"Andrew C.","non-dropping-particle":"","parse-names":false,"suffix":""},{"dropping-particle":"","family":"McCarthy","given":"James S.","non-dropping-particle":"","parse-names":false,"suffix":""},{"dropping-particle":"","family":"Mekonnen","given":"Zeleke","non-dropping-particle":"","parse-names":false,"suffix":""},{"dropping-particle":"","family":"Montresor","given":"Antonio","non-dropping-particle":"","parse-names":false,"suffix":""},{"dropping-particle":"","family":"Periago","given":"Maria Victoria","non-dropping-particle":"","parse-names":false,"suffix":""},{"dropping-particle":"","family":"Sumo","given":"Laurentine","non-dropping-particle":"","parse-names":false,"suffix":""},{"dropping-particle":"","family":"Tchuenté","given":"Louis Albert Tchuem","non-dropping-particle":"","parse-names":false,"suffix":""},{"dropping-particle":"","family":"Thach","given":"Dang Thi Cam","non-dropping-particle":"","parse-names":false,"suffix":""},{"dropping-particle":"","family":"Zeynudin","given":"Ahmed","non-dropping-particle":"","parse-names":false,"suffix":""},{"dropping-particle":"","family":"Levecke","given":"Bruno","non-dropping-particle":"","parse-names":false,"suffix":""}],"container-title":"PLoS Neglected Tropical Diseases","id":"ITEM-2","issue":"3","issued":{"date-parts":[["2011"]]},"title":"Assessment of the anthelmintic efficacy of albendazole in school children in seven countries where soil-transmitted helminths are endemic","type":"article-journal","volume":"5"},"uris":["http://www.mendeley.com/documents/?uuid=0c0f698e-0b02-47f1-babd-ebc16233e3fb"]},{"id":"ITEM-3","itemData":{"DOI":"10.1111/j.1469-0691.2011.03586.x","ISSN":"14690691","abstract":"Lymphatic filariasis (LF) and onchocerciasis are parasitic nematode infections that are responsible for a major disease burden in the African continent. Disease symptoms are induced by the immune reactions of the host, with lymphoedema and hydrocoele in LF, and dermatitis and ocular inflammation in onchocerciasis. Wuchereria bancrofti and Onchocerca volvulus, the species causing LF and onchocerciasis in Africa, live in mutual symbiosis with Wolbachia endobacteria, which cause a major part of the inflammation leading to symptoms and are antibiotic targets for treatment. The standard microfilaricidal drugs ivermectin and albendazole are used in mass drug administration programmes, with the aim of interrupting transmission, with a consequent reduction in the burden of infection and, in some situations, leading to regional elimination of LF and onchocerciasis. Co-endemicity of Loa loa with W. bancrofti or O. volvulus is an impediment to mass drug administration with ivermectin and albendazole, owing to the risk of encephalopathy being encountered upon administration of ivermectin. Research into new treatment options is exploring several improved delivery strategies for the classic drugs or new antibiotic treatment regimens for anti-wolbachial chemotherapy. © 2011 The Authors. Clinical Microbiology and Infection © 2011 European Society of Clinical Microbiology and Infectious Diseases.","author":[{"dropping-particle":"","family":"Hoerauf","given":"A.","non-dropping-particle":"","parse-names":false,"suffix":""},{"dropping-particle":"","family":"Pfarr","given":"K.","non-dropping-particle":"","parse-names":false,"suffix":""},{"dropping-particle":"","family":"Mand","given":"S.","non-dropping-particle":"","parse-names":false,"suffix":""},{"dropping-particle":"","family":"Debrah","given":"A. Y.","non-dropping-particle":"","parse-names":false,"suffix":""},{"dropping-particle":"","family":"Specht","given":"S.","non-dropping-particle":"","parse-names":false,"suffix":""}],"container-title":"Clinical Microbiology and Infection","id":"ITEM-3","issue":"7","issued":{"date-parts":[["2011"]]},"page":"977-985","title":"Filariasis in Africa-treatment challenges and prospects","type":"article-journal","volume":"17"},"uris":["http://www.mendeley.com/documents/?uuid=63691afd-ecca-4b76-8225-0fa0c1c3fd40"]}],"mendeley":{"formattedCitation":"[117,120,121]","plainTextFormattedCitation":"[117,120,121]","previouslyFormattedCitation":"[117,120,121]"},"properties":{"noteIndex":0},"schema":"https://github.com/citation-style-language/schema/raw/master/csl-citation.json"}</w:instrText>
      </w:r>
      <w:r>
        <w:fldChar w:fldCharType="separate"/>
      </w:r>
      <w:r w:rsidR="00F0018A" w:rsidRPr="00F0018A">
        <w:rPr>
          <w:noProof/>
        </w:rPr>
        <w:t>[117,120,121]</w:t>
      </w:r>
      <w:r>
        <w:fldChar w:fldCharType="end"/>
      </w:r>
      <w:r>
        <w:t xml:space="preserve">. To significantly reduce </w:t>
      </w:r>
      <w:r w:rsidRPr="005F2568">
        <w:rPr>
          <w:i/>
          <w:iCs/>
        </w:rPr>
        <w:t>Giardia</w:t>
      </w:r>
      <w:r>
        <w:rPr>
          <w:i/>
          <w:iCs/>
        </w:rPr>
        <w:t xml:space="preserve"> </w:t>
      </w:r>
      <w:r>
        <w:t xml:space="preserve">infection, however, a minimum dosage of 200 – 800 mg/day albendazole is needed for at least three concurrent days which, again, is difficult to carry out in the context of MDA campaigns and, by having limited donated stocks, also diminishes albendazole availability for anti-helminth control programmes </w:t>
      </w:r>
      <w:r>
        <w:fldChar w:fldCharType="begin" w:fldLock="1"/>
      </w:r>
      <w:r w:rsidR="00FF7476">
        <w:instrText>ADDIN CSL_CITATION {"citationItems":[{"id":"ITEM-1","itemData":{"DOI":"10.1002/14651858.CD007787.pub2.www.cochranelibrary.com","author":[{"dropping-particle":"","family":"Ce","given":"Granados","non-dropping-particle":"","parse-names":false,"suffix":""},{"dropping-particle":"","family":"Reveiz","given":"L","non-dropping-particle":"","parse-names":false,"suffix":""},{"dropping-particle":"","family":"Lg","given":"Uribe","non-dropping-particle":"","parse-names":false,"suffix":""},{"dropping-particle":"","family":"Cp","given":"Criollo","non-dropping-particle":"","parse-names":false,"suffix":""}],"id":"ITEM-1","issue":"12","issued":{"date-parts":[["2012"]]},"title":"Drugs for treating giardiasis ( Review )","type":"article-journal"},"uris":["http://www.mendeley.com/documents/?uuid=87bb96c5-d9d2-4162-a166-f389d73c8375"]},{"id":"ITEM-2","itemData":{"DOI":"10.1007/s11938-005-0047-3","ISSN":"10928472","abstract":"Tinidazole is the first-line drug treatment of giardiasis, as it requires only a single dose to cure infection in most individuals. The related drug metronidazole is as effective, but it requires 5 to 7 days of three times a day therapy. Nitazoxanide appears in limited studies to be as effective as tinidazole or metronidazole, and it does not have the bitter taste of nitroimidazoles. A good alternate for use during pregnancy is paromomycin. Cure of infection varies between 60% and 100% with one course of treatment. Less effective and/or less well-tolerated drugs for the treatment of giardiasis include albendazole, quinacrine, and furazolidone; the use of these agents should be reserved for giardiasis refractory to treatment with the first-line agents. Copyright © 2005 by Current Science Inc.","author":[{"dropping-particle":"","family":"Hill","given":"David. R.","non-dropping-particle":"","parse-names":false,"suffix":""},{"dropping-particle":"","family":"Timothy.B.","given":"Gardner","non-dropping-particle":"","parse-names":false,"suffix":""}],"container-title":"Current Treatment Options in Gastroenterology","id":"ITEM-2","issue":"1","issued":{"date-parts":[["2005"]]},"page":"13-17","title":"Treatment of giardiasis","type":"article-journal","volume":"8"},"uris":["http://www.mendeley.com/documents/?uuid=0908b0f4-5986-44e8-8e9f-556b62b0147b"]},{"id":"ITEM-3","itemData":{"DOI":"10.1371/journal.pntd.0000682","abstract":"Background: Metronidazole is the most commonly used drug for the treatment of giardiasis in humans. In spite of its therapeutic efficacy for giardiasis, low patient compliance, especially in children, side effects, and the emergence of metronidazole-resistant strains may restrict its use. Albendazole has been used to treat Giardia duodenalis infections in recent years. However, efficacy studies in vivo and in vitro have produced diverse results as to its effectiveness. A moderately benign side effect profile, combined with established efficacy against many helminths, renders it promising for treatment of giardiasis in humans. Methodology and Principal Findings: We performed a search in the PubMed, Scopus, EMBASE, the ISI Web of Science, LILIACS, and Cochrane Controlled Trials Register for trials published before February 2010 as well as in references of relevant research and review articles. Eight randomized clinical trials (including 900 patients) comparing the effectiveness of albendazole with that of metronidazole were included in meta-analysis. After extracting and validating the data, the pooled risk ratio (RR) was calculated using an inverse-variance random-effects model. Albendazole was found to be equally as effective as metronidazole in the treatment of giardiasis in humans (RR 0.97; 95% CI, 0.93, 1.01). In addition, safety analysis suggested that patients treated with albendazole had a lower risk of adverse effects compared with those who received metronidazole (RR 0.36; 95% CI, 0.10, 1.34), but limitations of the sample size precluded a definite conclusion. Conclusions/Significance: The effectiveness of albendazole, when given as a single dose of 400 mg/day for 5 days, was comparable to that of metronidazole. Patients treated with albendazole tended to have fewer side effects compared with those who took metronidazole. Given the safety, effectiveness, and low costs of albendazole, this drug could be potentially used as an alternative and/or a replacement for the existing metronidazole therapy protocols in the treatment of giardiasis in humans. Copyright: © 2010 Solaymani-Mohammadi et al.","author":[{"dropping-particle":"","family":"Solaymani-Mohammadi","given":"Shahram","non-dropping-particle":"","parse-names":false,"suffix":""},{"dropping-particle":"","family":"Genkinger","given":"Jeanine M.","non-dropping-particle":"","parse-names":false,"suffix":""},{"dropping-particle":"","family":"Loffredo","given":"Christopher A.","non-dropping-particle":"","parse-names":false,"suffix":""},{"dropping-particle":"","family":"Singer","given":"Steven M.","non-dropping-particle":"","parse-names":false,"suffix":""}],"container-title":"PLoS Neglected Tropical Diseases","id":"ITEM-3","issue":"5","issued":{"date-parts":[["2010"]]},"title":"A meta-analysis of the effectiveness of albendazole compared with metronidazole as treatments for infections with Giardia duodenalis","type":"article-journal","volume":"4"},"uris":["http://www.mendeley.com/documents/?uuid=1a5bc01f-8050-47b7-a666-9a96c9b54570"]}],"mendeley":{"formattedCitation":"[117,118,122]","plainTextFormattedCitation":"[117,118,122]","previouslyFormattedCitation":"[117,118,122]"},"properties":{"noteIndex":0},"schema":"https://github.com/citation-style-language/schema/raw/master/csl-citation.json"}</w:instrText>
      </w:r>
      <w:r>
        <w:fldChar w:fldCharType="separate"/>
      </w:r>
      <w:r w:rsidR="00F0018A" w:rsidRPr="00F0018A">
        <w:rPr>
          <w:noProof/>
        </w:rPr>
        <w:t>[117,118,122]</w:t>
      </w:r>
      <w:r>
        <w:fldChar w:fldCharType="end"/>
      </w:r>
      <w:r>
        <w:t>.</w:t>
      </w:r>
    </w:p>
    <w:p w14:paraId="726E3D71" w14:textId="77370D18" w:rsidR="004D573A" w:rsidRPr="00E5342A" w:rsidRDefault="004D573A" w:rsidP="002936DA">
      <w:pPr>
        <w:pStyle w:val="MDPI31text"/>
        <w:spacing w:line="276" w:lineRule="auto"/>
      </w:pPr>
      <w:commentRangeStart w:id="27"/>
      <w:r>
        <w:t xml:space="preserve">Though treatment of schistosomiasis and </w:t>
      </w:r>
      <w:r>
        <w:rPr>
          <w:bCs/>
        </w:rPr>
        <w:t>giardiasis</w:t>
      </w:r>
      <w:r>
        <w:t xml:space="preserve"> using praziquantel and metronidazole are important components of disease control, </w:t>
      </w:r>
      <w:r w:rsidR="00F45BB5">
        <w:t xml:space="preserve">aligning treatment of both diseases </w:t>
      </w:r>
      <w:r w:rsidR="002224FE">
        <w:t>in tandem during control campaigns may be challenging owing to differences in drug type, dosages and treatment courses</w:t>
      </w:r>
      <w:r w:rsidR="00630B02">
        <w:t xml:space="preserve">. </w:t>
      </w:r>
      <w:r w:rsidR="008D662E">
        <w:t>In addition, a</w:t>
      </w:r>
      <w:r w:rsidR="003063CB">
        <w:t xml:space="preserve">s neither drug can </w:t>
      </w:r>
      <w:r w:rsidR="00E82BB4">
        <w:t xml:space="preserve">safely and </w:t>
      </w:r>
      <w:r w:rsidR="00E16749">
        <w:t>reliably</w:t>
      </w:r>
      <w:r w:rsidR="003063CB">
        <w:t xml:space="preserve"> achieve a 100% clearance rate using just one dosage, </w:t>
      </w:r>
      <w:r>
        <w:t xml:space="preserve">it is now widely accepted that alternative methods of control to reduce transmission and overall prevalence must be implemented </w:t>
      </w:r>
      <w:r w:rsidR="003E180B">
        <w:t>alongside</w:t>
      </w:r>
      <w:r>
        <w:t xml:space="preserve"> treatment campaigns if disease elimination targets are to be met. </w:t>
      </w:r>
      <w:commentRangeEnd w:id="27"/>
      <w:r w:rsidR="008E5B91">
        <w:rPr>
          <w:rStyle w:val="CommentReference"/>
          <w:rFonts w:asciiTheme="minorHAnsi" w:eastAsiaTheme="minorHAnsi" w:hAnsiTheme="minorHAnsi" w:cstheme="minorBidi"/>
          <w:snapToGrid/>
          <w:color w:val="auto"/>
          <w:lang w:val="en-GB" w:eastAsia="en-US" w:bidi="ar-SA"/>
        </w:rPr>
        <w:commentReference w:id="27"/>
      </w:r>
      <w:r>
        <w:t xml:space="preserve">One such example is the implementation of WASH initiatives into communities where both diseases are endemic. The extent to which WASH provision, when used in conjunction with MDA, can successfully reduce schistosomiasis transmission is now </w:t>
      </w:r>
      <w:r w:rsidR="00AE1FCB">
        <w:t>beginning</w:t>
      </w:r>
      <w:r>
        <w:t xml:space="preserve"> to be understood, and although only minimal data has been reported on the impact of WASH provision on </w:t>
      </w:r>
      <w:r w:rsidR="00DC7460">
        <w:t>giardiasis</w:t>
      </w:r>
      <w:r w:rsidR="00DC7460" w:rsidRPr="00152AD9">
        <w:t xml:space="preserve"> </w:t>
      </w:r>
      <w:r>
        <w:t xml:space="preserve">transmission in sub-Saharan Africa, it is widely assumed that improved WASH infrastructure would help significantly reduce </w:t>
      </w:r>
      <w:r w:rsidR="00DC7460">
        <w:t>giardiasis</w:t>
      </w:r>
      <w:r w:rsidR="00DC7460" w:rsidRPr="00152AD9">
        <w:t xml:space="preserve"> </w:t>
      </w:r>
      <w:r>
        <w:t xml:space="preserve">transmission </w:t>
      </w:r>
      <w:r>
        <w:fldChar w:fldCharType="begin" w:fldLock="1"/>
      </w:r>
      <w:r w:rsidR="00FF7476">
        <w:instrText>ADDIN CSL_CITATION {"citationItems":[{"id":"ITEM-1","itemData":{"DOI":"10.3390/ijerph15030495","ISSN":"16604601","abstract":"Improved water, sanitation and hygiene (WASH) are significant in preventing diarrhea morbidity and mortality caused by protozoa in low- and middle-income countries. Due to the intimate and complex relationships between the different WASH components, it is often necessary to improve not just one but all of these components to have sustainable results. The objective of this paper was to review the current state of WASH-related health problems caused by parasitic protozoa by: giving an overview and classification of protozoa and their effect on people’s health, discussing different ways to improve accessibility to safe drinking water, sanitation services and personal hygiene behavior; and suggesting an institutional approach to ensure improved WASH. The findings indicate that Giardia and Cryptosporidium are more often identified during waterborne or water-washed outbreaks and they are less sensitive than most of the bacteria and viruses to conventional drinking water and wastewater treatment methods. There are various institutions of control and prevention of water-related diseases caused by protozoa in developed countries. Unfortunately, the developing regions do not have comparable systems. Consequently, the institutional and systems approach to WASH is necessary in these countries.","author":[{"dropping-particle":"","family":"Omarova","given":"Alua","non-dropping-particle":"","parse-names":false,"suffix":""},{"dropping-particle":"","family":"Tussupova","given":"Kamshat","non-dropping-particle":"","parse-names":false,"suffix":""},{"dropping-particle":"","family":"Berndtsson","given":"Ronny","non-dropping-particle":"","parse-names":false,"suffix":""},{"dropping-particle":"","family":"Kalishev","given":"Marat","non-dropping-particle":"","parse-names":false,"suffix":""},{"dropping-particle":"","family":"Sharapatova","given":"Kulyash","non-dropping-particle":"","parse-names":false,"suffix":""}],"container-title":"International Journal of Environmental Research and Public Health","id":"ITEM-1","issue":"3","issued":{"date-parts":[["2018"]]},"page":"1-18","title":"Protozoan parasites in drinking water: A system approach for improved water, sanitation and hygiene in developing countries","type":"article-journal","volume":"15"},"uris":["http://www.mendeley.com/documents/?uuid=e90a562a-9ab6-4331-848d-d87f62adb6bd"]},{"id":"ITEM-2","itemData":{"DOI":"10.1371/journal.pmed.1002841","ISBN":"1111111111","ISSN":"15491676","PMID":"31242190","abstract":"Background Helminth and protozoan infections affect more than 1 billion children globally. Improving water quality, sanitation, handwashing, and nutrition could be more sustainable control strategies for parasite infections than mass drug administration, while providing other quality of life benefits. Methods and findings We enrolled geographic clusters of pregnant women in rural western Kenya into a cluster-randomized controlled trial (ClinicalTrials.gov NCT01704105) that tested 6 interventions: water treatment, improved sanitation, handwashing with soap, combined water treatment, sanitation, and handwashing (WSH), improved nutrition, and combined WSH and nutrition (WSHN). We assessed intervention effects on parasite infections by measuring Ascaris lumbricoides, Trichuris trichiura, hookworm, and Giardia duodenalis among children born to the enrolled pregnant women (index children) and their older siblings. After 2 years of intervention exposure, we collected stool specimens from 9,077 total children aged 2 to 15 years in 622 clusters, including 2,346 children in an active control group (received household visits but no interventions), 1,117 in the water treatment arm, 1,160 in the sanitation arm, 1,141 in the handwashing arm, 1,064 in the WSH arm, 1,072 in the nutrition arm, and 1,177 in the WSHN arm. In the control group, 23% of children were infected with A. lumbricoides, 1% with T. trichiura, 2% with hookworm, and 39% with G. duodenalis. The analysis included 4,928 index children (median age in years: 2) and 4,149 older siblings (median age in years: 5); study households had an average of 5 people, &lt;10% had electricity access, and &gt;90% had dirt floors. Compared to the control group, Ascaris infection prevalence was lower in the water treatment arm (prevalence ratio [PR]: 0.82 [95% CI 0.67, 1.00], p = 0.056), the WSH arm (PR: 0.78 [95% CI 0.63, 0.96], p = 0.021), and the WSHN arm (PR: 0.78 [95% CI 0.64, 0.96], p = 0.017). We did not observe differences in Ascaris infection prevalence between the control group and the arms with the individual interventions sanitation (PR: 0.89 [95% CI 0.73, 1.08], p = 0.228), handwashing (PR: 0.89 [95% CI 0.73, 1.09], p = 0.277), or nutrition (PR: 86 [95% CI 0.71, 1.05], p = 0.148). Integrating nutrition with WSH did not provide additional benefit. Trichuris and hookworm were rarely detected, resulting in imprecise effect estimates. No intervention reduced Giardia. Reanalysis of stool samples by quantitative polymera…","author":[{"dropping-particle":"","family":"Pickering","given":"Amy J.","non-dropping-particle":"","parse-names":false,"suffix":""},{"dropping-particle":"","family":"Njenga","given":"Sammy M.","non-dropping-particle":"","parse-names":false,"suffix":""},{"dropping-particle":"","family":"Steinbaum","given":"Lauren","non-dropping-particle":"","parse-names":false,"suffix":""},{"dropping-particle":"","family":"Swarthout","given":"Jenna","non-dropping-particle":"","parse-names":false,"suffix":""},{"dropping-particle":"","family":"Lin","given":"Audrie","non-dropping-particle":"","parse-names":false,"suffix":""},{"dropping-particle":"","family":"Arnold","given":"Benjamin F.","non-dropping-particle":"","parse-names":false,"suffix":""},{"dropping-particle":"","family":"Stewart","given":"Christine P.","non-dropping-particle":"","parse-names":false,"suffix":""},{"dropping-particle":"","family":"Dentz","given":"Holly N.","non-dropping-particle":"","parse-names":false,"suffix":""},{"dropping-particle":"","family":"Mureithi","given":"Maryanne","non-dropping-particle":"","parse-names":false,"suffix":""},{"dropping-particle":"","family":"Chieng","given":"Benard","non-dropping-particle":"","parse-names":false,"suffix":""},{"dropping-particle":"","family":"Wolfe","given":"Marlene","non-dropping-particle":"","parse-names":false,"suffix":""},{"dropping-particle":"","family":"Mahoney","given":"Ryan","non-dropping-particle":"","parse-names":false,"suffix":""},{"dropping-particle":"","family":"Kihara","given":"Jimmy","non-dropping-particle":"","parse-names":false,"suffix":""},{"dropping-particle":"","family":"Byrd","given":"Kendra","non-dropping-particle":"","parse-names":false,"suffix":""},{"dropping-particle":"","family":"Rao","given":"Gouthami","non-dropping-particle":"","parse-names":false,"suffix":""},{"dropping-particle":"","family":"Meerkerk","given":"Theodora","non-dropping-particle":"","parse-names":false,"suffix":""},{"dropping-particle":"","family":"Cheruiyot","given":"Priscah","non-dropping-particle":"","parse-names":false,"suffix":""},{"dropping-particle":"","family":"Papaiakovou","given":"Marina","non-dropping-particle":"","parse-names":false,"suffix":""},{"dropping-particle":"","family":"Pilotte","given":"Nils","non-dropping-particle":"","parse-names":false,"suffix":""},{"dropping-particle":"","family":"Williams","given":"Steven A.","non-dropping-particle":"","parse-names":false,"suffix":""},{"dropping-particle":"","family":"Colford","given":"John M.","non-dropping-particle":"","parse-names":false,"suffix":""},{"dropping-particle":"","family":"Null","given":"Clair","non-dropping-particle":"","parse-names":false,"suffix":""}],"container-title":"PLoS Medicine","id":"ITEM-2","issue":"6","issued":{"date-parts":[["2019"]]},"page":"1-21","title":"Effects of single and integrated water, sanitation, handwashing, and nutrition interventions on child soil-transmitted helminth and giardia infections: A cluster-randomized controlled trial in rural Kenya","type":"article-journal","volume":"16"},"uris":["http://www.mendeley.com/documents/?uuid=2e5e153f-c69a-403d-afe5-d1f27b5b0c45"]},{"id":"ITEM-3","itemData":{"DOI":"10.1186/s13071-019-3752-9","ISSN":"17563305","PMID":"31627736","abstract":"Background: Giardiasis is a common diarrhoeal disease caused by the protozoan Giardia duodenalis. It is prevalent in low-income countries in the context of inadequate access to water, sanitation and hygiene (WASH), and is frequently co-endemic with neglected tropical diseases such as soil-transmitted helminth (STH) infections. Large-scale periodic deworming programmes are often implemented in these settings; however, there is limited evidence for the impact of regular anthelminthic treatment on G. duodenalis infection. Additionally, few studies have examined the impact of WASH interventions on G. duodenalis. Methods: The WASH for WORMS cluster randomised controlled trial was conducted in remote communities in Manufahi municipality, Timor-Leste, between 2012 and 2016. All study communities received four rounds of deworming with albendazole at six-monthly intervals. Half were randomised to additionally receive a community-level WASH intervention following study baseline. We measured G. duodenalis infection in study participants every six months for two years, immediately prior to deworming, as a pre-specified secondary outcome of the trial. WASH access and behaviours were measured using questionnaires. Results: There was no significant change in G. duodenalis prevalence in either study arm between baseline and the final study follow-up. We found no additional benefit of the community-level WASH intervention on G. duodenalis infection (relative risk: 1.05, 95% CI: 0.72-1.54). Risk factors for G. duodenalis infection included living in a household with a child under five years of age (adjusted odds ratio, aOR: 1.35, 95% CI: 1.04-1.75), living in a household with more than six people (aOR: 1.32, 95% CI: 1.02-1.72), and sampling during the rainy season (aOR: 1.23, 95% CI: 1.04-1.45). Individuals infected with the hookworm Necator americanus were less likely to have G. duodenalis infection (aOR: 0.71, 95% CI: 0.57-0.88). Conclusions: Prevalence of G. duodenalis was not affected by a community WASH intervention or by two years of regular deworming with albendazole. Direct household contacts appear to play a dominant role in driving transmission. We found evidence of antagonistic effects between G. duodenalis and hookworm infection, which warrants further investigation in the context of global deworming efforts.","author":[{"dropping-particle":"","family":"Aw","given":"Jessica Y.H.","non-dropping-particle":"","parse-names":false,"suffix":""},{"dropping-particle":"","family":"Clarke","given":"Naomi E.","non-dropping-particle":"","parse-names":false,"suffix":""},{"dropping-particle":"","family":"McCarthy","given":"James S.","non-dropping-particle":"","parse-names":false,"suffix":""},{"dropping-particle":"","family":"Traub","given":"Rebecca J.","non-dropping-particle":"","parse-names":false,"suffix":""},{"dropping-particle":"","family":"Amaral","given":"Salvador","non-dropping-particle":"","parse-names":false,"suffix":""},{"dropping-particle":"","family":"Huque","given":"Md Hamidul","non-dropping-particle":"","parse-names":false,"suffix":""},{"dropping-particle":"","family":"Andrews","given":"Ross M.","non-dropping-particle":"","parse-names":false,"suffix":""},{"dropping-particle":"","family":"Gray","given":"Darren J.","non-dropping-particle":"","parse-names":false,"suffix":""},{"dropping-particle":"","family":"Clements","given":"Archie C.A.","non-dropping-particle":"","parse-names":false,"suffix":""},{"dropping-particle":"","family":"Vaz Nery","given":"Susana","non-dropping-particle":"","parse-names":false,"suffix":""}],"container-title":"Parasites and Vectors","id":"ITEM-3","issue":"1","issued":{"date-parts":[["2019"]]},"page":"4-13","publisher":"BioMed Central","title":"Giardia duodenalis infection in the context of a community-based deworming and water, sanitation and hygiene trial in Timor-Leste","type":"article-journal","volume":"12"},"uris":["http://www.mendeley.com/documents/?uuid=f830a6eb-c274-4353-b499-992c88e89a70"]}],"mendeley":{"formattedCitation":"[1,123,124]","plainTextFormattedCitation":"[1,123,124]","previouslyFormattedCitation":"[1,123,124]"},"properties":{"noteIndex":0},"schema":"https://github.com/citation-style-language/schema/raw/master/csl-citation.json"}</w:instrText>
      </w:r>
      <w:r>
        <w:fldChar w:fldCharType="separate"/>
      </w:r>
      <w:r w:rsidR="00F0018A" w:rsidRPr="00F0018A">
        <w:rPr>
          <w:noProof/>
        </w:rPr>
        <w:t>[1,123,124]</w:t>
      </w:r>
      <w:r>
        <w:fldChar w:fldCharType="end"/>
      </w:r>
      <w:r>
        <w:rPr>
          <w:bCs/>
          <w:color w:val="000000" w:themeColor="text1"/>
        </w:rPr>
        <w:t>.</w:t>
      </w:r>
    </w:p>
    <w:p w14:paraId="22C5816E" w14:textId="5FA4B7F1" w:rsidR="004D573A" w:rsidRPr="0010070C" w:rsidRDefault="00486475" w:rsidP="00660637">
      <w:pPr>
        <w:pStyle w:val="MDPI22heading2"/>
        <w:spacing w:line="276" w:lineRule="auto"/>
      </w:pPr>
      <w:r>
        <w:t>3</w:t>
      </w:r>
      <w:r w:rsidR="0010070C" w:rsidRPr="0010070C">
        <w:t>.</w:t>
      </w:r>
      <w:r>
        <w:t>6</w:t>
      </w:r>
      <w:r w:rsidR="0010070C" w:rsidRPr="006B1FFE">
        <w:t xml:space="preserve">. </w:t>
      </w:r>
      <w:r w:rsidR="004D369A" w:rsidRPr="00236D92">
        <w:t>Water</w:t>
      </w:r>
      <w:r w:rsidR="0091778A" w:rsidRPr="00236D92">
        <w:t>, sanitation and hygeine (</w:t>
      </w:r>
      <w:r w:rsidR="004D573A" w:rsidRPr="00236D92">
        <w:t>WASH</w:t>
      </w:r>
      <w:r w:rsidR="0091778A" w:rsidRPr="00236D92">
        <w:t>)</w:t>
      </w:r>
    </w:p>
    <w:p w14:paraId="0E0330A1" w14:textId="28F832EB" w:rsidR="004D573A" w:rsidRDefault="004D573A" w:rsidP="00867C2E">
      <w:pPr>
        <w:pStyle w:val="MDPI31text"/>
        <w:spacing w:line="276" w:lineRule="auto"/>
        <w:ind w:firstLine="420"/>
      </w:pPr>
      <w:r>
        <w:t xml:space="preserve">WASH provision and infrastructure is extremely inadequate throughout many areas of rural sub-Saharan Africa </w:t>
      </w:r>
      <w:r>
        <w:fldChar w:fldCharType="begin" w:fldLock="1"/>
      </w:r>
      <w:r w:rsidR="00FF7476">
        <w:instrText>ADDIN CSL_CITATION {"citationItems":[{"id":"ITEM-1","itemData":{"DOI":"10.1371/journal.pone.0171783","ISBN":"1111111111","ISSN":"19326203","PMID":"28182796","abstract":"Background: Water, sanitation and hygiene (WASH) are essential for a healthy and dignified life. International targets to reduce inadequate WASH coverage were set under the Millennium Development Goals (MDGs, 1990-2015) and now the Sustainable Development Goals (SDGs, 2016- 2030). The MDGs called for halving the proportion of the population without access to adequate water and sanitation, whereas the SDGs call for universal access, require the progressive reduction of inequalities, and include hygiene in addition to water and sanitation. Estimating access to complete WASH coverage provides a baseline for monitoring during the SDG period. Sub-Saharan Africa (SSA) has among the lowest rates of WASH coverage globally. Methods: The most recent available Demographic Household Survey (DHS) or Multiple Indicator Cluster Survey (MICS) data for 25 countries in SSA were analysed to estimate national and regional coverage for combined water and sanitation (a combined MDG indicator for 'improved' access) and combined water with collection time within 30 minutes plus sanitation and hygiene (a combined SDG indicator for 'basic' access). Coverage rates were estimated separately for urban and rural populations and for wealth quintiles. Frequency ratios and percentage point differences for urban and rural coverage were calculated to give both relative and absolute measures of urban-rural inequality. Wealth inequalities were assessed by visual examination of coverage across wealth quintiles in urban and rural populations and by calculating concentration indices as standard measures of relative wealth related inequality that give an indication of how unevenly a health indicator is distributed across the wealth distribution. Results: Combined MDG coverage in SSA was 20%, and combined basic SDG coverage was 4%; an estimated 921 million people lacked basic SDG coverage. Relative measures of inequality were higher for combined basic SDG coverage than combined MDG coverage, but absolute inequality was lower. Rural combined basic SDG coverage was close to zero in many countries. Conclusions: Our estimates help to quantify the scale of progress required to achieve universal WASH access in low-income countries, as envisaged under the water and sanitation SDG. Monitoring and reporting changes in the proportion of the national population with access to water, sanitation and hygiene may be useful in focusing WASH policy and investments towards the areas of greatest need.","author":[{"dropping-particle":"","family":"Roche","given":"Rachel","non-dropping-particle":"","parse-names":false,"suffix":""},{"dropping-particle":"","family":"Bain","given":"Robert","non-dropping-particle":"","parse-names":false,"suffix":""},{"dropping-particle":"","family":"Cumming","given":"Oliver","non-dropping-particle":"","parse-names":false,"suffix":""}],"container-title":"PLoS ONE","id":"ITEM-1","issue":"2","issued":{"date-parts":[["2017"]]},"page":"1-24","title":"A long way to go - Estimates of combined water, sanitation and hygiene coverage for 25 sub-Saharan African countries","type":"article-journal","volume":"12"},"uris":["http://www.mendeley.com/documents/?uuid=7f407415-d102-4520-9942-825df3163f6e"]}],"mendeley":{"formattedCitation":"[125]","plainTextFormattedCitation":"[125]","previouslyFormattedCitation":"[125]"},"properties":{"noteIndex":0},"schema":"https://github.com/citation-style-language/schema/raw/master/csl-citation.json"}</w:instrText>
      </w:r>
      <w:r>
        <w:fldChar w:fldCharType="separate"/>
      </w:r>
      <w:r w:rsidR="00F0018A" w:rsidRPr="00F0018A">
        <w:rPr>
          <w:noProof/>
        </w:rPr>
        <w:t>[125]</w:t>
      </w:r>
      <w:r>
        <w:fldChar w:fldCharType="end"/>
      </w:r>
      <w:r>
        <w:t xml:space="preserve">. In 2012, the World Health Assembly (WHA) formally advocated for the integration of WASH provision and education initiatives into amenable NTD control and elimination programmes; subsequently publishing guidance on ways in which these can be integrated </w:t>
      </w:r>
      <w:r>
        <w:fldChar w:fldCharType="begin" w:fldLock="1"/>
      </w:r>
      <w:r w:rsidR="00FF7476">
        <w:instrText>ADDIN CSL_CITATION {"citationItems":[{"id":"ITEM-1","itemData":{"URL":"https://www.who.int/water_sanitation_health/publications/wash-and-ntd-strategy/en/","abstract":"The UN suggests that each person needs 20-50 litres of water a day to ensure their basic needs for drinking, cooking and cleaning.\\nSource: World Water Assessment Programme (WWAP)\\n\\nIn 2010, 89 % of the world’s population, or 6.1 billion people, used improved drinking water sources, exceeding the MDG target (88 %); 92 % are expected to have access in 2015. By 2015, 67 % will have access to improved sanitation facilities (the MDG target is 75 %).\\nSource: WHO\\n\\nBetween 1990 and 2010, two billion people gained access to improved drinking water sources and 1.8 billion people gained access to improved sanitation facilities.\\nSource: WHO\\n\\n11% of the global population, or 783 million people, are still without access improved sources of drinking water.\\nSource: JMP 2012 - See more at: http://www.unwater.org/statistics_san.html#sthash.p0QmzVFH.dpuf\\nGlobally, diarrhoea is the leading cause of illness and death, and 88 per cent of diarrhoeal deaths are due to a lack of access to sanitation facilities, together with inadequate availability of water for hygiene and unsafe drinking water.\\nSource: JMP\\n\\n\\nThe provision of improved sanitation and safe drinking water could reduce diarrhoeal diseases by nearly 90 per cent.\\nSource: JMP\\n\\nToday 2.5 billion people, including almost one billion children, live without even basic sanitation. Every 20 seconds, a child dies as a result of poor sanitation. That's 1.5 million preventable deaths each year.\\nSource: WWDR, 2012\\n- See more at: http://www.unwater.org/statistics_san.html#sthash.p0QmzVFH.dpuf\\nIn Sub-Saharan Africa, treating diarrhoea consumes 12 percent of the health budget. On a typical day, more than half the hospital beds in are occupied by patients suffering from faecal-related disease.\\nSource: WSSCC\\n\\n\\nWashing hands with soap can reduce the risk of diarrhoeal diseases by up to 47 per cent.\\nSource: WHO\\n\\nThe first ever global handwashing day was celebrated on 15 October during the International Year of Sanitation.\\nWhile the percent of population with access to improved facilities increased since 1990 in all regions, the number of people living without access has increased due to slow progress and population growth. In 2008, 2.6 billion people had still no access to improved sanitation facilities.\\nThe Millennium Development Goal (MDG) target is to reduce by half the proportion of people without access to basic sanitation by 2015. - See more at: http://www.unwater.org/statistics_san.html#sthash.p0Qmz…","accessed":{"date-parts":[["2020","7","2"]]},"author":[{"dropping-particle":"","family":"World Health Organization (WHO)","given":"","non-dropping-particle":"","parse-names":false,"suffix":""}],"id":"ITEM-1","issued":{"date-parts":[["2020"]]},"title":"Water, Sanitation &amp; Hygiene for accelerating and sustaining progress on Neglected Tropical Diseases","type":"webpage"},"uris":["http://www.mendeley.com/documents/?uuid=4ad4468a-2e7e-4004-807a-be52269110df"]},{"id":"ITEM-2","itemData":{"ISBN":"9789241550116","URL":"https://apps.who.int/iris/bitstream/handle/10665/255011/9789241565448-eng.pdf","accessed":{"date-parts":[["2020","6","17"]]},"id":"ITEM-2","issued":{"date-parts":[["2017"]]},"title":"World Health Organisation. Integrating Neglected Tropical Diseases into Global Health and Development, 2017. Geneva, Switzerland: World Health Organisation","type":"webpage"},"uris":["http://www.mendeley.com/documents/?uuid=c3d67723-5de6-4cbf-a826-e734e00b4424"]}],"mendeley":{"formattedCitation":"[126,127]","plainTextFormattedCitation":"[126,127]","previouslyFormattedCitation":"[126,127]"},"properties":{"noteIndex":0},"schema":"https://github.com/citation-style-language/schema/raw/master/csl-citation.json"}</w:instrText>
      </w:r>
      <w:r>
        <w:fldChar w:fldCharType="separate"/>
      </w:r>
      <w:r w:rsidR="00F0018A" w:rsidRPr="00F0018A">
        <w:rPr>
          <w:noProof/>
        </w:rPr>
        <w:t>[126,127]</w:t>
      </w:r>
      <w:r>
        <w:fldChar w:fldCharType="end"/>
      </w:r>
      <w:r>
        <w:t xml:space="preserve">. Since, much attention has been given towards how WASH initiatives can be tailored for use, specifically, in schistosomiasis control programmes and the impact such initiatives have had when used in tandem with routine strategies such as preventive chemotherapy </w:t>
      </w:r>
      <w:r>
        <w:fldChar w:fldCharType="begin" w:fldLock="1"/>
      </w:r>
      <w:r w:rsidR="00FF7476">
        <w:instrText>ADDIN CSL_CITATION {"citationItems":[{"id":"ITEM-1","itemData":{"DOI":"10.1016/j.pt.2017.09.004","ISSN":"14715007","PMID":"29055522","abstract":"The World Health Organization's (WHO) 2015–2020 Global Strategy on water, sanitation, and hygiene (WASH) and neglected tropical diseases (NTDs) encourages integration, whilst maintaining existing structured NTD investments, and acceleration towards Sustainable Development Goal (SDG) targets. Accordingly, SDG-associated and WASH–NTD indicators have been developed, commencing important intersectoral dialogue, alongside opportunities for future disease-specific refinements. The rationale for soil-transmitted helminthiasis (STH)- and schistosomiasis-specific WASH considerations, and a traffic-light figure, are presented here to indicate where current international definitions may, or may not, suffice. Certain unique aspects in control dynamics and parasitic lifecycles, however, necessitate additional implementation research with more appropriate measurement indicators developed to record programmatic interventions and to define strategic priorities more effectively. The World Health Organization (WHO) strongly advocates for countries to prioritise integration of WASH with preventive chemotherapy for NTD control. The WHO's first WASH for NTDs Global Strategy 2015–2020 provides strategic objectives to accelerate NTD Roadmap targets through increased WASH–NTD integrated approaches. Sustainable Development Goal WASH indicators were developed as strategic targets for countries to benchmark performance against, and strive to meet. Additional WASH–NTD indicators were developed as standardised programmatic measures for WASH and NTD programmes, aimed to incentivise collaboration, facilitate cross-sectoral planning, and enhance accountability between the two sectors. Soil-transmitted helminthiasis and schistosomiasis cannot be controlled without primary prevention strategies. The development of appropriate WASH targets and indicators is an important component of the NTD agenda.","author":[{"dropping-particle":"","family":"Campbell","given":"Suzy J.","non-dropping-particle":"","parse-names":false,"suffix":""},{"dropping-particle":"","family":"Biritwum","given":"Nana Kwadwo","non-dropping-particle":"","parse-names":false,"suffix":""},{"dropping-particle":"","family":"Woods","given":"Geordie","non-dropping-particle":"","parse-names":false,"suffix":""},{"dropping-particle":"","family":"Velleman","given":"Yael","non-dropping-particle":"","parse-names":false,"suffix":""},{"dropping-particle":"","family":"Fleming","given":"Fiona","non-dropping-particle":"","parse-names":false,"suffix":""},{"dropping-particle":"","family":"Stothard","given":"J. Russell","non-dropping-particle":"","parse-names":false,"suffix":""}],"container-title":"Trends in Parasitology","id":"ITEM-1","issue":"1","issued":{"date-parts":[["2018"]]},"page":"53-63","publisher":"Elsevier Ltd","title":"Tailoring Water, Sanitation, and Hygiene (WASH) Targets for Soil-Transmitted Helminthiasis and Schistosomiasis Control","type":"article-journal","volume":"34"},"uris":["http://www.mendeley.com/documents/?uuid=b104267e-ea83-40c3-b8df-753f5d22f88e"]},{"id":"ITEM-2","itemData":{"DOI":"10.1371/journal.pntd.0002651","ISSN":"19352735","author":[{"dropping-particle":"","family":"Campbell","given":"Suzy J.","non-dropping-particle":"","parse-names":false,"suffix":""},{"dropping-particle":"","family":"Savage","given":"Georgia B.","non-dropping-particle":"","parse-names":false,"suffix":""},{"dropping-particle":"","family":"Gray","given":"Darren J.","non-dropping-particle":"","parse-names":false,"suffix":""},{"dropping-particle":"","family":"Atkinson","given":"Jo An M.","non-dropping-particle":"","parse-names":false,"suffix":""},{"dropping-particle":"","family":"Soares Magalhães","given":"Ricardo J.","non-dropping-particle":"","parse-names":false,"suffix":""},{"dropping-particle":"V.","family":"Nery","given":"Susana","non-dropping-particle":"","parse-names":false,"suffix":""},{"dropping-particle":"","family":"McCarthy","given":"James S.","non-dropping-particle":"","parse-names":false,"suffix":""},{"dropping-particle":"","family":"Velleman","given":"Yael","non-dropping-particle":"","parse-names":false,"suffix":""},{"dropping-particle":"","family":"Wicken","given":"James H.","non-dropping-particle":"","parse-names":false,"suffix":""},{"dropping-particle":"","family":"Traub","given":"Rebecca J.","non-dropping-particle":"","parse-names":false,"suffix":""},{"dropping-particle":"","family":"Williams","given":"Gail M.","non-dropping-particle":"","parse-names":false,"suffix":""},{"dropping-particle":"","family":"Andrews","given":"Ross M.","non-dropping-particle":"","parse-names":false,"suffix":""},{"dropping-particle":"","family":"Clements","given":"Archie C.A.","non-dropping-particle":"","parse-names":false,"suffix":""}],"container-title":"PLoS Neglected Tropical Diseases","id":"ITEM-2","issue":"4","issued":{"date-parts":[["2014"]]},"page":"1-5","title":"Water, Sanitation, and Hygiene (WASH): A Critical Component for Sustainable Soil-Transmitted Helminth and Schistosomiasis Control","type":"article-journal","volume":"8"},"uris":["http://www.mendeley.com/documents/?uuid=c9a26227-7e74-430c-9e82-2f0ec9ba3051"]},{"id":"ITEM-3","itemData":{"DOI":"10.1186/s13071-015-0766-9","ISSN":"17563305","PMID":"25884172","abstract":"Schistosomiasis is a disease caused by infection with blood flukes of the genus Schistosoma. Transmission of, and exposure to, the parasite result from faecal or urinary contamination of freshwater containing intermediate host snails, and dermal contact with the same water. The World Health Assembly resolution 65.21 from May 2012 urges member states to eliminate schistosomiasis through preventive chemotherapy (i.e. periodic large-scale administration of the antischistosomal drug praziquantel to school-aged children and other high-risk groups), provision of water, sanitation and hygiene (WASH) and snail control. However, control measures focus almost exclusively on preventive chemotherapy, while only few studies made an attempt to determine the impact of upgraded access to safe water, adequate sanitation and good hygiene on schistosome transmission. We recently completed a systematic review and meta-analysis pertaining to WASH and schistosomiasis and found that people with safe water and adequate sanitation have significantly lower odds of a Schistosoma infection. Importantly though, the transmission of schistosomiasis is deeply entrenched in social-ecological systems, and hence is governed by setting-specific cultural and environmental factors that determine human behaviour and snail populations. Here, we provide a comprehensive review of the literature, which explores the transmission routes of schistosomes, particularly focussing on how these might be disrupted with WASH-related technologies and human behaviour. Additionally, future research directions in this area are highlighted.","author":[{"dropping-particle":"","family":"Grimes","given":"Jack Et","non-dropping-particle":"","parse-names":false,"suffix":""},{"dropping-particle":"","family":"Croll","given":"David","non-dropping-particle":"","parse-names":false,"suffix":""},{"dropping-particle":"","family":"Harrison","given":"Wendy E.","non-dropping-particle":"","parse-names":false,"suffix":""},{"dropping-particle":"","family":"Utzinger","given":"Jürg","non-dropping-particle":"","parse-names":false,"suffix":""},{"dropping-particle":"","family":"Freeman","given":"Matthew C.","non-dropping-particle":"","parse-names":false,"suffix":""},{"dropping-particle":"","family":"Templeton","given":"Michael R.","non-dropping-particle":"","parse-names":false,"suffix":""}],"container-title":"Parasites and Vectors","id":"ITEM-3","issue":"1","issued":{"date-parts":[["2015"]]},"page":"1-16","title":"The roles of water, sanitation and hygiene in reducing schistosomiasis: A review","type":"article-journal","volume":"8"},"uris":["http://www.mendeley.com/documents/?uuid=919febbb-fbaf-476a-bc1d-d88ec1864e31"]},{"id":"ITEM-4","itemData":{"DOI":"10.1371/journal.pntd.0002473","ISSN":"19352735","PMID":"24086791","author":[{"dropping-particle":"","family":"Spear","given":"Robert C.","non-dropping-particle":"","parse-names":false,"suffix":""}],"container-title":"PLoS Neglected Tropical Diseases","id":"ITEM-4","issue":"9","issued":{"date-parts":[["2013"]]},"title":"Commentary by Spear, R. on \"Integration of Water, Sanitation, and Hygiene for the Prevention and Control of Neglected Tropical Diseases: A Rationale for Inter-Sectoral Collaboration:\" Can the Control of NTDs Profit from a Good WASH?","type":"article-journal","volume":"7"},"uris":["http://www.mendeley.com/documents/?uuid=397eb155-5aa6-4c10-a765-7e0e53da3a2b"]}],"mendeley":{"formattedCitation":"[2,30,128,129]","plainTextFormattedCitation":"[2,30,128,129]","previouslyFormattedCitation":"[2,30,128,129]"},"properties":{"noteIndex":0},"schema":"https://github.com/citation-style-language/schema/raw/master/csl-citation.json"}</w:instrText>
      </w:r>
      <w:r>
        <w:fldChar w:fldCharType="separate"/>
      </w:r>
      <w:r w:rsidR="00F0018A" w:rsidRPr="00F0018A">
        <w:rPr>
          <w:noProof/>
        </w:rPr>
        <w:t>[2,30,128,129]</w:t>
      </w:r>
      <w:r>
        <w:fldChar w:fldCharType="end"/>
      </w:r>
      <w:r>
        <w:t>.</w:t>
      </w:r>
    </w:p>
    <w:p w14:paraId="2B6D57E6" w14:textId="6136C66D" w:rsidR="004D573A" w:rsidRDefault="004D573A" w:rsidP="00F55285">
      <w:pPr>
        <w:pStyle w:val="MDPI31text"/>
        <w:spacing w:line="276" w:lineRule="auto"/>
      </w:pPr>
      <w:r>
        <w:t xml:space="preserve">WASH initiatives relevant to schistosomiasis control, such as the adequate provision of safe drinking water, fully functional and properly maintained pit latrines and improved community hygiene education, </w:t>
      </w:r>
      <w:r w:rsidR="00E21A9D">
        <w:t xml:space="preserve">effectively </w:t>
      </w:r>
      <w:r>
        <w:t xml:space="preserve">reduce disease transmission by minimising </w:t>
      </w:r>
      <w:r w:rsidR="007D27AA">
        <w:t xml:space="preserve">the </w:t>
      </w:r>
      <w:r w:rsidR="006B1FFE">
        <w:t xml:space="preserve">direct and indirect </w:t>
      </w:r>
      <w:r w:rsidR="009479F5">
        <w:t xml:space="preserve">contamination </w:t>
      </w:r>
      <w:r w:rsidR="007D27AA">
        <w:t xml:space="preserve">of freshwater </w:t>
      </w:r>
      <w:r w:rsidR="007F0556">
        <w:t>by infected individuals and animals</w:t>
      </w:r>
      <w:r w:rsidR="00000645">
        <w:t xml:space="preserve">, </w:t>
      </w:r>
      <w:r w:rsidR="00595D59">
        <w:t xml:space="preserve">by </w:t>
      </w:r>
      <w:r w:rsidR="00000645">
        <w:t xml:space="preserve">reducing </w:t>
      </w:r>
      <w:r w:rsidR="000F01B7">
        <w:t>contact</w:t>
      </w:r>
      <w:r w:rsidR="00CD490D">
        <w:t xml:space="preserve"> with/consumption of infectious waters by</w:t>
      </w:r>
      <w:r w:rsidR="000F01B7">
        <w:t xml:space="preserve"> </w:t>
      </w:r>
      <w:r w:rsidR="00F55285">
        <w:t xml:space="preserve">human and </w:t>
      </w:r>
      <w:r w:rsidR="00CD490D">
        <w:t>non-human</w:t>
      </w:r>
      <w:r w:rsidR="00F55285">
        <w:t xml:space="preserve"> hosts </w:t>
      </w:r>
      <w:r w:rsidR="00CD490D">
        <w:t>a</w:t>
      </w:r>
      <w:r w:rsidR="00F55285">
        <w:t>nd by</w:t>
      </w:r>
      <w:r>
        <w:t xml:space="preserve"> helping communities better understand human and non-human disease transmission </w:t>
      </w:r>
      <w:r>
        <w:fldChar w:fldCharType="begin" w:fldLock="1"/>
      </w:r>
      <w:r w:rsidR="00FF7476">
        <w:instrText>ADDIN CSL_CITATION {"citationItems":[{"id":"ITEM-1","itemData":{"DOI":"10.1186/s13071-015-0766-9","ISSN":"17563305","PMID":"25884172","abstract":"Schistosomiasis is a disease caused by infection with blood flukes of the genus Schistosoma. Transmission of, and exposure to, the parasite result from faecal or urinary contamination of freshwater containing intermediate host snails, and dermal contact with the same water. The World Health Assembly resolution 65.21 from May 2012 urges member states to eliminate schistosomiasis through preventive chemotherapy (i.e. periodic large-scale administration of the antischistosomal drug praziquantel to school-aged children and other high-risk groups), provision of water, sanitation and hygiene (WASH) and snail control. However, control measures focus almost exclusively on preventive chemotherapy, while only few studies made an attempt to determine the impact of upgraded access to safe water, adequate sanitation and good hygiene on schistosome transmission. We recently completed a systematic review and meta-analysis pertaining to WASH and schistosomiasis and found that people with safe water and adequate sanitation have significantly lower odds of a Schistosoma infection. Importantly though, the transmission of schistosomiasis is deeply entrenched in social-ecological systems, and hence is governed by setting-specific cultural and environmental factors that determine human behaviour and snail populations. Here, we provide a comprehensive review of the literature, which explores the transmission routes of schistosomes, particularly focussing on how these might be disrupted with WASH-related technologies and human behaviour. Additionally, future research directions in this area are highlighted.","author":[{"dropping-particle":"","family":"Grimes","given":"Jack Et","non-dropping-particle":"","parse-names":false,"suffix":""},{"dropping-particle":"","family":"Croll","given":"David","non-dropping-particle":"","parse-names":false,"suffix":""},{"dropping-particle":"","family":"Harrison","given":"Wendy E.","non-dropping-particle":"","parse-names":false,"suffix":""},{"dropping-particle":"","family":"Utzinger","given":"Jürg","non-dropping-particle":"","parse-names":false,"suffix":""},{"dropping-particle":"","family":"Freeman","given":"Matthew C.","non-dropping-particle":"","parse-names":false,"suffix":""},{"dropping-particle":"","family":"Templeton","given":"Michael R.","non-dropping-particle":"","parse-names":false,"suffix":""}],"container-title":"Parasites and Vectors","id":"ITEM-1","issue":"1","issued":{"date-parts":[["2015"]]},"page":"1-16","title":"The roles of water, sanitation and hygiene in reducing schistosomiasis: A review","type":"article-journal","volume":"8"},"uris":["http://www.mendeley.com/documents/?uuid=919febbb-fbaf-476a-bc1d-d88ec1864e31"]},{"id":"ITEM-2","itemData":{"DOI":"10.1016/j.actatropica.2012.04.013","ISSN":"0001706X","abstract":"It is time to raise global awareness to the possibility of schistosomiasis elimination and to support endemic countries in their quest to determine the most appropriate approaches to eliminate this persistent and debilitating disease. The main interventions for schistosomiasis control are reviewed, including preventive chemotherapy using praziquantel, snail control, sanitation, safe water supplies, and behaviour change strategies supported by information, education and communication (IEC) materials. Differences in the biology and transmission of the three main Schistosoma species (i.e. Schistosoma haematobium, S. mansoni and S. japonicum), which impact on control interventions, are considered. Sensitive diagnostic procedures to ensure adequate surveillance in areas attaining low endemicity are required. The importance of capacity building is highlighted. To achieve elimination, an intersectoral approach is necessary, with advocacy and action from local communities and the health community to foster cooperative ventures with engineers, the private sector, governments and non-governmental organizations specialized in water supply and sanitation. Examples of successful schistosomiasis control programmes are reviewed to highlight what has been learnt in terms of strategy for control and elimination. These include St. Lucia and other Caribbean islands, Brazil and Venezuela for S. mansoni; Saudi Arabia and Egypt for both S. mansoni and S. haematobium; Morocco, Tunisia, Algeria, Mauritius and the Islamic Republic of Iran for S. haematobium; Japan and the People's Republic of China for S. japonicum. Additional targets for elimination or even eradication could be the two minor human schistosome species S. guineenisis and S. intercalatum, which have a restricted distribution in West and Central Africa. The examples show that elimination of schistosomiasis is an achievable and desirable goal requiring full integration of preventive chemotherapy with the tools of transmission control. An agenda for the elimination of schistosomiasis would aim to identify the gaps in knowledge, and define the tools, strategies and guidelines that will help national control programmes move towards elimination, including an internationally accepted mechanism that allows verification/confirmation of elimination. © 2012 Elsevier B.V.","author":[{"dropping-particle":"","family":"Rollinson","given":"David","non-dropping-particle":"","parse-names":false,"suffix":""},{"dropping-particle":"","family":"Knopp","given":"Stefanie","non-dropping-particle":"","parse-names":false,"suffix":""},{"dropping-particle":"","family":"Levitz","given":"Sarah","non-dropping-particle":"","parse-names":false,"suffix":""},{"dropping-particle":"","family":"Stothard","given":"J. Russell","non-dropping-particle":"","parse-names":false,"suffix":""},{"dropping-particle":"","family":"Tchuem Tchuenté","given":"Louis Albert","non-dropping-particle":"","parse-names":false,"suffix":""},{"dropping-particle":"","family":"Garba","given":"Amadou","non-dropping-particle":"","parse-names":false,"suffix":""},{"dropping-particle":"","family":"Mohammed","given":"Khalfan A.","non-dropping-particle":"","parse-names":false,"suffix":""},{"dropping-particle":"","family":"Schur","given":"Nadine","non-dropping-particle":"","parse-names":false,"suffix":""},{"dropping-particle":"","family":"Person","given":"Bobbie","non-dropping-particle":"","parse-names":false,"suffix":""},{"dropping-particle":"","family":"Colley","given":"Daniel G.","non-dropping-particle":"","parse-names":false,"suffix":""},{"dropping-particle":"","family":"Utzinger","given":"Jürg","non-dropping-particle":"","parse-names":false,"suffix":""}],"container-title":"Acta Tropica","id":"ITEM-2","issue":"2","issued":{"date-parts":[["2013"]]},"page":"423-440","publisher":"Elsevier B.V.","title":"Time to set the agenda for schistosomiasis elimination","type":"article-journal","volume":"128"},"uris":["http://www.mendeley.com/documents/?uuid=d2e5fac6-2b41-4ac4-b64f-bea894d7d1f3"]}],"mendeley":{"formattedCitation":"[30,130]","plainTextFormattedCitation":"[30,130]","previouslyFormattedCitation":"[30,130]"},"properties":{"noteIndex":0},"schema":"https://github.com/citation-style-language/schema/raw/master/csl-citation.json"}</w:instrText>
      </w:r>
      <w:r>
        <w:fldChar w:fldCharType="separate"/>
      </w:r>
      <w:r w:rsidR="00F0018A" w:rsidRPr="00F0018A">
        <w:rPr>
          <w:noProof/>
        </w:rPr>
        <w:t>[30,130]</w:t>
      </w:r>
      <w:r>
        <w:fldChar w:fldCharType="end"/>
      </w:r>
      <w:r>
        <w:t xml:space="preserve"> (Figure 3).</w:t>
      </w:r>
    </w:p>
    <w:p w14:paraId="0589D210" w14:textId="329AD68B" w:rsidR="00ED4805" w:rsidRPr="00B33256" w:rsidRDefault="00ED4805" w:rsidP="00ED4805">
      <w:pPr>
        <w:pStyle w:val="MDPI52figure"/>
        <w:spacing w:line="276" w:lineRule="auto"/>
        <w:rPr>
          <w:noProof/>
        </w:rPr>
      </w:pPr>
      <w:r>
        <w:rPr>
          <w:noProof/>
          <w:snapToGrid/>
        </w:rPr>
        <w:drawing>
          <wp:inline distT="0" distB="0" distL="0" distR="0" wp14:anchorId="236A9A33" wp14:editId="022A4C71">
            <wp:extent cx="5803795" cy="297693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pdf"/>
                    <pic:cNvPicPr/>
                  </pic:nvPicPr>
                  <pic:blipFill rotWithShape="1">
                    <a:blip r:embed="rId14">
                      <a:extLst>
                        <a:ext uri="{28A0092B-C50C-407E-A947-70E740481C1C}">
                          <a14:useLocalDpi xmlns:a14="http://schemas.microsoft.com/office/drawing/2010/main" val="0"/>
                        </a:ext>
                      </a:extLst>
                    </a:blip>
                    <a:srcRect l="18571" t="22248" r="18993" b="20820"/>
                    <a:stretch/>
                  </pic:blipFill>
                  <pic:spPr bwMode="auto">
                    <a:xfrm>
                      <a:off x="0" y="0"/>
                      <a:ext cx="5834700" cy="2992787"/>
                    </a:xfrm>
                    <a:prstGeom prst="rect">
                      <a:avLst/>
                    </a:prstGeom>
                    <a:ln>
                      <a:noFill/>
                    </a:ln>
                    <a:extLst>
                      <a:ext uri="{53640926-AAD7-44D8-BBD7-CCE9431645EC}">
                        <a14:shadowObscured xmlns:a14="http://schemas.microsoft.com/office/drawing/2010/main"/>
                      </a:ext>
                    </a:extLst>
                  </pic:spPr>
                </pic:pic>
              </a:graphicData>
            </a:graphic>
          </wp:inline>
        </w:drawing>
      </w:r>
    </w:p>
    <w:p w14:paraId="64466685" w14:textId="1C7881CA" w:rsidR="00067176" w:rsidRDefault="00CF28BD" w:rsidP="00660637">
      <w:pPr>
        <w:pStyle w:val="MDPI51figurecaption"/>
        <w:spacing w:line="276" w:lineRule="auto"/>
      </w:pPr>
      <w:r w:rsidRPr="00CF28BD">
        <w:rPr>
          <w:b/>
          <w:bCs/>
        </w:rPr>
        <w:t xml:space="preserve">Figure 3. </w:t>
      </w:r>
      <w:r w:rsidR="00067176" w:rsidRPr="003C7520">
        <w:t xml:space="preserve">Examples of water, sanitation and hygiene (WASH) initiatives implemented to prevent the contamination of freshwater with </w:t>
      </w:r>
      <w:r w:rsidR="00067176" w:rsidRPr="003C7520">
        <w:rPr>
          <w:i/>
          <w:iCs/>
        </w:rPr>
        <w:t>S</w:t>
      </w:r>
      <w:r w:rsidR="00067176">
        <w:rPr>
          <w:i/>
          <w:iCs/>
        </w:rPr>
        <w:t>.</w:t>
      </w:r>
      <w:r w:rsidR="00067176" w:rsidRPr="003C7520">
        <w:rPr>
          <w:i/>
          <w:iCs/>
        </w:rPr>
        <w:t xml:space="preserve"> mansoni </w:t>
      </w:r>
      <w:r w:rsidR="00067176" w:rsidRPr="003C7520">
        <w:t xml:space="preserve">eggs and </w:t>
      </w:r>
      <w:r w:rsidR="00067176">
        <w:rPr>
          <w:i/>
          <w:iCs/>
        </w:rPr>
        <w:t>G.</w:t>
      </w:r>
      <w:r w:rsidR="00067176" w:rsidRPr="003C7520">
        <w:rPr>
          <w:i/>
          <w:iCs/>
        </w:rPr>
        <w:t xml:space="preserve"> duodenalis</w:t>
      </w:r>
      <w:r w:rsidR="00067176" w:rsidRPr="003C7520">
        <w:t xml:space="preserve"> cysts, as well as to prevent contact with and consumption of contaminated water. </w:t>
      </w:r>
      <w:r w:rsidR="00067176" w:rsidRPr="00E32F7F">
        <w:t xml:space="preserve">Adapted from </w:t>
      </w:r>
      <w:r w:rsidR="00067176">
        <w:fldChar w:fldCharType="begin" w:fldLock="1"/>
      </w:r>
      <w:r w:rsidR="001A0DC3">
        <w:instrText>ADDIN CSL_CITATION {"citationItems":[{"id":"ITEM-1","itemData":{"URL":"https://www.cdc.gov/parasites/schistosomiasis/biology.html","accessed":{"date-parts":[["2020","7","1"]]},"id":"ITEM-1","issued":{"date-parts":[["0"]]},"title":"Centers for Disease Control and Prevention (CDC), USA: Schistosomiasis, About, Life Cycle.","type":"webpage"},"uris":["http://www.mendeley.com/documents/?uuid=33bcbbbb-9c7d-4bbc-948f-acc6807df99c"]},{"id":"ITEM-2","itemData":{"URL":"https://www.cdc.gov/dpdx/giardiasis/index.html#:~:text=The spectrum varies from asymptomatic carriage to severe,include diarrhea%2C abdominal pain%2C bloating%2C nausea%2C and vomiting.","accessed":{"date-parts":[["2020","7","1"]]},"id":"ITEM-2","issued":{"date-parts":[["0"]]},"title":"Centers for Disease Control and Prevention (CDC), USA: Giardiasis, About, Life Cycle.","type":"webpage"},"uris":["http://www.mendeley.com/documents/?uuid=0627bc93-ffce-494c-8921-4585bddd41a9"]}],"mendeley":{"formattedCitation":"[26,27]","plainTextFormattedCitation":"[26,27]","previouslyFormattedCitation":"[26,27]"},"properties":{"noteIndex":0},"schema":"https://github.com/citation-style-language/schema/raw/master/csl-citation.json"}</w:instrText>
      </w:r>
      <w:r w:rsidR="00067176">
        <w:fldChar w:fldCharType="separate"/>
      </w:r>
      <w:r w:rsidR="001D3544" w:rsidRPr="001D3544">
        <w:rPr>
          <w:noProof/>
        </w:rPr>
        <w:t>[26,27]</w:t>
      </w:r>
      <w:r w:rsidR="00067176">
        <w:fldChar w:fldCharType="end"/>
      </w:r>
      <w:r w:rsidR="00067176" w:rsidRPr="00E32F7F">
        <w:t>.</w:t>
      </w:r>
    </w:p>
    <w:p w14:paraId="7E2B9933" w14:textId="494351C6" w:rsidR="00340B80" w:rsidRPr="009E7221" w:rsidRDefault="00340B80" w:rsidP="00DE6424">
      <w:pPr>
        <w:pStyle w:val="MDPI31text"/>
        <w:spacing w:line="276" w:lineRule="auto"/>
        <w:ind w:firstLine="420"/>
      </w:pPr>
      <w:commentRangeStart w:id="28"/>
      <w:r w:rsidRPr="00503EA9">
        <w:t>Like intestinal schistosomiasis, giardiasis is widely prevalent throughout many rural and impoverished regions of sub-Saharan Africa</w:t>
      </w:r>
      <w:r w:rsidR="003D5B71" w:rsidRPr="00503EA9">
        <w:t xml:space="preserve"> and </w:t>
      </w:r>
      <w:r w:rsidR="00F5570B" w:rsidRPr="00503EA9">
        <w:t xml:space="preserve">is </w:t>
      </w:r>
      <w:r w:rsidRPr="00503EA9">
        <w:t>intrinsically linked to contact with contaminated and unsafe water in areas lacking adequate water, sanitation and hygiene (WASH) infrastructure</w:t>
      </w:r>
      <w:r w:rsidR="002E4672" w:rsidRPr="00503EA9">
        <w:t xml:space="preserve"> </w:t>
      </w:r>
      <w:commentRangeEnd w:id="28"/>
      <w:r w:rsidR="00503EA9">
        <w:rPr>
          <w:rStyle w:val="CommentReference"/>
          <w:rFonts w:asciiTheme="minorHAnsi" w:eastAsiaTheme="minorHAnsi" w:hAnsiTheme="minorHAnsi" w:cstheme="minorBidi"/>
          <w:snapToGrid/>
          <w:color w:val="auto"/>
          <w:lang w:val="en-GB" w:eastAsia="en-US" w:bidi="ar-SA"/>
        </w:rPr>
        <w:commentReference w:id="28"/>
      </w:r>
      <w:r w:rsidRPr="00503EA9">
        <w:fldChar w:fldCharType="begin" w:fldLock="1"/>
      </w:r>
      <w:r w:rsidR="001A0DC3" w:rsidRPr="00503EA9">
        <w:instrText>ADDIN CSL_CITATION {"citationItems":[{"id":"ITEM-1","itemData":{"DOI":"10.1080/20477724.2018.1523778","ISSN":"20477732","abstract":"Waterborne protozoa (WBP) are important cause of several outbreaks all over the world. The report system of WBP in Africa is weak. More than one third of African countries (21/54) reported WBP with absent reports in the remaining countries (33/54). The top reported WBP were Cryptosporidium, Giardia, FLA and Entamoeba contaminating different African water resources. Other protozoa were less documented even though it is abundant and robust. More than one protozoa were detected in contaminated African water including drinking sources, a prediction index to popular epidemics and real presence of undocumented WBP outbreaks. Risk factors in Africa were observed to be abundant and multi-factorial ‘socioeconomic, governmental, pathogen in water and climate change. Climate change is an important factor impacting Africa. Increasing droughts in Africa with other extreme weather events will lead to water crises. Incidence and transmission of WBP will change, with new manifested strains/species. Recognizing future consequences of water crises in Africa are important. Governments and population unity will be needed to protect against expected raise and spread of WBP diseases and water shortages.","author":[{"dropping-particle":"","family":"Ahmed","given":"Shahira A.","non-dropping-particle":"","parse-names":false,"suffix":""},{"dropping-particle":"","family":"Guerrero Flórez","given":"Milena","non-dropping-particle":"","parse-names":false,"suffix":""},{"dropping-particle":"","family":"Karanis","given":"Panagiotis","non-dropping-particle":"","parse-names":false,"suffix":""}],"container-title":"Pathogens and Global Health","id":"ITEM-1","issue":"6","issued":{"date-parts":[["2018"]]},"page":"281-293","publisher":"Taylor &amp; Francis","title":"The impact of water crises and climate changes on the transmission of protozoan parasites in Africa","type":"article-journal","volume":"112"},"uris":["http://www.mendeley.com/documents/?uuid=e7cd3825-f67e-4f5e-9f3a-2d11543cc2dc"]},{"id":"ITEM-2","itemData":{"ISBN":"012031732X","author":[{"dropping-particle":"","family":"Thompson","given":"R C A","non-dropping-particle":"","parse-names":false,"suffix":""},{"dropping-particle":"","family":"Reynoldson","given":"J A","non-dropping-particle":"","parse-names":false,"suffix":""},{"dropping-particle":"","family":"Sciences","given":"Biomedical","non-dropping-particle":"","parse-names":false,"suffix":""}],"id":"ITEM-2","issued":{"date-parts":[["1993"]]},"title":"Giardia and Giardiasis","type":"article-journal"},"uris":["http://www.mendeley.com/documents/?uuid=e6814605-b721-4255-a517-1aa27147b91d"]}],"mendeley":{"formattedCitation":"[4,41]","plainTextFormattedCitation":"[4,41]","previouslyFormattedCitation":"[4,41]"},"properties":{"noteIndex":0},"schema":"https://github.com/citation-style-language/schema/raw/master/csl-citation.json"}</w:instrText>
      </w:r>
      <w:r w:rsidRPr="00503EA9">
        <w:fldChar w:fldCharType="separate"/>
      </w:r>
      <w:r w:rsidR="001D3544" w:rsidRPr="00503EA9">
        <w:rPr>
          <w:noProof/>
        </w:rPr>
        <w:t>[4,41]</w:t>
      </w:r>
      <w:r w:rsidRPr="00503EA9">
        <w:fldChar w:fldCharType="end"/>
      </w:r>
      <w:r w:rsidRPr="00503EA9">
        <w:t xml:space="preserve">. </w:t>
      </w:r>
      <w:r w:rsidR="00195907" w:rsidRPr="00D60887">
        <w:t>G</w:t>
      </w:r>
      <w:r w:rsidRPr="00D60887">
        <w:t>iardiasis</w:t>
      </w:r>
      <w:r w:rsidR="00195907" w:rsidRPr="00D60887">
        <w:t>, however,</w:t>
      </w:r>
      <w:r w:rsidRPr="00D60887">
        <w:t xml:space="preserve"> receives only relatively little attention with regard to disease control, surveillance and elimination throughout sub-Saharan Africa.</w:t>
      </w:r>
      <w:r w:rsidR="00DE6424" w:rsidRPr="009E7221">
        <w:tab/>
      </w:r>
    </w:p>
    <w:p w14:paraId="1060F482" w14:textId="456E6FDB" w:rsidR="004D573A" w:rsidRPr="009E7221" w:rsidRDefault="002733E2" w:rsidP="00660637">
      <w:pPr>
        <w:pStyle w:val="MDPI31text"/>
        <w:spacing w:line="276" w:lineRule="auto"/>
      </w:pPr>
      <w:r>
        <w:t xml:space="preserve">As an example, </w:t>
      </w:r>
      <w:r w:rsidR="00FA274A">
        <w:t>d</w:t>
      </w:r>
      <w:r w:rsidR="004D573A" w:rsidRPr="009E7221">
        <w:t xml:space="preserve">espite numerous clear advantages of implementing WASH initiatives on reducing schistosomiasis transmission and despite </w:t>
      </w:r>
      <w:r w:rsidR="005D6644" w:rsidRPr="009E7221">
        <w:t xml:space="preserve">these </w:t>
      </w:r>
      <w:r w:rsidR="00DF5140">
        <w:t>key</w:t>
      </w:r>
      <w:r w:rsidR="004D573A" w:rsidRPr="009E7221">
        <w:t xml:space="preserve"> similarities between schistosomiasis and giardiasis with regard to disease transmission biology</w:t>
      </w:r>
      <w:r w:rsidR="00EA37C9" w:rsidRPr="009E7221">
        <w:t>,</w:t>
      </w:r>
      <w:r w:rsidR="004D573A" w:rsidRPr="009E7221">
        <w:t xml:space="preserve"> surprisingly little attention has been given to the impact of improved WASH provision and education on giardiasis transmission in sub-Saharan Africa </w:t>
      </w:r>
      <w:r w:rsidR="004D573A" w:rsidRPr="009E7221">
        <w:fldChar w:fldCharType="begin" w:fldLock="1"/>
      </w:r>
      <w:r w:rsidR="001A0DC3">
        <w:instrText>ADDIN CSL_CITATION {"citationItems":[{"id":"ITEM-1","itemData":{"DOI":"10.1016/j.ijpara.2016.07.005","ISSN":"18790135","PMID":"27616734","abstract":"There is little evidence on prevalence or risk factors for soil transmitted helminth infections in Timor-Leste. This study describes the epidemiology, water, sanitation and hygiene, and socioeconomic risk factors of STH and intestinal protozoa amongst communities in Manufahi District, Timor-Leste. As part of a cluster randomised controlled trial, a baseline cross-sectional survey was conducted across 18 villages, with data from six additional villages. Stool samples were assessed for soil transmitted helminth and protozoal infections using quantitative PCR (qPCR) and questionnaires administered to collect water, sanitation and hygiene and socioeconomic data. Risk factors for infection were assessed using multivariable mixed-effects logistic regression, stratified by age group (preschool, school-aged and adult). Overall, soil transmitted helminth prevalence was 69% (95% Confidence Interval 67–71%), with Necator americanus being most common (60%; 95% Confidence Interval 58–62%) followed by Ascaris spp. (24%; 95% Confidence Interval 23–26%). Ascaris-N. americanus co-infection was common (17%; 95% Confidence Interval 15%-18%). Giardia duodenalis was the main protozoan identified (13%; 95% Confidence Interval 11–14%). Baseline water, sanitation and hygiene infrastructure and behaviours were poor. Although risk factors varied by age of participants and parasite species, risk factors for N. americanus infection included, generally, age in years, male sex, and socioeconomic quintile. Risk factors for Ascaris included age in years for children, and piped water to the yard for adults. In this first known assessment of community-based prevalence and associated risk factors in Timor-Leste, soil transmitted helminth infections were highly prevalent, indicating a need for soil transmitted helminth control. Few associations with water, sanitation and hygiene were evident, despite water, sanitation and hygiene being generally poor. In our water, sanitation and hygiene we will investigate implications of improving WASH on soil transmitted helminth infection in impoverished communities.","author":[{"dropping-particle":"","family":"Campbell","given":"Suzy J.","non-dropping-particle":"","parse-names":false,"suffix":""},{"dropping-particle":"V.","family":"Nery","given":"Susana","non-dropping-particle":"","parse-names":false,"suffix":""},{"dropping-particle":"","family":"D'Este","given":"Catherine A.","non-dropping-particle":"","parse-names":false,"suffix":""},{"dropping-particle":"","family":"Gray","given":"Darren J.","non-dropping-particle":"","parse-names":false,"suffix":""},{"dropping-particle":"","family":"McCarthy","given":"James S.","non-dropping-particle":"","parse-names":false,"suffix":""},{"dropping-particle":"","family":"Traub","given":"Rebecca J.","non-dropping-particle":"","parse-names":false,"suffix":""},{"dropping-particle":"","family":"Andrews","given":"Ross M.","non-dropping-particle":"","parse-names":false,"suffix":""},{"dropping-particle":"","family":"Llewellyn","given":"Stacey","non-dropping-particle":"","parse-names":false,"suffix":""},{"dropping-particle":"","family":"Vallely","given":"Andrew J.","non-dropping-particle":"","parse-names":false,"suffix":""},{"dropping-particle":"","family":"Williams","given":"Gail M.","non-dropping-particle":"","parse-names":false,"suffix":""},{"dropping-particle":"","family":"Amaral","given":"Salvador","non-dropping-particle":"","parse-names":false,"suffix":""},{"dropping-particle":"","family":"Clements","given":"Archie C.A.","non-dropping-particle":"","parse-names":false,"suffix":""}],"container-title":"International Journal for Parasitology","id":"ITEM-1","issue":"12","issued":{"date-parts":[["2016"]]},"page":"771-779","title":"Water, sanitation and hygiene related risk factors for soil-transmitted helminth and Giardia duodenalis infections in rural communities in Timor-Leste","type":"article-journal","volume":"46"},"uris":["http://www.mendeley.com/documents/?uuid=3a04ca10-484d-4469-b272-ee91b5d214d6"]}],"mendeley":{"formattedCitation":"[43]","plainTextFormattedCitation":"[43]","previouslyFormattedCitation":"[43]"},"properties":{"noteIndex":0},"schema":"https://github.com/citation-style-language/schema/raw/master/csl-citation.json"}</w:instrText>
      </w:r>
      <w:r w:rsidR="004D573A" w:rsidRPr="009E7221">
        <w:fldChar w:fldCharType="separate"/>
      </w:r>
      <w:r w:rsidR="001D3544" w:rsidRPr="001D3544">
        <w:rPr>
          <w:noProof/>
        </w:rPr>
        <w:t>[43]</w:t>
      </w:r>
      <w:r w:rsidR="004D573A" w:rsidRPr="009E7221">
        <w:fldChar w:fldCharType="end"/>
      </w:r>
      <w:r w:rsidR="004D573A" w:rsidRPr="009E7221">
        <w:t xml:space="preserve">. </w:t>
      </w:r>
      <w:r w:rsidR="004D573A" w:rsidRPr="00D66562">
        <w:t xml:space="preserve">This oversight presents not only a missed opportunity with regards to better understanding, and reducing, giardiasis transmission and its associated pathological impact on some of the world’s most disadvantaged communities, but also presents the question; why is giardiasis ignored in </w:t>
      </w:r>
      <w:r w:rsidR="004038E4" w:rsidRPr="00D66562">
        <w:t xml:space="preserve">intestinal </w:t>
      </w:r>
      <w:r w:rsidR="004D573A" w:rsidRPr="00D66562">
        <w:t>schistosomiasis</w:t>
      </w:r>
      <w:r w:rsidR="00CE0AF5" w:rsidRPr="00D66562">
        <w:t xml:space="preserve"> </w:t>
      </w:r>
      <w:r w:rsidR="004D573A" w:rsidRPr="00D66562">
        <w:t>monitoring and control programmes?</w:t>
      </w:r>
    </w:p>
    <w:p w14:paraId="0EDFF9F2" w14:textId="1C0038A5" w:rsidR="00BD08BB" w:rsidRDefault="00BA03E8" w:rsidP="00BD08BB">
      <w:pPr>
        <w:pStyle w:val="MDPI21heading1"/>
        <w:spacing w:line="276" w:lineRule="auto"/>
      </w:pPr>
      <w:r w:rsidRPr="009E7221">
        <w:t>4</w:t>
      </w:r>
      <w:r w:rsidR="0010070C" w:rsidRPr="009E7221">
        <w:t xml:space="preserve">. </w:t>
      </w:r>
      <w:r w:rsidR="004D573A" w:rsidRPr="009E7221">
        <w:t xml:space="preserve">Intestinal schistosomiasis and giardiasis: </w:t>
      </w:r>
      <w:r w:rsidR="00876CC1">
        <w:t>T</w:t>
      </w:r>
      <w:r w:rsidR="004D573A" w:rsidRPr="009E7221">
        <w:t>owards a One Health approach</w:t>
      </w:r>
    </w:p>
    <w:p w14:paraId="759DF9A4" w14:textId="3EAC998B" w:rsidR="002D6D72" w:rsidRPr="00876CC1" w:rsidRDefault="002D6D72" w:rsidP="002D6D72">
      <w:pPr>
        <w:pStyle w:val="MDPI31text"/>
        <w:spacing w:line="276" w:lineRule="auto"/>
      </w:pPr>
      <w:r w:rsidRPr="00876CC1">
        <w:t xml:space="preserve">Research funding opportunities for </w:t>
      </w:r>
      <w:r w:rsidR="00655872" w:rsidRPr="00876CC1">
        <w:t>NTDs are limited</w:t>
      </w:r>
      <w:r w:rsidR="001F03D6" w:rsidRPr="00876CC1">
        <w:t xml:space="preserve"> when compared to those for </w:t>
      </w:r>
      <w:r w:rsidR="007F62D6" w:rsidRPr="00876CC1">
        <w:t>other diseases such as human immunodeficiency virus (HIV), malaria or tuberculosis</w:t>
      </w:r>
      <w:r w:rsidR="006F59A5" w:rsidRPr="00876CC1">
        <w:t xml:space="preserve"> </w:t>
      </w:r>
      <w:r w:rsidR="006F59A5" w:rsidRPr="00876CC1">
        <w:fldChar w:fldCharType="begin" w:fldLock="1"/>
      </w:r>
      <w:r w:rsidR="00FF7476">
        <w:instrText>ADDIN CSL_CITATION {"citationItems":[{"id":"ITEM-1","itemData":{"DOI":"10.1093/cid/ciy349","author":[{"dropping-particle":"","family":"Reed","given":"Sharon L","non-dropping-particle":"","parse-names":false,"suffix":""},{"dropping-particle":"","family":"Mckerrow","given":"James H","non-dropping-particle":"","parse-names":false,"suffix":""},{"dropping-particle":"","family":"Reed","given":"Sharon L","non-dropping-particle":"","parse-names":false,"suffix":""},{"dropping-particle":"","family":"Mckerrow","given":"James H","non-dropping-particle":"","parse-names":false,"suffix":""}],"id":"ITEM-1","issued":{"date-parts":[["0"]]},"title":"Why Funding for Neglected Tropical Diseases Should Be a Global Priority Why Funding for Neglected Tropical Diseases Should Be a Global Priority","type":"article-journal"},"uris":["http://www.mendeley.com/documents/?uuid=d7689915-6829-48f5-ba96-5f2c0f495ab2"]}],"mendeley":{"formattedCitation":"[131]","plainTextFormattedCitation":"[131]","previouslyFormattedCitation":"[131]"},"properties":{"noteIndex":0},"schema":"https://github.com/citation-style-language/schema/raw/master/csl-citation.json"}</w:instrText>
      </w:r>
      <w:r w:rsidR="006F59A5" w:rsidRPr="00876CC1">
        <w:fldChar w:fldCharType="separate"/>
      </w:r>
      <w:r w:rsidR="00F0018A" w:rsidRPr="00F0018A">
        <w:rPr>
          <w:noProof/>
        </w:rPr>
        <w:t>[131]</w:t>
      </w:r>
      <w:r w:rsidR="006F59A5" w:rsidRPr="00876CC1">
        <w:fldChar w:fldCharType="end"/>
      </w:r>
      <w:r w:rsidRPr="00876CC1">
        <w:t xml:space="preserve">. One way in which the impact of NTD control programmes can be significantly increased, however, is by appropriate integration with other disease surveillance, control, research and policy efforts. Successful examples of this integrated One Health approach can be seen when integrating lymphatic filariasis surveillance and elimination efforts into malaria elimination programmes, as well as by integrating soil-transmitted helminth and schistosomiasis control and elimination efforts </w:t>
      </w:r>
      <w:r w:rsidRPr="00876CC1">
        <w:fldChar w:fldCharType="begin" w:fldLock="1"/>
      </w:r>
      <w:r w:rsidR="00FF7476">
        <w:instrText>ADDIN CSL_CITATION {"citationItems":[{"id":"ITEM-1","itemData":{"DOI":"10.1016/S1473-3099(12)70148-2","ISSN":"14733099","abstract":"The global programmes to eliminate both malaria and lymphatic fi lariasis are facing operational and technical challenges. Available data show that the use of treated or untreated bednets and indoor residual spraying for malaria control concomitantly reduced fi larial rates. In turn, mass drug administration campaigns against lymphatic fi lariasis can be combined with the distri bution of insecticide-treated bednets. Combining these disease control eff orts could lead to more effi cient use of resources, more accurate attribution of eff ects, and more eff ective control of both diseases. Systematic integration requires coordination at all levels, mapping of coendemic areas, and comprehensive monitoring and evaluation. © 2013 Elsevier Ltd.","author":[{"dropping-particle":"","family":"Berg","given":"Henk","non-dropping-particle":"Van den","parse-names":false,"suffix":""},{"dropping-particle":"","family":"Kelly-Hope","given":"Louise A.","non-dropping-particle":"","parse-names":false,"suffix":""},{"dropping-particle":"","family":"Lindsay","given":"Steve W.","non-dropping-particle":"","parse-names":false,"suffix":""}],"container-title":"The Lancet Infectious Diseases","id":"ITEM-1","issue":"1","issued":{"date-parts":[["2013"]]},"page":"89-94","publisher":"Elsevier Ltd","title":"Malaria and lymphatic filariasis: The case for integrated vector management","type":"article-journal","volume":"13"},"uris":["http://www.mendeley.com/documents/?uuid=ee883d5e-42d8-4715-bfe0-a539e9c1a9ae"]},{"id":"ITEM-2","itemData":{"DOI":"10.1186/1756-3305-6-39","ISSN":"17563305","PMID":"23433078","abstract":"Background: The Global Programme to Eliminate Lymphatic Filariasis (GPELF) was launched in 2000, and nearly all endemic countries in the Americas, Eastern Mediterranean and Asia-Pacific regions have now initiated the WHO recommended mass drug administration (MDA) campaign to interrupt transmission of the parasite. However, nearly 50% of the LF endemic countries in Africa are yet to implement the GPELF MDA strategy, which does not include vector control. Nevertheless, the recent scale up in insecticide treated /long lasting nets (ITNs/LLINs) and indoor residual spraying (IRS) for malaria control in Africa may significantly impact LF transmission because the parasite is transmitted mainly by Anopheles mosquitoes. This study examined the magnitude, geographical extent and potential impact of vector control in the 17 African countries that are yet to or have only recently started MDA. Methods. National data on mosquito bed nets, ITNs/LLINs and IRS were obtained from published literature, national reports, surveys and datasets from public sources such as Demographic Health Surveys, Malaria Indicator Surveys, Multiple Indicator Cluster Surveys, Malaria Report, Roll Back Malaria and Presidents Malaria Initiative websites. The type, number and distribution of interventions were summarised and mapped at sub-national level. and compared with known or potential LF distributions, and those which may be co-endemic with Loa loa and MDA is contraindicated. Results: Analyses found that vector control activities had increased significantly since 2005, with a three-fold increase in ITN ownership and IRS coverage. However, coverage varied dramatically across the 17 countries; some regions reported &gt;70% ITNs ownership and regular IRS activity, while others had no coverage in remote rural populations where the risk of LF was potentially high and co-endemic with high risk L.loa. Conclusions: Despite many African countries being slow to initiate MDA for LF, the continued commitment and global financial support for NTDs, and the concurrent expansion of vector control activities for malaria, is promising. It is not beyond the capacity of GPELF to reach its target of global LF elimination by 2020, but monitoring and evaluating the impact of these activities over the next decade will be critical to its success. © 2013 Kelly-Hope et al; licensee BioMed Central Ltd.","author":[{"dropping-particle":"","family":"Kelly-Hope","given":"Louise A.","non-dropping-particle":"","parse-names":false,"suffix":""},{"dropping-particle":"","family":"Molyneux","given":"David H.","non-dropping-particle":"","parse-names":false,"suffix":""},{"dropping-particle":"","family":"Bockarie","given":"Moses J.","non-dropping-particle":"","parse-names":false,"suffix":""}],"container-title":"Parasites and Vectors","id":"ITEM-2","issue":"1","issued":{"date-parts":[["2013"]]},"page":"1-12","title":"Can malaria vector control accelerate the interruption of lymphatic filariasis transmission in Africa; Capturing a window of opportunity?","type":"article-journal","volume":"6"},"uris":["http://www.mendeley.com/documents/?uuid=76111cd1-4d5a-4258-b6a1-96eebcff1e49"]},{"id":"ITEM-3","itemData":{"DOI":"10.1371/journal.pntd.0005387","ISBN":"1111111111","ISSN":"19352735","abstract":"Background: Since 2001, Haiti’s National Program for the Elimination of Lymphatic Filariasis (NPELF) has worked to reduce the transmission of lymphatic filariasis (LF) through annual mass drug administration (MDA) with diethylcarbamazine and albendazole. The NPELF reached full national coverage with MDA for LF in 2012, and by 2014, a total of 14 evaluation units (48 communes) had met WHO eligibility criteria to conduct LF transmission assessment surveys (TAS) to determine whether prevalence had been reduced to below a threshold, such that transmission is assumed to be no longer sustainable. Haiti is also endemic for malaria and many communities suffer a high burden of soil transmitted helminths (STH). Heeding the call from WHO for integration of neglected tropical diseases (NTD) activities, Haiti’s NPELF worked with the national malaria control program (NMCP) and with partners to develop an integrated TAS (LF-STH-malaria) to include assessments for malaria and STH. Methodology/Principle findings: The aim of this study was to evaluate the feasibility of using TAS surveys for LF as a platform to collect information about STH and malaria. Between November 2014 and June 2015, TAS were conducted in 14 evaluation units (EUs) including 1 TAS (LF-only), 1 TAS-STH-malaria, and 12 TAS-malaria, with a total of 16,655 children tested for LF, 14,795 tested for malaria, and 298 tested for STH. In all, 12 of the 14 EUs passed the LF TAS, allowing the program to stop MDA for LF in 44 communes. The EU where children were also tested for STH will require annual school-based treatment with albendazole to maintain reduced STH levels. Finally, only 12 of 14,795 children tested positive for malaria by RDT in 38 communes. Conclusions/Significance: Haiti’s 2014–2015 Integrated TAS surveys provide evidence of the feasibility of using the LF TAS as a platform for integration of assessments for STH and or malaria.","author":[{"dropping-particle":"","family":"Knipes","given":"Alaine Kathryn","non-dropping-particle":"","parse-names":false,"suffix":""},{"dropping-particle":"","family":"Lemoine","given":"Jean Frantz","non-dropping-particle":"","parse-names":false,"suffix":""},{"dropping-particle":"","family":"Monestime","given":"Franck","non-dropping-particle":"","parse-names":false,"suffix":""},{"dropping-particle":"","family":"Fayette","given":"Carl R.","non-dropping-particle":"","parse-names":false,"suffix":""},{"dropping-particle":"","family":"Direny","given":"Abdel N.","non-dropping-particle":"","parse-names":false,"suffix":""},{"dropping-particle":"","family":"Desir","given":"Luccene","non-dropping-particle":"","parse-names":false,"suffix":""},{"dropping-particle":"","family":"Beau de Rochars","given":"Valery E.","non-dropping-particle":"","parse-names":false,"suffix":""},{"dropping-particle":"","family":"Streit","given":"Thomas G.","non-dropping-particle":"","parse-names":false,"suffix":""},{"dropping-particle":"","family":"Renneker","given":"Kristen","non-dropping-particle":"","parse-names":false,"suffix":""},{"dropping-particle":"","family":"Chu","given":"Brian K.","non-dropping-particle":"","parse-names":false,"suffix":""},{"dropping-particle":"","family":"Chang","given":"Michelle A.","non-dropping-particle":"","parse-names":false,"suffix":""},{"dropping-particle":"","family":"Mace","given":"Kimberly E.","non-dropping-particle":"","parse-names":false,"suffix":""},{"dropping-particle":"","family":"Won","given":"Kimberly Y.","non-dropping-particle":"","parse-names":false,"suffix":""},{"dropping-particle":"","family":"Lammie","given":"Patrick J.","non-dropping-particle":"","parse-names":false,"suffix":""}],"container-title":"PLoS Neglected Tropical Diseases","id":"ITEM-3","issue":"2","issued":{"date-parts":[["2017"]]},"page":"1-12","title":"Partnering for impact: Integrated transmission assessment surveys for lymphatic filariasis, soil transmitted helminths and malaria in Haiti","type":"article-journal","volume":"11"},"uris":["http://www.mendeley.com/documents/?uuid=8279f60f-2a76-46e4-90bb-71a9491d25db"]},{"id":"ITEM-4","itemData":{"DOI":"10.1371/journal.pntd.0002651","ISSN":"19352735","author":[{"dropping-particle":"","family":"Campbell","given":"Suzy J.","non-dropping-particle":"","parse-names":false,"suffix":""},{"dropping-particle":"","family":"Savage","given":"Georgia B.","non-dropping-particle":"","parse-names":false,"suffix":""},{"dropping-particle":"","family":"Gray","given":"Darren J.","non-dropping-particle":"","parse-names":false,"suffix":""},{"dropping-particle":"","family":"Atkinson","given":"Jo An M.","non-dropping-particle":"","parse-names":false,"suffix":""},{"dropping-particle":"","family":"Soares Magalhães","given":"Ricardo J.","non-dropping-particle":"","parse-names":false,"suffix":""},{"dropping-particle":"V.","family":"Nery","given":"Susana","non-dropping-particle":"","parse-names":false,"suffix":""},{"dropping-particle":"","family":"McCarthy","given":"James S.","non-dropping-particle":"","parse-names":false,"suffix":""},{"dropping-particle":"","family":"Velleman","given":"Yael","non-dropping-particle":"","parse-names":false,"suffix":""},{"dropping-particle":"","family":"Wicken","given":"James H.","non-dropping-particle":"","parse-names":false,"suffix":""},{"dropping-particle":"","family":"Traub","given":"Rebecca J.","non-dropping-particle":"","parse-names":false,"suffix":""},{"dropping-particle":"","family":"Williams","given":"Gail M.","non-dropping-particle":"","parse-names":false,"suffix":""},{"dropping-particle":"","family":"Andrews","given":"Ross M.","non-dropping-particle":"","parse-names":false,"suffix":""},{"dropping-particle":"","family":"Clements","given":"Archie C.A.","non-dropping-particle":"","parse-names":false,"suffix":""}],"container-title":"PLoS Neglected Tropical Diseases","id":"ITEM-4","issue":"4","issued":{"date-parts":[["2014"]]},"page":"1-5","title":"Water, Sanitation, and Hygiene (WASH): A Critical Component for Sustainable Soil-Transmitted Helminth and Schistosomiasis Control","type":"article-journal","volume":"8"},"uris":["http://www.mendeley.com/documents/?uuid=c9a26227-7e74-430c-9e82-2f0ec9ba3051"]},{"id":"ITEM-5","itemData":{"DOI":"10.1371/journal.pntd.0006551","ISBN":"1111111111","ISSN":"19352735","abstract":"Background: Togo has conducted annual, integrated, community-based mass drug administration (MDA) for soil-transmitted helminths (STH) and schistosomiasis since 2010. Treatment frequency and target populations are determined by disease prevalence, as measured by baseline surveys in 2007 and 2009, and WHO guidelines. Reported programmatic treatment coverage has averaged over 94%. Togo conducted a cross-sectional survey in 2015 to assess the impact of four to five years of MDA on these diseases. Methodology/Principal findings: In every sub-district in the country outside the capital, the same schools were visited as at baseline and a sample of fifteen children age 6 to 9 years old was drawn. Each child submitted urine and a stool sample. Urine samples were tested by dipstick for the presence of blood as a proxy measure of Schistosoma haematobium infection. Stool samples were analyzed by the Kato-Katz method for STH and Schistosoma mansoni. At baseline, 17,100 children were enrolled at 1,129 schools in 562 sub-districts; in 2015, 16,890 children were enrolled at the same schools. The overall prevalence of both STH and schistosomiasis declined significantly, from 31.5% to 11.6% for STH and from 23.5% to 5.0% for schistosomiasis (p&lt;0.001 in both instances). Egg counts from both years were available only for hookworm and S. mansoni; intensity of infection decreased significantly for both infections from 2009 to 2015 (p&lt;0.001 for both infections). In areas with high baseline prevalence, rebound of hookworm infection was noted in children who had not received albendazole in the past 6 months. Conclusions/Significance: After four to five years of MDA in Togo, the prevalence and intensity of STH and schistosomiasis infection were significantly reduced compared to baseline. Data on STH indicate that stopping MDA in areas with high baseline prevalence may result in significant rebound of infection. Togo’s findings may help refine treatment recommendations for these diseases.","author":[{"dropping-particle":"","family":"Bronzan","given":"Rachel N.","non-dropping-particle":"","parse-names":false,"suffix":""},{"dropping-particle":"","family":"Dorkenoo","given":"Ameyo M.","non-dropping-particle":"","parse-names":false,"suffix":""},{"dropping-particle":"","family":"Agbo","given":"Yao M.","non-dropping-particle":"","parse-names":false,"suffix":""},{"dropping-particle":"","family":"Halatoko","given":"Wemboo","non-dropping-particle":"","parse-names":false,"suffix":""},{"dropping-particle":"","family":"Layibo","given":"Yao","non-dropping-particle":"","parse-names":false,"suffix":""},{"dropping-particle":"","family":"Adjeloh","given":"Poukpessi","non-dropping-particle":"","parse-names":false,"suffix":""},{"dropping-particle":"","family":"Teko","given":"Menssah","non-dropping-particle":"","parse-names":false,"suffix":""},{"dropping-particle":"","family":"Sossou","given":"Efoe","non-dropping-particle":"","parse-names":false,"suffix":""},{"dropping-particle":"","family":"Yakpa","given":"Kossi","non-dropping-particle":"","parse-names":false,"suffix":""},{"dropping-particle":"","family":"Tchalim","given":"Mawèké","non-dropping-particle":"","parse-names":false,"suffix":""},{"dropping-particle":"","family":"Datagni","given":"Gbati","non-dropping-particle":"","parse-names":false,"suffix":""},{"dropping-particle":"","family":"Seim","given":"Anders","non-dropping-particle":"","parse-names":false,"suffix":""},{"dropping-particle":"","family":"Sognikin","given":"Koffi S.","non-dropping-particle":"","parse-names":false,"suffix":""}],"container-title":"PLoS Neglected Tropical Diseases","id":"ITEM-5","issue":"8","issued":{"date-parts":[["2018"]]},"page":"1-23","title":"Impact of community-based integrated mass drug administration on schistosomiasis and soil-transmitted helminth prevalence in Togo","type":"article-journal","volume":"12"},"uris":["http://www.mendeley.com/documents/?uuid=f54466f7-f748-4317-abe9-7f07b90f4151"]}],"mendeley":{"formattedCitation":"[128,132–135]","plainTextFormattedCitation":"[128,132–135]","previouslyFormattedCitation":"[128,132–135]"},"properties":{"noteIndex":0},"schema":"https://github.com/citation-style-language/schema/raw/master/csl-citation.json"}</w:instrText>
      </w:r>
      <w:r w:rsidRPr="00876CC1">
        <w:fldChar w:fldCharType="separate"/>
      </w:r>
      <w:r w:rsidR="00F0018A" w:rsidRPr="00F0018A">
        <w:rPr>
          <w:noProof/>
        </w:rPr>
        <w:t>[128,132–135]</w:t>
      </w:r>
      <w:r w:rsidRPr="00876CC1">
        <w:fldChar w:fldCharType="end"/>
      </w:r>
      <w:r w:rsidRPr="00876CC1">
        <w:t xml:space="preserve">. </w:t>
      </w:r>
    </w:p>
    <w:p w14:paraId="3EA960D0" w14:textId="22B597A0" w:rsidR="004D573A" w:rsidRDefault="004D573A" w:rsidP="00614D2F">
      <w:pPr>
        <w:pStyle w:val="MDPI31text"/>
        <w:spacing w:line="276" w:lineRule="auto"/>
        <w:ind w:firstLine="357"/>
      </w:pPr>
      <w:r w:rsidRPr="00876CC1">
        <w:t>In keeping with this integrated</w:t>
      </w:r>
      <w:r w:rsidR="009C36E8" w:rsidRPr="00876CC1">
        <w:t>,</w:t>
      </w:r>
      <w:r w:rsidRPr="00876CC1">
        <w:t xml:space="preserve"> One Health approach, here, we propose a variety of ways in which the transmission of, and pathologies associated with, co-infection of intestinal schistosomiasis and giardiasis can be better understood, monitored and reduced </w:t>
      </w:r>
      <w:r w:rsidRPr="005C48DB">
        <w:t>via</w:t>
      </w:r>
      <w:r w:rsidRPr="00876CC1">
        <w:rPr>
          <w:i/>
          <w:iCs/>
        </w:rPr>
        <w:t xml:space="preserve"> </w:t>
      </w:r>
      <w:r w:rsidRPr="00876CC1">
        <w:t>the</w:t>
      </w:r>
      <w:r w:rsidRPr="00876CC1">
        <w:rPr>
          <w:i/>
          <w:iCs/>
        </w:rPr>
        <w:t xml:space="preserve"> </w:t>
      </w:r>
      <w:r w:rsidRPr="00876CC1">
        <w:t>integration of giardiasis control efforts into existing schistosomiasis control programmes. These include:</w:t>
      </w:r>
    </w:p>
    <w:p w14:paraId="7D8E96D0" w14:textId="0749DE5D" w:rsidR="006223C7" w:rsidRPr="0034529C" w:rsidRDefault="006223C7" w:rsidP="0034529C">
      <w:pPr>
        <w:pStyle w:val="ListParagraph"/>
        <w:numPr>
          <w:ilvl w:val="0"/>
          <w:numId w:val="7"/>
        </w:numPr>
        <w:spacing w:after="0" w:line="240" w:lineRule="auto"/>
        <w:ind w:left="782" w:hanging="425"/>
        <w:jc w:val="both"/>
        <w:rPr>
          <w:rFonts w:ascii="Palatino Linotype" w:hAnsi="Palatino Linotype" w:cs="Times New Roman"/>
          <w:bCs/>
          <w:color w:val="000000" w:themeColor="text1"/>
          <w:sz w:val="20"/>
          <w:szCs w:val="20"/>
        </w:rPr>
      </w:pPr>
      <w:commentRangeStart w:id="29"/>
      <w:r w:rsidRPr="00ED0EB7">
        <w:rPr>
          <w:rFonts w:ascii="Palatino Linotype" w:hAnsi="Palatino Linotype" w:cs="Times New Roman"/>
          <w:bCs/>
          <w:color w:val="000000" w:themeColor="text1"/>
          <w:sz w:val="20"/>
          <w:szCs w:val="20"/>
        </w:rPr>
        <w:t xml:space="preserve">Integrating screening of giardiasis endemicity and infection prevalence into existing schistosomiasis control programmes by utilising stool samples used for </w:t>
      </w:r>
      <w:r w:rsidR="00D5676D" w:rsidRPr="00ED0EB7">
        <w:rPr>
          <w:rFonts w:ascii="Palatino Linotype" w:hAnsi="Palatino Linotype" w:cs="Times New Roman"/>
          <w:bCs/>
          <w:color w:val="000000" w:themeColor="text1"/>
          <w:sz w:val="20"/>
          <w:szCs w:val="20"/>
        </w:rPr>
        <w:t xml:space="preserve">diagnosing infection with </w:t>
      </w:r>
      <w:r w:rsidRPr="00ED0EB7">
        <w:rPr>
          <w:rFonts w:ascii="Palatino Linotype" w:hAnsi="Palatino Linotype" w:cs="Times New Roman"/>
          <w:bCs/>
          <w:i/>
          <w:iCs/>
          <w:color w:val="000000" w:themeColor="text1"/>
          <w:sz w:val="20"/>
          <w:szCs w:val="20"/>
        </w:rPr>
        <w:t>S. mansoni</w:t>
      </w:r>
      <w:r w:rsidR="001C0AEC" w:rsidRPr="00ED0EB7">
        <w:rPr>
          <w:rFonts w:ascii="Palatino Linotype" w:hAnsi="Palatino Linotype" w:cs="Times New Roman"/>
          <w:bCs/>
          <w:color w:val="000000" w:themeColor="text1"/>
          <w:sz w:val="20"/>
          <w:szCs w:val="20"/>
        </w:rPr>
        <w:t>,</w:t>
      </w:r>
      <w:r w:rsidRPr="00ED0EB7">
        <w:rPr>
          <w:rFonts w:ascii="Palatino Linotype" w:hAnsi="Palatino Linotype" w:cs="Times New Roman"/>
          <w:bCs/>
          <w:color w:val="000000" w:themeColor="text1"/>
          <w:sz w:val="20"/>
          <w:szCs w:val="20"/>
        </w:rPr>
        <w:t xml:space="preserve"> and other intestinal parasite</w:t>
      </w:r>
      <w:r w:rsidR="001C0AEC" w:rsidRPr="00ED0EB7">
        <w:rPr>
          <w:rFonts w:ascii="Palatino Linotype" w:hAnsi="Palatino Linotype" w:cs="Times New Roman"/>
          <w:bCs/>
          <w:color w:val="000000" w:themeColor="text1"/>
          <w:sz w:val="20"/>
          <w:szCs w:val="20"/>
        </w:rPr>
        <w:t xml:space="preserve">s, </w:t>
      </w:r>
      <w:r w:rsidRPr="00ED0EB7">
        <w:rPr>
          <w:rFonts w:ascii="Palatino Linotype" w:hAnsi="Palatino Linotype" w:cs="Times New Roman"/>
          <w:bCs/>
          <w:color w:val="000000" w:themeColor="text1"/>
          <w:sz w:val="20"/>
          <w:szCs w:val="20"/>
        </w:rPr>
        <w:t xml:space="preserve">to also record and report levels of </w:t>
      </w:r>
      <w:r w:rsidRPr="00ED0EB7">
        <w:rPr>
          <w:rFonts w:ascii="Palatino Linotype" w:hAnsi="Palatino Linotype" w:cs="Times New Roman"/>
          <w:bCs/>
          <w:i/>
          <w:iCs/>
          <w:color w:val="000000" w:themeColor="text1"/>
          <w:sz w:val="20"/>
          <w:szCs w:val="20"/>
        </w:rPr>
        <w:t xml:space="preserve">Giardia </w:t>
      </w:r>
      <w:r w:rsidR="004775AE" w:rsidRPr="00ED0EB7">
        <w:rPr>
          <w:rFonts w:ascii="Palatino Linotype" w:hAnsi="Palatino Linotype" w:cs="Times New Roman"/>
          <w:bCs/>
          <w:color w:val="000000" w:themeColor="text1"/>
          <w:sz w:val="20"/>
          <w:szCs w:val="20"/>
        </w:rPr>
        <w:t>infection in</w:t>
      </w:r>
      <w:r w:rsidRPr="00ED0EB7">
        <w:rPr>
          <w:rFonts w:ascii="Palatino Linotype" w:hAnsi="Palatino Linotype" w:cs="Times New Roman"/>
          <w:bCs/>
          <w:color w:val="000000" w:themeColor="text1"/>
          <w:sz w:val="20"/>
          <w:szCs w:val="20"/>
        </w:rPr>
        <w:t xml:space="preserve"> school-aged children</w:t>
      </w:r>
      <w:r w:rsidR="003A39B0" w:rsidRPr="00ED0EB7">
        <w:rPr>
          <w:rFonts w:ascii="Palatino Linotype" w:hAnsi="Palatino Linotype" w:cs="Times New Roman"/>
          <w:bCs/>
          <w:color w:val="000000" w:themeColor="text1"/>
          <w:sz w:val="20"/>
          <w:szCs w:val="20"/>
        </w:rPr>
        <w:t>.</w:t>
      </w:r>
      <w:r w:rsidR="00003299" w:rsidRPr="00ED0EB7">
        <w:rPr>
          <w:rFonts w:ascii="Palatino Linotype" w:hAnsi="Palatino Linotype" w:cs="Times New Roman"/>
          <w:bCs/>
          <w:color w:val="000000" w:themeColor="text1"/>
          <w:sz w:val="20"/>
          <w:szCs w:val="20"/>
        </w:rPr>
        <w:t xml:space="preserve"> </w:t>
      </w:r>
      <w:r w:rsidR="0034529C" w:rsidRPr="00ED0EB7">
        <w:rPr>
          <w:rFonts w:ascii="Palatino Linotype" w:hAnsi="Palatino Linotype" w:cs="Times New Roman"/>
          <w:bCs/>
          <w:color w:val="000000" w:themeColor="text1"/>
          <w:sz w:val="20"/>
          <w:szCs w:val="20"/>
        </w:rPr>
        <w:t>This can be done</w:t>
      </w:r>
      <w:r w:rsidRPr="00ED0EB7">
        <w:rPr>
          <w:rFonts w:ascii="Palatino Linotype" w:hAnsi="Palatino Linotype"/>
          <w:bCs/>
          <w:color w:val="000000" w:themeColor="text1"/>
          <w:sz w:val="20"/>
          <w:szCs w:val="20"/>
        </w:rPr>
        <w:t xml:space="preserve"> using POC-RDTs</w:t>
      </w:r>
      <w:r w:rsidR="000C5F06" w:rsidRPr="00ED0EB7">
        <w:rPr>
          <w:rFonts w:ascii="Palatino Linotype" w:hAnsi="Palatino Linotype"/>
          <w:bCs/>
          <w:color w:val="000000" w:themeColor="text1"/>
          <w:sz w:val="20"/>
          <w:szCs w:val="20"/>
        </w:rPr>
        <w:t xml:space="preserve"> such as </w:t>
      </w:r>
      <w:r w:rsidR="00933C0D" w:rsidRPr="00ED0EB7">
        <w:rPr>
          <w:rFonts w:ascii="Palatino Linotype" w:hAnsi="Palatino Linotype"/>
          <w:bCs/>
          <w:color w:val="000000" w:themeColor="text1"/>
          <w:sz w:val="20"/>
          <w:szCs w:val="20"/>
        </w:rPr>
        <w:t>the Quik Chek immunoassay or using PCR/qPCR</w:t>
      </w:r>
      <w:r w:rsidRPr="00ED0EB7">
        <w:rPr>
          <w:rFonts w:ascii="Palatino Linotype" w:hAnsi="Palatino Linotype"/>
          <w:bCs/>
          <w:color w:val="000000" w:themeColor="text1"/>
          <w:sz w:val="20"/>
          <w:szCs w:val="20"/>
        </w:rPr>
        <w:t xml:space="preserve">. </w:t>
      </w:r>
      <w:commentRangeEnd w:id="29"/>
      <w:r w:rsidR="00220344">
        <w:rPr>
          <w:rStyle w:val="CommentReference"/>
        </w:rPr>
        <w:commentReference w:id="29"/>
      </w:r>
      <w:r w:rsidRPr="00ED0EB7">
        <w:rPr>
          <w:rFonts w:ascii="Palatino Linotype" w:hAnsi="Palatino Linotype"/>
          <w:bCs/>
          <w:color w:val="000000" w:themeColor="text1"/>
          <w:sz w:val="20"/>
          <w:szCs w:val="20"/>
        </w:rPr>
        <w:t>In</w:t>
      </w:r>
      <w:r w:rsidRPr="0034529C">
        <w:rPr>
          <w:rFonts w:ascii="Palatino Linotype" w:hAnsi="Palatino Linotype"/>
          <w:bCs/>
          <w:color w:val="000000" w:themeColor="text1"/>
          <w:sz w:val="20"/>
          <w:szCs w:val="20"/>
        </w:rPr>
        <w:t xml:space="preserve"> addition, the continued development, assessment and application of sensitive and straightforward POC-RDTs </w:t>
      </w:r>
      <w:r w:rsidR="00D946E3" w:rsidRPr="0034529C">
        <w:rPr>
          <w:rFonts w:ascii="Palatino Linotype" w:hAnsi="Palatino Linotype"/>
          <w:bCs/>
          <w:color w:val="000000" w:themeColor="text1"/>
          <w:sz w:val="20"/>
          <w:szCs w:val="20"/>
        </w:rPr>
        <w:t>able to detect</w:t>
      </w:r>
      <w:r w:rsidRPr="0034529C">
        <w:rPr>
          <w:rFonts w:ascii="Palatino Linotype" w:hAnsi="Palatino Linotype"/>
          <w:bCs/>
          <w:color w:val="000000" w:themeColor="text1"/>
          <w:sz w:val="20"/>
          <w:szCs w:val="20"/>
        </w:rPr>
        <w:t xml:space="preserve"> low-levels of infection in asymptomatic individuals capable of maintaining transmission of both parasites, </w:t>
      </w:r>
      <w:r w:rsidR="006F2AB4" w:rsidRPr="0034529C">
        <w:rPr>
          <w:rFonts w:ascii="Palatino Linotype" w:hAnsi="Palatino Linotype"/>
          <w:bCs/>
          <w:color w:val="000000" w:themeColor="text1"/>
          <w:sz w:val="20"/>
          <w:szCs w:val="20"/>
        </w:rPr>
        <w:t xml:space="preserve">such as the RPA, </w:t>
      </w:r>
      <w:r w:rsidRPr="0034529C">
        <w:rPr>
          <w:rFonts w:ascii="Palatino Linotype" w:hAnsi="Palatino Linotype"/>
          <w:bCs/>
          <w:color w:val="000000" w:themeColor="text1"/>
          <w:sz w:val="20"/>
          <w:szCs w:val="20"/>
        </w:rPr>
        <w:t>is encouraged.</w:t>
      </w:r>
    </w:p>
    <w:p w14:paraId="623CB48D" w14:textId="7E98A077" w:rsidR="006223C7" w:rsidRPr="006223C7" w:rsidRDefault="006223C7" w:rsidP="008037FF">
      <w:pPr>
        <w:pStyle w:val="ListParagraph"/>
        <w:numPr>
          <w:ilvl w:val="0"/>
          <w:numId w:val="7"/>
        </w:numPr>
        <w:spacing w:line="240" w:lineRule="auto"/>
        <w:jc w:val="both"/>
        <w:rPr>
          <w:rFonts w:ascii="Palatino Linotype" w:hAnsi="Palatino Linotype" w:cs="Times New Roman"/>
          <w:bCs/>
          <w:color w:val="000000" w:themeColor="text1"/>
          <w:sz w:val="20"/>
          <w:szCs w:val="20"/>
        </w:rPr>
      </w:pPr>
      <w:r w:rsidRPr="006223C7">
        <w:rPr>
          <w:rFonts w:ascii="Palatino Linotype" w:hAnsi="Palatino Linotype" w:cs="Times New Roman"/>
          <w:bCs/>
          <w:color w:val="000000" w:themeColor="text1"/>
          <w:sz w:val="20"/>
          <w:szCs w:val="20"/>
        </w:rPr>
        <w:t xml:space="preserve">Further development and application of sensitive molecular assays to detect trace levels of species/assemblage-specific parasite DNA within freshwater snail intermediate hosts of human-infecting </w:t>
      </w:r>
      <w:r w:rsidRPr="006223C7">
        <w:rPr>
          <w:rFonts w:ascii="Palatino Linotype" w:hAnsi="Palatino Linotype" w:cs="Times New Roman"/>
          <w:bCs/>
          <w:i/>
          <w:iCs/>
          <w:color w:val="000000" w:themeColor="text1"/>
          <w:sz w:val="20"/>
          <w:szCs w:val="20"/>
        </w:rPr>
        <w:t>Schistosoma</w:t>
      </w:r>
      <w:r w:rsidRPr="006223C7">
        <w:rPr>
          <w:rFonts w:ascii="Palatino Linotype" w:hAnsi="Palatino Linotype" w:cs="Times New Roman"/>
          <w:bCs/>
          <w:color w:val="000000" w:themeColor="text1"/>
          <w:sz w:val="20"/>
          <w:szCs w:val="20"/>
        </w:rPr>
        <w:t xml:space="preserve">, and in faecal samples from non-human animal definitive hosts of both diseases. Further development and application of sensitive molecular assays to detect trace levels of species/assemblage -specific parasite DNA from human-infecting </w:t>
      </w:r>
      <w:r w:rsidRPr="006223C7">
        <w:rPr>
          <w:rFonts w:ascii="Palatino Linotype" w:hAnsi="Palatino Linotype" w:cs="Times New Roman"/>
          <w:bCs/>
          <w:i/>
          <w:iCs/>
          <w:color w:val="000000" w:themeColor="text1"/>
          <w:sz w:val="20"/>
          <w:szCs w:val="20"/>
        </w:rPr>
        <w:t>Schistosoma</w:t>
      </w:r>
      <w:r w:rsidRPr="006223C7">
        <w:rPr>
          <w:rFonts w:ascii="Palatino Linotype" w:hAnsi="Palatino Linotype" w:cs="Times New Roman"/>
          <w:bCs/>
          <w:color w:val="000000" w:themeColor="text1"/>
          <w:sz w:val="20"/>
          <w:szCs w:val="20"/>
        </w:rPr>
        <w:t xml:space="preserve"> cercariae and </w:t>
      </w:r>
      <w:r w:rsidRPr="006223C7">
        <w:rPr>
          <w:rFonts w:ascii="Palatino Linotype" w:hAnsi="Palatino Linotype" w:cs="Times New Roman"/>
          <w:bCs/>
          <w:i/>
          <w:iCs/>
          <w:color w:val="000000" w:themeColor="text1"/>
          <w:sz w:val="20"/>
          <w:szCs w:val="20"/>
        </w:rPr>
        <w:t xml:space="preserve">Giardia </w:t>
      </w:r>
      <w:r w:rsidRPr="006223C7">
        <w:rPr>
          <w:rFonts w:ascii="Palatino Linotype" w:hAnsi="Palatino Linotype" w:cs="Times New Roman"/>
          <w:bCs/>
          <w:color w:val="000000" w:themeColor="text1"/>
          <w:sz w:val="20"/>
          <w:szCs w:val="20"/>
        </w:rPr>
        <w:t>cysts in water samples easily collected from viable transmission sites is also encouraged.</w:t>
      </w:r>
    </w:p>
    <w:p w14:paraId="4DE78354" w14:textId="00466C80" w:rsidR="006223C7" w:rsidRPr="006223C7" w:rsidRDefault="006223C7" w:rsidP="008037FF">
      <w:pPr>
        <w:pStyle w:val="ListParagraph"/>
        <w:numPr>
          <w:ilvl w:val="0"/>
          <w:numId w:val="7"/>
        </w:numPr>
        <w:spacing w:line="240" w:lineRule="auto"/>
        <w:jc w:val="both"/>
        <w:rPr>
          <w:rFonts w:ascii="Palatino Linotype" w:hAnsi="Palatino Linotype" w:cs="Times New Roman"/>
          <w:bCs/>
          <w:color w:val="000000" w:themeColor="text1"/>
          <w:sz w:val="20"/>
          <w:szCs w:val="20"/>
        </w:rPr>
      </w:pPr>
      <w:r w:rsidRPr="006223C7">
        <w:rPr>
          <w:rFonts w:ascii="Palatino Linotype" w:hAnsi="Palatino Linotype" w:cs="Times New Roman"/>
          <w:bCs/>
          <w:color w:val="000000" w:themeColor="text1"/>
          <w:sz w:val="20"/>
          <w:szCs w:val="20"/>
        </w:rPr>
        <w:t>The upscaled provision of water, sanitation and hygiene (WASH) infrastructure and education initiatives to communities afflicted by both schistosomiasis and giardiasis to reduce environmental contamination events and to reduce contact with</w:t>
      </w:r>
      <w:r w:rsidR="00A24CB2">
        <w:rPr>
          <w:rFonts w:ascii="Palatino Linotype" w:hAnsi="Palatino Linotype" w:cs="Times New Roman"/>
          <w:bCs/>
          <w:color w:val="000000" w:themeColor="text1"/>
          <w:sz w:val="20"/>
          <w:szCs w:val="20"/>
        </w:rPr>
        <w:t>/consumption of</w:t>
      </w:r>
      <w:r w:rsidRPr="006223C7">
        <w:rPr>
          <w:rFonts w:ascii="Palatino Linotype" w:hAnsi="Palatino Linotype" w:cs="Times New Roman"/>
          <w:bCs/>
          <w:color w:val="000000" w:themeColor="text1"/>
          <w:sz w:val="20"/>
          <w:szCs w:val="20"/>
        </w:rPr>
        <w:t xml:space="preserve"> contaminated water; simultaneously reducing transmission of both diseases.</w:t>
      </w:r>
    </w:p>
    <w:p w14:paraId="45A5FBE4" w14:textId="77777777" w:rsidR="006223C7" w:rsidRPr="006223C7" w:rsidRDefault="006223C7" w:rsidP="008037FF">
      <w:pPr>
        <w:pStyle w:val="ListParagraph"/>
        <w:numPr>
          <w:ilvl w:val="0"/>
          <w:numId w:val="7"/>
        </w:numPr>
        <w:spacing w:line="240" w:lineRule="auto"/>
        <w:jc w:val="both"/>
        <w:rPr>
          <w:rFonts w:ascii="Palatino Linotype" w:hAnsi="Palatino Linotype" w:cs="Times New Roman"/>
          <w:bCs/>
          <w:color w:val="000000" w:themeColor="text1"/>
          <w:sz w:val="20"/>
          <w:szCs w:val="20"/>
        </w:rPr>
      </w:pPr>
      <w:r w:rsidRPr="006223C7">
        <w:rPr>
          <w:rFonts w:ascii="Palatino Linotype" w:hAnsi="Palatino Linotype" w:cs="Times New Roman"/>
          <w:bCs/>
          <w:color w:val="000000" w:themeColor="text1"/>
          <w:sz w:val="20"/>
          <w:szCs w:val="20"/>
        </w:rPr>
        <w:t xml:space="preserve">Monitoring </w:t>
      </w:r>
      <w:r w:rsidRPr="006223C7">
        <w:rPr>
          <w:rFonts w:ascii="Palatino Linotype" w:hAnsi="Palatino Linotype" w:cs="Times New Roman"/>
          <w:bCs/>
          <w:i/>
          <w:iCs/>
          <w:color w:val="000000" w:themeColor="text1"/>
          <w:sz w:val="20"/>
          <w:szCs w:val="20"/>
        </w:rPr>
        <w:t xml:space="preserve">Giardia </w:t>
      </w:r>
      <w:r w:rsidRPr="006223C7">
        <w:rPr>
          <w:rFonts w:ascii="Palatino Linotype" w:hAnsi="Palatino Linotype" w:cs="Times New Roman"/>
          <w:bCs/>
          <w:color w:val="000000" w:themeColor="text1"/>
          <w:sz w:val="20"/>
          <w:szCs w:val="20"/>
        </w:rPr>
        <w:t>disease prevalence and associated morbidities in tandem with schistosomiasis surveillance in school-aged children following any control programme intervention to better understand how giardiasis transmission and related pathologies can be reduced.</w:t>
      </w:r>
    </w:p>
    <w:p w14:paraId="33067B57" w14:textId="1ED84185" w:rsidR="006223C7" w:rsidRPr="00FA0008" w:rsidRDefault="006223C7" w:rsidP="00FA0008">
      <w:pPr>
        <w:pStyle w:val="ListParagraph"/>
        <w:numPr>
          <w:ilvl w:val="0"/>
          <w:numId w:val="7"/>
        </w:numPr>
        <w:spacing w:line="240" w:lineRule="auto"/>
        <w:jc w:val="both"/>
        <w:rPr>
          <w:rFonts w:ascii="Palatino Linotype" w:hAnsi="Palatino Linotype" w:cs="Times New Roman"/>
          <w:bCs/>
          <w:color w:val="000000" w:themeColor="text1"/>
          <w:sz w:val="20"/>
          <w:szCs w:val="20"/>
        </w:rPr>
      </w:pPr>
      <w:r w:rsidRPr="006223C7">
        <w:rPr>
          <w:rFonts w:ascii="Palatino Linotype" w:hAnsi="Palatino Linotype" w:cs="Times New Roman"/>
          <w:bCs/>
          <w:color w:val="000000" w:themeColor="text1"/>
          <w:sz w:val="20"/>
          <w:szCs w:val="20"/>
        </w:rPr>
        <w:t>An increased focus on understanding how the transmission of intestinal schistosomiasis and giardiasis, as well as immune responses and morbidities related to both diseases, interact and are potentially exacerbated by co-infection.</w:t>
      </w:r>
    </w:p>
    <w:p w14:paraId="4E7AE06F" w14:textId="6E6EF470" w:rsidR="004D573A" w:rsidRPr="00155CE4" w:rsidRDefault="006A0F44" w:rsidP="00660637">
      <w:pPr>
        <w:pStyle w:val="MDPI21heading1"/>
        <w:spacing w:line="276" w:lineRule="auto"/>
      </w:pPr>
      <w:r>
        <w:t>5</w:t>
      </w:r>
      <w:r w:rsidR="00B85C0C">
        <w:t xml:space="preserve">. </w:t>
      </w:r>
      <w:r w:rsidR="004D573A" w:rsidRPr="00155CE4">
        <w:t>Conclusions</w:t>
      </w:r>
    </w:p>
    <w:p w14:paraId="5B00ED3F" w14:textId="32BED94B" w:rsidR="004D573A" w:rsidRPr="00A528CE" w:rsidRDefault="004D573A" w:rsidP="00F2680A">
      <w:pPr>
        <w:pStyle w:val="MDPI31text"/>
        <w:spacing w:line="276" w:lineRule="auto"/>
      </w:pPr>
      <w:r w:rsidRPr="0032540A">
        <w:t>H</w:t>
      </w:r>
      <w:r w:rsidRPr="00F661D2">
        <w:t xml:space="preserve">ere, we have highlighted </w:t>
      </w:r>
      <w:r w:rsidR="008A3B28" w:rsidRPr="00F661D2">
        <w:t xml:space="preserve">various </w:t>
      </w:r>
      <w:r w:rsidR="00F84FC0" w:rsidRPr="00F661D2">
        <w:t xml:space="preserve">potential opportunities </w:t>
      </w:r>
      <w:r w:rsidR="002348F2" w:rsidRPr="00F661D2">
        <w:t>to</w:t>
      </w:r>
      <w:r w:rsidR="00F84FC0" w:rsidRPr="00F661D2">
        <w:t xml:space="preserve"> impro</w:t>
      </w:r>
      <w:r w:rsidR="002348F2" w:rsidRPr="00F661D2">
        <w:t>ve</w:t>
      </w:r>
      <w:r w:rsidR="00F84FC0" w:rsidRPr="00F661D2">
        <w:t xml:space="preserve"> </w:t>
      </w:r>
      <w:r w:rsidR="007C6F77" w:rsidRPr="00F661D2">
        <w:t>the</w:t>
      </w:r>
      <w:r w:rsidR="00F84FC0" w:rsidRPr="00F661D2">
        <w:t xml:space="preserve"> health </w:t>
      </w:r>
      <w:r w:rsidR="00F309D7" w:rsidRPr="00F661D2">
        <w:t xml:space="preserve">and wellbeing </w:t>
      </w:r>
      <w:r w:rsidR="0006647B" w:rsidRPr="00164972">
        <w:t xml:space="preserve">of </w:t>
      </w:r>
      <w:r w:rsidR="003C4369" w:rsidRPr="00164972">
        <w:rPr>
          <w:color w:val="auto"/>
        </w:rPr>
        <w:t>individuals</w:t>
      </w:r>
      <w:r w:rsidR="0006647B" w:rsidRPr="00164972">
        <w:rPr>
          <w:color w:val="auto"/>
        </w:rPr>
        <w:t xml:space="preserve"> </w:t>
      </w:r>
      <w:r w:rsidR="0006647B" w:rsidRPr="00F661D2">
        <w:t xml:space="preserve">in low and middle-income </w:t>
      </w:r>
      <w:r w:rsidR="00C2611D" w:rsidRPr="00F661D2">
        <w:t xml:space="preserve">countries </w:t>
      </w:r>
      <w:r w:rsidR="00DF2547" w:rsidRPr="00F661D2">
        <w:t xml:space="preserve">where intestinal schistosomiasis and giardiasis are co-endemic </w:t>
      </w:r>
      <w:r w:rsidR="00800B4F" w:rsidRPr="00F661D2">
        <w:t xml:space="preserve">by </w:t>
      </w:r>
      <w:r w:rsidR="000C48B5" w:rsidRPr="00F661D2">
        <w:t>exploiting</w:t>
      </w:r>
      <w:r w:rsidR="00184371" w:rsidRPr="00F661D2">
        <w:t xml:space="preserve"> </w:t>
      </w:r>
      <w:r w:rsidR="00140BC8">
        <w:t xml:space="preserve">key </w:t>
      </w:r>
      <w:r w:rsidR="00704CE6" w:rsidRPr="00F661D2">
        <w:t xml:space="preserve">similarities between </w:t>
      </w:r>
      <w:r w:rsidR="007132CB" w:rsidRPr="00F661D2">
        <w:t>both diseases</w:t>
      </w:r>
      <w:r w:rsidR="009932B5" w:rsidRPr="00F661D2">
        <w:t xml:space="preserve"> </w:t>
      </w:r>
      <w:r w:rsidRPr="00F661D2">
        <w:t>with regard to disease transmission biology, epidemiology, surveillance and control.</w:t>
      </w:r>
      <w:r w:rsidRPr="00A52655">
        <w:t xml:space="preserve"> In addition, future steps needed to </w:t>
      </w:r>
      <w:r w:rsidR="00F2680A" w:rsidRPr="00A52655">
        <w:t xml:space="preserve">develop and </w:t>
      </w:r>
      <w:r w:rsidR="00A8259F" w:rsidRPr="00A52655">
        <w:t>implement</w:t>
      </w:r>
      <w:r w:rsidRPr="00A52655">
        <w:t xml:space="preserve"> an integrated</w:t>
      </w:r>
      <w:r w:rsidR="002A2F57" w:rsidRPr="00A52655">
        <w:t>,</w:t>
      </w:r>
      <w:r w:rsidRPr="00A52655">
        <w:t xml:space="preserve"> One Health approach </w:t>
      </w:r>
      <w:r w:rsidR="002A2F57" w:rsidRPr="00A52655">
        <w:t>for</w:t>
      </w:r>
      <w:r w:rsidRPr="00A52655">
        <w:t xml:space="preserve"> intestinal schistosomiasis and giardiasis co-infection surveillance, control and elimination strategies, are also outlined. In adopting this One Health approach</w:t>
      </w:r>
      <w:r w:rsidR="00FD061A" w:rsidRPr="00A52655">
        <w:t>,</w:t>
      </w:r>
      <w:r w:rsidRPr="00A52655">
        <w:t xml:space="preserve"> and by integrating giardiasis surveillance, control and elimination efforts into existing schistosomiasis elimination programmes, not only can the debilitating pathological impacts of intestinal schistosomiasis/giardiasis co-infection be better understood, but a reduction in co-infection and concurrent reduction in disease-related morbidities experienced by the world</w:t>
      </w:r>
      <w:r w:rsidR="00607E5F">
        <w:t>’</w:t>
      </w:r>
      <w:r w:rsidRPr="00A52655">
        <w:t>s most disadvantaged communities can also be achieved.</w:t>
      </w:r>
    </w:p>
    <w:p w14:paraId="71C353A8" w14:textId="77777777" w:rsidR="000012EA" w:rsidRDefault="000012EA" w:rsidP="00660637">
      <w:pPr>
        <w:pStyle w:val="MDPI31text"/>
        <w:spacing w:line="276" w:lineRule="auto"/>
      </w:pPr>
    </w:p>
    <w:p w14:paraId="27C7C6A7" w14:textId="2A4003F3" w:rsidR="004D573A" w:rsidRPr="00764892" w:rsidRDefault="00764892" w:rsidP="00660637">
      <w:pPr>
        <w:pStyle w:val="MDPI64CoI"/>
        <w:spacing w:line="276" w:lineRule="auto"/>
      </w:pPr>
      <w:r w:rsidRPr="00764892">
        <w:rPr>
          <w:b/>
        </w:rPr>
        <w:t>Author Contributions:</w:t>
      </w:r>
      <w:r w:rsidRPr="00764892">
        <w:t xml:space="preserve"> </w:t>
      </w:r>
      <w:commentRangeStart w:id="30"/>
      <w:r w:rsidR="004D573A" w:rsidRPr="00764892">
        <w:t>Concept of the study (JA, ALB &amp; JRS)</w:t>
      </w:r>
      <w:r w:rsidR="008C52BB">
        <w:t>, l</w:t>
      </w:r>
      <w:r w:rsidR="004D573A" w:rsidRPr="00764892">
        <w:t>iterature searching and review (JA, LO’H, SS, MS)</w:t>
      </w:r>
      <w:r w:rsidR="00FB7136">
        <w:t>, f</w:t>
      </w:r>
      <w:r w:rsidR="004D573A" w:rsidRPr="00764892">
        <w:t>ieldwork (JA, HAL-S, NBK, AA, Mad, Mar, EJLaC, ALB, JRS)</w:t>
      </w:r>
      <w:r w:rsidR="004D2C06">
        <w:t xml:space="preserve">, </w:t>
      </w:r>
      <w:r w:rsidR="00C3295C">
        <w:t xml:space="preserve">and </w:t>
      </w:r>
      <w:r w:rsidR="004D2C06">
        <w:t>m</w:t>
      </w:r>
      <w:r w:rsidR="004D573A" w:rsidRPr="00764892">
        <w:t xml:space="preserve">olecular analyses performed by (HAL-S, TB, BLW). </w:t>
      </w:r>
      <w:commentRangeEnd w:id="30"/>
      <w:r w:rsidR="00C70F9C">
        <w:rPr>
          <w:rStyle w:val="CommentReference"/>
          <w:rFonts w:asciiTheme="minorHAnsi" w:eastAsiaTheme="minorHAnsi" w:hAnsiTheme="minorHAnsi" w:cstheme="minorBidi"/>
          <w:snapToGrid/>
          <w:color w:val="auto"/>
          <w:lang w:val="en-GB" w:eastAsia="en-US" w:bidi="ar-SA"/>
        </w:rPr>
        <w:commentReference w:id="30"/>
      </w:r>
      <w:r w:rsidR="004D573A" w:rsidRPr="00764892">
        <w:t xml:space="preserve">All authors have read and agreed to the published version of the manuscript. </w:t>
      </w:r>
    </w:p>
    <w:p w14:paraId="0876368F" w14:textId="1BA24AD0" w:rsidR="004D573A" w:rsidRPr="00053E4F" w:rsidRDefault="00764892" w:rsidP="00660637">
      <w:pPr>
        <w:pStyle w:val="MDPI64CoI"/>
        <w:spacing w:line="276" w:lineRule="auto"/>
      </w:pPr>
      <w:r w:rsidRPr="00053E4F">
        <w:rPr>
          <w:b/>
          <w:bCs/>
        </w:rPr>
        <w:t>Funding:</w:t>
      </w:r>
      <w:r w:rsidR="004D573A" w:rsidRPr="00053E4F">
        <w:t xml:space="preserve"> JA is funded by a</w:t>
      </w:r>
      <w:r w:rsidR="00F06237">
        <w:t>n</w:t>
      </w:r>
      <w:r w:rsidR="004D573A" w:rsidRPr="00053E4F">
        <w:t xml:space="preserve"> MRC-DTP studentship. Fieldwork reported here was supported by HEFC and a PhD studentship awarded by the Ministry of Health, Saudi Arabia to HAl-S. </w:t>
      </w:r>
    </w:p>
    <w:p w14:paraId="3DE93552" w14:textId="28F10B37" w:rsidR="004D573A" w:rsidRPr="0029258D" w:rsidRDefault="004D573A" w:rsidP="00660637">
      <w:pPr>
        <w:pStyle w:val="MDPI62Acknowledgments"/>
        <w:spacing w:line="276" w:lineRule="auto"/>
      </w:pPr>
      <w:r w:rsidRPr="0029258D">
        <w:rPr>
          <w:b/>
        </w:rPr>
        <w:t xml:space="preserve">Conflicts of Interest: </w:t>
      </w:r>
      <w:r w:rsidRPr="0029258D">
        <w:t>The authors declare that they have no competing interests.</w:t>
      </w:r>
    </w:p>
    <w:p w14:paraId="7F52E193" w14:textId="77777777" w:rsidR="004D573A" w:rsidRPr="0029258D" w:rsidRDefault="004D573A" w:rsidP="00660637">
      <w:pPr>
        <w:pStyle w:val="MDPI62Acknowledgments"/>
        <w:spacing w:line="276" w:lineRule="auto"/>
        <w:rPr>
          <w:bCs/>
        </w:rPr>
      </w:pPr>
      <w:r w:rsidRPr="0029258D">
        <w:rPr>
          <w:b/>
        </w:rPr>
        <w:t>Ethical Standards:</w:t>
      </w:r>
      <w:r w:rsidRPr="0029258D">
        <w:rPr>
          <w:b/>
          <w:bCs/>
        </w:rPr>
        <w:t xml:space="preserve"> </w:t>
      </w:r>
      <w:r w:rsidRPr="0029258D">
        <w:rPr>
          <w:bCs/>
        </w:rPr>
        <w:t xml:space="preserve">Approvals for the work conducted in Uganda were granted by </w:t>
      </w:r>
      <w:r w:rsidRPr="0029258D">
        <w:rPr>
          <w:rFonts w:eastAsia="Times New Roman,Arial"/>
        </w:rPr>
        <w:t xml:space="preserve">The Ugandan Council </w:t>
      </w:r>
      <w:r w:rsidRPr="0029258D">
        <w:rPr>
          <w:rFonts w:eastAsia="Times New Roman,Arial"/>
          <w:noProof/>
        </w:rPr>
        <w:t>for Science and Technology and the Liverpool School of Tropical Medicine</w:t>
      </w:r>
      <w:r w:rsidRPr="0029258D">
        <w:rPr>
          <w:bCs/>
        </w:rPr>
        <w:t xml:space="preserve">, UK.  </w:t>
      </w:r>
    </w:p>
    <w:p w14:paraId="2FB88FD6" w14:textId="536BB7E6" w:rsidR="004D573A" w:rsidRPr="0029258D" w:rsidRDefault="004D573A" w:rsidP="00660637">
      <w:pPr>
        <w:pStyle w:val="MDPI62Acknowledgments"/>
        <w:spacing w:line="276" w:lineRule="auto"/>
      </w:pPr>
      <w:r w:rsidRPr="0029258D">
        <w:rPr>
          <w:b/>
        </w:rPr>
        <w:t xml:space="preserve">Acknowledgments: </w:t>
      </w:r>
      <w:r w:rsidRPr="0029258D">
        <w:t>JA would like to thank Michael Fowler of EH Studios for support with figures.</w:t>
      </w:r>
    </w:p>
    <w:p w14:paraId="0BA75BC9" w14:textId="77777777" w:rsidR="004D573A" w:rsidRPr="00EF7312" w:rsidRDefault="004D573A" w:rsidP="00660637">
      <w:pPr>
        <w:pStyle w:val="MDPI21heading1"/>
        <w:spacing w:line="276" w:lineRule="auto"/>
        <w:rPr>
          <w:color w:val="70AD47" w:themeColor="accent6"/>
        </w:rPr>
      </w:pPr>
      <w:r w:rsidRPr="00EF7312">
        <w:t>Abbreviations</w:t>
      </w:r>
      <w:r>
        <w:t>:</w:t>
      </w:r>
    </w:p>
    <w:p w14:paraId="2E78DB6D" w14:textId="77777777" w:rsidR="004D573A" w:rsidRDefault="004D573A" w:rsidP="00660637">
      <w:pPr>
        <w:pStyle w:val="MDPI31text"/>
        <w:spacing w:line="276" w:lineRule="auto"/>
      </w:pPr>
      <w:r>
        <w:t>eDNA: environmental DNA</w:t>
      </w:r>
    </w:p>
    <w:p w14:paraId="6D86C148" w14:textId="77777777" w:rsidR="004D573A" w:rsidRDefault="004D573A" w:rsidP="00660637">
      <w:pPr>
        <w:pStyle w:val="MDPI31text"/>
        <w:spacing w:line="276" w:lineRule="auto"/>
      </w:pPr>
      <w:r>
        <w:t>ELISA: enzyme-linked immunosorbent assay</w:t>
      </w:r>
    </w:p>
    <w:p w14:paraId="65B1DB71" w14:textId="77777777" w:rsidR="004D573A" w:rsidRDefault="004D573A" w:rsidP="00660637">
      <w:pPr>
        <w:pStyle w:val="MDPI31text"/>
        <w:spacing w:line="276" w:lineRule="auto"/>
      </w:pPr>
      <w:r>
        <w:t>FGS: female genital schistosomiasis</w:t>
      </w:r>
    </w:p>
    <w:p w14:paraId="733C7AA7" w14:textId="77777777" w:rsidR="004D573A" w:rsidRDefault="004D573A" w:rsidP="00660637">
      <w:pPr>
        <w:pStyle w:val="MDPI31text"/>
        <w:spacing w:line="276" w:lineRule="auto"/>
      </w:pPr>
      <w:r>
        <w:t>LAMP: loop-mediated isothermal reaction</w:t>
      </w:r>
    </w:p>
    <w:p w14:paraId="723A5B7D" w14:textId="5137DA91" w:rsidR="004D573A" w:rsidRDefault="004D573A" w:rsidP="00660637">
      <w:pPr>
        <w:pStyle w:val="MDPI31text"/>
        <w:spacing w:line="276" w:lineRule="auto"/>
      </w:pPr>
      <w:r>
        <w:t>LMIC: lower- middle-income countr</w:t>
      </w:r>
      <w:r w:rsidR="00C3449B">
        <w:t>ies</w:t>
      </w:r>
    </w:p>
    <w:p w14:paraId="43D4D04F" w14:textId="77777777" w:rsidR="004D573A" w:rsidRDefault="004D573A" w:rsidP="00660637">
      <w:pPr>
        <w:pStyle w:val="MDPI31text"/>
        <w:spacing w:line="276" w:lineRule="auto"/>
      </w:pPr>
      <w:r>
        <w:t>MDA: mass drug administration</w:t>
      </w:r>
    </w:p>
    <w:p w14:paraId="564830F4" w14:textId="77777777" w:rsidR="004D573A" w:rsidRDefault="004D573A" w:rsidP="00660637">
      <w:pPr>
        <w:pStyle w:val="MDPI31text"/>
        <w:spacing w:line="276" w:lineRule="auto"/>
      </w:pPr>
      <w:r>
        <w:t>NTD: neglected tropical disease</w:t>
      </w:r>
    </w:p>
    <w:p w14:paraId="2A8ADAB5" w14:textId="77777777" w:rsidR="004D573A" w:rsidRDefault="004D573A" w:rsidP="00660637">
      <w:pPr>
        <w:pStyle w:val="MDPI31text"/>
        <w:spacing w:line="276" w:lineRule="auto"/>
      </w:pPr>
      <w:r>
        <w:t>PCR: polymerase chain reaction</w:t>
      </w:r>
    </w:p>
    <w:p w14:paraId="2BF511F8" w14:textId="2DB18924" w:rsidR="004D573A" w:rsidRDefault="004D573A" w:rsidP="00660637">
      <w:pPr>
        <w:pStyle w:val="MDPI31text"/>
        <w:spacing w:line="276" w:lineRule="auto"/>
      </w:pPr>
      <w:r>
        <w:t>POC: point-of-care</w:t>
      </w:r>
    </w:p>
    <w:p w14:paraId="0EE7081E" w14:textId="59ADF950" w:rsidR="00F636A6" w:rsidRDefault="00F636A6" w:rsidP="00660637">
      <w:pPr>
        <w:pStyle w:val="MDPI31text"/>
        <w:spacing w:line="276" w:lineRule="auto"/>
      </w:pPr>
      <w:r>
        <w:t>qPCR: quantitative polymerase chain reaction</w:t>
      </w:r>
    </w:p>
    <w:p w14:paraId="06D9889D" w14:textId="77777777" w:rsidR="004D573A" w:rsidRDefault="004D573A" w:rsidP="00660637">
      <w:pPr>
        <w:pStyle w:val="MDPI31text"/>
        <w:spacing w:line="276" w:lineRule="auto"/>
      </w:pPr>
      <w:r>
        <w:t>RDT: rapid diagnostic test</w:t>
      </w:r>
    </w:p>
    <w:p w14:paraId="625AB04C" w14:textId="77777777" w:rsidR="004D573A" w:rsidRDefault="004D573A" w:rsidP="00660637">
      <w:pPr>
        <w:pStyle w:val="MDPI31text"/>
        <w:spacing w:line="276" w:lineRule="auto"/>
      </w:pPr>
      <w:r>
        <w:t>RPA: recombinase polymerase amplification</w:t>
      </w:r>
    </w:p>
    <w:p w14:paraId="4C2A3577" w14:textId="77777777" w:rsidR="004D573A" w:rsidRDefault="004D573A" w:rsidP="00660637">
      <w:pPr>
        <w:pStyle w:val="MDPI31text"/>
        <w:spacing w:line="276" w:lineRule="auto"/>
      </w:pPr>
      <w:r>
        <w:t>Th1: T-helper 1</w:t>
      </w:r>
    </w:p>
    <w:p w14:paraId="0A51F89D" w14:textId="77777777" w:rsidR="004D573A" w:rsidRDefault="004D573A" w:rsidP="00660637">
      <w:pPr>
        <w:pStyle w:val="MDPI31text"/>
        <w:spacing w:line="276" w:lineRule="auto"/>
      </w:pPr>
      <w:r>
        <w:t>Th2: T-helper 2</w:t>
      </w:r>
    </w:p>
    <w:p w14:paraId="05BB6579" w14:textId="77777777" w:rsidR="004D573A" w:rsidRDefault="004D573A" w:rsidP="00660637">
      <w:pPr>
        <w:pStyle w:val="MDPI31text"/>
        <w:spacing w:line="276" w:lineRule="auto"/>
      </w:pPr>
      <w:r>
        <w:t>WASH: water, sanitation and hygiene</w:t>
      </w:r>
    </w:p>
    <w:p w14:paraId="01307C8C" w14:textId="77777777" w:rsidR="004D573A" w:rsidRDefault="004D573A" w:rsidP="00660637">
      <w:pPr>
        <w:pStyle w:val="MDPI31text"/>
        <w:spacing w:line="276" w:lineRule="auto"/>
      </w:pPr>
      <w:r>
        <w:t>WHA: world health assembly</w:t>
      </w:r>
    </w:p>
    <w:p w14:paraId="33B07376" w14:textId="77777777" w:rsidR="004D573A" w:rsidRPr="005F2568" w:rsidRDefault="004D573A" w:rsidP="00660637">
      <w:pPr>
        <w:pStyle w:val="MDPI21heading1"/>
        <w:spacing w:line="276" w:lineRule="auto"/>
        <w:rPr>
          <w:color w:val="70AD47" w:themeColor="accent6"/>
        </w:rPr>
      </w:pPr>
      <w:r w:rsidRPr="005F2568">
        <w:t>References</w:t>
      </w:r>
    </w:p>
    <w:p w14:paraId="04A1DDA2" w14:textId="0C6DF5BB" w:rsidR="00FF7476" w:rsidRPr="00FF7476" w:rsidRDefault="004D573A" w:rsidP="00FF7476">
      <w:pPr>
        <w:widowControl w:val="0"/>
        <w:autoSpaceDE w:val="0"/>
        <w:autoSpaceDN w:val="0"/>
        <w:adjustRightInd w:val="0"/>
        <w:ind w:left="640" w:hanging="640"/>
        <w:rPr>
          <w:rFonts w:ascii="Palatino Linotype" w:hAnsi="Palatino Linotype"/>
          <w:noProof/>
          <w:sz w:val="20"/>
        </w:rPr>
      </w:pPr>
      <w:r>
        <w:rPr>
          <w:rFonts w:ascii="Palatino Linotype" w:hAnsi="Palatino Linotype"/>
          <w:bCs/>
          <w:snapToGrid w:val="0"/>
          <w:color w:val="000000" w:themeColor="text1"/>
          <w:sz w:val="20"/>
          <w:szCs w:val="22"/>
          <w:lang w:val="en-US" w:eastAsia="de-DE" w:bidi="en-US"/>
        </w:rPr>
        <w:fldChar w:fldCharType="begin" w:fldLock="1"/>
      </w:r>
      <w:r>
        <w:rPr>
          <w:bCs/>
          <w:color w:val="000000" w:themeColor="text1"/>
        </w:rPr>
        <w:instrText xml:space="preserve">ADDIN Mendeley Bibliography CSL_BIBLIOGRAPHY </w:instrText>
      </w:r>
      <w:r>
        <w:rPr>
          <w:rFonts w:ascii="Palatino Linotype" w:hAnsi="Palatino Linotype"/>
          <w:bCs/>
          <w:snapToGrid w:val="0"/>
          <w:color w:val="000000" w:themeColor="text1"/>
          <w:sz w:val="20"/>
          <w:szCs w:val="22"/>
          <w:lang w:val="en-US" w:eastAsia="de-DE" w:bidi="en-US"/>
        </w:rPr>
        <w:fldChar w:fldCharType="separate"/>
      </w:r>
      <w:r w:rsidR="00FF7476" w:rsidRPr="00FF7476">
        <w:rPr>
          <w:rFonts w:ascii="Palatino Linotype" w:hAnsi="Palatino Linotype"/>
          <w:noProof/>
          <w:sz w:val="20"/>
        </w:rPr>
        <w:t xml:space="preserve">1. </w:t>
      </w:r>
      <w:r w:rsidR="00FF7476" w:rsidRPr="00FF7476">
        <w:rPr>
          <w:rFonts w:ascii="Palatino Linotype" w:hAnsi="Palatino Linotype"/>
          <w:noProof/>
          <w:sz w:val="20"/>
        </w:rPr>
        <w:tab/>
        <w:t xml:space="preserve">Omarova, A.; Tussupova, K.; Berndtsson, R.; Kalishev, M.; Sharapatova, K. Protozoan parasites in drinking water: A system approach for improved water, sanitation and hygiene in developing countries. </w:t>
      </w:r>
      <w:r w:rsidR="00FF7476" w:rsidRPr="00FF7476">
        <w:rPr>
          <w:rFonts w:ascii="Palatino Linotype" w:hAnsi="Palatino Linotype"/>
          <w:i/>
          <w:iCs/>
          <w:noProof/>
          <w:sz w:val="20"/>
        </w:rPr>
        <w:t>Int. J. Environ. Res. Public Health</w:t>
      </w:r>
      <w:r w:rsidR="00FF7476" w:rsidRPr="00FF7476">
        <w:rPr>
          <w:rFonts w:ascii="Palatino Linotype" w:hAnsi="Palatino Linotype"/>
          <w:noProof/>
          <w:sz w:val="20"/>
        </w:rPr>
        <w:t xml:space="preserve"> </w:t>
      </w:r>
      <w:r w:rsidR="00FF7476" w:rsidRPr="00FF7476">
        <w:rPr>
          <w:rFonts w:ascii="Palatino Linotype" w:hAnsi="Palatino Linotype"/>
          <w:b/>
          <w:bCs/>
          <w:noProof/>
          <w:sz w:val="20"/>
        </w:rPr>
        <w:t>2018</w:t>
      </w:r>
      <w:r w:rsidR="00FF7476" w:rsidRPr="00FF7476">
        <w:rPr>
          <w:rFonts w:ascii="Palatino Linotype" w:hAnsi="Palatino Linotype"/>
          <w:noProof/>
          <w:sz w:val="20"/>
        </w:rPr>
        <w:t xml:space="preserve">, </w:t>
      </w:r>
      <w:r w:rsidR="00FF7476" w:rsidRPr="00FF7476">
        <w:rPr>
          <w:rFonts w:ascii="Palatino Linotype" w:hAnsi="Palatino Linotype"/>
          <w:i/>
          <w:iCs/>
          <w:noProof/>
          <w:sz w:val="20"/>
        </w:rPr>
        <w:t>15</w:t>
      </w:r>
      <w:r w:rsidR="00FF7476" w:rsidRPr="00FF7476">
        <w:rPr>
          <w:rFonts w:ascii="Palatino Linotype" w:hAnsi="Palatino Linotype"/>
          <w:noProof/>
          <w:sz w:val="20"/>
        </w:rPr>
        <w:t>, 1–18, doi:10.3390/ijerph15030495.</w:t>
      </w:r>
    </w:p>
    <w:p w14:paraId="50C02FC5"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2. </w:t>
      </w:r>
      <w:r w:rsidRPr="00FF7476">
        <w:rPr>
          <w:rFonts w:ascii="Palatino Linotype" w:hAnsi="Palatino Linotype"/>
          <w:noProof/>
          <w:sz w:val="20"/>
        </w:rPr>
        <w:tab/>
        <w:t xml:space="preserve">Campbell, S.J.; Biritwum, N.K.; Woods, G.; Velleman, Y.; Fleming, F.; Stothard, J.R. Tailoring Water, Sanitation, and Hygiene (WASH) Targets for Soil-Transmitted Helminthiasis and Schistosomiasis Control. </w:t>
      </w:r>
      <w:r w:rsidRPr="00FF7476">
        <w:rPr>
          <w:rFonts w:ascii="Palatino Linotype" w:hAnsi="Palatino Linotype"/>
          <w:i/>
          <w:iCs/>
          <w:noProof/>
          <w:sz w:val="20"/>
        </w:rPr>
        <w:t>Trends Parasitol.</w:t>
      </w:r>
      <w:r w:rsidRPr="00FF7476">
        <w:rPr>
          <w:rFonts w:ascii="Palatino Linotype" w:hAnsi="Palatino Linotype"/>
          <w:noProof/>
          <w:sz w:val="20"/>
        </w:rPr>
        <w:t xml:space="preserve"> </w:t>
      </w:r>
      <w:r w:rsidRPr="00FF7476">
        <w:rPr>
          <w:rFonts w:ascii="Palatino Linotype" w:hAnsi="Palatino Linotype"/>
          <w:b/>
          <w:bCs/>
          <w:noProof/>
          <w:sz w:val="20"/>
        </w:rPr>
        <w:t>2018</w:t>
      </w:r>
      <w:r w:rsidRPr="00FF7476">
        <w:rPr>
          <w:rFonts w:ascii="Palatino Linotype" w:hAnsi="Palatino Linotype"/>
          <w:noProof/>
          <w:sz w:val="20"/>
        </w:rPr>
        <w:t xml:space="preserve">, </w:t>
      </w:r>
      <w:r w:rsidRPr="00FF7476">
        <w:rPr>
          <w:rFonts w:ascii="Palatino Linotype" w:hAnsi="Palatino Linotype"/>
          <w:i/>
          <w:iCs/>
          <w:noProof/>
          <w:sz w:val="20"/>
        </w:rPr>
        <w:t>34</w:t>
      </w:r>
      <w:r w:rsidRPr="00FF7476">
        <w:rPr>
          <w:rFonts w:ascii="Palatino Linotype" w:hAnsi="Palatino Linotype"/>
          <w:noProof/>
          <w:sz w:val="20"/>
        </w:rPr>
        <w:t>, 53–63, doi:10.1016/j.pt.2017.09.004.</w:t>
      </w:r>
    </w:p>
    <w:p w14:paraId="77F580F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3. </w:t>
      </w:r>
      <w:r w:rsidRPr="00FF7476">
        <w:rPr>
          <w:rFonts w:ascii="Palatino Linotype" w:hAnsi="Palatino Linotype"/>
          <w:noProof/>
          <w:sz w:val="20"/>
        </w:rPr>
        <w:tab/>
        <w:t xml:space="preserve">Colley, D.G.; Bustinduy, A.L.; Secor, W.E.; King, C.H. Human schistosomiasis. </w:t>
      </w:r>
      <w:r w:rsidRPr="00FF7476">
        <w:rPr>
          <w:rFonts w:ascii="Palatino Linotype" w:hAnsi="Palatino Linotype"/>
          <w:i/>
          <w:iCs/>
          <w:noProof/>
          <w:sz w:val="20"/>
        </w:rPr>
        <w:t>Lancet</w:t>
      </w:r>
      <w:r w:rsidRPr="00FF7476">
        <w:rPr>
          <w:rFonts w:ascii="Palatino Linotype" w:hAnsi="Palatino Linotype"/>
          <w:noProof/>
          <w:sz w:val="20"/>
        </w:rPr>
        <w:t xml:space="preserve"> </w:t>
      </w:r>
      <w:r w:rsidRPr="00FF7476">
        <w:rPr>
          <w:rFonts w:ascii="Palatino Linotype" w:hAnsi="Palatino Linotype"/>
          <w:b/>
          <w:bCs/>
          <w:noProof/>
          <w:sz w:val="20"/>
        </w:rPr>
        <w:t>2014</w:t>
      </w:r>
      <w:r w:rsidRPr="00FF7476">
        <w:rPr>
          <w:rFonts w:ascii="Palatino Linotype" w:hAnsi="Palatino Linotype"/>
          <w:noProof/>
          <w:sz w:val="20"/>
        </w:rPr>
        <w:t xml:space="preserve">, </w:t>
      </w:r>
      <w:r w:rsidRPr="00FF7476">
        <w:rPr>
          <w:rFonts w:ascii="Palatino Linotype" w:hAnsi="Palatino Linotype"/>
          <w:i/>
          <w:iCs/>
          <w:noProof/>
          <w:sz w:val="20"/>
        </w:rPr>
        <w:t>383</w:t>
      </w:r>
      <w:r w:rsidRPr="00FF7476">
        <w:rPr>
          <w:rFonts w:ascii="Palatino Linotype" w:hAnsi="Palatino Linotype"/>
          <w:noProof/>
          <w:sz w:val="20"/>
        </w:rPr>
        <w:t>, 2253–2264, doi:10.1016/S0140-6736(13)61949-2.</w:t>
      </w:r>
    </w:p>
    <w:p w14:paraId="2060785E"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4. </w:t>
      </w:r>
      <w:r w:rsidRPr="00FF7476">
        <w:rPr>
          <w:rFonts w:ascii="Palatino Linotype" w:hAnsi="Palatino Linotype"/>
          <w:noProof/>
          <w:sz w:val="20"/>
        </w:rPr>
        <w:tab/>
        <w:t xml:space="preserve">Thompson, R.C.A.; Reynoldson, J.A.; Sciences, B. Giardia and Giardiasis. </w:t>
      </w:r>
      <w:r w:rsidRPr="00FF7476">
        <w:rPr>
          <w:rFonts w:ascii="Palatino Linotype" w:hAnsi="Palatino Linotype"/>
          <w:b/>
          <w:bCs/>
          <w:noProof/>
          <w:sz w:val="20"/>
        </w:rPr>
        <w:t>1993</w:t>
      </w:r>
      <w:r w:rsidRPr="00FF7476">
        <w:rPr>
          <w:rFonts w:ascii="Palatino Linotype" w:hAnsi="Palatino Linotype"/>
          <w:noProof/>
          <w:sz w:val="20"/>
        </w:rPr>
        <w:t>.</w:t>
      </w:r>
    </w:p>
    <w:p w14:paraId="2FF66752"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5. </w:t>
      </w:r>
      <w:r w:rsidRPr="00FF7476">
        <w:rPr>
          <w:rFonts w:ascii="Palatino Linotype" w:hAnsi="Palatino Linotype"/>
          <w:noProof/>
          <w:sz w:val="20"/>
        </w:rPr>
        <w:tab/>
        <w:t xml:space="preserve">Squire, S.A.; Ryan, U. Cryptosporidium and Giardia in Africa: current and future challenges. </w:t>
      </w:r>
      <w:r w:rsidRPr="00FF7476">
        <w:rPr>
          <w:rFonts w:ascii="Palatino Linotype" w:hAnsi="Palatino Linotype"/>
          <w:i/>
          <w:iCs/>
          <w:noProof/>
          <w:sz w:val="20"/>
        </w:rPr>
        <w:t>Parasites and Vectors</w:t>
      </w:r>
      <w:r w:rsidRPr="00FF7476">
        <w:rPr>
          <w:rFonts w:ascii="Palatino Linotype" w:hAnsi="Palatino Linotype"/>
          <w:noProof/>
          <w:sz w:val="20"/>
        </w:rPr>
        <w:t xml:space="preserve"> </w:t>
      </w:r>
      <w:r w:rsidRPr="00FF7476">
        <w:rPr>
          <w:rFonts w:ascii="Palatino Linotype" w:hAnsi="Palatino Linotype"/>
          <w:b/>
          <w:bCs/>
          <w:noProof/>
          <w:sz w:val="20"/>
        </w:rPr>
        <w:t>2017</w:t>
      </w:r>
      <w:r w:rsidRPr="00FF7476">
        <w:rPr>
          <w:rFonts w:ascii="Palatino Linotype" w:hAnsi="Palatino Linotype"/>
          <w:noProof/>
          <w:sz w:val="20"/>
        </w:rPr>
        <w:t xml:space="preserve">, </w:t>
      </w:r>
      <w:r w:rsidRPr="00FF7476">
        <w:rPr>
          <w:rFonts w:ascii="Palatino Linotype" w:hAnsi="Palatino Linotype"/>
          <w:i/>
          <w:iCs/>
          <w:noProof/>
          <w:sz w:val="20"/>
        </w:rPr>
        <w:t>10</w:t>
      </w:r>
      <w:r w:rsidRPr="00FF7476">
        <w:rPr>
          <w:rFonts w:ascii="Palatino Linotype" w:hAnsi="Palatino Linotype"/>
          <w:noProof/>
          <w:sz w:val="20"/>
        </w:rPr>
        <w:t>, 1–32, doi:10.1186/s13071-017-2111-y.</w:t>
      </w:r>
    </w:p>
    <w:p w14:paraId="1AE67EF8"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6. </w:t>
      </w:r>
      <w:r w:rsidRPr="00FF7476">
        <w:rPr>
          <w:rFonts w:ascii="Palatino Linotype" w:hAnsi="Palatino Linotype"/>
          <w:noProof/>
          <w:sz w:val="20"/>
        </w:rPr>
        <w:tab/>
        <w:t xml:space="preserve">Nkrumah, B.; Nguah, S. Giardia lamblia: A major parasitic cause of childhood diarrhoea in patients attending a district hospital in Ghana. </w:t>
      </w:r>
      <w:r w:rsidRPr="00FF7476">
        <w:rPr>
          <w:rFonts w:ascii="Palatino Linotype" w:hAnsi="Palatino Linotype"/>
          <w:i/>
          <w:iCs/>
          <w:noProof/>
          <w:sz w:val="20"/>
        </w:rPr>
        <w:t>Parasites and Vectors</w:t>
      </w:r>
      <w:r w:rsidRPr="00FF7476">
        <w:rPr>
          <w:rFonts w:ascii="Palatino Linotype" w:hAnsi="Palatino Linotype"/>
          <w:noProof/>
          <w:sz w:val="20"/>
        </w:rPr>
        <w:t xml:space="preserve"> </w:t>
      </w:r>
      <w:r w:rsidRPr="00FF7476">
        <w:rPr>
          <w:rFonts w:ascii="Palatino Linotype" w:hAnsi="Palatino Linotype"/>
          <w:b/>
          <w:bCs/>
          <w:noProof/>
          <w:sz w:val="20"/>
        </w:rPr>
        <w:t>2011</w:t>
      </w:r>
      <w:r w:rsidRPr="00FF7476">
        <w:rPr>
          <w:rFonts w:ascii="Palatino Linotype" w:hAnsi="Palatino Linotype"/>
          <w:noProof/>
          <w:sz w:val="20"/>
        </w:rPr>
        <w:t xml:space="preserve">, </w:t>
      </w:r>
      <w:r w:rsidRPr="00FF7476">
        <w:rPr>
          <w:rFonts w:ascii="Palatino Linotype" w:hAnsi="Palatino Linotype"/>
          <w:i/>
          <w:iCs/>
          <w:noProof/>
          <w:sz w:val="20"/>
        </w:rPr>
        <w:t>4</w:t>
      </w:r>
      <w:r w:rsidRPr="00FF7476">
        <w:rPr>
          <w:rFonts w:ascii="Palatino Linotype" w:hAnsi="Palatino Linotype"/>
          <w:noProof/>
          <w:sz w:val="20"/>
        </w:rPr>
        <w:t>, 1–7, doi:10.1186/1756-3305-4-163.</w:t>
      </w:r>
    </w:p>
    <w:p w14:paraId="17A1C331"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7. </w:t>
      </w:r>
      <w:r w:rsidRPr="00FF7476">
        <w:rPr>
          <w:rFonts w:ascii="Palatino Linotype" w:hAnsi="Palatino Linotype"/>
          <w:noProof/>
          <w:sz w:val="20"/>
        </w:rPr>
        <w:tab/>
        <w:t xml:space="preserve">Bartelt, L.A.; Sartor, R.B. Advances in understanding Giardia: Determinants and mechanisms of chronic sequelae. </w:t>
      </w:r>
      <w:r w:rsidRPr="00FF7476">
        <w:rPr>
          <w:rFonts w:ascii="Palatino Linotype" w:hAnsi="Palatino Linotype"/>
          <w:i/>
          <w:iCs/>
          <w:noProof/>
          <w:sz w:val="20"/>
        </w:rPr>
        <w:t>F1000Prime Rep.</w:t>
      </w:r>
      <w:r w:rsidRPr="00FF7476">
        <w:rPr>
          <w:rFonts w:ascii="Palatino Linotype" w:hAnsi="Palatino Linotype"/>
          <w:noProof/>
          <w:sz w:val="20"/>
        </w:rPr>
        <w:t xml:space="preserve"> </w:t>
      </w:r>
      <w:r w:rsidRPr="00FF7476">
        <w:rPr>
          <w:rFonts w:ascii="Palatino Linotype" w:hAnsi="Palatino Linotype"/>
          <w:b/>
          <w:bCs/>
          <w:noProof/>
          <w:sz w:val="20"/>
        </w:rPr>
        <w:t>2015</w:t>
      </w:r>
      <w:r w:rsidRPr="00FF7476">
        <w:rPr>
          <w:rFonts w:ascii="Palatino Linotype" w:hAnsi="Palatino Linotype"/>
          <w:noProof/>
          <w:sz w:val="20"/>
        </w:rPr>
        <w:t xml:space="preserve">, </w:t>
      </w:r>
      <w:r w:rsidRPr="00FF7476">
        <w:rPr>
          <w:rFonts w:ascii="Palatino Linotype" w:hAnsi="Palatino Linotype"/>
          <w:i/>
          <w:iCs/>
          <w:noProof/>
          <w:sz w:val="20"/>
        </w:rPr>
        <w:t>7</w:t>
      </w:r>
      <w:r w:rsidRPr="00FF7476">
        <w:rPr>
          <w:rFonts w:ascii="Palatino Linotype" w:hAnsi="Palatino Linotype"/>
          <w:noProof/>
          <w:sz w:val="20"/>
        </w:rPr>
        <w:t>, 1–14, doi:10.12703/P7-62.</w:t>
      </w:r>
    </w:p>
    <w:p w14:paraId="33C9F323"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8. </w:t>
      </w:r>
      <w:r w:rsidRPr="00FF7476">
        <w:rPr>
          <w:rFonts w:ascii="Palatino Linotype" w:hAnsi="Palatino Linotype"/>
          <w:noProof/>
          <w:sz w:val="20"/>
        </w:rPr>
        <w:tab/>
        <w:t xml:space="preserve">Naess, H.; Nyland, M.; Hausken, T.; Follestad, I.; Nyland, H.I. Chronic fatigue syndrome after Giardia enteritis: Clinical characteristics, disability and long-term sickness absence. </w:t>
      </w:r>
      <w:r w:rsidRPr="00FF7476">
        <w:rPr>
          <w:rFonts w:ascii="Palatino Linotype" w:hAnsi="Palatino Linotype"/>
          <w:i/>
          <w:iCs/>
          <w:noProof/>
          <w:sz w:val="20"/>
        </w:rPr>
        <w:t>BMC Gastroenterol.</w:t>
      </w:r>
      <w:r w:rsidRPr="00FF7476">
        <w:rPr>
          <w:rFonts w:ascii="Palatino Linotype" w:hAnsi="Palatino Linotype"/>
          <w:noProof/>
          <w:sz w:val="20"/>
        </w:rPr>
        <w:t xml:space="preserve"> </w:t>
      </w:r>
      <w:r w:rsidRPr="00FF7476">
        <w:rPr>
          <w:rFonts w:ascii="Palatino Linotype" w:hAnsi="Palatino Linotype"/>
          <w:b/>
          <w:bCs/>
          <w:noProof/>
          <w:sz w:val="20"/>
        </w:rPr>
        <w:t>2012</w:t>
      </w:r>
      <w:r w:rsidRPr="00FF7476">
        <w:rPr>
          <w:rFonts w:ascii="Palatino Linotype" w:hAnsi="Palatino Linotype"/>
          <w:noProof/>
          <w:sz w:val="20"/>
        </w:rPr>
        <w:t xml:space="preserve">, </w:t>
      </w:r>
      <w:r w:rsidRPr="00FF7476">
        <w:rPr>
          <w:rFonts w:ascii="Palatino Linotype" w:hAnsi="Palatino Linotype"/>
          <w:i/>
          <w:iCs/>
          <w:noProof/>
          <w:sz w:val="20"/>
        </w:rPr>
        <w:t>12</w:t>
      </w:r>
      <w:r w:rsidRPr="00FF7476">
        <w:rPr>
          <w:rFonts w:ascii="Palatino Linotype" w:hAnsi="Palatino Linotype"/>
          <w:noProof/>
          <w:sz w:val="20"/>
        </w:rPr>
        <w:t>, doi:10.1186/1471-230X-12-13.</w:t>
      </w:r>
    </w:p>
    <w:p w14:paraId="6581525D"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9. </w:t>
      </w:r>
      <w:r w:rsidRPr="00FF7476">
        <w:rPr>
          <w:rFonts w:ascii="Palatino Linotype" w:hAnsi="Palatino Linotype"/>
          <w:noProof/>
          <w:sz w:val="20"/>
        </w:rPr>
        <w:tab/>
        <w:t xml:space="preserve">Chifunda, K.; Kelly, P. Parasitic infections of the gut in children. </w:t>
      </w:r>
      <w:r w:rsidRPr="00FF7476">
        <w:rPr>
          <w:rFonts w:ascii="Palatino Linotype" w:hAnsi="Palatino Linotype"/>
          <w:i/>
          <w:iCs/>
          <w:noProof/>
          <w:sz w:val="20"/>
        </w:rPr>
        <w:t>Paediatr. Int. Child Health</w:t>
      </w:r>
      <w:r w:rsidRPr="00FF7476">
        <w:rPr>
          <w:rFonts w:ascii="Palatino Linotype" w:hAnsi="Palatino Linotype"/>
          <w:noProof/>
          <w:sz w:val="20"/>
        </w:rPr>
        <w:t xml:space="preserve"> </w:t>
      </w:r>
      <w:r w:rsidRPr="00FF7476">
        <w:rPr>
          <w:rFonts w:ascii="Palatino Linotype" w:hAnsi="Palatino Linotype"/>
          <w:b/>
          <w:bCs/>
          <w:noProof/>
          <w:sz w:val="20"/>
        </w:rPr>
        <w:t>2019</w:t>
      </w:r>
      <w:r w:rsidRPr="00FF7476">
        <w:rPr>
          <w:rFonts w:ascii="Palatino Linotype" w:hAnsi="Palatino Linotype"/>
          <w:noProof/>
          <w:sz w:val="20"/>
        </w:rPr>
        <w:t xml:space="preserve">, </w:t>
      </w:r>
      <w:r w:rsidRPr="00FF7476">
        <w:rPr>
          <w:rFonts w:ascii="Palatino Linotype" w:hAnsi="Palatino Linotype"/>
          <w:i/>
          <w:iCs/>
          <w:noProof/>
          <w:sz w:val="20"/>
        </w:rPr>
        <w:t>39</w:t>
      </w:r>
      <w:r w:rsidRPr="00FF7476">
        <w:rPr>
          <w:rFonts w:ascii="Palatino Linotype" w:hAnsi="Palatino Linotype"/>
          <w:noProof/>
          <w:sz w:val="20"/>
        </w:rPr>
        <w:t>, 65–72, doi:10.1080/20469047.2018.1479055.</w:t>
      </w:r>
    </w:p>
    <w:p w14:paraId="2D41B305"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10. </w:t>
      </w:r>
      <w:r w:rsidRPr="00FF7476">
        <w:rPr>
          <w:rFonts w:ascii="Palatino Linotype" w:hAnsi="Palatino Linotype"/>
          <w:noProof/>
          <w:sz w:val="20"/>
        </w:rPr>
        <w:tab/>
        <w:t xml:space="preserve">Savioli, L.; Smith, H.; Thompson, A. Giardia and Cryptosporidium join the “Neglected Diseases Initiative.” </w:t>
      </w:r>
      <w:r w:rsidRPr="00FF7476">
        <w:rPr>
          <w:rFonts w:ascii="Palatino Linotype" w:hAnsi="Palatino Linotype"/>
          <w:i/>
          <w:iCs/>
          <w:noProof/>
          <w:sz w:val="20"/>
        </w:rPr>
        <w:t>Trends Parasitol.</w:t>
      </w:r>
      <w:r w:rsidRPr="00FF7476">
        <w:rPr>
          <w:rFonts w:ascii="Palatino Linotype" w:hAnsi="Palatino Linotype"/>
          <w:noProof/>
          <w:sz w:val="20"/>
        </w:rPr>
        <w:t xml:space="preserve"> </w:t>
      </w:r>
      <w:r w:rsidRPr="00FF7476">
        <w:rPr>
          <w:rFonts w:ascii="Palatino Linotype" w:hAnsi="Palatino Linotype"/>
          <w:b/>
          <w:bCs/>
          <w:noProof/>
          <w:sz w:val="20"/>
        </w:rPr>
        <w:t>2006</w:t>
      </w:r>
      <w:r w:rsidRPr="00FF7476">
        <w:rPr>
          <w:rFonts w:ascii="Palatino Linotype" w:hAnsi="Palatino Linotype"/>
          <w:noProof/>
          <w:sz w:val="20"/>
        </w:rPr>
        <w:t xml:space="preserve">, </w:t>
      </w:r>
      <w:r w:rsidRPr="00FF7476">
        <w:rPr>
          <w:rFonts w:ascii="Palatino Linotype" w:hAnsi="Palatino Linotype"/>
          <w:i/>
          <w:iCs/>
          <w:noProof/>
          <w:sz w:val="20"/>
        </w:rPr>
        <w:t>22</w:t>
      </w:r>
      <w:r w:rsidRPr="00FF7476">
        <w:rPr>
          <w:rFonts w:ascii="Palatino Linotype" w:hAnsi="Palatino Linotype"/>
          <w:noProof/>
          <w:sz w:val="20"/>
        </w:rPr>
        <w:t>, 203–208, doi:10.1016/j.pt.2006.02.015.</w:t>
      </w:r>
    </w:p>
    <w:p w14:paraId="4C7D9C9C"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11. </w:t>
      </w:r>
      <w:r w:rsidRPr="00FF7476">
        <w:rPr>
          <w:rFonts w:ascii="Palatino Linotype" w:hAnsi="Palatino Linotype"/>
          <w:noProof/>
          <w:sz w:val="20"/>
        </w:rPr>
        <w:tab/>
        <w:t xml:space="preserve">Al-Shehri, H.; Stanton, M.C.; LaCourse, J.E.; Atuhaire, A.; Arinaitwe, M.; Wamboko, A.; Adriko, M.; Kabatereine, N.B.; Stothard, J.R. An extensive burden of giardiasis associated with intestinal schistosomiasis and anaemia in school children on the shoreline of Lake Albert, Uganda. </w:t>
      </w:r>
      <w:r w:rsidRPr="00FF7476">
        <w:rPr>
          <w:rFonts w:ascii="Palatino Linotype" w:hAnsi="Palatino Linotype"/>
          <w:i/>
          <w:iCs/>
          <w:noProof/>
          <w:sz w:val="20"/>
        </w:rPr>
        <w:t>Trans. R. Soc. Trop. Med. Hyg.</w:t>
      </w:r>
      <w:r w:rsidRPr="00FF7476">
        <w:rPr>
          <w:rFonts w:ascii="Palatino Linotype" w:hAnsi="Palatino Linotype"/>
          <w:noProof/>
          <w:sz w:val="20"/>
        </w:rPr>
        <w:t xml:space="preserve"> </w:t>
      </w:r>
      <w:r w:rsidRPr="00FF7476">
        <w:rPr>
          <w:rFonts w:ascii="Palatino Linotype" w:hAnsi="Palatino Linotype"/>
          <w:b/>
          <w:bCs/>
          <w:noProof/>
          <w:sz w:val="20"/>
        </w:rPr>
        <w:t>2016</w:t>
      </w:r>
      <w:r w:rsidRPr="00FF7476">
        <w:rPr>
          <w:rFonts w:ascii="Palatino Linotype" w:hAnsi="Palatino Linotype"/>
          <w:noProof/>
          <w:sz w:val="20"/>
        </w:rPr>
        <w:t xml:space="preserve">, </w:t>
      </w:r>
      <w:r w:rsidRPr="00FF7476">
        <w:rPr>
          <w:rFonts w:ascii="Palatino Linotype" w:hAnsi="Palatino Linotype"/>
          <w:i/>
          <w:iCs/>
          <w:noProof/>
          <w:sz w:val="20"/>
        </w:rPr>
        <w:t>110</w:t>
      </w:r>
      <w:r w:rsidRPr="00FF7476">
        <w:rPr>
          <w:rFonts w:ascii="Palatino Linotype" w:hAnsi="Palatino Linotype"/>
          <w:noProof/>
          <w:sz w:val="20"/>
        </w:rPr>
        <w:t>, 597–603, doi:10.1093/trstmh/trw072.</w:t>
      </w:r>
    </w:p>
    <w:p w14:paraId="09EDE5B1"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12. </w:t>
      </w:r>
      <w:r w:rsidRPr="00FF7476">
        <w:rPr>
          <w:rFonts w:ascii="Palatino Linotype" w:hAnsi="Palatino Linotype"/>
          <w:noProof/>
          <w:sz w:val="20"/>
        </w:rPr>
        <w:tab/>
        <w:t xml:space="preserve">La Hoz, R.M.; Morris, M.I. Intestinal parasites including Cryptosporidium, Cyclospora, Giardia, and Microsporidia, Entamoeba histolytica, Strongyloides, Schistosomiasis, and Echinococcus: Guidelines from the American Society of Transplantation Infectious Diseases Community of Pract. </w:t>
      </w:r>
      <w:r w:rsidRPr="00FF7476">
        <w:rPr>
          <w:rFonts w:ascii="Palatino Linotype" w:hAnsi="Palatino Linotype"/>
          <w:i/>
          <w:iCs/>
          <w:noProof/>
          <w:sz w:val="20"/>
        </w:rPr>
        <w:t>Clin. Transplant.</w:t>
      </w:r>
      <w:r w:rsidRPr="00FF7476">
        <w:rPr>
          <w:rFonts w:ascii="Palatino Linotype" w:hAnsi="Palatino Linotype"/>
          <w:noProof/>
          <w:sz w:val="20"/>
        </w:rPr>
        <w:t xml:space="preserve"> </w:t>
      </w:r>
      <w:r w:rsidRPr="00FF7476">
        <w:rPr>
          <w:rFonts w:ascii="Palatino Linotype" w:hAnsi="Palatino Linotype"/>
          <w:b/>
          <w:bCs/>
          <w:noProof/>
          <w:sz w:val="20"/>
        </w:rPr>
        <w:t>2019</w:t>
      </w:r>
      <w:r w:rsidRPr="00FF7476">
        <w:rPr>
          <w:rFonts w:ascii="Palatino Linotype" w:hAnsi="Palatino Linotype"/>
          <w:noProof/>
          <w:sz w:val="20"/>
        </w:rPr>
        <w:t xml:space="preserve">, </w:t>
      </w:r>
      <w:r w:rsidRPr="00FF7476">
        <w:rPr>
          <w:rFonts w:ascii="Palatino Linotype" w:hAnsi="Palatino Linotype"/>
          <w:i/>
          <w:iCs/>
          <w:noProof/>
          <w:sz w:val="20"/>
        </w:rPr>
        <w:t>33</w:t>
      </w:r>
      <w:r w:rsidRPr="00FF7476">
        <w:rPr>
          <w:rFonts w:ascii="Palatino Linotype" w:hAnsi="Palatino Linotype"/>
          <w:noProof/>
          <w:sz w:val="20"/>
        </w:rPr>
        <w:t>, 1–16, doi:10.1111/ctr.13618.</w:t>
      </w:r>
    </w:p>
    <w:p w14:paraId="069162B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13. </w:t>
      </w:r>
      <w:r w:rsidRPr="00FF7476">
        <w:rPr>
          <w:rFonts w:ascii="Palatino Linotype" w:hAnsi="Palatino Linotype"/>
          <w:noProof/>
          <w:sz w:val="20"/>
        </w:rPr>
        <w:tab/>
        <w:t xml:space="preserve">Zhou, X.N. Prioritizing research for “ One health - One world.” </w:t>
      </w:r>
      <w:r w:rsidRPr="00FF7476">
        <w:rPr>
          <w:rFonts w:ascii="Palatino Linotype" w:hAnsi="Palatino Linotype"/>
          <w:i/>
          <w:iCs/>
          <w:noProof/>
          <w:sz w:val="20"/>
        </w:rPr>
        <w:t>Infect. Dis. Poverty</w:t>
      </w:r>
      <w:r w:rsidRPr="00FF7476">
        <w:rPr>
          <w:rFonts w:ascii="Palatino Linotype" w:hAnsi="Palatino Linotype"/>
          <w:noProof/>
          <w:sz w:val="20"/>
        </w:rPr>
        <w:t xml:space="preserve"> </w:t>
      </w:r>
      <w:r w:rsidRPr="00FF7476">
        <w:rPr>
          <w:rFonts w:ascii="Palatino Linotype" w:hAnsi="Palatino Linotype"/>
          <w:b/>
          <w:bCs/>
          <w:noProof/>
          <w:sz w:val="20"/>
        </w:rPr>
        <w:t>2012</w:t>
      </w:r>
      <w:r w:rsidRPr="00FF7476">
        <w:rPr>
          <w:rFonts w:ascii="Palatino Linotype" w:hAnsi="Palatino Linotype"/>
          <w:noProof/>
          <w:sz w:val="20"/>
        </w:rPr>
        <w:t xml:space="preserve">, </w:t>
      </w:r>
      <w:r w:rsidRPr="00FF7476">
        <w:rPr>
          <w:rFonts w:ascii="Palatino Linotype" w:hAnsi="Palatino Linotype"/>
          <w:i/>
          <w:iCs/>
          <w:noProof/>
          <w:sz w:val="20"/>
        </w:rPr>
        <w:t>1</w:t>
      </w:r>
      <w:r w:rsidRPr="00FF7476">
        <w:rPr>
          <w:rFonts w:ascii="Palatino Linotype" w:hAnsi="Palatino Linotype"/>
          <w:noProof/>
          <w:sz w:val="20"/>
        </w:rPr>
        <w:t>, 1–5, doi:10.1186/2049-9957-1-1.</w:t>
      </w:r>
    </w:p>
    <w:p w14:paraId="1283B3EF"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14. </w:t>
      </w:r>
      <w:r w:rsidRPr="00FF7476">
        <w:rPr>
          <w:rFonts w:ascii="Palatino Linotype" w:hAnsi="Palatino Linotype"/>
          <w:noProof/>
          <w:sz w:val="20"/>
        </w:rPr>
        <w:tab/>
        <w:t xml:space="preserve">Mackenzie, J.S.; Jeggo, M. </w:t>
      </w:r>
      <w:r w:rsidRPr="00FF7476">
        <w:rPr>
          <w:rFonts w:ascii="Palatino Linotype" w:hAnsi="Palatino Linotype"/>
          <w:i/>
          <w:iCs/>
          <w:noProof/>
          <w:sz w:val="20"/>
        </w:rPr>
        <w:t>One Health and Zoonoses</w:t>
      </w:r>
      <w:r w:rsidRPr="00FF7476">
        <w:rPr>
          <w:rFonts w:ascii="Palatino Linotype" w:hAnsi="Palatino Linotype"/>
          <w:noProof/>
          <w:sz w:val="20"/>
        </w:rPr>
        <w:t>; 2019; ISBN 9783039212958; https://doi.org/10.3390/books978-3-03921-296-5.</w:t>
      </w:r>
    </w:p>
    <w:p w14:paraId="619AA1ED"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15. </w:t>
      </w:r>
      <w:r w:rsidRPr="00FF7476">
        <w:rPr>
          <w:rFonts w:ascii="Palatino Linotype" w:hAnsi="Palatino Linotype"/>
          <w:noProof/>
          <w:sz w:val="20"/>
        </w:rPr>
        <w:tab/>
        <w:t xml:space="preserve">Samuels, A.M.; Matey, E.; Mwinzi, P.N.M.; Wiegand, R.E.; Muchiri, G.; Ireri, E.; Hyde, M.; Montgomery, S.P.; Karanja, D.M.S.; Secor, W.E. Schistosoma mansoni morbidity among school-aged children: A SCORE Project in Kenya. </w:t>
      </w:r>
      <w:r w:rsidRPr="00FF7476">
        <w:rPr>
          <w:rFonts w:ascii="Palatino Linotype" w:hAnsi="Palatino Linotype"/>
          <w:i/>
          <w:iCs/>
          <w:noProof/>
          <w:sz w:val="20"/>
        </w:rPr>
        <w:t>Am. J. Trop. Med. Hyg.</w:t>
      </w:r>
      <w:r w:rsidRPr="00FF7476">
        <w:rPr>
          <w:rFonts w:ascii="Palatino Linotype" w:hAnsi="Palatino Linotype"/>
          <w:noProof/>
          <w:sz w:val="20"/>
        </w:rPr>
        <w:t xml:space="preserve"> </w:t>
      </w:r>
      <w:r w:rsidRPr="00FF7476">
        <w:rPr>
          <w:rFonts w:ascii="Palatino Linotype" w:hAnsi="Palatino Linotype"/>
          <w:b/>
          <w:bCs/>
          <w:noProof/>
          <w:sz w:val="20"/>
        </w:rPr>
        <w:t>2012</w:t>
      </w:r>
      <w:r w:rsidRPr="00FF7476">
        <w:rPr>
          <w:rFonts w:ascii="Palatino Linotype" w:hAnsi="Palatino Linotype"/>
          <w:noProof/>
          <w:sz w:val="20"/>
        </w:rPr>
        <w:t xml:space="preserve">, </w:t>
      </w:r>
      <w:r w:rsidRPr="00FF7476">
        <w:rPr>
          <w:rFonts w:ascii="Palatino Linotype" w:hAnsi="Palatino Linotype"/>
          <w:i/>
          <w:iCs/>
          <w:noProof/>
          <w:sz w:val="20"/>
        </w:rPr>
        <w:t>87</w:t>
      </w:r>
      <w:r w:rsidRPr="00FF7476">
        <w:rPr>
          <w:rFonts w:ascii="Palatino Linotype" w:hAnsi="Palatino Linotype"/>
          <w:noProof/>
          <w:sz w:val="20"/>
        </w:rPr>
        <w:t>, 874–882, doi:10.4269/ajtmh.2012.12-0397.</w:t>
      </w:r>
    </w:p>
    <w:p w14:paraId="0442F398"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16. </w:t>
      </w:r>
      <w:r w:rsidRPr="00FF7476">
        <w:rPr>
          <w:rFonts w:ascii="Palatino Linotype" w:hAnsi="Palatino Linotype"/>
          <w:noProof/>
          <w:sz w:val="20"/>
        </w:rPr>
        <w:tab/>
        <w:t xml:space="preserve">de Moira, A.P.; Fulford, A.J.C.; Kabatereine, N.B.; Ouma, J.H.; Booth, M.; Dunne, D.W. Analysis of complex patterns of human exposure and immunity to Schistosomiasis mansoni: The influence of age, sex, ethnicity and IgE. </w:t>
      </w:r>
      <w:r w:rsidRPr="00FF7476">
        <w:rPr>
          <w:rFonts w:ascii="Palatino Linotype" w:hAnsi="Palatino Linotype"/>
          <w:i/>
          <w:iCs/>
          <w:noProof/>
          <w:sz w:val="20"/>
        </w:rPr>
        <w:t>PLoS Negl. Trop. Dis.</w:t>
      </w:r>
      <w:r w:rsidRPr="00FF7476">
        <w:rPr>
          <w:rFonts w:ascii="Palatino Linotype" w:hAnsi="Palatino Linotype"/>
          <w:noProof/>
          <w:sz w:val="20"/>
        </w:rPr>
        <w:t xml:space="preserve"> </w:t>
      </w:r>
      <w:r w:rsidRPr="00FF7476">
        <w:rPr>
          <w:rFonts w:ascii="Palatino Linotype" w:hAnsi="Palatino Linotype"/>
          <w:b/>
          <w:bCs/>
          <w:noProof/>
          <w:sz w:val="20"/>
        </w:rPr>
        <w:t>2010</w:t>
      </w:r>
      <w:r w:rsidRPr="00FF7476">
        <w:rPr>
          <w:rFonts w:ascii="Palatino Linotype" w:hAnsi="Palatino Linotype"/>
          <w:noProof/>
          <w:sz w:val="20"/>
        </w:rPr>
        <w:t xml:space="preserve">, </w:t>
      </w:r>
      <w:r w:rsidRPr="00FF7476">
        <w:rPr>
          <w:rFonts w:ascii="Palatino Linotype" w:hAnsi="Palatino Linotype"/>
          <w:i/>
          <w:iCs/>
          <w:noProof/>
          <w:sz w:val="20"/>
        </w:rPr>
        <w:t>4</w:t>
      </w:r>
      <w:r w:rsidRPr="00FF7476">
        <w:rPr>
          <w:rFonts w:ascii="Palatino Linotype" w:hAnsi="Palatino Linotype"/>
          <w:noProof/>
          <w:sz w:val="20"/>
        </w:rPr>
        <w:t>, doi:10.1371/journal.pntd.0000820.</w:t>
      </w:r>
    </w:p>
    <w:p w14:paraId="1787B05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17. </w:t>
      </w:r>
      <w:r w:rsidRPr="00FF7476">
        <w:rPr>
          <w:rFonts w:ascii="Palatino Linotype" w:hAnsi="Palatino Linotype"/>
          <w:noProof/>
          <w:sz w:val="20"/>
        </w:rPr>
        <w:tab/>
        <w:t xml:space="preserve">Costain, A.H.; MacDonald, A.S.; Smits, H.H. Schistosome Egg Migration: Mechanisms, Pathogenesis and Host Immune Responses. </w:t>
      </w:r>
      <w:r w:rsidRPr="00FF7476">
        <w:rPr>
          <w:rFonts w:ascii="Palatino Linotype" w:hAnsi="Palatino Linotype"/>
          <w:i/>
          <w:iCs/>
          <w:noProof/>
          <w:sz w:val="20"/>
        </w:rPr>
        <w:t>Front. Immunol.</w:t>
      </w:r>
      <w:r w:rsidRPr="00FF7476">
        <w:rPr>
          <w:rFonts w:ascii="Palatino Linotype" w:hAnsi="Palatino Linotype"/>
          <w:noProof/>
          <w:sz w:val="20"/>
        </w:rPr>
        <w:t xml:space="preserve"> </w:t>
      </w:r>
      <w:r w:rsidRPr="00FF7476">
        <w:rPr>
          <w:rFonts w:ascii="Palatino Linotype" w:hAnsi="Palatino Linotype"/>
          <w:b/>
          <w:bCs/>
          <w:noProof/>
          <w:sz w:val="20"/>
        </w:rPr>
        <w:t>2018</w:t>
      </w:r>
      <w:r w:rsidRPr="00FF7476">
        <w:rPr>
          <w:rFonts w:ascii="Palatino Linotype" w:hAnsi="Palatino Linotype"/>
          <w:noProof/>
          <w:sz w:val="20"/>
        </w:rPr>
        <w:t xml:space="preserve">, </w:t>
      </w:r>
      <w:r w:rsidRPr="00FF7476">
        <w:rPr>
          <w:rFonts w:ascii="Palatino Linotype" w:hAnsi="Palatino Linotype"/>
          <w:i/>
          <w:iCs/>
          <w:noProof/>
          <w:sz w:val="20"/>
        </w:rPr>
        <w:t>9</w:t>
      </w:r>
      <w:r w:rsidRPr="00FF7476">
        <w:rPr>
          <w:rFonts w:ascii="Palatino Linotype" w:hAnsi="Palatino Linotype"/>
          <w:noProof/>
          <w:sz w:val="20"/>
        </w:rPr>
        <w:t>, 3042, doi:10.3389/fimmu.2018.03042.</w:t>
      </w:r>
    </w:p>
    <w:p w14:paraId="4B83B957"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18. </w:t>
      </w:r>
      <w:r w:rsidRPr="00FF7476">
        <w:rPr>
          <w:rFonts w:ascii="Palatino Linotype" w:hAnsi="Palatino Linotype"/>
          <w:noProof/>
          <w:sz w:val="20"/>
        </w:rPr>
        <w:tab/>
        <w:t xml:space="preserve">Olveda, David Bilharzia: Pathology, Diagnosis, Management and Control. </w:t>
      </w:r>
      <w:r w:rsidRPr="00FF7476">
        <w:rPr>
          <w:rFonts w:ascii="Palatino Linotype" w:hAnsi="Palatino Linotype"/>
          <w:i/>
          <w:iCs/>
          <w:noProof/>
          <w:sz w:val="20"/>
        </w:rPr>
        <w:t>Trop. Med. Surg.</w:t>
      </w:r>
      <w:r w:rsidRPr="00FF7476">
        <w:rPr>
          <w:rFonts w:ascii="Palatino Linotype" w:hAnsi="Palatino Linotype"/>
          <w:noProof/>
          <w:sz w:val="20"/>
        </w:rPr>
        <w:t xml:space="preserve"> </w:t>
      </w:r>
      <w:r w:rsidRPr="00FF7476">
        <w:rPr>
          <w:rFonts w:ascii="Palatino Linotype" w:hAnsi="Palatino Linotype"/>
          <w:b/>
          <w:bCs/>
          <w:noProof/>
          <w:sz w:val="20"/>
        </w:rPr>
        <w:t>2013</w:t>
      </w:r>
      <w:r w:rsidRPr="00FF7476">
        <w:rPr>
          <w:rFonts w:ascii="Palatino Linotype" w:hAnsi="Palatino Linotype"/>
          <w:noProof/>
          <w:sz w:val="20"/>
        </w:rPr>
        <w:t xml:space="preserve">, </w:t>
      </w:r>
      <w:r w:rsidRPr="00FF7476">
        <w:rPr>
          <w:rFonts w:ascii="Palatino Linotype" w:hAnsi="Palatino Linotype"/>
          <w:i/>
          <w:iCs/>
          <w:noProof/>
          <w:sz w:val="20"/>
        </w:rPr>
        <w:t>01</w:t>
      </w:r>
      <w:r w:rsidRPr="00FF7476">
        <w:rPr>
          <w:rFonts w:ascii="Palatino Linotype" w:hAnsi="Palatino Linotype"/>
          <w:noProof/>
          <w:sz w:val="20"/>
        </w:rPr>
        <w:t>, 1–19, doi:10.4172/2329-9088.1000135.</w:t>
      </w:r>
    </w:p>
    <w:p w14:paraId="176A150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19. </w:t>
      </w:r>
      <w:r w:rsidRPr="00FF7476">
        <w:rPr>
          <w:rFonts w:ascii="Palatino Linotype" w:hAnsi="Palatino Linotype"/>
          <w:noProof/>
          <w:sz w:val="20"/>
        </w:rPr>
        <w:tab/>
        <w:t xml:space="preserve">Heyworth, M.F. Giardia duodenalis genetic assemblages and hosts. </w:t>
      </w:r>
      <w:r w:rsidRPr="00FF7476">
        <w:rPr>
          <w:rFonts w:ascii="Palatino Linotype" w:hAnsi="Palatino Linotype"/>
          <w:i/>
          <w:iCs/>
          <w:noProof/>
          <w:sz w:val="20"/>
        </w:rPr>
        <w:t>Parasite</w:t>
      </w:r>
      <w:r w:rsidRPr="00FF7476">
        <w:rPr>
          <w:rFonts w:ascii="Palatino Linotype" w:hAnsi="Palatino Linotype"/>
          <w:noProof/>
          <w:sz w:val="20"/>
        </w:rPr>
        <w:t xml:space="preserve"> </w:t>
      </w:r>
      <w:r w:rsidRPr="00FF7476">
        <w:rPr>
          <w:rFonts w:ascii="Palatino Linotype" w:hAnsi="Palatino Linotype"/>
          <w:b/>
          <w:bCs/>
          <w:noProof/>
          <w:sz w:val="20"/>
        </w:rPr>
        <w:t>2016</w:t>
      </w:r>
      <w:r w:rsidRPr="00FF7476">
        <w:rPr>
          <w:rFonts w:ascii="Palatino Linotype" w:hAnsi="Palatino Linotype"/>
          <w:noProof/>
          <w:sz w:val="20"/>
        </w:rPr>
        <w:t xml:space="preserve">, </w:t>
      </w:r>
      <w:r w:rsidRPr="00FF7476">
        <w:rPr>
          <w:rFonts w:ascii="Palatino Linotype" w:hAnsi="Palatino Linotype"/>
          <w:i/>
          <w:iCs/>
          <w:noProof/>
          <w:sz w:val="20"/>
        </w:rPr>
        <w:t>23</w:t>
      </w:r>
      <w:r w:rsidRPr="00FF7476">
        <w:rPr>
          <w:rFonts w:ascii="Palatino Linotype" w:hAnsi="Palatino Linotype"/>
          <w:noProof/>
          <w:sz w:val="20"/>
        </w:rPr>
        <w:t>, doi:10.1051/parasite/2016013.</w:t>
      </w:r>
    </w:p>
    <w:p w14:paraId="5BB46509"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20. </w:t>
      </w:r>
      <w:r w:rsidRPr="00FF7476">
        <w:rPr>
          <w:rFonts w:ascii="Palatino Linotype" w:hAnsi="Palatino Linotype"/>
          <w:noProof/>
          <w:sz w:val="20"/>
        </w:rPr>
        <w:tab/>
        <w:t xml:space="preserve">Sprong, H.; Cacciò, S.M.; Van Der Giessen, J.W.B. Identification of zoonotic genotypes of Giardia duodenalis. </w:t>
      </w:r>
      <w:r w:rsidRPr="00FF7476">
        <w:rPr>
          <w:rFonts w:ascii="Palatino Linotype" w:hAnsi="Palatino Linotype"/>
          <w:i/>
          <w:iCs/>
          <w:noProof/>
          <w:sz w:val="20"/>
        </w:rPr>
        <w:t>PLoS Negl. Trop. Dis.</w:t>
      </w:r>
      <w:r w:rsidRPr="00FF7476">
        <w:rPr>
          <w:rFonts w:ascii="Palatino Linotype" w:hAnsi="Palatino Linotype"/>
          <w:noProof/>
          <w:sz w:val="20"/>
        </w:rPr>
        <w:t xml:space="preserve"> </w:t>
      </w:r>
      <w:r w:rsidRPr="00FF7476">
        <w:rPr>
          <w:rFonts w:ascii="Palatino Linotype" w:hAnsi="Palatino Linotype"/>
          <w:b/>
          <w:bCs/>
          <w:noProof/>
          <w:sz w:val="20"/>
        </w:rPr>
        <w:t>2009</w:t>
      </w:r>
      <w:r w:rsidRPr="00FF7476">
        <w:rPr>
          <w:rFonts w:ascii="Palatino Linotype" w:hAnsi="Palatino Linotype"/>
          <w:noProof/>
          <w:sz w:val="20"/>
        </w:rPr>
        <w:t xml:space="preserve">, </w:t>
      </w:r>
      <w:r w:rsidRPr="00FF7476">
        <w:rPr>
          <w:rFonts w:ascii="Palatino Linotype" w:hAnsi="Palatino Linotype"/>
          <w:i/>
          <w:iCs/>
          <w:noProof/>
          <w:sz w:val="20"/>
        </w:rPr>
        <w:t>3</w:t>
      </w:r>
      <w:r w:rsidRPr="00FF7476">
        <w:rPr>
          <w:rFonts w:ascii="Palatino Linotype" w:hAnsi="Palatino Linotype"/>
          <w:noProof/>
          <w:sz w:val="20"/>
        </w:rPr>
        <w:t>, 1–12, doi:10.1371/journal.pntd.0000558.</w:t>
      </w:r>
    </w:p>
    <w:p w14:paraId="3294E16A"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21. </w:t>
      </w:r>
      <w:r w:rsidRPr="00FF7476">
        <w:rPr>
          <w:rFonts w:ascii="Palatino Linotype" w:hAnsi="Palatino Linotype"/>
          <w:noProof/>
          <w:sz w:val="20"/>
        </w:rPr>
        <w:tab/>
        <w:t xml:space="preserve">Fink, M.Y.; Singer, S.M. The Intersection of Immune Responses, Microbiota, and Pathogenesis in Giardiasis. </w:t>
      </w:r>
      <w:r w:rsidRPr="00FF7476">
        <w:rPr>
          <w:rFonts w:ascii="Palatino Linotype" w:hAnsi="Palatino Linotype"/>
          <w:i/>
          <w:iCs/>
          <w:noProof/>
          <w:sz w:val="20"/>
        </w:rPr>
        <w:t>Trends Parasitol.</w:t>
      </w:r>
      <w:r w:rsidRPr="00FF7476">
        <w:rPr>
          <w:rFonts w:ascii="Palatino Linotype" w:hAnsi="Palatino Linotype"/>
          <w:noProof/>
          <w:sz w:val="20"/>
        </w:rPr>
        <w:t xml:space="preserve"> </w:t>
      </w:r>
      <w:r w:rsidRPr="00FF7476">
        <w:rPr>
          <w:rFonts w:ascii="Palatino Linotype" w:hAnsi="Palatino Linotype"/>
          <w:b/>
          <w:bCs/>
          <w:noProof/>
          <w:sz w:val="20"/>
        </w:rPr>
        <w:t>2017</w:t>
      </w:r>
      <w:r w:rsidRPr="00FF7476">
        <w:rPr>
          <w:rFonts w:ascii="Palatino Linotype" w:hAnsi="Palatino Linotype"/>
          <w:noProof/>
          <w:sz w:val="20"/>
        </w:rPr>
        <w:t xml:space="preserve">, </w:t>
      </w:r>
      <w:r w:rsidRPr="00FF7476">
        <w:rPr>
          <w:rFonts w:ascii="Palatino Linotype" w:hAnsi="Palatino Linotype"/>
          <w:i/>
          <w:iCs/>
          <w:noProof/>
          <w:sz w:val="20"/>
        </w:rPr>
        <w:t>33</w:t>
      </w:r>
      <w:r w:rsidRPr="00FF7476">
        <w:rPr>
          <w:rFonts w:ascii="Palatino Linotype" w:hAnsi="Palatino Linotype"/>
          <w:noProof/>
          <w:sz w:val="20"/>
        </w:rPr>
        <w:t>, 901–913, doi:10.1016/j.pt.2017.08.001.</w:t>
      </w:r>
    </w:p>
    <w:p w14:paraId="14985C81"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22. </w:t>
      </w:r>
      <w:r w:rsidRPr="00FF7476">
        <w:rPr>
          <w:rFonts w:ascii="Palatino Linotype" w:hAnsi="Palatino Linotype"/>
          <w:noProof/>
          <w:sz w:val="20"/>
        </w:rPr>
        <w:tab/>
        <w:t xml:space="preserve">Keselman, A.; Li, E.; Maloney, J.; Singer, S.M. The microbiota contributes to CD8+ T cell activation and nutrient malabsorption following intestinal infection with Giardia duodenali. </w:t>
      </w:r>
      <w:r w:rsidRPr="00FF7476">
        <w:rPr>
          <w:rFonts w:ascii="Palatino Linotype" w:hAnsi="Palatino Linotype"/>
          <w:i/>
          <w:iCs/>
          <w:noProof/>
          <w:sz w:val="20"/>
        </w:rPr>
        <w:t>Infect. Immun.</w:t>
      </w:r>
      <w:r w:rsidRPr="00FF7476">
        <w:rPr>
          <w:rFonts w:ascii="Palatino Linotype" w:hAnsi="Palatino Linotype"/>
          <w:noProof/>
          <w:sz w:val="20"/>
        </w:rPr>
        <w:t xml:space="preserve"> </w:t>
      </w:r>
      <w:r w:rsidRPr="00FF7476">
        <w:rPr>
          <w:rFonts w:ascii="Palatino Linotype" w:hAnsi="Palatino Linotype"/>
          <w:b/>
          <w:bCs/>
          <w:noProof/>
          <w:sz w:val="20"/>
        </w:rPr>
        <w:t>2016</w:t>
      </w:r>
      <w:r w:rsidRPr="00FF7476">
        <w:rPr>
          <w:rFonts w:ascii="Palatino Linotype" w:hAnsi="Palatino Linotype"/>
          <w:noProof/>
          <w:sz w:val="20"/>
        </w:rPr>
        <w:t xml:space="preserve">, </w:t>
      </w:r>
      <w:r w:rsidRPr="00FF7476">
        <w:rPr>
          <w:rFonts w:ascii="Palatino Linotype" w:hAnsi="Palatino Linotype"/>
          <w:i/>
          <w:iCs/>
          <w:noProof/>
          <w:sz w:val="20"/>
        </w:rPr>
        <w:t>84</w:t>
      </w:r>
      <w:r w:rsidRPr="00FF7476">
        <w:rPr>
          <w:rFonts w:ascii="Palatino Linotype" w:hAnsi="Palatino Linotype"/>
          <w:noProof/>
          <w:sz w:val="20"/>
        </w:rPr>
        <w:t>, 2853–2860, doi:10.1128/IAI.00348-16.</w:t>
      </w:r>
    </w:p>
    <w:p w14:paraId="34216ECC"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23. </w:t>
      </w:r>
      <w:r w:rsidRPr="00FF7476">
        <w:rPr>
          <w:rFonts w:ascii="Palatino Linotype" w:hAnsi="Palatino Linotype"/>
          <w:noProof/>
          <w:sz w:val="20"/>
        </w:rPr>
        <w:tab/>
        <w:t xml:space="preserve">Allain, T.; Amat, C.B.; Motta, J.P.; Manko, A.; Buret, A.G. Interactions of Giardia sp. with the intestinal barrier: Epithelium, mucus, and microbiota. </w:t>
      </w:r>
      <w:r w:rsidRPr="00FF7476">
        <w:rPr>
          <w:rFonts w:ascii="Palatino Linotype" w:hAnsi="Palatino Linotype"/>
          <w:i/>
          <w:iCs/>
          <w:noProof/>
          <w:sz w:val="20"/>
        </w:rPr>
        <w:t>Tissue Barriers</w:t>
      </w:r>
      <w:r w:rsidRPr="00FF7476">
        <w:rPr>
          <w:rFonts w:ascii="Palatino Linotype" w:hAnsi="Palatino Linotype"/>
          <w:noProof/>
          <w:sz w:val="20"/>
        </w:rPr>
        <w:t xml:space="preserve"> </w:t>
      </w:r>
      <w:r w:rsidRPr="00FF7476">
        <w:rPr>
          <w:rFonts w:ascii="Palatino Linotype" w:hAnsi="Palatino Linotype"/>
          <w:b/>
          <w:bCs/>
          <w:noProof/>
          <w:sz w:val="20"/>
        </w:rPr>
        <w:t>2017</w:t>
      </w:r>
      <w:r w:rsidRPr="00FF7476">
        <w:rPr>
          <w:rFonts w:ascii="Palatino Linotype" w:hAnsi="Palatino Linotype"/>
          <w:noProof/>
          <w:sz w:val="20"/>
        </w:rPr>
        <w:t xml:space="preserve">, </w:t>
      </w:r>
      <w:r w:rsidRPr="00FF7476">
        <w:rPr>
          <w:rFonts w:ascii="Palatino Linotype" w:hAnsi="Palatino Linotype"/>
          <w:i/>
          <w:iCs/>
          <w:noProof/>
          <w:sz w:val="20"/>
        </w:rPr>
        <w:t>5</w:t>
      </w:r>
      <w:r w:rsidRPr="00FF7476">
        <w:rPr>
          <w:rFonts w:ascii="Palatino Linotype" w:hAnsi="Palatino Linotype"/>
          <w:noProof/>
          <w:sz w:val="20"/>
        </w:rPr>
        <w:t>, 1–16, doi:10.1080/21688370.2016.1274354.</w:t>
      </w:r>
    </w:p>
    <w:p w14:paraId="01A448DA"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24. </w:t>
      </w:r>
      <w:r w:rsidRPr="00FF7476">
        <w:rPr>
          <w:rFonts w:ascii="Palatino Linotype" w:hAnsi="Palatino Linotype"/>
          <w:noProof/>
          <w:sz w:val="20"/>
        </w:rPr>
        <w:tab/>
        <w:t xml:space="preserve">Mmbaga, B.T.; Houpt, E.R. Cryptosporidium and Giardia Infections in Children: A Review. </w:t>
      </w:r>
      <w:r w:rsidRPr="00FF7476">
        <w:rPr>
          <w:rFonts w:ascii="Palatino Linotype" w:hAnsi="Palatino Linotype"/>
          <w:i/>
          <w:iCs/>
          <w:noProof/>
          <w:sz w:val="20"/>
        </w:rPr>
        <w:t>Pediatr. Clin. North Am.</w:t>
      </w:r>
      <w:r w:rsidRPr="00FF7476">
        <w:rPr>
          <w:rFonts w:ascii="Palatino Linotype" w:hAnsi="Palatino Linotype"/>
          <w:noProof/>
          <w:sz w:val="20"/>
        </w:rPr>
        <w:t xml:space="preserve"> </w:t>
      </w:r>
      <w:r w:rsidRPr="00FF7476">
        <w:rPr>
          <w:rFonts w:ascii="Palatino Linotype" w:hAnsi="Palatino Linotype"/>
          <w:b/>
          <w:bCs/>
          <w:noProof/>
          <w:sz w:val="20"/>
        </w:rPr>
        <w:t>2017</w:t>
      </w:r>
      <w:r w:rsidRPr="00FF7476">
        <w:rPr>
          <w:rFonts w:ascii="Palatino Linotype" w:hAnsi="Palatino Linotype"/>
          <w:noProof/>
          <w:sz w:val="20"/>
        </w:rPr>
        <w:t xml:space="preserve">, </w:t>
      </w:r>
      <w:r w:rsidRPr="00FF7476">
        <w:rPr>
          <w:rFonts w:ascii="Palatino Linotype" w:hAnsi="Palatino Linotype"/>
          <w:i/>
          <w:iCs/>
          <w:noProof/>
          <w:sz w:val="20"/>
        </w:rPr>
        <w:t>64</w:t>
      </w:r>
      <w:r w:rsidRPr="00FF7476">
        <w:rPr>
          <w:rFonts w:ascii="Palatino Linotype" w:hAnsi="Palatino Linotype"/>
          <w:noProof/>
          <w:sz w:val="20"/>
        </w:rPr>
        <w:t>, 837–850, doi:10.1016/j.pcl.2017.03.014.</w:t>
      </w:r>
    </w:p>
    <w:p w14:paraId="168B8447"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25. </w:t>
      </w:r>
      <w:r w:rsidRPr="00FF7476">
        <w:rPr>
          <w:rFonts w:ascii="Palatino Linotype" w:hAnsi="Palatino Linotype"/>
          <w:noProof/>
          <w:sz w:val="20"/>
        </w:rPr>
        <w:tab/>
        <w:t xml:space="preserve">Lane, S.; Lloyd, D. Current trends in research into the waterborne parasite Giardia. </w:t>
      </w:r>
      <w:r w:rsidRPr="00FF7476">
        <w:rPr>
          <w:rFonts w:ascii="Palatino Linotype" w:hAnsi="Palatino Linotype"/>
          <w:i/>
          <w:iCs/>
          <w:noProof/>
          <w:sz w:val="20"/>
        </w:rPr>
        <w:t>Crit. Rev. Microbiol.</w:t>
      </w:r>
      <w:r w:rsidRPr="00FF7476">
        <w:rPr>
          <w:rFonts w:ascii="Palatino Linotype" w:hAnsi="Palatino Linotype"/>
          <w:noProof/>
          <w:sz w:val="20"/>
        </w:rPr>
        <w:t xml:space="preserve"> </w:t>
      </w:r>
      <w:r w:rsidRPr="00FF7476">
        <w:rPr>
          <w:rFonts w:ascii="Palatino Linotype" w:hAnsi="Palatino Linotype"/>
          <w:b/>
          <w:bCs/>
          <w:noProof/>
          <w:sz w:val="20"/>
        </w:rPr>
        <w:t>2002</w:t>
      </w:r>
      <w:r w:rsidRPr="00FF7476">
        <w:rPr>
          <w:rFonts w:ascii="Palatino Linotype" w:hAnsi="Palatino Linotype"/>
          <w:noProof/>
          <w:sz w:val="20"/>
        </w:rPr>
        <w:t xml:space="preserve">, </w:t>
      </w:r>
      <w:r w:rsidRPr="00FF7476">
        <w:rPr>
          <w:rFonts w:ascii="Palatino Linotype" w:hAnsi="Palatino Linotype"/>
          <w:i/>
          <w:iCs/>
          <w:noProof/>
          <w:sz w:val="20"/>
        </w:rPr>
        <w:t>28</w:t>
      </w:r>
      <w:r w:rsidRPr="00FF7476">
        <w:rPr>
          <w:rFonts w:ascii="Palatino Linotype" w:hAnsi="Palatino Linotype"/>
          <w:noProof/>
          <w:sz w:val="20"/>
        </w:rPr>
        <w:t>, 123–147, doi:10.1080/1040-840291046713.</w:t>
      </w:r>
    </w:p>
    <w:p w14:paraId="015E4A4D"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26. </w:t>
      </w:r>
      <w:r w:rsidRPr="00FF7476">
        <w:rPr>
          <w:rFonts w:ascii="Palatino Linotype" w:hAnsi="Palatino Linotype"/>
          <w:noProof/>
          <w:sz w:val="20"/>
        </w:rPr>
        <w:tab/>
        <w:t>Centers for Disease Control and Prevention (CDC), USA: Schistosomiasis, About, Life Cycle. Available online: https://www.cdc.gov/parasites/schistosomiasis/biology.html (accessed on Jul 1, 2020).</w:t>
      </w:r>
    </w:p>
    <w:p w14:paraId="195514EC"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27. </w:t>
      </w:r>
      <w:r w:rsidRPr="00FF7476">
        <w:rPr>
          <w:rFonts w:ascii="Palatino Linotype" w:hAnsi="Palatino Linotype"/>
          <w:noProof/>
          <w:sz w:val="20"/>
        </w:rPr>
        <w:tab/>
        <w:t>Centers for Disease Control and Prevention (CDC), USA: Giardiasis, About, Life Cycle. Available online: https://www.cdc.gov/dpdx/giardiasis/index.html#:~:text=The spectrum varies from asymptomatic carriage to severe,include diarrhea%2C abdominal pain%2C bloating%2C nausea%2C and vomiting. (accessed on Jul 1, 2020).</w:t>
      </w:r>
    </w:p>
    <w:p w14:paraId="7010729E"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28. </w:t>
      </w:r>
      <w:r w:rsidRPr="00FF7476">
        <w:rPr>
          <w:rFonts w:ascii="Palatino Linotype" w:hAnsi="Palatino Linotype"/>
          <w:noProof/>
          <w:sz w:val="20"/>
        </w:rPr>
        <w:tab/>
        <w:t xml:space="preserve">Sow, S.; Polman, K.; Vereecken, K.; Vercruysse, J.; Gryseels, B.; de Vlas, S.J. The role of hygienic bathing after defecation in the transmission of Schistosoma mansoni. </w:t>
      </w:r>
      <w:r w:rsidRPr="00FF7476">
        <w:rPr>
          <w:rFonts w:ascii="Palatino Linotype" w:hAnsi="Palatino Linotype"/>
          <w:i/>
          <w:iCs/>
          <w:noProof/>
          <w:sz w:val="20"/>
        </w:rPr>
        <w:t>Trans. R. Soc. Trop. Med. Hyg.</w:t>
      </w:r>
      <w:r w:rsidRPr="00FF7476">
        <w:rPr>
          <w:rFonts w:ascii="Palatino Linotype" w:hAnsi="Palatino Linotype"/>
          <w:noProof/>
          <w:sz w:val="20"/>
        </w:rPr>
        <w:t xml:space="preserve"> </w:t>
      </w:r>
      <w:r w:rsidRPr="00FF7476">
        <w:rPr>
          <w:rFonts w:ascii="Palatino Linotype" w:hAnsi="Palatino Linotype"/>
          <w:b/>
          <w:bCs/>
          <w:noProof/>
          <w:sz w:val="20"/>
        </w:rPr>
        <w:t>2008</w:t>
      </w:r>
      <w:r w:rsidRPr="00FF7476">
        <w:rPr>
          <w:rFonts w:ascii="Palatino Linotype" w:hAnsi="Palatino Linotype"/>
          <w:noProof/>
          <w:sz w:val="20"/>
        </w:rPr>
        <w:t xml:space="preserve">, </w:t>
      </w:r>
      <w:r w:rsidRPr="00FF7476">
        <w:rPr>
          <w:rFonts w:ascii="Palatino Linotype" w:hAnsi="Palatino Linotype"/>
          <w:i/>
          <w:iCs/>
          <w:noProof/>
          <w:sz w:val="20"/>
        </w:rPr>
        <w:t>102</w:t>
      </w:r>
      <w:r w:rsidRPr="00FF7476">
        <w:rPr>
          <w:rFonts w:ascii="Palatino Linotype" w:hAnsi="Palatino Linotype"/>
          <w:noProof/>
          <w:sz w:val="20"/>
        </w:rPr>
        <w:t>, 542–547, doi:10.1016/j.trstmh.2008.02.016.</w:t>
      </w:r>
    </w:p>
    <w:p w14:paraId="420A1308"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29. </w:t>
      </w:r>
      <w:r w:rsidRPr="00FF7476">
        <w:rPr>
          <w:rFonts w:ascii="Palatino Linotype" w:hAnsi="Palatino Linotype"/>
          <w:noProof/>
          <w:sz w:val="20"/>
        </w:rPr>
        <w:tab/>
        <w:t xml:space="preserve">Vercruysse, J.; Shaw, D.J.; De Bont, J. Index of potential contamination for schistosomiasis. </w:t>
      </w:r>
      <w:r w:rsidRPr="00FF7476">
        <w:rPr>
          <w:rFonts w:ascii="Palatino Linotype" w:hAnsi="Palatino Linotype"/>
          <w:i/>
          <w:iCs/>
          <w:noProof/>
          <w:sz w:val="20"/>
        </w:rPr>
        <w:t>Trends Parasitol.</w:t>
      </w:r>
      <w:r w:rsidRPr="00FF7476">
        <w:rPr>
          <w:rFonts w:ascii="Palatino Linotype" w:hAnsi="Palatino Linotype"/>
          <w:noProof/>
          <w:sz w:val="20"/>
        </w:rPr>
        <w:t xml:space="preserve"> </w:t>
      </w:r>
      <w:r w:rsidRPr="00FF7476">
        <w:rPr>
          <w:rFonts w:ascii="Palatino Linotype" w:hAnsi="Palatino Linotype"/>
          <w:b/>
          <w:bCs/>
          <w:noProof/>
          <w:sz w:val="20"/>
        </w:rPr>
        <w:t>2001</w:t>
      </w:r>
      <w:r w:rsidRPr="00FF7476">
        <w:rPr>
          <w:rFonts w:ascii="Palatino Linotype" w:hAnsi="Palatino Linotype"/>
          <w:noProof/>
          <w:sz w:val="20"/>
        </w:rPr>
        <w:t xml:space="preserve">, </w:t>
      </w:r>
      <w:r w:rsidRPr="00FF7476">
        <w:rPr>
          <w:rFonts w:ascii="Palatino Linotype" w:hAnsi="Palatino Linotype"/>
          <w:i/>
          <w:iCs/>
          <w:noProof/>
          <w:sz w:val="20"/>
        </w:rPr>
        <w:t>17</w:t>
      </w:r>
      <w:r w:rsidRPr="00FF7476">
        <w:rPr>
          <w:rFonts w:ascii="Palatino Linotype" w:hAnsi="Palatino Linotype"/>
          <w:noProof/>
          <w:sz w:val="20"/>
        </w:rPr>
        <w:t>, 256–261, doi:10.1016/S1471-4922(01)01937-7.</w:t>
      </w:r>
    </w:p>
    <w:p w14:paraId="1788E8A9"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30. </w:t>
      </w:r>
      <w:r w:rsidRPr="00FF7476">
        <w:rPr>
          <w:rFonts w:ascii="Palatino Linotype" w:hAnsi="Palatino Linotype"/>
          <w:noProof/>
          <w:sz w:val="20"/>
        </w:rPr>
        <w:tab/>
        <w:t xml:space="preserve">Grimes, J.E.; Croll, D.; Harrison, W.E.; Utzinger, J.; Freeman, M.C.; Templeton, M.R. The roles of water, sanitation and hygiene in reducing schistosomiasis: A review. </w:t>
      </w:r>
      <w:r w:rsidRPr="00FF7476">
        <w:rPr>
          <w:rFonts w:ascii="Palatino Linotype" w:hAnsi="Palatino Linotype"/>
          <w:i/>
          <w:iCs/>
          <w:noProof/>
          <w:sz w:val="20"/>
        </w:rPr>
        <w:t>Parasites and Vectors</w:t>
      </w:r>
      <w:r w:rsidRPr="00FF7476">
        <w:rPr>
          <w:rFonts w:ascii="Palatino Linotype" w:hAnsi="Palatino Linotype"/>
          <w:noProof/>
          <w:sz w:val="20"/>
        </w:rPr>
        <w:t xml:space="preserve"> </w:t>
      </w:r>
      <w:r w:rsidRPr="00FF7476">
        <w:rPr>
          <w:rFonts w:ascii="Palatino Linotype" w:hAnsi="Palatino Linotype"/>
          <w:b/>
          <w:bCs/>
          <w:noProof/>
          <w:sz w:val="20"/>
        </w:rPr>
        <w:t>2015</w:t>
      </w:r>
      <w:r w:rsidRPr="00FF7476">
        <w:rPr>
          <w:rFonts w:ascii="Palatino Linotype" w:hAnsi="Palatino Linotype"/>
          <w:noProof/>
          <w:sz w:val="20"/>
        </w:rPr>
        <w:t xml:space="preserve">, </w:t>
      </w:r>
      <w:r w:rsidRPr="00FF7476">
        <w:rPr>
          <w:rFonts w:ascii="Palatino Linotype" w:hAnsi="Palatino Linotype"/>
          <w:i/>
          <w:iCs/>
          <w:noProof/>
          <w:sz w:val="20"/>
        </w:rPr>
        <w:t>8</w:t>
      </w:r>
      <w:r w:rsidRPr="00FF7476">
        <w:rPr>
          <w:rFonts w:ascii="Palatino Linotype" w:hAnsi="Palatino Linotype"/>
          <w:noProof/>
          <w:sz w:val="20"/>
        </w:rPr>
        <w:t>, 1–16, doi:10.1186/s13071-015-0766-9.</w:t>
      </w:r>
    </w:p>
    <w:p w14:paraId="7A524B32"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31. </w:t>
      </w:r>
      <w:r w:rsidRPr="00FF7476">
        <w:rPr>
          <w:rFonts w:ascii="Palatino Linotype" w:hAnsi="Palatino Linotype"/>
          <w:noProof/>
          <w:sz w:val="20"/>
        </w:rPr>
        <w:tab/>
        <w:t xml:space="preserve">Wright, C.. </w:t>
      </w:r>
      <w:r w:rsidRPr="00FF7476">
        <w:rPr>
          <w:rFonts w:ascii="Palatino Linotype" w:hAnsi="Palatino Linotype"/>
          <w:i/>
          <w:iCs/>
          <w:noProof/>
          <w:sz w:val="20"/>
        </w:rPr>
        <w:t>Flukes and Snails. Chapter 4: Fluke life-cycles</w:t>
      </w:r>
      <w:r w:rsidRPr="00FF7476">
        <w:rPr>
          <w:rFonts w:ascii="Palatino Linotype" w:hAnsi="Palatino Linotype"/>
          <w:noProof/>
          <w:sz w:val="20"/>
        </w:rPr>
        <w:t>; George Allen and Unwin LTD. London., 1971;</w:t>
      </w:r>
    </w:p>
    <w:p w14:paraId="421BB905"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32. </w:t>
      </w:r>
      <w:r w:rsidRPr="00FF7476">
        <w:rPr>
          <w:rFonts w:ascii="Palatino Linotype" w:hAnsi="Palatino Linotype"/>
          <w:noProof/>
          <w:sz w:val="20"/>
        </w:rPr>
        <w:tab/>
        <w:t xml:space="preserve">Galaktionov, K.V., Dobrovolskij, A.. </w:t>
      </w:r>
      <w:r w:rsidRPr="00FF7476">
        <w:rPr>
          <w:rFonts w:ascii="Palatino Linotype" w:hAnsi="Palatino Linotype"/>
          <w:i/>
          <w:iCs/>
          <w:noProof/>
          <w:sz w:val="20"/>
        </w:rPr>
        <w:t>The Biology and Evolution of Trematodes. An Essay on the Biology, Morphology, Life Cycles, Transmission, and Evolution of Digenetic Trematodes. Chapter 2: The Trematode Life Cycle as a System of Adaptations</w:t>
      </w:r>
      <w:r w:rsidRPr="00FF7476">
        <w:rPr>
          <w:rFonts w:ascii="Palatino Linotype" w:hAnsi="Palatino Linotype"/>
          <w:noProof/>
          <w:sz w:val="20"/>
        </w:rPr>
        <w:t>; Dordrecht, Boston: Kluwer Academic Publishers, 2003;</w:t>
      </w:r>
    </w:p>
    <w:p w14:paraId="3C95D866"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33. </w:t>
      </w:r>
      <w:r w:rsidRPr="00FF7476">
        <w:rPr>
          <w:rFonts w:ascii="Palatino Linotype" w:hAnsi="Palatino Linotype"/>
          <w:noProof/>
          <w:sz w:val="20"/>
        </w:rPr>
        <w:tab/>
        <w:t xml:space="preserve">Fried, B., Graczyk, T.. </w:t>
      </w:r>
      <w:r w:rsidRPr="00FF7476">
        <w:rPr>
          <w:rFonts w:ascii="Palatino Linotype" w:hAnsi="Palatino Linotype"/>
          <w:i/>
          <w:iCs/>
          <w:noProof/>
          <w:sz w:val="20"/>
        </w:rPr>
        <w:t>Advances in Trematode Biology. Chapter 7: Host Recognition by Trematode Miracidia and Cercariae</w:t>
      </w:r>
      <w:r w:rsidRPr="00FF7476">
        <w:rPr>
          <w:rFonts w:ascii="Palatino Linotype" w:hAnsi="Palatino Linotype"/>
          <w:noProof/>
          <w:sz w:val="20"/>
        </w:rPr>
        <w:t>; CRC Press. New York, 1997;</w:t>
      </w:r>
    </w:p>
    <w:p w14:paraId="5B9B83E4"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34. </w:t>
      </w:r>
      <w:r w:rsidRPr="00FF7476">
        <w:rPr>
          <w:rFonts w:ascii="Palatino Linotype" w:hAnsi="Palatino Linotype"/>
          <w:noProof/>
          <w:sz w:val="20"/>
        </w:rPr>
        <w:tab/>
        <w:t xml:space="preserve">Lockyer, A.E.; Jones, C.S.; Noble, L.R.; Rollinson, D. Trematodes and snails: An intimate association. </w:t>
      </w:r>
      <w:r w:rsidRPr="00FF7476">
        <w:rPr>
          <w:rFonts w:ascii="Palatino Linotype" w:hAnsi="Palatino Linotype"/>
          <w:i/>
          <w:iCs/>
          <w:noProof/>
          <w:sz w:val="20"/>
        </w:rPr>
        <w:t>Can. J. Zool.</w:t>
      </w:r>
      <w:r w:rsidRPr="00FF7476">
        <w:rPr>
          <w:rFonts w:ascii="Palatino Linotype" w:hAnsi="Palatino Linotype"/>
          <w:noProof/>
          <w:sz w:val="20"/>
        </w:rPr>
        <w:t xml:space="preserve"> </w:t>
      </w:r>
      <w:r w:rsidRPr="00FF7476">
        <w:rPr>
          <w:rFonts w:ascii="Palatino Linotype" w:hAnsi="Palatino Linotype"/>
          <w:b/>
          <w:bCs/>
          <w:noProof/>
          <w:sz w:val="20"/>
        </w:rPr>
        <w:t>2004</w:t>
      </w:r>
      <w:r w:rsidRPr="00FF7476">
        <w:rPr>
          <w:rFonts w:ascii="Palatino Linotype" w:hAnsi="Palatino Linotype"/>
          <w:noProof/>
          <w:sz w:val="20"/>
        </w:rPr>
        <w:t xml:space="preserve">, </w:t>
      </w:r>
      <w:r w:rsidRPr="00FF7476">
        <w:rPr>
          <w:rFonts w:ascii="Palatino Linotype" w:hAnsi="Palatino Linotype"/>
          <w:i/>
          <w:iCs/>
          <w:noProof/>
          <w:sz w:val="20"/>
        </w:rPr>
        <w:t>82</w:t>
      </w:r>
      <w:r w:rsidRPr="00FF7476">
        <w:rPr>
          <w:rFonts w:ascii="Palatino Linotype" w:hAnsi="Palatino Linotype"/>
          <w:noProof/>
          <w:sz w:val="20"/>
        </w:rPr>
        <w:t>, 251–269, doi:10.1139/z03-215.</w:t>
      </w:r>
    </w:p>
    <w:p w14:paraId="781F9C9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35. </w:t>
      </w:r>
      <w:r w:rsidRPr="00FF7476">
        <w:rPr>
          <w:rFonts w:ascii="Palatino Linotype" w:hAnsi="Palatino Linotype"/>
          <w:noProof/>
          <w:sz w:val="20"/>
        </w:rPr>
        <w:tab/>
        <w:t xml:space="preserve">Théron, A. </w:t>
      </w:r>
      <w:r w:rsidRPr="00FF7476">
        <w:rPr>
          <w:rFonts w:ascii="Palatino Linotype" w:hAnsi="Palatino Linotype"/>
          <w:i/>
          <w:iCs/>
          <w:noProof/>
          <w:sz w:val="20"/>
        </w:rPr>
        <w:t>Chronobiology of trematode cercarial emergence: From data recovery to epidemiological, ecological and evolutionary implications</w:t>
      </w:r>
      <w:r w:rsidRPr="00FF7476">
        <w:rPr>
          <w:rFonts w:ascii="Palatino Linotype" w:hAnsi="Palatino Linotype"/>
          <w:noProof/>
          <w:sz w:val="20"/>
        </w:rPr>
        <w:t>; Elsevier Ltd, 2015; Vol. 88;.</w:t>
      </w:r>
    </w:p>
    <w:p w14:paraId="6FC63F3D"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36. </w:t>
      </w:r>
      <w:r w:rsidRPr="00FF7476">
        <w:rPr>
          <w:rFonts w:ascii="Palatino Linotype" w:hAnsi="Palatino Linotype"/>
          <w:noProof/>
          <w:sz w:val="20"/>
        </w:rPr>
        <w:tab/>
        <w:t xml:space="preserve">Frandsen, F. Christensen, N. An Introductory Guide to the Identification of Cercariae From African Freshwater Snails With Special Reference to Cercariae of Trematode Species of Medical and Veterinary Importance. </w:t>
      </w:r>
      <w:r w:rsidRPr="00FF7476">
        <w:rPr>
          <w:rFonts w:ascii="Palatino Linotype" w:hAnsi="Palatino Linotype"/>
          <w:i/>
          <w:iCs/>
          <w:noProof/>
          <w:sz w:val="20"/>
        </w:rPr>
        <w:t>Acta Trop.</w:t>
      </w:r>
      <w:r w:rsidRPr="00FF7476">
        <w:rPr>
          <w:rFonts w:ascii="Palatino Linotype" w:hAnsi="Palatino Linotype"/>
          <w:noProof/>
          <w:sz w:val="20"/>
        </w:rPr>
        <w:t xml:space="preserve"> </w:t>
      </w:r>
      <w:r w:rsidRPr="00FF7476">
        <w:rPr>
          <w:rFonts w:ascii="Palatino Linotype" w:hAnsi="Palatino Linotype"/>
          <w:b/>
          <w:bCs/>
          <w:noProof/>
          <w:sz w:val="20"/>
        </w:rPr>
        <w:t>1984</w:t>
      </w:r>
      <w:r w:rsidRPr="00FF7476">
        <w:rPr>
          <w:rFonts w:ascii="Palatino Linotype" w:hAnsi="Palatino Linotype"/>
          <w:noProof/>
          <w:sz w:val="20"/>
        </w:rPr>
        <w:t>, doi:10.5169/seals-313293.</w:t>
      </w:r>
    </w:p>
    <w:p w14:paraId="2374FBFA"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37. </w:t>
      </w:r>
      <w:r w:rsidRPr="00FF7476">
        <w:rPr>
          <w:rFonts w:ascii="Palatino Linotype" w:hAnsi="Palatino Linotype"/>
          <w:noProof/>
          <w:sz w:val="20"/>
        </w:rPr>
        <w:tab/>
        <w:t xml:space="preserve">Einarsson, E.; Ma’ayeh, S.; Svärd, S.G. An up-date on Giardia and giardiasis. </w:t>
      </w:r>
      <w:r w:rsidRPr="00FF7476">
        <w:rPr>
          <w:rFonts w:ascii="Palatino Linotype" w:hAnsi="Palatino Linotype"/>
          <w:i/>
          <w:iCs/>
          <w:noProof/>
          <w:sz w:val="20"/>
        </w:rPr>
        <w:t>Curr. Opin. Microbiol.</w:t>
      </w:r>
      <w:r w:rsidRPr="00FF7476">
        <w:rPr>
          <w:rFonts w:ascii="Palatino Linotype" w:hAnsi="Palatino Linotype"/>
          <w:noProof/>
          <w:sz w:val="20"/>
        </w:rPr>
        <w:t xml:space="preserve"> </w:t>
      </w:r>
      <w:r w:rsidRPr="00FF7476">
        <w:rPr>
          <w:rFonts w:ascii="Palatino Linotype" w:hAnsi="Palatino Linotype"/>
          <w:b/>
          <w:bCs/>
          <w:noProof/>
          <w:sz w:val="20"/>
        </w:rPr>
        <w:t>2016</w:t>
      </w:r>
      <w:r w:rsidRPr="00FF7476">
        <w:rPr>
          <w:rFonts w:ascii="Palatino Linotype" w:hAnsi="Palatino Linotype"/>
          <w:noProof/>
          <w:sz w:val="20"/>
        </w:rPr>
        <w:t xml:space="preserve">, </w:t>
      </w:r>
      <w:r w:rsidRPr="00FF7476">
        <w:rPr>
          <w:rFonts w:ascii="Palatino Linotype" w:hAnsi="Palatino Linotype"/>
          <w:i/>
          <w:iCs/>
          <w:noProof/>
          <w:sz w:val="20"/>
        </w:rPr>
        <w:t>34</w:t>
      </w:r>
      <w:r w:rsidRPr="00FF7476">
        <w:rPr>
          <w:rFonts w:ascii="Palatino Linotype" w:hAnsi="Palatino Linotype"/>
          <w:noProof/>
          <w:sz w:val="20"/>
        </w:rPr>
        <w:t>, 47–52, doi:10.1016/j.mib.2016.07.019.</w:t>
      </w:r>
    </w:p>
    <w:p w14:paraId="59F3603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38. </w:t>
      </w:r>
      <w:r w:rsidRPr="00FF7476">
        <w:rPr>
          <w:rFonts w:ascii="Palatino Linotype" w:hAnsi="Palatino Linotype"/>
          <w:noProof/>
          <w:sz w:val="20"/>
        </w:rPr>
        <w:tab/>
        <w:t xml:space="preserve">Mohammed Mahdy, A.K.; Lim, Y.A.L.; Surin, J.; Wan, K.L.; Al-Mekhlafi, M.S.H. Risk factors for endemic giardiasis: highlighting the possible association of contaminated water and food. </w:t>
      </w:r>
      <w:r w:rsidRPr="00FF7476">
        <w:rPr>
          <w:rFonts w:ascii="Palatino Linotype" w:hAnsi="Palatino Linotype"/>
          <w:i/>
          <w:iCs/>
          <w:noProof/>
          <w:sz w:val="20"/>
        </w:rPr>
        <w:t>Trans. R. Soc. Trop. Med. Hyg.</w:t>
      </w:r>
      <w:r w:rsidRPr="00FF7476">
        <w:rPr>
          <w:rFonts w:ascii="Palatino Linotype" w:hAnsi="Palatino Linotype"/>
          <w:noProof/>
          <w:sz w:val="20"/>
        </w:rPr>
        <w:t xml:space="preserve"> </w:t>
      </w:r>
      <w:r w:rsidRPr="00FF7476">
        <w:rPr>
          <w:rFonts w:ascii="Palatino Linotype" w:hAnsi="Palatino Linotype"/>
          <w:b/>
          <w:bCs/>
          <w:noProof/>
          <w:sz w:val="20"/>
        </w:rPr>
        <w:t>2008</w:t>
      </w:r>
      <w:r w:rsidRPr="00FF7476">
        <w:rPr>
          <w:rFonts w:ascii="Palatino Linotype" w:hAnsi="Palatino Linotype"/>
          <w:noProof/>
          <w:sz w:val="20"/>
        </w:rPr>
        <w:t xml:space="preserve">, </w:t>
      </w:r>
      <w:r w:rsidRPr="00FF7476">
        <w:rPr>
          <w:rFonts w:ascii="Palatino Linotype" w:hAnsi="Palatino Linotype"/>
          <w:i/>
          <w:iCs/>
          <w:noProof/>
          <w:sz w:val="20"/>
        </w:rPr>
        <w:t>102</w:t>
      </w:r>
      <w:r w:rsidRPr="00FF7476">
        <w:rPr>
          <w:rFonts w:ascii="Palatino Linotype" w:hAnsi="Palatino Linotype"/>
          <w:noProof/>
          <w:sz w:val="20"/>
        </w:rPr>
        <w:t>, 465–470, doi:10.1016/j.trstmh.2008.02.004.</w:t>
      </w:r>
    </w:p>
    <w:p w14:paraId="68BDFE62"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39. </w:t>
      </w:r>
      <w:r w:rsidRPr="00FF7476">
        <w:rPr>
          <w:rFonts w:ascii="Palatino Linotype" w:hAnsi="Palatino Linotype"/>
          <w:noProof/>
          <w:sz w:val="20"/>
        </w:rPr>
        <w:tab/>
        <w:t xml:space="preserve">Ankarklev, J.; Jerlström-Hultqvist, J.; Ringqvist, E.; Troell, K.; Svärd, S.G. Behind the smile: Cell biology and disease mechanisms of Giardia species. </w:t>
      </w:r>
      <w:r w:rsidRPr="00FF7476">
        <w:rPr>
          <w:rFonts w:ascii="Palatino Linotype" w:hAnsi="Palatino Linotype"/>
          <w:i/>
          <w:iCs/>
          <w:noProof/>
          <w:sz w:val="20"/>
        </w:rPr>
        <w:t>Nat. Rev. Microbiol.</w:t>
      </w:r>
      <w:r w:rsidRPr="00FF7476">
        <w:rPr>
          <w:rFonts w:ascii="Palatino Linotype" w:hAnsi="Palatino Linotype"/>
          <w:noProof/>
          <w:sz w:val="20"/>
        </w:rPr>
        <w:t xml:space="preserve"> </w:t>
      </w:r>
      <w:r w:rsidRPr="00FF7476">
        <w:rPr>
          <w:rFonts w:ascii="Palatino Linotype" w:hAnsi="Palatino Linotype"/>
          <w:b/>
          <w:bCs/>
          <w:noProof/>
          <w:sz w:val="20"/>
        </w:rPr>
        <w:t>2010</w:t>
      </w:r>
      <w:r w:rsidRPr="00FF7476">
        <w:rPr>
          <w:rFonts w:ascii="Palatino Linotype" w:hAnsi="Palatino Linotype"/>
          <w:noProof/>
          <w:sz w:val="20"/>
        </w:rPr>
        <w:t xml:space="preserve">, </w:t>
      </w:r>
      <w:r w:rsidRPr="00FF7476">
        <w:rPr>
          <w:rFonts w:ascii="Palatino Linotype" w:hAnsi="Palatino Linotype"/>
          <w:i/>
          <w:iCs/>
          <w:noProof/>
          <w:sz w:val="20"/>
        </w:rPr>
        <w:t>8</w:t>
      </w:r>
      <w:r w:rsidRPr="00FF7476">
        <w:rPr>
          <w:rFonts w:ascii="Palatino Linotype" w:hAnsi="Palatino Linotype"/>
          <w:noProof/>
          <w:sz w:val="20"/>
        </w:rPr>
        <w:t>, 413–422, doi:10.1038/nrmicro2317.</w:t>
      </w:r>
    </w:p>
    <w:p w14:paraId="5BD4D37C"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40. </w:t>
      </w:r>
      <w:r w:rsidRPr="00FF7476">
        <w:rPr>
          <w:rFonts w:ascii="Palatino Linotype" w:hAnsi="Palatino Linotype"/>
          <w:noProof/>
          <w:sz w:val="20"/>
        </w:rPr>
        <w:tab/>
        <w:t xml:space="preserve">Huang, Y.; Manderson, L. Schistosomiasis and the social patterning of infection. </w:t>
      </w:r>
      <w:r w:rsidRPr="00FF7476">
        <w:rPr>
          <w:rFonts w:ascii="Palatino Linotype" w:hAnsi="Palatino Linotype"/>
          <w:i/>
          <w:iCs/>
          <w:noProof/>
          <w:sz w:val="20"/>
        </w:rPr>
        <w:t>Acta Trop.</w:t>
      </w:r>
      <w:r w:rsidRPr="00FF7476">
        <w:rPr>
          <w:rFonts w:ascii="Palatino Linotype" w:hAnsi="Palatino Linotype"/>
          <w:noProof/>
          <w:sz w:val="20"/>
        </w:rPr>
        <w:t xml:space="preserve"> </w:t>
      </w:r>
      <w:r w:rsidRPr="00FF7476">
        <w:rPr>
          <w:rFonts w:ascii="Palatino Linotype" w:hAnsi="Palatino Linotype"/>
          <w:b/>
          <w:bCs/>
          <w:noProof/>
          <w:sz w:val="20"/>
        </w:rPr>
        <w:t>1992</w:t>
      </w:r>
      <w:r w:rsidRPr="00FF7476">
        <w:rPr>
          <w:rFonts w:ascii="Palatino Linotype" w:hAnsi="Palatino Linotype"/>
          <w:noProof/>
          <w:sz w:val="20"/>
        </w:rPr>
        <w:t xml:space="preserve">, </w:t>
      </w:r>
      <w:r w:rsidRPr="00FF7476">
        <w:rPr>
          <w:rFonts w:ascii="Palatino Linotype" w:hAnsi="Palatino Linotype"/>
          <w:i/>
          <w:iCs/>
          <w:noProof/>
          <w:sz w:val="20"/>
        </w:rPr>
        <w:t>51</w:t>
      </w:r>
      <w:r w:rsidRPr="00FF7476">
        <w:rPr>
          <w:rFonts w:ascii="Palatino Linotype" w:hAnsi="Palatino Linotype"/>
          <w:noProof/>
          <w:sz w:val="20"/>
        </w:rPr>
        <w:t>, 175–194, doi:10.1016/0001-706X(92)90037-X.</w:t>
      </w:r>
    </w:p>
    <w:p w14:paraId="0EC22CBE"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41. </w:t>
      </w:r>
      <w:r w:rsidRPr="00FF7476">
        <w:rPr>
          <w:rFonts w:ascii="Palatino Linotype" w:hAnsi="Palatino Linotype"/>
          <w:noProof/>
          <w:sz w:val="20"/>
        </w:rPr>
        <w:tab/>
        <w:t xml:space="preserve">Ahmed, S.A.; Guerrero Flórez, M.; Karanis, P. The impact of water crises and climate changes on the transmission of protozoan parasites in Africa. </w:t>
      </w:r>
      <w:r w:rsidRPr="00FF7476">
        <w:rPr>
          <w:rFonts w:ascii="Palatino Linotype" w:hAnsi="Palatino Linotype"/>
          <w:i/>
          <w:iCs/>
          <w:noProof/>
          <w:sz w:val="20"/>
        </w:rPr>
        <w:t>Pathog. Glob. Health</w:t>
      </w:r>
      <w:r w:rsidRPr="00FF7476">
        <w:rPr>
          <w:rFonts w:ascii="Palatino Linotype" w:hAnsi="Palatino Linotype"/>
          <w:noProof/>
          <w:sz w:val="20"/>
        </w:rPr>
        <w:t xml:space="preserve"> </w:t>
      </w:r>
      <w:r w:rsidRPr="00FF7476">
        <w:rPr>
          <w:rFonts w:ascii="Palatino Linotype" w:hAnsi="Palatino Linotype"/>
          <w:b/>
          <w:bCs/>
          <w:noProof/>
          <w:sz w:val="20"/>
        </w:rPr>
        <w:t>2018</w:t>
      </w:r>
      <w:r w:rsidRPr="00FF7476">
        <w:rPr>
          <w:rFonts w:ascii="Palatino Linotype" w:hAnsi="Palatino Linotype"/>
          <w:noProof/>
          <w:sz w:val="20"/>
        </w:rPr>
        <w:t xml:space="preserve">, </w:t>
      </w:r>
      <w:r w:rsidRPr="00FF7476">
        <w:rPr>
          <w:rFonts w:ascii="Palatino Linotype" w:hAnsi="Palatino Linotype"/>
          <w:i/>
          <w:iCs/>
          <w:noProof/>
          <w:sz w:val="20"/>
        </w:rPr>
        <w:t>112</w:t>
      </w:r>
      <w:r w:rsidRPr="00FF7476">
        <w:rPr>
          <w:rFonts w:ascii="Palatino Linotype" w:hAnsi="Palatino Linotype"/>
          <w:noProof/>
          <w:sz w:val="20"/>
        </w:rPr>
        <w:t>, 281–293, doi:10.1080/20477724.2018.1523778.</w:t>
      </w:r>
    </w:p>
    <w:p w14:paraId="4A3B2FB1"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42. </w:t>
      </w:r>
      <w:r w:rsidRPr="00FF7476">
        <w:rPr>
          <w:rFonts w:ascii="Palatino Linotype" w:hAnsi="Palatino Linotype"/>
          <w:noProof/>
          <w:sz w:val="20"/>
        </w:rPr>
        <w:tab/>
        <w:t xml:space="preserve">Esrey, S.A.; Collett, J.; Miliotis, M.D.; Koornhof, H.J.; Makhale, P. The risk of infection from Giardia lamblia due to drinking water supply, use of water, and latrines among preschool children in rural Lesotho. </w:t>
      </w:r>
      <w:r w:rsidRPr="00FF7476">
        <w:rPr>
          <w:rFonts w:ascii="Palatino Linotype" w:hAnsi="Palatino Linotype"/>
          <w:i/>
          <w:iCs/>
          <w:noProof/>
          <w:sz w:val="20"/>
        </w:rPr>
        <w:t>Int. J. Epidemiol.</w:t>
      </w:r>
      <w:r w:rsidRPr="00FF7476">
        <w:rPr>
          <w:rFonts w:ascii="Palatino Linotype" w:hAnsi="Palatino Linotype"/>
          <w:noProof/>
          <w:sz w:val="20"/>
        </w:rPr>
        <w:t xml:space="preserve"> </w:t>
      </w:r>
      <w:r w:rsidRPr="00FF7476">
        <w:rPr>
          <w:rFonts w:ascii="Palatino Linotype" w:hAnsi="Palatino Linotype"/>
          <w:b/>
          <w:bCs/>
          <w:noProof/>
          <w:sz w:val="20"/>
        </w:rPr>
        <w:t>1989</w:t>
      </w:r>
      <w:r w:rsidRPr="00FF7476">
        <w:rPr>
          <w:rFonts w:ascii="Palatino Linotype" w:hAnsi="Palatino Linotype"/>
          <w:noProof/>
          <w:sz w:val="20"/>
        </w:rPr>
        <w:t xml:space="preserve">, </w:t>
      </w:r>
      <w:r w:rsidRPr="00FF7476">
        <w:rPr>
          <w:rFonts w:ascii="Palatino Linotype" w:hAnsi="Palatino Linotype"/>
          <w:i/>
          <w:iCs/>
          <w:noProof/>
          <w:sz w:val="20"/>
        </w:rPr>
        <w:t>18</w:t>
      </w:r>
      <w:r w:rsidRPr="00FF7476">
        <w:rPr>
          <w:rFonts w:ascii="Palatino Linotype" w:hAnsi="Palatino Linotype"/>
          <w:noProof/>
          <w:sz w:val="20"/>
        </w:rPr>
        <w:t>, 248–253, doi:10.1093/ije/18.1.248.</w:t>
      </w:r>
    </w:p>
    <w:p w14:paraId="5BA17BC1"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43. </w:t>
      </w:r>
      <w:r w:rsidRPr="00FF7476">
        <w:rPr>
          <w:rFonts w:ascii="Palatino Linotype" w:hAnsi="Palatino Linotype"/>
          <w:noProof/>
          <w:sz w:val="20"/>
        </w:rPr>
        <w:tab/>
        <w:t xml:space="preserve">Campbell, S.J.; Nery, S. V.; D’Este, C.A.; Gray, D.J.; McCarthy, J.S.; Traub, R.J.; Andrews, R.M.; Llewellyn, S.; Vallely, A.J.; Williams, G.M.; et al. Water, sanitation and hygiene related risk factors for soil-transmitted helminth and Giardia duodenalis infections in rural communities in Timor-Leste. </w:t>
      </w:r>
      <w:r w:rsidRPr="00FF7476">
        <w:rPr>
          <w:rFonts w:ascii="Palatino Linotype" w:hAnsi="Palatino Linotype"/>
          <w:i/>
          <w:iCs/>
          <w:noProof/>
          <w:sz w:val="20"/>
        </w:rPr>
        <w:t>Int. J. Parasitol.</w:t>
      </w:r>
      <w:r w:rsidRPr="00FF7476">
        <w:rPr>
          <w:rFonts w:ascii="Palatino Linotype" w:hAnsi="Palatino Linotype"/>
          <w:noProof/>
          <w:sz w:val="20"/>
        </w:rPr>
        <w:t xml:space="preserve"> </w:t>
      </w:r>
      <w:r w:rsidRPr="00FF7476">
        <w:rPr>
          <w:rFonts w:ascii="Palatino Linotype" w:hAnsi="Palatino Linotype"/>
          <w:b/>
          <w:bCs/>
          <w:noProof/>
          <w:sz w:val="20"/>
        </w:rPr>
        <w:t>2016</w:t>
      </w:r>
      <w:r w:rsidRPr="00FF7476">
        <w:rPr>
          <w:rFonts w:ascii="Palatino Linotype" w:hAnsi="Palatino Linotype"/>
          <w:noProof/>
          <w:sz w:val="20"/>
        </w:rPr>
        <w:t xml:space="preserve">, </w:t>
      </w:r>
      <w:r w:rsidRPr="00FF7476">
        <w:rPr>
          <w:rFonts w:ascii="Palatino Linotype" w:hAnsi="Palatino Linotype"/>
          <w:i/>
          <w:iCs/>
          <w:noProof/>
          <w:sz w:val="20"/>
        </w:rPr>
        <w:t>46</w:t>
      </w:r>
      <w:r w:rsidRPr="00FF7476">
        <w:rPr>
          <w:rFonts w:ascii="Palatino Linotype" w:hAnsi="Palatino Linotype"/>
          <w:noProof/>
          <w:sz w:val="20"/>
        </w:rPr>
        <w:t>, 771–779, doi:10.1016/j.ijpara.2016.07.005.</w:t>
      </w:r>
    </w:p>
    <w:p w14:paraId="5D158EE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44. </w:t>
      </w:r>
      <w:r w:rsidRPr="00FF7476">
        <w:rPr>
          <w:rFonts w:ascii="Palatino Linotype" w:hAnsi="Palatino Linotype"/>
          <w:noProof/>
          <w:sz w:val="20"/>
        </w:rPr>
        <w:tab/>
        <w:t xml:space="preserve">Robinson, M.W.; Dalton, J.P. Zoonotic helminth infections with particular emphasis on fasciolosis and other trematodiases. </w:t>
      </w:r>
      <w:r w:rsidRPr="00FF7476">
        <w:rPr>
          <w:rFonts w:ascii="Palatino Linotype" w:hAnsi="Palatino Linotype"/>
          <w:i/>
          <w:iCs/>
          <w:noProof/>
          <w:sz w:val="20"/>
        </w:rPr>
        <w:t>Philos. Trans. R. Soc. B Biol. Sci.</w:t>
      </w:r>
      <w:r w:rsidRPr="00FF7476">
        <w:rPr>
          <w:rFonts w:ascii="Palatino Linotype" w:hAnsi="Palatino Linotype"/>
          <w:noProof/>
          <w:sz w:val="20"/>
        </w:rPr>
        <w:t xml:space="preserve"> </w:t>
      </w:r>
      <w:r w:rsidRPr="00FF7476">
        <w:rPr>
          <w:rFonts w:ascii="Palatino Linotype" w:hAnsi="Palatino Linotype"/>
          <w:b/>
          <w:bCs/>
          <w:noProof/>
          <w:sz w:val="20"/>
        </w:rPr>
        <w:t>2009</w:t>
      </w:r>
      <w:r w:rsidRPr="00FF7476">
        <w:rPr>
          <w:rFonts w:ascii="Palatino Linotype" w:hAnsi="Palatino Linotype"/>
          <w:noProof/>
          <w:sz w:val="20"/>
        </w:rPr>
        <w:t xml:space="preserve">, </w:t>
      </w:r>
      <w:r w:rsidRPr="00FF7476">
        <w:rPr>
          <w:rFonts w:ascii="Palatino Linotype" w:hAnsi="Palatino Linotype"/>
          <w:i/>
          <w:iCs/>
          <w:noProof/>
          <w:sz w:val="20"/>
        </w:rPr>
        <w:t>364</w:t>
      </w:r>
      <w:r w:rsidRPr="00FF7476">
        <w:rPr>
          <w:rFonts w:ascii="Palatino Linotype" w:hAnsi="Palatino Linotype"/>
          <w:noProof/>
          <w:sz w:val="20"/>
        </w:rPr>
        <w:t>, 2763–2776, doi:10.1098/rstb.2009.0089.</w:t>
      </w:r>
    </w:p>
    <w:p w14:paraId="1F171991"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45. </w:t>
      </w:r>
      <w:r w:rsidRPr="00FF7476">
        <w:rPr>
          <w:rFonts w:ascii="Palatino Linotype" w:hAnsi="Palatino Linotype"/>
          <w:noProof/>
          <w:sz w:val="20"/>
        </w:rPr>
        <w:tab/>
        <w:t xml:space="preserve">Chomel, B.B. Control and prevention of emerging parasitic zoonoses. </w:t>
      </w:r>
      <w:r w:rsidRPr="00FF7476">
        <w:rPr>
          <w:rFonts w:ascii="Palatino Linotype" w:hAnsi="Palatino Linotype"/>
          <w:i/>
          <w:iCs/>
          <w:noProof/>
          <w:sz w:val="20"/>
        </w:rPr>
        <w:t>Int. J. Parasitol.</w:t>
      </w:r>
      <w:r w:rsidRPr="00FF7476">
        <w:rPr>
          <w:rFonts w:ascii="Palatino Linotype" w:hAnsi="Palatino Linotype"/>
          <w:noProof/>
          <w:sz w:val="20"/>
        </w:rPr>
        <w:t xml:space="preserve"> </w:t>
      </w:r>
      <w:r w:rsidRPr="00FF7476">
        <w:rPr>
          <w:rFonts w:ascii="Palatino Linotype" w:hAnsi="Palatino Linotype"/>
          <w:b/>
          <w:bCs/>
          <w:noProof/>
          <w:sz w:val="20"/>
        </w:rPr>
        <w:t>2008</w:t>
      </w:r>
      <w:r w:rsidRPr="00FF7476">
        <w:rPr>
          <w:rFonts w:ascii="Palatino Linotype" w:hAnsi="Palatino Linotype"/>
          <w:noProof/>
          <w:sz w:val="20"/>
        </w:rPr>
        <w:t xml:space="preserve">, </w:t>
      </w:r>
      <w:r w:rsidRPr="00FF7476">
        <w:rPr>
          <w:rFonts w:ascii="Palatino Linotype" w:hAnsi="Palatino Linotype"/>
          <w:i/>
          <w:iCs/>
          <w:noProof/>
          <w:sz w:val="20"/>
        </w:rPr>
        <w:t>38</w:t>
      </w:r>
      <w:r w:rsidRPr="00FF7476">
        <w:rPr>
          <w:rFonts w:ascii="Palatino Linotype" w:hAnsi="Palatino Linotype"/>
          <w:noProof/>
          <w:sz w:val="20"/>
        </w:rPr>
        <w:t>, 1211–1217, doi:10.1016/j.ijpara.2008.05.001.</w:t>
      </w:r>
    </w:p>
    <w:p w14:paraId="543CA29F"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46. </w:t>
      </w:r>
      <w:r w:rsidRPr="00FF7476">
        <w:rPr>
          <w:rFonts w:ascii="Palatino Linotype" w:hAnsi="Palatino Linotype"/>
          <w:noProof/>
          <w:sz w:val="20"/>
        </w:rPr>
        <w:tab/>
        <w:t xml:space="preserve">MARTINS, A. V. Non-human vertebrate hosts of Schistosoma haematobium and Schistosoma mansoni. </w:t>
      </w:r>
      <w:r w:rsidRPr="00FF7476">
        <w:rPr>
          <w:rFonts w:ascii="Palatino Linotype" w:hAnsi="Palatino Linotype"/>
          <w:i/>
          <w:iCs/>
          <w:noProof/>
          <w:sz w:val="20"/>
        </w:rPr>
        <w:t>Bull. World Health Organ.</w:t>
      </w:r>
      <w:r w:rsidRPr="00FF7476">
        <w:rPr>
          <w:rFonts w:ascii="Palatino Linotype" w:hAnsi="Palatino Linotype"/>
          <w:noProof/>
          <w:sz w:val="20"/>
        </w:rPr>
        <w:t xml:space="preserve"> </w:t>
      </w:r>
      <w:r w:rsidRPr="00FF7476">
        <w:rPr>
          <w:rFonts w:ascii="Palatino Linotype" w:hAnsi="Palatino Linotype"/>
          <w:b/>
          <w:bCs/>
          <w:noProof/>
          <w:sz w:val="20"/>
        </w:rPr>
        <w:t>1958</w:t>
      </w:r>
      <w:r w:rsidRPr="00FF7476">
        <w:rPr>
          <w:rFonts w:ascii="Palatino Linotype" w:hAnsi="Palatino Linotype"/>
          <w:noProof/>
          <w:sz w:val="20"/>
        </w:rPr>
        <w:t xml:space="preserve">, </w:t>
      </w:r>
      <w:r w:rsidRPr="00FF7476">
        <w:rPr>
          <w:rFonts w:ascii="Palatino Linotype" w:hAnsi="Palatino Linotype"/>
          <w:i/>
          <w:iCs/>
          <w:noProof/>
          <w:sz w:val="20"/>
        </w:rPr>
        <w:t>18</w:t>
      </w:r>
      <w:r w:rsidRPr="00FF7476">
        <w:rPr>
          <w:rFonts w:ascii="Palatino Linotype" w:hAnsi="Palatino Linotype"/>
          <w:noProof/>
          <w:sz w:val="20"/>
        </w:rPr>
        <w:t>, 931–944.</w:t>
      </w:r>
    </w:p>
    <w:p w14:paraId="35378A86"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47. </w:t>
      </w:r>
      <w:r w:rsidRPr="00FF7476">
        <w:rPr>
          <w:rFonts w:ascii="Palatino Linotype" w:hAnsi="Palatino Linotype"/>
          <w:noProof/>
          <w:sz w:val="20"/>
        </w:rPr>
        <w:tab/>
        <w:t xml:space="preserve">Standley, C.J., Dobson, A.P., Stothard, R.J. </w:t>
      </w:r>
      <w:r w:rsidRPr="00FF7476">
        <w:rPr>
          <w:rFonts w:ascii="Palatino Linotype" w:hAnsi="Palatino Linotype"/>
          <w:i/>
          <w:iCs/>
          <w:noProof/>
          <w:sz w:val="20"/>
        </w:rPr>
        <w:t>Out of Animals and Back Again: Schistosomiasis as a Zoonosis in Africa. Schistosomiasis</w:t>
      </w:r>
      <w:r w:rsidRPr="00FF7476">
        <w:rPr>
          <w:rFonts w:ascii="Palatino Linotype" w:hAnsi="Palatino Linotype"/>
          <w:noProof/>
          <w:sz w:val="20"/>
        </w:rPr>
        <w:t>; InTech: ISBN: 978-953-307-852-6., 2012;</w:t>
      </w:r>
    </w:p>
    <w:p w14:paraId="2ECA0B93"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48. </w:t>
      </w:r>
      <w:r w:rsidRPr="00FF7476">
        <w:rPr>
          <w:rFonts w:ascii="Palatino Linotype" w:hAnsi="Palatino Linotype"/>
          <w:noProof/>
          <w:sz w:val="20"/>
        </w:rPr>
        <w:tab/>
        <w:t xml:space="preserve">Ryan, U.; Cacciò, S.M. Zoonotic potential of Giardia. </w:t>
      </w:r>
      <w:r w:rsidRPr="00FF7476">
        <w:rPr>
          <w:rFonts w:ascii="Palatino Linotype" w:hAnsi="Palatino Linotype"/>
          <w:i/>
          <w:iCs/>
          <w:noProof/>
          <w:sz w:val="20"/>
        </w:rPr>
        <w:t>Int. J. Parasitol.</w:t>
      </w:r>
      <w:r w:rsidRPr="00FF7476">
        <w:rPr>
          <w:rFonts w:ascii="Palatino Linotype" w:hAnsi="Palatino Linotype"/>
          <w:noProof/>
          <w:sz w:val="20"/>
        </w:rPr>
        <w:t xml:space="preserve"> </w:t>
      </w:r>
      <w:r w:rsidRPr="00FF7476">
        <w:rPr>
          <w:rFonts w:ascii="Palatino Linotype" w:hAnsi="Palatino Linotype"/>
          <w:b/>
          <w:bCs/>
          <w:noProof/>
          <w:sz w:val="20"/>
        </w:rPr>
        <w:t>2013</w:t>
      </w:r>
      <w:r w:rsidRPr="00FF7476">
        <w:rPr>
          <w:rFonts w:ascii="Palatino Linotype" w:hAnsi="Palatino Linotype"/>
          <w:noProof/>
          <w:sz w:val="20"/>
        </w:rPr>
        <w:t xml:space="preserve">, </w:t>
      </w:r>
      <w:r w:rsidRPr="00FF7476">
        <w:rPr>
          <w:rFonts w:ascii="Palatino Linotype" w:hAnsi="Palatino Linotype"/>
          <w:i/>
          <w:iCs/>
          <w:noProof/>
          <w:sz w:val="20"/>
        </w:rPr>
        <w:t>43</w:t>
      </w:r>
      <w:r w:rsidRPr="00FF7476">
        <w:rPr>
          <w:rFonts w:ascii="Palatino Linotype" w:hAnsi="Palatino Linotype"/>
          <w:noProof/>
          <w:sz w:val="20"/>
        </w:rPr>
        <w:t>, 943–956, doi:10.1016/j.ijpara.2013.06.001.</w:t>
      </w:r>
    </w:p>
    <w:p w14:paraId="182AD887"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49. </w:t>
      </w:r>
      <w:r w:rsidRPr="00FF7476">
        <w:rPr>
          <w:rFonts w:ascii="Palatino Linotype" w:hAnsi="Palatino Linotype"/>
          <w:noProof/>
          <w:sz w:val="20"/>
        </w:rPr>
        <w:tab/>
        <w:t xml:space="preserve">Yaoyu, F.; Xiao, L. Zoonotic potential and molecular epidemiology of Giardia species and giardiasis. </w:t>
      </w:r>
      <w:r w:rsidRPr="00FF7476">
        <w:rPr>
          <w:rFonts w:ascii="Palatino Linotype" w:hAnsi="Palatino Linotype"/>
          <w:i/>
          <w:iCs/>
          <w:noProof/>
          <w:sz w:val="20"/>
        </w:rPr>
        <w:t>Clin. Microbiol. Rev.</w:t>
      </w:r>
      <w:r w:rsidRPr="00FF7476">
        <w:rPr>
          <w:rFonts w:ascii="Palatino Linotype" w:hAnsi="Palatino Linotype"/>
          <w:noProof/>
          <w:sz w:val="20"/>
        </w:rPr>
        <w:t xml:space="preserve"> </w:t>
      </w:r>
      <w:r w:rsidRPr="00FF7476">
        <w:rPr>
          <w:rFonts w:ascii="Palatino Linotype" w:hAnsi="Palatino Linotype"/>
          <w:b/>
          <w:bCs/>
          <w:noProof/>
          <w:sz w:val="20"/>
        </w:rPr>
        <w:t>2011</w:t>
      </w:r>
      <w:r w:rsidRPr="00FF7476">
        <w:rPr>
          <w:rFonts w:ascii="Palatino Linotype" w:hAnsi="Palatino Linotype"/>
          <w:noProof/>
          <w:sz w:val="20"/>
        </w:rPr>
        <w:t xml:space="preserve">, </w:t>
      </w:r>
      <w:r w:rsidRPr="00FF7476">
        <w:rPr>
          <w:rFonts w:ascii="Palatino Linotype" w:hAnsi="Palatino Linotype"/>
          <w:i/>
          <w:iCs/>
          <w:noProof/>
          <w:sz w:val="20"/>
        </w:rPr>
        <w:t>24</w:t>
      </w:r>
      <w:r w:rsidRPr="00FF7476">
        <w:rPr>
          <w:rFonts w:ascii="Palatino Linotype" w:hAnsi="Palatino Linotype"/>
          <w:noProof/>
          <w:sz w:val="20"/>
        </w:rPr>
        <w:t>, 110–140, doi:10.1128/CMR.00033-10.</w:t>
      </w:r>
    </w:p>
    <w:p w14:paraId="3EC16984"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50. </w:t>
      </w:r>
      <w:r w:rsidRPr="00FF7476">
        <w:rPr>
          <w:rFonts w:ascii="Palatino Linotype" w:hAnsi="Palatino Linotype"/>
          <w:noProof/>
          <w:sz w:val="20"/>
        </w:rPr>
        <w:tab/>
        <w:t xml:space="preserve">Thompson, R.C.A. The zoonotic significance and molecular epidemiology of Giardia and giardiasis. </w:t>
      </w:r>
      <w:r w:rsidRPr="00FF7476">
        <w:rPr>
          <w:rFonts w:ascii="Palatino Linotype" w:hAnsi="Palatino Linotype"/>
          <w:i/>
          <w:iCs/>
          <w:noProof/>
          <w:sz w:val="20"/>
        </w:rPr>
        <w:t>Vet. Parasitol.</w:t>
      </w:r>
      <w:r w:rsidRPr="00FF7476">
        <w:rPr>
          <w:rFonts w:ascii="Palatino Linotype" w:hAnsi="Palatino Linotype"/>
          <w:noProof/>
          <w:sz w:val="20"/>
        </w:rPr>
        <w:t xml:space="preserve"> </w:t>
      </w:r>
      <w:r w:rsidRPr="00FF7476">
        <w:rPr>
          <w:rFonts w:ascii="Palatino Linotype" w:hAnsi="Palatino Linotype"/>
          <w:b/>
          <w:bCs/>
          <w:noProof/>
          <w:sz w:val="20"/>
        </w:rPr>
        <w:t>2004</w:t>
      </w:r>
      <w:r w:rsidRPr="00FF7476">
        <w:rPr>
          <w:rFonts w:ascii="Palatino Linotype" w:hAnsi="Palatino Linotype"/>
          <w:noProof/>
          <w:sz w:val="20"/>
        </w:rPr>
        <w:t xml:space="preserve">, </w:t>
      </w:r>
      <w:r w:rsidRPr="00FF7476">
        <w:rPr>
          <w:rFonts w:ascii="Palatino Linotype" w:hAnsi="Palatino Linotype"/>
          <w:i/>
          <w:iCs/>
          <w:noProof/>
          <w:sz w:val="20"/>
        </w:rPr>
        <w:t>126</w:t>
      </w:r>
      <w:r w:rsidRPr="00FF7476">
        <w:rPr>
          <w:rFonts w:ascii="Palatino Linotype" w:hAnsi="Palatino Linotype"/>
          <w:noProof/>
          <w:sz w:val="20"/>
        </w:rPr>
        <w:t>, 15–35, doi:10.1016/j.vetpar.2004.09.008.</w:t>
      </w:r>
    </w:p>
    <w:p w14:paraId="1CF9C8D1"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51. </w:t>
      </w:r>
      <w:r w:rsidRPr="00FF7476">
        <w:rPr>
          <w:rFonts w:ascii="Palatino Linotype" w:hAnsi="Palatino Linotype"/>
          <w:noProof/>
          <w:sz w:val="20"/>
        </w:rPr>
        <w:tab/>
        <w:t xml:space="preserve">Sak, B.; Petrzelkova, K.J.; Kvetonova, D.; Mynarova, A.; Shutt, K.A.; Pomajbikova, K.; Kalousova, B.; Modry, D.; Benavides, J.; Todd, A.; et al. Long-Term Monitoring of Microsporidia, Cryptosporidium and Giardia Infections in Western Lowland Gorillas (Gorilla gorilla gorilla) at Different Stages of Habituation in Dzanga Sangha Protected Areas, Central African Republic. </w:t>
      </w:r>
      <w:r w:rsidRPr="00FF7476">
        <w:rPr>
          <w:rFonts w:ascii="Palatino Linotype" w:hAnsi="Palatino Linotype"/>
          <w:i/>
          <w:iCs/>
          <w:noProof/>
          <w:sz w:val="20"/>
        </w:rPr>
        <w:t>PLoS One</w:t>
      </w:r>
      <w:r w:rsidRPr="00FF7476">
        <w:rPr>
          <w:rFonts w:ascii="Palatino Linotype" w:hAnsi="Palatino Linotype"/>
          <w:noProof/>
          <w:sz w:val="20"/>
        </w:rPr>
        <w:t xml:space="preserve"> </w:t>
      </w:r>
      <w:r w:rsidRPr="00FF7476">
        <w:rPr>
          <w:rFonts w:ascii="Palatino Linotype" w:hAnsi="Palatino Linotype"/>
          <w:b/>
          <w:bCs/>
          <w:noProof/>
          <w:sz w:val="20"/>
        </w:rPr>
        <w:t>2013</w:t>
      </w:r>
      <w:r w:rsidRPr="00FF7476">
        <w:rPr>
          <w:rFonts w:ascii="Palatino Linotype" w:hAnsi="Palatino Linotype"/>
          <w:noProof/>
          <w:sz w:val="20"/>
        </w:rPr>
        <w:t xml:space="preserve">, </w:t>
      </w:r>
      <w:r w:rsidRPr="00FF7476">
        <w:rPr>
          <w:rFonts w:ascii="Palatino Linotype" w:hAnsi="Palatino Linotype"/>
          <w:i/>
          <w:iCs/>
          <w:noProof/>
          <w:sz w:val="20"/>
        </w:rPr>
        <w:t>8</w:t>
      </w:r>
      <w:r w:rsidRPr="00FF7476">
        <w:rPr>
          <w:rFonts w:ascii="Palatino Linotype" w:hAnsi="Palatino Linotype"/>
          <w:noProof/>
          <w:sz w:val="20"/>
        </w:rPr>
        <w:t>, doi:10.1371/journal.pone.0071840.</w:t>
      </w:r>
    </w:p>
    <w:p w14:paraId="3599C7ED"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52. </w:t>
      </w:r>
      <w:r w:rsidRPr="00FF7476">
        <w:rPr>
          <w:rFonts w:ascii="Palatino Linotype" w:hAnsi="Palatino Linotype"/>
          <w:noProof/>
          <w:sz w:val="20"/>
        </w:rPr>
        <w:tab/>
        <w:t xml:space="preserve">Hanelt, B.; Mwangi, I.N.; Kinuthia, J.M.; Maina, G.M.; Agola, L.E.; Mutuku, M.W.; Steinauer, M.L.; Agwanda, B.R.; Kigo, L.; Mungai, B.N.; et al. Schistosomes of small mammals from the Lake Victoria Basin, Kenya: New species, familiar species, and implications for schistosomiasis control. </w:t>
      </w:r>
      <w:r w:rsidRPr="00FF7476">
        <w:rPr>
          <w:rFonts w:ascii="Palatino Linotype" w:hAnsi="Palatino Linotype"/>
          <w:i/>
          <w:iCs/>
          <w:noProof/>
          <w:sz w:val="20"/>
        </w:rPr>
        <w:t>Parasitology</w:t>
      </w:r>
      <w:r w:rsidRPr="00FF7476">
        <w:rPr>
          <w:rFonts w:ascii="Palatino Linotype" w:hAnsi="Palatino Linotype"/>
          <w:noProof/>
          <w:sz w:val="20"/>
        </w:rPr>
        <w:t xml:space="preserve"> </w:t>
      </w:r>
      <w:r w:rsidRPr="00FF7476">
        <w:rPr>
          <w:rFonts w:ascii="Palatino Linotype" w:hAnsi="Palatino Linotype"/>
          <w:b/>
          <w:bCs/>
          <w:noProof/>
          <w:sz w:val="20"/>
        </w:rPr>
        <w:t>2010</w:t>
      </w:r>
      <w:r w:rsidRPr="00FF7476">
        <w:rPr>
          <w:rFonts w:ascii="Palatino Linotype" w:hAnsi="Palatino Linotype"/>
          <w:noProof/>
          <w:sz w:val="20"/>
        </w:rPr>
        <w:t xml:space="preserve">, </w:t>
      </w:r>
      <w:r w:rsidRPr="00FF7476">
        <w:rPr>
          <w:rFonts w:ascii="Palatino Linotype" w:hAnsi="Palatino Linotype"/>
          <w:i/>
          <w:iCs/>
          <w:noProof/>
          <w:sz w:val="20"/>
        </w:rPr>
        <w:t>137</w:t>
      </w:r>
      <w:r w:rsidRPr="00FF7476">
        <w:rPr>
          <w:rFonts w:ascii="Palatino Linotype" w:hAnsi="Palatino Linotype"/>
          <w:noProof/>
          <w:sz w:val="20"/>
        </w:rPr>
        <w:t>, 1109–1118, doi:10.1017/S0031182010000041.</w:t>
      </w:r>
    </w:p>
    <w:p w14:paraId="6797AC4E"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53. </w:t>
      </w:r>
      <w:r w:rsidRPr="00FF7476">
        <w:rPr>
          <w:rFonts w:ascii="Palatino Linotype" w:hAnsi="Palatino Linotype"/>
          <w:noProof/>
          <w:sz w:val="20"/>
        </w:rPr>
        <w:tab/>
        <w:t xml:space="preserve">De Bont, J.; Vercruysse, J. The epidemiology and control of cattle schistosomiasis. </w:t>
      </w:r>
      <w:r w:rsidRPr="00FF7476">
        <w:rPr>
          <w:rFonts w:ascii="Palatino Linotype" w:hAnsi="Palatino Linotype"/>
          <w:i/>
          <w:iCs/>
          <w:noProof/>
          <w:sz w:val="20"/>
        </w:rPr>
        <w:t>Parasitol. Today</w:t>
      </w:r>
      <w:r w:rsidRPr="00FF7476">
        <w:rPr>
          <w:rFonts w:ascii="Palatino Linotype" w:hAnsi="Palatino Linotype"/>
          <w:noProof/>
          <w:sz w:val="20"/>
        </w:rPr>
        <w:t xml:space="preserve"> </w:t>
      </w:r>
      <w:r w:rsidRPr="00FF7476">
        <w:rPr>
          <w:rFonts w:ascii="Palatino Linotype" w:hAnsi="Palatino Linotype"/>
          <w:b/>
          <w:bCs/>
          <w:noProof/>
          <w:sz w:val="20"/>
        </w:rPr>
        <w:t>1997</w:t>
      </w:r>
      <w:r w:rsidRPr="00FF7476">
        <w:rPr>
          <w:rFonts w:ascii="Palatino Linotype" w:hAnsi="Palatino Linotype"/>
          <w:noProof/>
          <w:sz w:val="20"/>
        </w:rPr>
        <w:t xml:space="preserve">, </w:t>
      </w:r>
      <w:r w:rsidRPr="00FF7476">
        <w:rPr>
          <w:rFonts w:ascii="Palatino Linotype" w:hAnsi="Palatino Linotype"/>
          <w:i/>
          <w:iCs/>
          <w:noProof/>
          <w:sz w:val="20"/>
        </w:rPr>
        <w:t>13</w:t>
      </w:r>
      <w:r w:rsidRPr="00FF7476">
        <w:rPr>
          <w:rFonts w:ascii="Palatino Linotype" w:hAnsi="Palatino Linotype"/>
          <w:noProof/>
          <w:sz w:val="20"/>
        </w:rPr>
        <w:t>, 255–262, doi:10.1016/S0169-4758(97)01057-0.</w:t>
      </w:r>
    </w:p>
    <w:p w14:paraId="40BA2B0A"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54. </w:t>
      </w:r>
      <w:r w:rsidRPr="00FF7476">
        <w:rPr>
          <w:rFonts w:ascii="Palatino Linotype" w:hAnsi="Palatino Linotype"/>
          <w:noProof/>
          <w:sz w:val="20"/>
        </w:rPr>
        <w:tab/>
        <w:t xml:space="preserve">Olson, M.E.; O’Handley, R.M.; Ralston, B.J.; McAllister, T.A.; Thompson, R.C.A. Update on Cryptosporidium and Giardia infections in cattle. </w:t>
      </w:r>
      <w:r w:rsidRPr="00FF7476">
        <w:rPr>
          <w:rFonts w:ascii="Palatino Linotype" w:hAnsi="Palatino Linotype"/>
          <w:i/>
          <w:iCs/>
          <w:noProof/>
          <w:sz w:val="20"/>
        </w:rPr>
        <w:t>Trends Parasitol.</w:t>
      </w:r>
      <w:r w:rsidRPr="00FF7476">
        <w:rPr>
          <w:rFonts w:ascii="Palatino Linotype" w:hAnsi="Palatino Linotype"/>
          <w:noProof/>
          <w:sz w:val="20"/>
        </w:rPr>
        <w:t xml:space="preserve"> </w:t>
      </w:r>
      <w:r w:rsidRPr="00FF7476">
        <w:rPr>
          <w:rFonts w:ascii="Palatino Linotype" w:hAnsi="Palatino Linotype"/>
          <w:b/>
          <w:bCs/>
          <w:noProof/>
          <w:sz w:val="20"/>
        </w:rPr>
        <w:t>2004</w:t>
      </w:r>
      <w:r w:rsidRPr="00FF7476">
        <w:rPr>
          <w:rFonts w:ascii="Palatino Linotype" w:hAnsi="Palatino Linotype"/>
          <w:noProof/>
          <w:sz w:val="20"/>
        </w:rPr>
        <w:t xml:space="preserve">, </w:t>
      </w:r>
      <w:r w:rsidRPr="00FF7476">
        <w:rPr>
          <w:rFonts w:ascii="Palatino Linotype" w:hAnsi="Palatino Linotype"/>
          <w:i/>
          <w:iCs/>
          <w:noProof/>
          <w:sz w:val="20"/>
        </w:rPr>
        <w:t>20</w:t>
      </w:r>
      <w:r w:rsidRPr="00FF7476">
        <w:rPr>
          <w:rFonts w:ascii="Palatino Linotype" w:hAnsi="Palatino Linotype"/>
          <w:noProof/>
          <w:sz w:val="20"/>
        </w:rPr>
        <w:t>, 185–191, doi:10.1016/j.pt.2004.01.015.</w:t>
      </w:r>
    </w:p>
    <w:p w14:paraId="4111FE64"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55. </w:t>
      </w:r>
      <w:r w:rsidRPr="00FF7476">
        <w:rPr>
          <w:rFonts w:ascii="Palatino Linotype" w:hAnsi="Palatino Linotype"/>
          <w:noProof/>
          <w:sz w:val="20"/>
        </w:rPr>
        <w:tab/>
        <w:t xml:space="preserve">Savassi, B.A.E.S.; Mouahid, G.; Lasica, C.; Mahaman, S.D.K.; Garcia, A.; Courtin, D.; Allienne, J.F.; Ibikounlé, M.; Moné, H. Cattle as natural host for Schistosoma haematobium (Bilharz, 1852) Weinland, 1858 x Schistosoma bovis Sonsino, 1876 interactions, with new cercarial emergence and genetic patterns. </w:t>
      </w:r>
      <w:r w:rsidRPr="00FF7476">
        <w:rPr>
          <w:rFonts w:ascii="Palatino Linotype" w:hAnsi="Palatino Linotype"/>
          <w:i/>
          <w:iCs/>
          <w:noProof/>
          <w:sz w:val="20"/>
        </w:rPr>
        <w:t>Parasitol. Res.</w:t>
      </w:r>
      <w:r w:rsidRPr="00FF7476">
        <w:rPr>
          <w:rFonts w:ascii="Palatino Linotype" w:hAnsi="Palatino Linotype"/>
          <w:noProof/>
          <w:sz w:val="20"/>
        </w:rPr>
        <w:t xml:space="preserve"> </w:t>
      </w:r>
      <w:r w:rsidRPr="00FF7476">
        <w:rPr>
          <w:rFonts w:ascii="Palatino Linotype" w:hAnsi="Palatino Linotype"/>
          <w:b/>
          <w:bCs/>
          <w:noProof/>
          <w:sz w:val="20"/>
        </w:rPr>
        <w:t>2020</w:t>
      </w:r>
      <w:r w:rsidRPr="00FF7476">
        <w:rPr>
          <w:rFonts w:ascii="Palatino Linotype" w:hAnsi="Palatino Linotype"/>
          <w:noProof/>
          <w:sz w:val="20"/>
        </w:rPr>
        <w:t>, doi:10.1007/s00436-020-06709-0.</w:t>
      </w:r>
    </w:p>
    <w:p w14:paraId="6A592169"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56. </w:t>
      </w:r>
      <w:r w:rsidRPr="00FF7476">
        <w:rPr>
          <w:rFonts w:ascii="Palatino Linotype" w:hAnsi="Palatino Linotype"/>
          <w:noProof/>
          <w:sz w:val="20"/>
        </w:rPr>
        <w:tab/>
        <w:t xml:space="preserve">Sene-Wade, M.; Marchand, B.; Rollinson, D.; Webster, B.L. Urogenital schistosomiasis and hybridization between Schistosoma haematobium and Schistosoma bovis in adults living in Richard-Toll, Senegal. </w:t>
      </w:r>
      <w:r w:rsidRPr="00FF7476">
        <w:rPr>
          <w:rFonts w:ascii="Palatino Linotype" w:hAnsi="Palatino Linotype"/>
          <w:i/>
          <w:iCs/>
          <w:noProof/>
          <w:sz w:val="20"/>
        </w:rPr>
        <w:t>Parasitology</w:t>
      </w:r>
      <w:r w:rsidRPr="00FF7476">
        <w:rPr>
          <w:rFonts w:ascii="Palatino Linotype" w:hAnsi="Palatino Linotype"/>
          <w:noProof/>
          <w:sz w:val="20"/>
        </w:rPr>
        <w:t xml:space="preserve"> </w:t>
      </w:r>
      <w:r w:rsidRPr="00FF7476">
        <w:rPr>
          <w:rFonts w:ascii="Palatino Linotype" w:hAnsi="Palatino Linotype"/>
          <w:b/>
          <w:bCs/>
          <w:noProof/>
          <w:sz w:val="20"/>
        </w:rPr>
        <w:t>2018</w:t>
      </w:r>
      <w:r w:rsidRPr="00FF7476">
        <w:rPr>
          <w:rFonts w:ascii="Palatino Linotype" w:hAnsi="Palatino Linotype"/>
          <w:noProof/>
          <w:sz w:val="20"/>
        </w:rPr>
        <w:t xml:space="preserve">, </w:t>
      </w:r>
      <w:r w:rsidRPr="00FF7476">
        <w:rPr>
          <w:rFonts w:ascii="Palatino Linotype" w:hAnsi="Palatino Linotype"/>
          <w:i/>
          <w:iCs/>
          <w:noProof/>
          <w:sz w:val="20"/>
        </w:rPr>
        <w:t>145</w:t>
      </w:r>
      <w:r w:rsidRPr="00FF7476">
        <w:rPr>
          <w:rFonts w:ascii="Palatino Linotype" w:hAnsi="Palatino Linotype"/>
          <w:noProof/>
          <w:sz w:val="20"/>
        </w:rPr>
        <w:t>, 1723–1726, doi:10.1017/S0031182018001415.</w:t>
      </w:r>
    </w:p>
    <w:p w14:paraId="7863A63D"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57. </w:t>
      </w:r>
      <w:r w:rsidRPr="00FF7476">
        <w:rPr>
          <w:rFonts w:ascii="Palatino Linotype" w:hAnsi="Palatino Linotype"/>
          <w:noProof/>
          <w:sz w:val="20"/>
        </w:rPr>
        <w:tab/>
        <w:t xml:space="preserve">Standley, C.J.; Stothard, J.R. DNA Barcoding of Schistosome Cercariae Reveals a Novel Sub-Lineage within Schistosoma rodhaini From Ngamba Island Chimpanzee Sanctuary, Lake Victoria. </w:t>
      </w:r>
      <w:r w:rsidRPr="00FF7476">
        <w:rPr>
          <w:rFonts w:ascii="Palatino Linotype" w:hAnsi="Palatino Linotype"/>
          <w:i/>
          <w:iCs/>
          <w:noProof/>
          <w:sz w:val="20"/>
        </w:rPr>
        <w:t>J. Parasitol.</w:t>
      </w:r>
      <w:r w:rsidRPr="00FF7476">
        <w:rPr>
          <w:rFonts w:ascii="Palatino Linotype" w:hAnsi="Palatino Linotype"/>
          <w:noProof/>
          <w:sz w:val="20"/>
        </w:rPr>
        <w:t xml:space="preserve"> </w:t>
      </w:r>
      <w:r w:rsidRPr="00FF7476">
        <w:rPr>
          <w:rFonts w:ascii="Palatino Linotype" w:hAnsi="Palatino Linotype"/>
          <w:b/>
          <w:bCs/>
          <w:noProof/>
          <w:sz w:val="20"/>
        </w:rPr>
        <w:t>2012</w:t>
      </w:r>
      <w:r w:rsidRPr="00FF7476">
        <w:rPr>
          <w:rFonts w:ascii="Palatino Linotype" w:hAnsi="Palatino Linotype"/>
          <w:noProof/>
          <w:sz w:val="20"/>
        </w:rPr>
        <w:t xml:space="preserve">, </w:t>
      </w:r>
      <w:r w:rsidRPr="00FF7476">
        <w:rPr>
          <w:rFonts w:ascii="Palatino Linotype" w:hAnsi="Palatino Linotype"/>
          <w:i/>
          <w:iCs/>
          <w:noProof/>
          <w:sz w:val="20"/>
        </w:rPr>
        <w:t>98</w:t>
      </w:r>
      <w:r w:rsidRPr="00FF7476">
        <w:rPr>
          <w:rFonts w:ascii="Palatino Linotype" w:hAnsi="Palatino Linotype"/>
          <w:noProof/>
          <w:sz w:val="20"/>
        </w:rPr>
        <w:t>, 1049–1051, doi:10.1645/ge-3091.1.</w:t>
      </w:r>
    </w:p>
    <w:p w14:paraId="21ED5DFC"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58. </w:t>
      </w:r>
      <w:r w:rsidRPr="00FF7476">
        <w:rPr>
          <w:rFonts w:ascii="Palatino Linotype" w:hAnsi="Palatino Linotype"/>
          <w:noProof/>
          <w:sz w:val="20"/>
        </w:rPr>
        <w:tab/>
        <w:t xml:space="preserve">Catalano, S.; Sène, M.; Diouf, N.D.; Fall, C.B.; Borlase, A.; Léger, E.; Bâ, K.; Webster, J.P. Rodents as natural hosts of zoonotic schistosoma species and hybrids: An epidemiological and evolutionary perspective from West Africa. </w:t>
      </w:r>
      <w:r w:rsidRPr="00FF7476">
        <w:rPr>
          <w:rFonts w:ascii="Palatino Linotype" w:hAnsi="Palatino Linotype"/>
          <w:i/>
          <w:iCs/>
          <w:noProof/>
          <w:sz w:val="20"/>
        </w:rPr>
        <w:t>J. Infect. Dis.</w:t>
      </w:r>
      <w:r w:rsidRPr="00FF7476">
        <w:rPr>
          <w:rFonts w:ascii="Palatino Linotype" w:hAnsi="Palatino Linotype"/>
          <w:noProof/>
          <w:sz w:val="20"/>
        </w:rPr>
        <w:t xml:space="preserve"> </w:t>
      </w:r>
      <w:r w:rsidRPr="00FF7476">
        <w:rPr>
          <w:rFonts w:ascii="Palatino Linotype" w:hAnsi="Palatino Linotype"/>
          <w:b/>
          <w:bCs/>
          <w:noProof/>
          <w:sz w:val="20"/>
        </w:rPr>
        <w:t>2018</w:t>
      </w:r>
      <w:r w:rsidRPr="00FF7476">
        <w:rPr>
          <w:rFonts w:ascii="Palatino Linotype" w:hAnsi="Palatino Linotype"/>
          <w:noProof/>
          <w:sz w:val="20"/>
        </w:rPr>
        <w:t xml:space="preserve">, </w:t>
      </w:r>
      <w:r w:rsidRPr="00FF7476">
        <w:rPr>
          <w:rFonts w:ascii="Palatino Linotype" w:hAnsi="Palatino Linotype"/>
          <w:i/>
          <w:iCs/>
          <w:noProof/>
          <w:sz w:val="20"/>
        </w:rPr>
        <w:t>218</w:t>
      </w:r>
      <w:r w:rsidRPr="00FF7476">
        <w:rPr>
          <w:rFonts w:ascii="Palatino Linotype" w:hAnsi="Palatino Linotype"/>
          <w:noProof/>
          <w:sz w:val="20"/>
        </w:rPr>
        <w:t>, 429–433, doi:10.1093/infdis/jiy029.</w:t>
      </w:r>
    </w:p>
    <w:p w14:paraId="2A3B4EB6"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59. </w:t>
      </w:r>
      <w:r w:rsidRPr="00FF7476">
        <w:rPr>
          <w:rFonts w:ascii="Palatino Linotype" w:hAnsi="Palatino Linotype"/>
          <w:noProof/>
          <w:sz w:val="20"/>
        </w:rPr>
        <w:tab/>
        <w:t xml:space="preserve">Steinauer, M.L.; Hanelt, B.; Mwangi, I.N.; Maina, G.M.; Agola, L.E.; Kinuthia, J.M.; Mutuku, M.W.; Mungai, B.N.; Wilson, W.D.; Mkoji, G.M.; et al. Introgressive hybridization of human and rodent schistosome parasites in western Kenya. </w:t>
      </w:r>
      <w:r w:rsidRPr="00FF7476">
        <w:rPr>
          <w:rFonts w:ascii="Palatino Linotype" w:hAnsi="Palatino Linotype"/>
          <w:i/>
          <w:iCs/>
          <w:noProof/>
          <w:sz w:val="20"/>
        </w:rPr>
        <w:t>Mol. Ecol.</w:t>
      </w:r>
      <w:r w:rsidRPr="00FF7476">
        <w:rPr>
          <w:rFonts w:ascii="Palatino Linotype" w:hAnsi="Palatino Linotype"/>
          <w:noProof/>
          <w:sz w:val="20"/>
        </w:rPr>
        <w:t xml:space="preserve"> </w:t>
      </w:r>
      <w:r w:rsidRPr="00FF7476">
        <w:rPr>
          <w:rFonts w:ascii="Palatino Linotype" w:hAnsi="Palatino Linotype"/>
          <w:b/>
          <w:bCs/>
          <w:noProof/>
          <w:sz w:val="20"/>
        </w:rPr>
        <w:t>2008</w:t>
      </w:r>
      <w:r w:rsidRPr="00FF7476">
        <w:rPr>
          <w:rFonts w:ascii="Palatino Linotype" w:hAnsi="Palatino Linotype"/>
          <w:noProof/>
          <w:sz w:val="20"/>
        </w:rPr>
        <w:t xml:space="preserve">, </w:t>
      </w:r>
      <w:r w:rsidRPr="00FF7476">
        <w:rPr>
          <w:rFonts w:ascii="Palatino Linotype" w:hAnsi="Palatino Linotype"/>
          <w:i/>
          <w:iCs/>
          <w:noProof/>
          <w:sz w:val="20"/>
        </w:rPr>
        <w:t>17</w:t>
      </w:r>
      <w:r w:rsidRPr="00FF7476">
        <w:rPr>
          <w:rFonts w:ascii="Palatino Linotype" w:hAnsi="Palatino Linotype"/>
          <w:noProof/>
          <w:sz w:val="20"/>
        </w:rPr>
        <w:t>, 5062–5074, doi:10.1111/j.1365-294X.2008.03957.x.</w:t>
      </w:r>
    </w:p>
    <w:p w14:paraId="40475E81"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60. </w:t>
      </w:r>
      <w:r w:rsidRPr="00FF7476">
        <w:rPr>
          <w:rFonts w:ascii="Palatino Linotype" w:hAnsi="Palatino Linotype"/>
          <w:noProof/>
          <w:sz w:val="20"/>
        </w:rPr>
        <w:tab/>
        <w:t xml:space="preserve">Huyse, T.; Webster, B.L.; Geldof, S.; Stothard, J.R.; Diaw, O.T.; Polman, K.; Rollinson, D. Bidirectional introgressive hybridization between a cattle and human schistosome species. </w:t>
      </w:r>
      <w:r w:rsidRPr="00FF7476">
        <w:rPr>
          <w:rFonts w:ascii="Palatino Linotype" w:hAnsi="Palatino Linotype"/>
          <w:i/>
          <w:iCs/>
          <w:noProof/>
          <w:sz w:val="20"/>
        </w:rPr>
        <w:t>PLoS Pathog.</w:t>
      </w:r>
      <w:r w:rsidRPr="00FF7476">
        <w:rPr>
          <w:rFonts w:ascii="Palatino Linotype" w:hAnsi="Palatino Linotype"/>
          <w:noProof/>
          <w:sz w:val="20"/>
        </w:rPr>
        <w:t xml:space="preserve"> </w:t>
      </w:r>
      <w:r w:rsidRPr="00FF7476">
        <w:rPr>
          <w:rFonts w:ascii="Palatino Linotype" w:hAnsi="Palatino Linotype"/>
          <w:b/>
          <w:bCs/>
          <w:noProof/>
          <w:sz w:val="20"/>
        </w:rPr>
        <w:t>2009</w:t>
      </w:r>
      <w:r w:rsidRPr="00FF7476">
        <w:rPr>
          <w:rFonts w:ascii="Palatino Linotype" w:hAnsi="Palatino Linotype"/>
          <w:noProof/>
          <w:sz w:val="20"/>
        </w:rPr>
        <w:t xml:space="preserve">, </w:t>
      </w:r>
      <w:r w:rsidRPr="00FF7476">
        <w:rPr>
          <w:rFonts w:ascii="Palatino Linotype" w:hAnsi="Palatino Linotype"/>
          <w:i/>
          <w:iCs/>
          <w:noProof/>
          <w:sz w:val="20"/>
        </w:rPr>
        <w:t>5</w:t>
      </w:r>
      <w:r w:rsidRPr="00FF7476">
        <w:rPr>
          <w:rFonts w:ascii="Palatino Linotype" w:hAnsi="Palatino Linotype"/>
          <w:noProof/>
          <w:sz w:val="20"/>
        </w:rPr>
        <w:t>, doi:10.1371/journal.ppat.1000571.</w:t>
      </w:r>
    </w:p>
    <w:p w14:paraId="0D015228"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61. </w:t>
      </w:r>
      <w:r w:rsidRPr="00FF7476">
        <w:rPr>
          <w:rFonts w:ascii="Palatino Linotype" w:hAnsi="Palatino Linotype"/>
          <w:noProof/>
          <w:sz w:val="20"/>
        </w:rPr>
        <w:tab/>
        <w:t>World Health Organisation. Research Priorities for Helminth Infections. WHO. Technical Report Series No. 972. Geneva, Switzerland: World Health Organisation. Available online: https://apps.who.int/iris/bitstream/handle/10665/75922 (accessed on Jun 30, 2020).</w:t>
      </w:r>
    </w:p>
    <w:p w14:paraId="06B99377"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62. </w:t>
      </w:r>
      <w:r w:rsidRPr="00FF7476">
        <w:rPr>
          <w:rFonts w:ascii="Palatino Linotype" w:hAnsi="Palatino Linotype"/>
          <w:noProof/>
          <w:sz w:val="20"/>
        </w:rPr>
        <w:tab/>
        <w:t xml:space="preserve">Katz, N.; Chaves, A.; Pellegrino, J. A simple device for quantitative stool thick-smear technique in Schistosomiasis mansoni. </w:t>
      </w:r>
      <w:r w:rsidRPr="00FF7476">
        <w:rPr>
          <w:rFonts w:ascii="Palatino Linotype" w:hAnsi="Palatino Linotype"/>
          <w:i/>
          <w:iCs/>
          <w:noProof/>
          <w:sz w:val="20"/>
        </w:rPr>
        <w:t>Rev. Inst. Med. Trop. Sao Paulo</w:t>
      </w:r>
      <w:r w:rsidRPr="00FF7476">
        <w:rPr>
          <w:rFonts w:ascii="Palatino Linotype" w:hAnsi="Palatino Linotype"/>
          <w:noProof/>
          <w:sz w:val="20"/>
        </w:rPr>
        <w:t xml:space="preserve"> </w:t>
      </w:r>
      <w:r w:rsidRPr="00FF7476">
        <w:rPr>
          <w:rFonts w:ascii="Palatino Linotype" w:hAnsi="Palatino Linotype"/>
          <w:b/>
          <w:bCs/>
          <w:noProof/>
          <w:sz w:val="20"/>
        </w:rPr>
        <w:t>1972</w:t>
      </w:r>
      <w:r w:rsidRPr="00FF7476">
        <w:rPr>
          <w:rFonts w:ascii="Palatino Linotype" w:hAnsi="Palatino Linotype"/>
          <w:noProof/>
          <w:sz w:val="20"/>
        </w:rPr>
        <w:t xml:space="preserve">, </w:t>
      </w:r>
      <w:r w:rsidRPr="00FF7476">
        <w:rPr>
          <w:rFonts w:ascii="Palatino Linotype" w:hAnsi="Palatino Linotype"/>
          <w:i/>
          <w:iCs/>
          <w:noProof/>
          <w:sz w:val="20"/>
        </w:rPr>
        <w:t>14</w:t>
      </w:r>
      <w:r w:rsidRPr="00FF7476">
        <w:rPr>
          <w:rFonts w:ascii="Palatino Linotype" w:hAnsi="Palatino Linotype"/>
          <w:noProof/>
          <w:sz w:val="20"/>
        </w:rPr>
        <w:t>, 397–400.</w:t>
      </w:r>
    </w:p>
    <w:p w14:paraId="185AE1EC"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63. </w:t>
      </w:r>
      <w:r w:rsidRPr="00FF7476">
        <w:rPr>
          <w:rFonts w:ascii="Palatino Linotype" w:hAnsi="Palatino Linotype"/>
          <w:noProof/>
          <w:sz w:val="20"/>
        </w:rPr>
        <w:tab/>
        <w:t xml:space="preserve">Lamberton, P.H.L.; Kabatereine, N.B.; Oguttu, D.W.; Fenwick, A.; Webster, J.P. Sensitivity and Specificity of Multiple Kato-Katz Thick Smears and a Circulating Cathodic Antigen Test for Schistosoma mansoni Diagnosis Pre- and Post-repeated-Praziquantel Treatment. </w:t>
      </w:r>
      <w:r w:rsidRPr="00FF7476">
        <w:rPr>
          <w:rFonts w:ascii="Palatino Linotype" w:hAnsi="Palatino Linotype"/>
          <w:i/>
          <w:iCs/>
          <w:noProof/>
          <w:sz w:val="20"/>
        </w:rPr>
        <w:t>PLoS Negl. Trop. Dis.</w:t>
      </w:r>
      <w:r w:rsidRPr="00FF7476">
        <w:rPr>
          <w:rFonts w:ascii="Palatino Linotype" w:hAnsi="Palatino Linotype"/>
          <w:noProof/>
          <w:sz w:val="20"/>
        </w:rPr>
        <w:t xml:space="preserve"> </w:t>
      </w:r>
      <w:r w:rsidRPr="00FF7476">
        <w:rPr>
          <w:rFonts w:ascii="Palatino Linotype" w:hAnsi="Palatino Linotype"/>
          <w:b/>
          <w:bCs/>
          <w:noProof/>
          <w:sz w:val="20"/>
        </w:rPr>
        <w:t>2014</w:t>
      </w:r>
      <w:r w:rsidRPr="00FF7476">
        <w:rPr>
          <w:rFonts w:ascii="Palatino Linotype" w:hAnsi="Palatino Linotype"/>
          <w:noProof/>
          <w:sz w:val="20"/>
        </w:rPr>
        <w:t xml:space="preserve">, </w:t>
      </w:r>
      <w:r w:rsidRPr="00FF7476">
        <w:rPr>
          <w:rFonts w:ascii="Palatino Linotype" w:hAnsi="Palatino Linotype"/>
          <w:i/>
          <w:iCs/>
          <w:noProof/>
          <w:sz w:val="20"/>
        </w:rPr>
        <w:t>8</w:t>
      </w:r>
      <w:r w:rsidRPr="00FF7476">
        <w:rPr>
          <w:rFonts w:ascii="Palatino Linotype" w:hAnsi="Palatino Linotype"/>
          <w:noProof/>
          <w:sz w:val="20"/>
        </w:rPr>
        <w:t>, doi:10.1371/journal.pntd.0003139.</w:t>
      </w:r>
    </w:p>
    <w:p w14:paraId="7199DC38"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64. </w:t>
      </w:r>
      <w:r w:rsidRPr="00FF7476">
        <w:rPr>
          <w:rFonts w:ascii="Palatino Linotype" w:hAnsi="Palatino Linotype"/>
          <w:noProof/>
          <w:sz w:val="20"/>
        </w:rPr>
        <w:tab/>
        <w:t xml:space="preserve">Adeyemo, F.E.; Singh, G.; Reddy, P.; Stenström, T.A. Methods for the detection of Cryptosporidium and Giardia: From microscopy to nucleic acid based tools in clinical and environmental regimes. </w:t>
      </w:r>
      <w:r w:rsidRPr="00FF7476">
        <w:rPr>
          <w:rFonts w:ascii="Palatino Linotype" w:hAnsi="Palatino Linotype"/>
          <w:i/>
          <w:iCs/>
          <w:noProof/>
          <w:sz w:val="20"/>
        </w:rPr>
        <w:t>Acta Trop.</w:t>
      </w:r>
      <w:r w:rsidRPr="00FF7476">
        <w:rPr>
          <w:rFonts w:ascii="Palatino Linotype" w:hAnsi="Palatino Linotype"/>
          <w:noProof/>
          <w:sz w:val="20"/>
        </w:rPr>
        <w:t xml:space="preserve"> </w:t>
      </w:r>
      <w:r w:rsidRPr="00FF7476">
        <w:rPr>
          <w:rFonts w:ascii="Palatino Linotype" w:hAnsi="Palatino Linotype"/>
          <w:b/>
          <w:bCs/>
          <w:noProof/>
          <w:sz w:val="20"/>
        </w:rPr>
        <w:t>2018</w:t>
      </w:r>
      <w:r w:rsidRPr="00FF7476">
        <w:rPr>
          <w:rFonts w:ascii="Palatino Linotype" w:hAnsi="Palatino Linotype"/>
          <w:noProof/>
          <w:sz w:val="20"/>
        </w:rPr>
        <w:t xml:space="preserve">, </w:t>
      </w:r>
      <w:r w:rsidRPr="00FF7476">
        <w:rPr>
          <w:rFonts w:ascii="Palatino Linotype" w:hAnsi="Palatino Linotype"/>
          <w:i/>
          <w:iCs/>
          <w:noProof/>
          <w:sz w:val="20"/>
        </w:rPr>
        <w:t>184</w:t>
      </w:r>
      <w:r w:rsidRPr="00FF7476">
        <w:rPr>
          <w:rFonts w:ascii="Palatino Linotype" w:hAnsi="Palatino Linotype"/>
          <w:noProof/>
          <w:sz w:val="20"/>
        </w:rPr>
        <w:t>, 15–28, doi:10.1016/j.actatropica.2018.01.011.</w:t>
      </w:r>
    </w:p>
    <w:p w14:paraId="36A2471B"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65. </w:t>
      </w:r>
      <w:r w:rsidRPr="00FF7476">
        <w:rPr>
          <w:rFonts w:ascii="Palatino Linotype" w:hAnsi="Palatino Linotype"/>
          <w:noProof/>
          <w:sz w:val="20"/>
        </w:rPr>
        <w:tab/>
        <w:t xml:space="preserve">Zahan, N. A Comparison of Microscopy and Enzyme Linked Immunosorbent Assay for Diagnosis of Giardia lamblia in Human Faecal Specimens. </w:t>
      </w:r>
      <w:r w:rsidRPr="00FF7476">
        <w:rPr>
          <w:rFonts w:ascii="Palatino Linotype" w:hAnsi="Palatino Linotype"/>
          <w:i/>
          <w:iCs/>
          <w:noProof/>
          <w:sz w:val="20"/>
        </w:rPr>
        <w:t>J. Clin. Diagnostic Res.</w:t>
      </w:r>
      <w:r w:rsidRPr="00FF7476">
        <w:rPr>
          <w:rFonts w:ascii="Palatino Linotype" w:hAnsi="Palatino Linotype"/>
          <w:noProof/>
          <w:sz w:val="20"/>
        </w:rPr>
        <w:t xml:space="preserve"> </w:t>
      </w:r>
      <w:r w:rsidRPr="00FF7476">
        <w:rPr>
          <w:rFonts w:ascii="Palatino Linotype" w:hAnsi="Palatino Linotype"/>
          <w:b/>
          <w:bCs/>
          <w:noProof/>
          <w:sz w:val="20"/>
        </w:rPr>
        <w:t>2014</w:t>
      </w:r>
      <w:r w:rsidRPr="00FF7476">
        <w:rPr>
          <w:rFonts w:ascii="Palatino Linotype" w:hAnsi="Palatino Linotype"/>
          <w:noProof/>
          <w:sz w:val="20"/>
        </w:rPr>
        <w:t xml:space="preserve">, </w:t>
      </w:r>
      <w:r w:rsidRPr="00FF7476">
        <w:rPr>
          <w:rFonts w:ascii="Palatino Linotype" w:hAnsi="Palatino Linotype"/>
          <w:i/>
          <w:iCs/>
          <w:noProof/>
          <w:sz w:val="20"/>
        </w:rPr>
        <w:t>8</w:t>
      </w:r>
      <w:r w:rsidRPr="00FF7476">
        <w:rPr>
          <w:rFonts w:ascii="Palatino Linotype" w:hAnsi="Palatino Linotype"/>
          <w:noProof/>
          <w:sz w:val="20"/>
        </w:rPr>
        <w:t>, 10–12, doi:10.7860/jcdr/2014/9484.5087.</w:t>
      </w:r>
    </w:p>
    <w:p w14:paraId="0A8EACE8"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66. </w:t>
      </w:r>
      <w:r w:rsidRPr="00FF7476">
        <w:rPr>
          <w:rFonts w:ascii="Palatino Linotype" w:hAnsi="Palatino Linotype"/>
          <w:noProof/>
          <w:sz w:val="20"/>
        </w:rPr>
        <w:tab/>
        <w:t xml:space="preserve">Barda, B.D.; Rinaldi, L.; Ianniello, D.; Zepherine, H.; Salvo, F.; Sadutshang, T.; Cringoli, G.; Clementi, M.; Albonico, M. Mini-FLOTAC, an Innovative Direct Diagnostic Technique for Intestinal Parasitic Infections: Experience from the Field. </w:t>
      </w:r>
      <w:r w:rsidRPr="00FF7476">
        <w:rPr>
          <w:rFonts w:ascii="Palatino Linotype" w:hAnsi="Palatino Linotype"/>
          <w:i/>
          <w:iCs/>
          <w:noProof/>
          <w:sz w:val="20"/>
        </w:rPr>
        <w:t>PLoS Negl. Trop. Dis.</w:t>
      </w:r>
      <w:r w:rsidRPr="00FF7476">
        <w:rPr>
          <w:rFonts w:ascii="Palatino Linotype" w:hAnsi="Palatino Linotype"/>
          <w:noProof/>
          <w:sz w:val="20"/>
        </w:rPr>
        <w:t xml:space="preserve"> </w:t>
      </w:r>
      <w:r w:rsidRPr="00FF7476">
        <w:rPr>
          <w:rFonts w:ascii="Palatino Linotype" w:hAnsi="Palatino Linotype"/>
          <w:b/>
          <w:bCs/>
          <w:noProof/>
          <w:sz w:val="20"/>
        </w:rPr>
        <w:t>2013</w:t>
      </w:r>
      <w:r w:rsidRPr="00FF7476">
        <w:rPr>
          <w:rFonts w:ascii="Palatino Linotype" w:hAnsi="Palatino Linotype"/>
          <w:noProof/>
          <w:sz w:val="20"/>
        </w:rPr>
        <w:t xml:space="preserve">, </w:t>
      </w:r>
      <w:r w:rsidRPr="00FF7476">
        <w:rPr>
          <w:rFonts w:ascii="Palatino Linotype" w:hAnsi="Palatino Linotype"/>
          <w:i/>
          <w:iCs/>
          <w:noProof/>
          <w:sz w:val="20"/>
        </w:rPr>
        <w:t>7</w:t>
      </w:r>
      <w:r w:rsidRPr="00FF7476">
        <w:rPr>
          <w:rFonts w:ascii="Palatino Linotype" w:hAnsi="Palatino Linotype"/>
          <w:noProof/>
          <w:sz w:val="20"/>
        </w:rPr>
        <w:t>, doi:10.1371/journal.pntd.0002344.</w:t>
      </w:r>
    </w:p>
    <w:p w14:paraId="1E8BE872"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67. </w:t>
      </w:r>
      <w:r w:rsidRPr="00FF7476">
        <w:rPr>
          <w:rFonts w:ascii="Palatino Linotype" w:hAnsi="Palatino Linotype"/>
          <w:noProof/>
          <w:sz w:val="20"/>
        </w:rPr>
        <w:tab/>
        <w:t xml:space="preserve">Barda, B.; Ianniello, D.; Zepheryne, H.; Rinaldi, L.; Cringoli, G.; Burioni, R.; Albonico, M. Parasitic infections on the shore of Lake Victoria (East Africa) detected by Mini-FLOTAC and standard techniques. </w:t>
      </w:r>
      <w:r w:rsidRPr="00FF7476">
        <w:rPr>
          <w:rFonts w:ascii="Palatino Linotype" w:hAnsi="Palatino Linotype"/>
          <w:i/>
          <w:iCs/>
          <w:noProof/>
          <w:sz w:val="20"/>
        </w:rPr>
        <w:t>Acta Trop.</w:t>
      </w:r>
      <w:r w:rsidRPr="00FF7476">
        <w:rPr>
          <w:rFonts w:ascii="Palatino Linotype" w:hAnsi="Palatino Linotype"/>
          <w:noProof/>
          <w:sz w:val="20"/>
        </w:rPr>
        <w:t xml:space="preserve"> </w:t>
      </w:r>
      <w:r w:rsidRPr="00FF7476">
        <w:rPr>
          <w:rFonts w:ascii="Palatino Linotype" w:hAnsi="Palatino Linotype"/>
          <w:b/>
          <w:bCs/>
          <w:noProof/>
          <w:sz w:val="20"/>
        </w:rPr>
        <w:t>2014</w:t>
      </w:r>
      <w:r w:rsidRPr="00FF7476">
        <w:rPr>
          <w:rFonts w:ascii="Palatino Linotype" w:hAnsi="Palatino Linotype"/>
          <w:noProof/>
          <w:sz w:val="20"/>
        </w:rPr>
        <w:t xml:space="preserve">, </w:t>
      </w:r>
      <w:r w:rsidRPr="00FF7476">
        <w:rPr>
          <w:rFonts w:ascii="Palatino Linotype" w:hAnsi="Palatino Linotype"/>
          <w:i/>
          <w:iCs/>
          <w:noProof/>
          <w:sz w:val="20"/>
        </w:rPr>
        <w:t>137</w:t>
      </w:r>
      <w:r w:rsidRPr="00FF7476">
        <w:rPr>
          <w:rFonts w:ascii="Palatino Linotype" w:hAnsi="Palatino Linotype"/>
          <w:noProof/>
          <w:sz w:val="20"/>
        </w:rPr>
        <w:t>, 140–146, doi:10.1016/j.actatropica.2014.05.012.</w:t>
      </w:r>
    </w:p>
    <w:p w14:paraId="78611EAC"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68. </w:t>
      </w:r>
      <w:r w:rsidRPr="00FF7476">
        <w:rPr>
          <w:rFonts w:ascii="Palatino Linotype" w:hAnsi="Palatino Linotype"/>
          <w:noProof/>
          <w:sz w:val="20"/>
        </w:rPr>
        <w:tab/>
        <w:t xml:space="preserve">Hossein Hooshyar, Parvin Rostamkhani, Mohsen Arbabi, M.D. Giardia lamblia infection: review of current diagnostic strategies. </w:t>
      </w:r>
      <w:r w:rsidRPr="00FF7476">
        <w:rPr>
          <w:rFonts w:ascii="Palatino Linotype" w:hAnsi="Palatino Linotype"/>
          <w:i/>
          <w:iCs/>
          <w:noProof/>
          <w:sz w:val="20"/>
        </w:rPr>
        <w:t>Gastroenterol. Hepatol.</w:t>
      </w:r>
      <w:r w:rsidRPr="00FF7476">
        <w:rPr>
          <w:rFonts w:ascii="Palatino Linotype" w:hAnsi="Palatino Linotype"/>
          <w:noProof/>
          <w:sz w:val="20"/>
        </w:rPr>
        <w:t xml:space="preserve"> </w:t>
      </w:r>
      <w:r w:rsidRPr="00FF7476">
        <w:rPr>
          <w:rFonts w:ascii="Palatino Linotype" w:hAnsi="Palatino Linotype"/>
          <w:b/>
          <w:bCs/>
          <w:noProof/>
          <w:sz w:val="20"/>
        </w:rPr>
        <w:t>2019</w:t>
      </w:r>
      <w:r w:rsidRPr="00FF7476">
        <w:rPr>
          <w:rFonts w:ascii="Palatino Linotype" w:hAnsi="Palatino Linotype"/>
          <w:noProof/>
          <w:sz w:val="20"/>
        </w:rPr>
        <w:t>, 95, 347–349., doi:10.22037/ghfbb.v0i0.1414.</w:t>
      </w:r>
    </w:p>
    <w:p w14:paraId="40E2B4B4"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69. </w:t>
      </w:r>
      <w:r w:rsidRPr="00FF7476">
        <w:rPr>
          <w:rFonts w:ascii="Palatino Linotype" w:hAnsi="Palatino Linotype"/>
          <w:noProof/>
          <w:sz w:val="20"/>
        </w:rPr>
        <w:tab/>
        <w:t xml:space="preserve">Glinz, D.; Silué, K.D.; Knopp, S.; Lohourignon, L.K.; Yao, K.P.; Steinmann, P.; Rinaldi, L.; Cringoli, G.; N’Goran, E.K.; Utzinger, J. Comparing diagnostic accuracy of Kato-Katz, Koga Agar Plate, Ether-Concentration, and FLOTAC for Schistosoma mansoni and Soil-transmitted helminths. </w:t>
      </w:r>
      <w:r w:rsidRPr="00FF7476">
        <w:rPr>
          <w:rFonts w:ascii="Palatino Linotype" w:hAnsi="Palatino Linotype"/>
          <w:i/>
          <w:iCs/>
          <w:noProof/>
          <w:sz w:val="20"/>
        </w:rPr>
        <w:t>PLoS Negl. Trop. Dis.</w:t>
      </w:r>
      <w:r w:rsidRPr="00FF7476">
        <w:rPr>
          <w:rFonts w:ascii="Palatino Linotype" w:hAnsi="Palatino Linotype"/>
          <w:noProof/>
          <w:sz w:val="20"/>
        </w:rPr>
        <w:t xml:space="preserve"> </w:t>
      </w:r>
      <w:r w:rsidRPr="00FF7476">
        <w:rPr>
          <w:rFonts w:ascii="Palatino Linotype" w:hAnsi="Palatino Linotype"/>
          <w:b/>
          <w:bCs/>
          <w:noProof/>
          <w:sz w:val="20"/>
        </w:rPr>
        <w:t>2010</w:t>
      </w:r>
      <w:r w:rsidRPr="00FF7476">
        <w:rPr>
          <w:rFonts w:ascii="Palatino Linotype" w:hAnsi="Palatino Linotype"/>
          <w:noProof/>
          <w:sz w:val="20"/>
        </w:rPr>
        <w:t xml:space="preserve">, </w:t>
      </w:r>
      <w:r w:rsidRPr="00FF7476">
        <w:rPr>
          <w:rFonts w:ascii="Palatino Linotype" w:hAnsi="Palatino Linotype"/>
          <w:i/>
          <w:iCs/>
          <w:noProof/>
          <w:sz w:val="20"/>
        </w:rPr>
        <w:t>4</w:t>
      </w:r>
      <w:r w:rsidRPr="00FF7476">
        <w:rPr>
          <w:rFonts w:ascii="Palatino Linotype" w:hAnsi="Palatino Linotype"/>
          <w:noProof/>
          <w:sz w:val="20"/>
        </w:rPr>
        <w:t>, doi:10.1371/journal.pntd.0000754.</w:t>
      </w:r>
    </w:p>
    <w:p w14:paraId="543B3FEC"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70. </w:t>
      </w:r>
      <w:r w:rsidRPr="00FF7476">
        <w:rPr>
          <w:rFonts w:ascii="Palatino Linotype" w:hAnsi="Palatino Linotype"/>
          <w:noProof/>
          <w:sz w:val="20"/>
        </w:rPr>
        <w:tab/>
        <w:t xml:space="preserve">Taye, S. Comparison of Kato-Katz and Formol-Ether Concentration Methods for the Diagnosis of Intestinal Helminthic Infections among School Children of Wonji Shoa Town, Eastern Ethiopia: A School Based Cross-Sectional Study. </w:t>
      </w:r>
      <w:r w:rsidRPr="00FF7476">
        <w:rPr>
          <w:rFonts w:ascii="Palatino Linotype" w:hAnsi="Palatino Linotype"/>
          <w:i/>
          <w:iCs/>
          <w:noProof/>
          <w:sz w:val="20"/>
        </w:rPr>
        <w:t>Am. J. Heal. Res.</w:t>
      </w:r>
      <w:r w:rsidRPr="00FF7476">
        <w:rPr>
          <w:rFonts w:ascii="Palatino Linotype" w:hAnsi="Palatino Linotype"/>
          <w:noProof/>
          <w:sz w:val="20"/>
        </w:rPr>
        <w:t xml:space="preserve"> </w:t>
      </w:r>
      <w:r w:rsidRPr="00FF7476">
        <w:rPr>
          <w:rFonts w:ascii="Palatino Linotype" w:hAnsi="Palatino Linotype"/>
          <w:b/>
          <w:bCs/>
          <w:noProof/>
          <w:sz w:val="20"/>
        </w:rPr>
        <w:t>2014</w:t>
      </w:r>
      <w:r w:rsidRPr="00FF7476">
        <w:rPr>
          <w:rFonts w:ascii="Palatino Linotype" w:hAnsi="Palatino Linotype"/>
          <w:noProof/>
          <w:sz w:val="20"/>
        </w:rPr>
        <w:t xml:space="preserve">, </w:t>
      </w:r>
      <w:r w:rsidRPr="00FF7476">
        <w:rPr>
          <w:rFonts w:ascii="Palatino Linotype" w:hAnsi="Palatino Linotype"/>
          <w:i/>
          <w:iCs/>
          <w:noProof/>
          <w:sz w:val="20"/>
        </w:rPr>
        <w:t>2</w:t>
      </w:r>
      <w:r w:rsidRPr="00FF7476">
        <w:rPr>
          <w:rFonts w:ascii="Palatino Linotype" w:hAnsi="Palatino Linotype"/>
          <w:noProof/>
          <w:sz w:val="20"/>
        </w:rPr>
        <w:t>, 271, doi:10.11648/j.ajhr.20140205.18.</w:t>
      </w:r>
    </w:p>
    <w:p w14:paraId="0010151C"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71. </w:t>
      </w:r>
      <w:r w:rsidRPr="00FF7476">
        <w:rPr>
          <w:rFonts w:ascii="Palatino Linotype" w:hAnsi="Palatino Linotype"/>
          <w:noProof/>
          <w:sz w:val="20"/>
        </w:rPr>
        <w:tab/>
        <w:t xml:space="preserve">Utzinger, J.; Becker, S.L.; van Lieshout, L.; van Dam, G.J.; Knopp, S. New diagnostic tools in schistosomiasis. </w:t>
      </w:r>
      <w:r w:rsidRPr="00FF7476">
        <w:rPr>
          <w:rFonts w:ascii="Palatino Linotype" w:hAnsi="Palatino Linotype"/>
          <w:i/>
          <w:iCs/>
          <w:noProof/>
          <w:sz w:val="20"/>
        </w:rPr>
        <w:t>Clin. Microbiol. Infect.</w:t>
      </w:r>
      <w:r w:rsidRPr="00FF7476">
        <w:rPr>
          <w:rFonts w:ascii="Palatino Linotype" w:hAnsi="Palatino Linotype"/>
          <w:noProof/>
          <w:sz w:val="20"/>
        </w:rPr>
        <w:t xml:space="preserve"> </w:t>
      </w:r>
      <w:r w:rsidRPr="00FF7476">
        <w:rPr>
          <w:rFonts w:ascii="Palatino Linotype" w:hAnsi="Palatino Linotype"/>
          <w:b/>
          <w:bCs/>
          <w:noProof/>
          <w:sz w:val="20"/>
        </w:rPr>
        <w:t>2015</w:t>
      </w:r>
      <w:r w:rsidRPr="00FF7476">
        <w:rPr>
          <w:rFonts w:ascii="Palatino Linotype" w:hAnsi="Palatino Linotype"/>
          <w:noProof/>
          <w:sz w:val="20"/>
        </w:rPr>
        <w:t xml:space="preserve">, </w:t>
      </w:r>
      <w:r w:rsidRPr="00FF7476">
        <w:rPr>
          <w:rFonts w:ascii="Palatino Linotype" w:hAnsi="Palatino Linotype"/>
          <w:i/>
          <w:iCs/>
          <w:noProof/>
          <w:sz w:val="20"/>
        </w:rPr>
        <w:t>21</w:t>
      </w:r>
      <w:r w:rsidRPr="00FF7476">
        <w:rPr>
          <w:rFonts w:ascii="Palatino Linotype" w:hAnsi="Palatino Linotype"/>
          <w:noProof/>
          <w:sz w:val="20"/>
        </w:rPr>
        <w:t>, 529–542, doi:10.1016/j.cmi.2015.03.014.</w:t>
      </w:r>
    </w:p>
    <w:p w14:paraId="04067485"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72. </w:t>
      </w:r>
      <w:r w:rsidRPr="00FF7476">
        <w:rPr>
          <w:rFonts w:ascii="Palatino Linotype" w:hAnsi="Palatino Linotype"/>
          <w:noProof/>
          <w:sz w:val="20"/>
        </w:rPr>
        <w:tab/>
        <w:t xml:space="preserve">Archer, J.; Lacourse, E.J.; Webster, L.B.; Stothard, J.R. An update on non-invasive urine diagnostics for human-infecting parasitic helminths: What more could be done and how? </w:t>
      </w:r>
      <w:r w:rsidRPr="00FF7476">
        <w:rPr>
          <w:rFonts w:ascii="Palatino Linotype" w:hAnsi="Palatino Linotype"/>
          <w:i/>
          <w:iCs/>
          <w:noProof/>
          <w:sz w:val="20"/>
        </w:rPr>
        <w:t>Parasitology</w:t>
      </w:r>
      <w:r w:rsidRPr="00FF7476">
        <w:rPr>
          <w:rFonts w:ascii="Palatino Linotype" w:hAnsi="Palatino Linotype"/>
          <w:noProof/>
          <w:sz w:val="20"/>
        </w:rPr>
        <w:t xml:space="preserve"> </w:t>
      </w:r>
      <w:r w:rsidRPr="00FF7476">
        <w:rPr>
          <w:rFonts w:ascii="Palatino Linotype" w:hAnsi="Palatino Linotype"/>
          <w:b/>
          <w:bCs/>
          <w:noProof/>
          <w:sz w:val="20"/>
        </w:rPr>
        <w:t>2019</w:t>
      </w:r>
      <w:r w:rsidRPr="00FF7476">
        <w:rPr>
          <w:rFonts w:ascii="Palatino Linotype" w:hAnsi="Palatino Linotype"/>
          <w:noProof/>
          <w:sz w:val="20"/>
        </w:rPr>
        <w:t>, doi:10.1017/S0031182019001732.</w:t>
      </w:r>
    </w:p>
    <w:p w14:paraId="06B0BF47"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73. </w:t>
      </w:r>
      <w:r w:rsidRPr="00FF7476">
        <w:rPr>
          <w:rFonts w:ascii="Palatino Linotype" w:hAnsi="Palatino Linotype"/>
          <w:noProof/>
          <w:sz w:val="20"/>
        </w:rPr>
        <w:tab/>
        <w:t xml:space="preserve">Colley, D.G.; Binder, S.; Campbell, C.; King, C.H.; Tchuenté, L.A.T.; N’Goran, E.K.; Erko, B.; Karanja, D.M.S.; Kabatereine, N.B.; Van Lieshout, L.; et al. A five-country evaluation of a point-of-care circulating cathodic antigen urine assay for the prevalence of Schistosoma mansoni. </w:t>
      </w:r>
      <w:r w:rsidRPr="00FF7476">
        <w:rPr>
          <w:rFonts w:ascii="Palatino Linotype" w:hAnsi="Palatino Linotype"/>
          <w:i/>
          <w:iCs/>
          <w:noProof/>
          <w:sz w:val="20"/>
        </w:rPr>
        <w:t>Am. J. Trop. Med. Hyg.</w:t>
      </w:r>
      <w:r w:rsidRPr="00FF7476">
        <w:rPr>
          <w:rFonts w:ascii="Palatino Linotype" w:hAnsi="Palatino Linotype"/>
          <w:noProof/>
          <w:sz w:val="20"/>
        </w:rPr>
        <w:t xml:space="preserve"> </w:t>
      </w:r>
      <w:r w:rsidRPr="00FF7476">
        <w:rPr>
          <w:rFonts w:ascii="Palatino Linotype" w:hAnsi="Palatino Linotype"/>
          <w:b/>
          <w:bCs/>
          <w:noProof/>
          <w:sz w:val="20"/>
        </w:rPr>
        <w:t>2013</w:t>
      </w:r>
      <w:r w:rsidRPr="00FF7476">
        <w:rPr>
          <w:rFonts w:ascii="Palatino Linotype" w:hAnsi="Palatino Linotype"/>
          <w:noProof/>
          <w:sz w:val="20"/>
        </w:rPr>
        <w:t xml:space="preserve">, </w:t>
      </w:r>
      <w:r w:rsidRPr="00FF7476">
        <w:rPr>
          <w:rFonts w:ascii="Palatino Linotype" w:hAnsi="Palatino Linotype"/>
          <w:i/>
          <w:iCs/>
          <w:noProof/>
          <w:sz w:val="20"/>
        </w:rPr>
        <w:t>88</w:t>
      </w:r>
      <w:r w:rsidRPr="00FF7476">
        <w:rPr>
          <w:rFonts w:ascii="Palatino Linotype" w:hAnsi="Palatino Linotype"/>
          <w:noProof/>
          <w:sz w:val="20"/>
        </w:rPr>
        <w:t>, 426–432, doi:10.4269/ajtmh.12-0639.</w:t>
      </w:r>
    </w:p>
    <w:p w14:paraId="45A6C753"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74. </w:t>
      </w:r>
      <w:r w:rsidRPr="00FF7476">
        <w:rPr>
          <w:rFonts w:ascii="Palatino Linotype" w:hAnsi="Palatino Linotype"/>
          <w:noProof/>
          <w:sz w:val="20"/>
        </w:rPr>
        <w:tab/>
        <w:t xml:space="preserve">Weerakoon, K.G.; Gordon, C.A.; McManus, D.P. DNA diagnostics for schistosomiasis control. </w:t>
      </w:r>
      <w:r w:rsidRPr="00FF7476">
        <w:rPr>
          <w:rFonts w:ascii="Palatino Linotype" w:hAnsi="Palatino Linotype"/>
          <w:i/>
          <w:iCs/>
          <w:noProof/>
          <w:sz w:val="20"/>
        </w:rPr>
        <w:t>Trop. Med. Infect. Dis.</w:t>
      </w:r>
      <w:r w:rsidRPr="00FF7476">
        <w:rPr>
          <w:rFonts w:ascii="Palatino Linotype" w:hAnsi="Palatino Linotype"/>
          <w:noProof/>
          <w:sz w:val="20"/>
        </w:rPr>
        <w:t xml:space="preserve"> </w:t>
      </w:r>
      <w:r w:rsidRPr="00FF7476">
        <w:rPr>
          <w:rFonts w:ascii="Palatino Linotype" w:hAnsi="Palatino Linotype"/>
          <w:b/>
          <w:bCs/>
          <w:noProof/>
          <w:sz w:val="20"/>
        </w:rPr>
        <w:t>2018</w:t>
      </w:r>
      <w:r w:rsidRPr="00FF7476">
        <w:rPr>
          <w:rFonts w:ascii="Palatino Linotype" w:hAnsi="Palatino Linotype"/>
          <w:noProof/>
          <w:sz w:val="20"/>
        </w:rPr>
        <w:t xml:space="preserve">, </w:t>
      </w:r>
      <w:r w:rsidRPr="00FF7476">
        <w:rPr>
          <w:rFonts w:ascii="Palatino Linotype" w:hAnsi="Palatino Linotype"/>
          <w:i/>
          <w:iCs/>
          <w:noProof/>
          <w:sz w:val="20"/>
        </w:rPr>
        <w:t>3</w:t>
      </w:r>
      <w:r w:rsidRPr="00FF7476">
        <w:rPr>
          <w:rFonts w:ascii="Palatino Linotype" w:hAnsi="Palatino Linotype"/>
          <w:noProof/>
          <w:sz w:val="20"/>
        </w:rPr>
        <w:t>, 1–20, doi:10.3390/tropicalmed3030081.</w:t>
      </w:r>
    </w:p>
    <w:p w14:paraId="2A399C34"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75. </w:t>
      </w:r>
      <w:r w:rsidRPr="00FF7476">
        <w:rPr>
          <w:rFonts w:ascii="Palatino Linotype" w:hAnsi="Palatino Linotype"/>
          <w:noProof/>
          <w:sz w:val="20"/>
        </w:rPr>
        <w:tab/>
        <w:t xml:space="preserve">MINETTI, C.; LACOURSE, E.J.; REIMER, L.; STOTHARD, J.R. Focusing nucleic acid-based molecular diagnostics and xenomonitoring approaches for human helminthiases amenable to preventive chemotherapy. </w:t>
      </w:r>
      <w:r w:rsidRPr="00FF7476">
        <w:rPr>
          <w:rFonts w:ascii="Palatino Linotype" w:hAnsi="Palatino Linotype"/>
          <w:i/>
          <w:iCs/>
          <w:noProof/>
          <w:sz w:val="20"/>
        </w:rPr>
        <w:t>Parasitol. Open</w:t>
      </w:r>
      <w:r w:rsidRPr="00FF7476">
        <w:rPr>
          <w:rFonts w:ascii="Palatino Linotype" w:hAnsi="Palatino Linotype"/>
          <w:noProof/>
          <w:sz w:val="20"/>
        </w:rPr>
        <w:t xml:space="preserve"> </w:t>
      </w:r>
      <w:r w:rsidRPr="00FF7476">
        <w:rPr>
          <w:rFonts w:ascii="Palatino Linotype" w:hAnsi="Palatino Linotype"/>
          <w:b/>
          <w:bCs/>
          <w:noProof/>
          <w:sz w:val="20"/>
        </w:rPr>
        <w:t>2016</w:t>
      </w:r>
      <w:r w:rsidRPr="00FF7476">
        <w:rPr>
          <w:rFonts w:ascii="Palatino Linotype" w:hAnsi="Palatino Linotype"/>
          <w:noProof/>
          <w:sz w:val="20"/>
        </w:rPr>
        <w:t xml:space="preserve">, </w:t>
      </w:r>
      <w:r w:rsidRPr="00FF7476">
        <w:rPr>
          <w:rFonts w:ascii="Palatino Linotype" w:hAnsi="Palatino Linotype"/>
          <w:i/>
          <w:iCs/>
          <w:noProof/>
          <w:sz w:val="20"/>
        </w:rPr>
        <w:t>2</w:t>
      </w:r>
      <w:r w:rsidRPr="00FF7476">
        <w:rPr>
          <w:rFonts w:ascii="Palatino Linotype" w:hAnsi="Palatino Linotype"/>
          <w:noProof/>
          <w:sz w:val="20"/>
        </w:rPr>
        <w:t>, doi:10.1017/pao.2016.13.</w:t>
      </w:r>
    </w:p>
    <w:p w14:paraId="7F2A517A"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76. </w:t>
      </w:r>
      <w:r w:rsidRPr="00FF7476">
        <w:rPr>
          <w:rFonts w:ascii="Palatino Linotype" w:hAnsi="Palatino Linotype"/>
          <w:noProof/>
          <w:sz w:val="20"/>
        </w:rPr>
        <w:tab/>
        <w:t xml:space="preserve">Mwangi, I.N.; Agola, E.L.; Mugambi, R.M.; Shiraho, E.A.; Mkoji, G.M. Development and Evaluation of a Loop-Mediated Isothermal Amplification Assay for Diagnosis of Schistosoma mansoni Infection in Faecal Samples. </w:t>
      </w:r>
      <w:r w:rsidRPr="00FF7476">
        <w:rPr>
          <w:rFonts w:ascii="Palatino Linotype" w:hAnsi="Palatino Linotype"/>
          <w:i/>
          <w:iCs/>
          <w:noProof/>
          <w:sz w:val="20"/>
        </w:rPr>
        <w:t>J. Parasitol. Res.</w:t>
      </w:r>
      <w:r w:rsidRPr="00FF7476">
        <w:rPr>
          <w:rFonts w:ascii="Palatino Linotype" w:hAnsi="Palatino Linotype"/>
          <w:noProof/>
          <w:sz w:val="20"/>
        </w:rPr>
        <w:t xml:space="preserve"> </w:t>
      </w:r>
      <w:r w:rsidRPr="00FF7476">
        <w:rPr>
          <w:rFonts w:ascii="Palatino Linotype" w:hAnsi="Palatino Linotype"/>
          <w:b/>
          <w:bCs/>
          <w:noProof/>
          <w:sz w:val="20"/>
        </w:rPr>
        <w:t>2018</w:t>
      </w:r>
      <w:r w:rsidRPr="00FF7476">
        <w:rPr>
          <w:rFonts w:ascii="Palatino Linotype" w:hAnsi="Palatino Linotype"/>
          <w:noProof/>
          <w:sz w:val="20"/>
        </w:rPr>
        <w:t xml:space="preserve">, </w:t>
      </w:r>
      <w:r w:rsidRPr="00FF7476">
        <w:rPr>
          <w:rFonts w:ascii="Palatino Linotype" w:hAnsi="Palatino Linotype"/>
          <w:i/>
          <w:iCs/>
          <w:noProof/>
          <w:sz w:val="20"/>
        </w:rPr>
        <w:t>2018</w:t>
      </w:r>
      <w:r w:rsidRPr="00FF7476">
        <w:rPr>
          <w:rFonts w:ascii="Palatino Linotype" w:hAnsi="Palatino Linotype"/>
          <w:noProof/>
          <w:sz w:val="20"/>
        </w:rPr>
        <w:t>, doi:10.1155/2018/1267826.</w:t>
      </w:r>
    </w:p>
    <w:p w14:paraId="1584A651"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77. </w:t>
      </w:r>
      <w:r w:rsidRPr="00FF7476">
        <w:rPr>
          <w:rFonts w:ascii="Palatino Linotype" w:hAnsi="Palatino Linotype"/>
          <w:noProof/>
          <w:sz w:val="20"/>
        </w:rPr>
        <w:tab/>
        <w:t xml:space="preserve">Poulton, K.; Webster, B. Development of a lateral flow recombinase polymerase assay for the diagnosis of Schistosoma mansoni infections. </w:t>
      </w:r>
      <w:r w:rsidRPr="00FF7476">
        <w:rPr>
          <w:rFonts w:ascii="Palatino Linotype" w:hAnsi="Palatino Linotype"/>
          <w:i/>
          <w:iCs/>
          <w:noProof/>
          <w:sz w:val="20"/>
        </w:rPr>
        <w:t>Anal. Biochem.</w:t>
      </w:r>
      <w:r w:rsidRPr="00FF7476">
        <w:rPr>
          <w:rFonts w:ascii="Palatino Linotype" w:hAnsi="Palatino Linotype"/>
          <w:noProof/>
          <w:sz w:val="20"/>
        </w:rPr>
        <w:t xml:space="preserve"> </w:t>
      </w:r>
      <w:r w:rsidRPr="00FF7476">
        <w:rPr>
          <w:rFonts w:ascii="Palatino Linotype" w:hAnsi="Palatino Linotype"/>
          <w:b/>
          <w:bCs/>
          <w:noProof/>
          <w:sz w:val="20"/>
        </w:rPr>
        <w:t>2018</w:t>
      </w:r>
      <w:r w:rsidRPr="00FF7476">
        <w:rPr>
          <w:rFonts w:ascii="Palatino Linotype" w:hAnsi="Palatino Linotype"/>
          <w:noProof/>
          <w:sz w:val="20"/>
        </w:rPr>
        <w:t xml:space="preserve">, </w:t>
      </w:r>
      <w:r w:rsidRPr="00FF7476">
        <w:rPr>
          <w:rFonts w:ascii="Palatino Linotype" w:hAnsi="Palatino Linotype"/>
          <w:i/>
          <w:iCs/>
          <w:noProof/>
          <w:sz w:val="20"/>
        </w:rPr>
        <w:t>546</w:t>
      </w:r>
      <w:r w:rsidRPr="00FF7476">
        <w:rPr>
          <w:rFonts w:ascii="Palatino Linotype" w:hAnsi="Palatino Linotype"/>
          <w:noProof/>
          <w:sz w:val="20"/>
        </w:rPr>
        <w:t>, 65–71, doi:10.1016/j.ab.2018.01.031.</w:t>
      </w:r>
    </w:p>
    <w:p w14:paraId="1CED219B"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78. </w:t>
      </w:r>
      <w:r w:rsidRPr="00FF7476">
        <w:rPr>
          <w:rFonts w:ascii="Palatino Linotype" w:hAnsi="Palatino Linotype"/>
          <w:noProof/>
          <w:sz w:val="20"/>
        </w:rPr>
        <w:tab/>
        <w:t xml:space="preserve">Koehler, A. V.; Jex, A.R.; Haydon, S.R.; Stevens, M.A.; Gasser, R.B. Giardia/giardiasis - A perspective on diagnostic and analytical tools. </w:t>
      </w:r>
      <w:r w:rsidRPr="00FF7476">
        <w:rPr>
          <w:rFonts w:ascii="Palatino Linotype" w:hAnsi="Palatino Linotype"/>
          <w:i/>
          <w:iCs/>
          <w:noProof/>
          <w:sz w:val="20"/>
        </w:rPr>
        <w:t>Biotechnol. Adv.</w:t>
      </w:r>
      <w:r w:rsidRPr="00FF7476">
        <w:rPr>
          <w:rFonts w:ascii="Palatino Linotype" w:hAnsi="Palatino Linotype"/>
          <w:noProof/>
          <w:sz w:val="20"/>
        </w:rPr>
        <w:t xml:space="preserve"> </w:t>
      </w:r>
      <w:r w:rsidRPr="00FF7476">
        <w:rPr>
          <w:rFonts w:ascii="Palatino Linotype" w:hAnsi="Palatino Linotype"/>
          <w:b/>
          <w:bCs/>
          <w:noProof/>
          <w:sz w:val="20"/>
        </w:rPr>
        <w:t>2014</w:t>
      </w:r>
      <w:r w:rsidRPr="00FF7476">
        <w:rPr>
          <w:rFonts w:ascii="Palatino Linotype" w:hAnsi="Palatino Linotype"/>
          <w:noProof/>
          <w:sz w:val="20"/>
        </w:rPr>
        <w:t xml:space="preserve">, </w:t>
      </w:r>
      <w:r w:rsidRPr="00FF7476">
        <w:rPr>
          <w:rFonts w:ascii="Palatino Linotype" w:hAnsi="Palatino Linotype"/>
          <w:i/>
          <w:iCs/>
          <w:noProof/>
          <w:sz w:val="20"/>
        </w:rPr>
        <w:t>32</w:t>
      </w:r>
      <w:r w:rsidRPr="00FF7476">
        <w:rPr>
          <w:rFonts w:ascii="Palatino Linotype" w:hAnsi="Palatino Linotype"/>
          <w:noProof/>
          <w:sz w:val="20"/>
        </w:rPr>
        <w:t>, 280–289, doi:10.1016/j.biotechadv.2013.10.009.</w:t>
      </w:r>
    </w:p>
    <w:p w14:paraId="502F0948"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79. </w:t>
      </w:r>
      <w:r w:rsidRPr="00FF7476">
        <w:rPr>
          <w:rFonts w:ascii="Palatino Linotype" w:hAnsi="Palatino Linotype"/>
          <w:noProof/>
          <w:sz w:val="20"/>
        </w:rPr>
        <w:tab/>
        <w:t xml:space="preserve">L.Alexander, C.; Niebel, M.; Jones, B. The rapid detection of Cryptosporidium and Giardia species in clinical stools using the Quik Chek immunoassay. </w:t>
      </w:r>
      <w:r w:rsidRPr="00FF7476">
        <w:rPr>
          <w:rFonts w:ascii="Palatino Linotype" w:hAnsi="Palatino Linotype"/>
          <w:i/>
          <w:iCs/>
          <w:noProof/>
          <w:sz w:val="20"/>
        </w:rPr>
        <w:t>Parasitol. Int.</w:t>
      </w:r>
      <w:r w:rsidRPr="00FF7476">
        <w:rPr>
          <w:rFonts w:ascii="Palatino Linotype" w:hAnsi="Palatino Linotype"/>
          <w:noProof/>
          <w:sz w:val="20"/>
        </w:rPr>
        <w:t xml:space="preserve"> </w:t>
      </w:r>
      <w:r w:rsidRPr="00FF7476">
        <w:rPr>
          <w:rFonts w:ascii="Palatino Linotype" w:hAnsi="Palatino Linotype"/>
          <w:b/>
          <w:bCs/>
          <w:noProof/>
          <w:sz w:val="20"/>
        </w:rPr>
        <w:t>2013</w:t>
      </w:r>
      <w:r w:rsidRPr="00FF7476">
        <w:rPr>
          <w:rFonts w:ascii="Palatino Linotype" w:hAnsi="Palatino Linotype"/>
          <w:noProof/>
          <w:sz w:val="20"/>
        </w:rPr>
        <w:t xml:space="preserve">, </w:t>
      </w:r>
      <w:r w:rsidRPr="00FF7476">
        <w:rPr>
          <w:rFonts w:ascii="Palatino Linotype" w:hAnsi="Palatino Linotype"/>
          <w:i/>
          <w:iCs/>
          <w:noProof/>
          <w:sz w:val="20"/>
        </w:rPr>
        <w:t>62</w:t>
      </w:r>
      <w:r w:rsidRPr="00FF7476">
        <w:rPr>
          <w:rFonts w:ascii="Palatino Linotype" w:hAnsi="Palatino Linotype"/>
          <w:noProof/>
          <w:sz w:val="20"/>
        </w:rPr>
        <w:t>, 552–553, doi:10.1016/j.parint.2013.08.008.</w:t>
      </w:r>
    </w:p>
    <w:p w14:paraId="3783DE0E"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80. </w:t>
      </w:r>
      <w:r w:rsidRPr="00FF7476">
        <w:rPr>
          <w:rFonts w:ascii="Palatino Linotype" w:hAnsi="Palatino Linotype"/>
          <w:noProof/>
          <w:sz w:val="20"/>
        </w:rPr>
        <w:tab/>
        <w:t xml:space="preserve">Silva, R.K.N.R.; Pacheco, F.T.F.; Martins, A.S.; Menezes, J.F.; Costa-Ribeiro, H.; Ribeiro, T.C.M.; Mattos, Â.P.; Oliveira, R.R.; Soares, N.M.; Teixeira, M.C.A. Performance of microscopy and ELISA for diagnosing Giardia duodenalis infection in different pediatric groups. </w:t>
      </w:r>
      <w:r w:rsidRPr="00FF7476">
        <w:rPr>
          <w:rFonts w:ascii="Palatino Linotype" w:hAnsi="Palatino Linotype"/>
          <w:i/>
          <w:iCs/>
          <w:noProof/>
          <w:sz w:val="20"/>
        </w:rPr>
        <w:t>Parasitol. Int.</w:t>
      </w:r>
      <w:r w:rsidRPr="00FF7476">
        <w:rPr>
          <w:rFonts w:ascii="Palatino Linotype" w:hAnsi="Palatino Linotype"/>
          <w:noProof/>
          <w:sz w:val="20"/>
        </w:rPr>
        <w:t xml:space="preserve"> </w:t>
      </w:r>
      <w:r w:rsidRPr="00FF7476">
        <w:rPr>
          <w:rFonts w:ascii="Palatino Linotype" w:hAnsi="Palatino Linotype"/>
          <w:b/>
          <w:bCs/>
          <w:noProof/>
          <w:sz w:val="20"/>
        </w:rPr>
        <w:t>2016</w:t>
      </w:r>
      <w:r w:rsidRPr="00FF7476">
        <w:rPr>
          <w:rFonts w:ascii="Palatino Linotype" w:hAnsi="Palatino Linotype"/>
          <w:noProof/>
          <w:sz w:val="20"/>
        </w:rPr>
        <w:t xml:space="preserve">, </w:t>
      </w:r>
      <w:r w:rsidRPr="00FF7476">
        <w:rPr>
          <w:rFonts w:ascii="Palatino Linotype" w:hAnsi="Palatino Linotype"/>
          <w:i/>
          <w:iCs/>
          <w:noProof/>
          <w:sz w:val="20"/>
        </w:rPr>
        <w:t>65</w:t>
      </w:r>
      <w:r w:rsidRPr="00FF7476">
        <w:rPr>
          <w:rFonts w:ascii="Palatino Linotype" w:hAnsi="Palatino Linotype"/>
          <w:noProof/>
          <w:sz w:val="20"/>
        </w:rPr>
        <w:t>, 635–640, doi:10.1016/j.parint.2016.08.012.</w:t>
      </w:r>
    </w:p>
    <w:p w14:paraId="58EAA33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81. </w:t>
      </w:r>
      <w:r w:rsidRPr="00FF7476">
        <w:rPr>
          <w:rFonts w:ascii="Palatino Linotype" w:hAnsi="Palatino Linotype"/>
          <w:noProof/>
          <w:sz w:val="20"/>
        </w:rPr>
        <w:tab/>
        <w:t xml:space="preserve">Gonzalez, S.J.M.; Bhattacharyya, T.; Alshehri, H.R.; Poulton, K.; Allen, S.; Miles, M.A.; Arianitwe, M.; Tukahebwa, E.M.; Webster, B.; Stothard, J.R. Application of a recombinase polymerase amplification ( RPA ) assay and pilot field testing for Giardia duodenalis at Lake Albert , Uganda. </w:t>
      </w:r>
      <w:r w:rsidRPr="00FF7476">
        <w:rPr>
          <w:rFonts w:ascii="Palatino Linotype" w:hAnsi="Palatino Linotype"/>
          <w:i/>
          <w:iCs/>
          <w:noProof/>
          <w:sz w:val="20"/>
        </w:rPr>
        <w:t>Parasit. Vectors</w:t>
      </w:r>
      <w:r w:rsidRPr="00FF7476">
        <w:rPr>
          <w:rFonts w:ascii="Palatino Linotype" w:hAnsi="Palatino Linotype"/>
          <w:noProof/>
          <w:sz w:val="20"/>
        </w:rPr>
        <w:t xml:space="preserve"> </w:t>
      </w:r>
      <w:r w:rsidRPr="00FF7476">
        <w:rPr>
          <w:rFonts w:ascii="Palatino Linotype" w:hAnsi="Palatino Linotype"/>
          <w:b/>
          <w:bCs/>
          <w:noProof/>
          <w:sz w:val="20"/>
        </w:rPr>
        <w:t>2020</w:t>
      </w:r>
      <w:r w:rsidRPr="00FF7476">
        <w:rPr>
          <w:rFonts w:ascii="Palatino Linotype" w:hAnsi="Palatino Linotype"/>
          <w:noProof/>
          <w:sz w:val="20"/>
        </w:rPr>
        <w:t>, 1–9, doi:10.1186/s13071-020-04168-1.</w:t>
      </w:r>
    </w:p>
    <w:p w14:paraId="3C835C0D"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82. </w:t>
      </w:r>
      <w:r w:rsidRPr="00FF7476">
        <w:rPr>
          <w:rFonts w:ascii="Palatino Linotype" w:hAnsi="Palatino Linotype"/>
          <w:noProof/>
          <w:sz w:val="20"/>
        </w:rPr>
        <w:tab/>
        <w:t xml:space="preserve">Crannell, Z.A.; Cabada, M.M.; Castellanos-Gonzalez, A.; Irani, A.; White, A.C.; Richards-Kortum, R. Recombinase polymerase amplification-based assay to diagnose giardia in stool samples. </w:t>
      </w:r>
      <w:r w:rsidRPr="00FF7476">
        <w:rPr>
          <w:rFonts w:ascii="Palatino Linotype" w:hAnsi="Palatino Linotype"/>
          <w:i/>
          <w:iCs/>
          <w:noProof/>
          <w:sz w:val="20"/>
        </w:rPr>
        <w:t>Am. J. Trop. Med. Hyg.</w:t>
      </w:r>
      <w:r w:rsidRPr="00FF7476">
        <w:rPr>
          <w:rFonts w:ascii="Palatino Linotype" w:hAnsi="Palatino Linotype"/>
          <w:noProof/>
          <w:sz w:val="20"/>
        </w:rPr>
        <w:t xml:space="preserve"> </w:t>
      </w:r>
      <w:r w:rsidRPr="00FF7476">
        <w:rPr>
          <w:rFonts w:ascii="Palatino Linotype" w:hAnsi="Palatino Linotype"/>
          <w:b/>
          <w:bCs/>
          <w:noProof/>
          <w:sz w:val="20"/>
        </w:rPr>
        <w:t>2015</w:t>
      </w:r>
      <w:r w:rsidRPr="00FF7476">
        <w:rPr>
          <w:rFonts w:ascii="Palatino Linotype" w:hAnsi="Palatino Linotype"/>
          <w:noProof/>
          <w:sz w:val="20"/>
        </w:rPr>
        <w:t xml:space="preserve">, </w:t>
      </w:r>
      <w:r w:rsidRPr="00FF7476">
        <w:rPr>
          <w:rFonts w:ascii="Palatino Linotype" w:hAnsi="Palatino Linotype"/>
          <w:i/>
          <w:iCs/>
          <w:noProof/>
          <w:sz w:val="20"/>
        </w:rPr>
        <w:t>92</w:t>
      </w:r>
      <w:r w:rsidRPr="00FF7476">
        <w:rPr>
          <w:rFonts w:ascii="Palatino Linotype" w:hAnsi="Palatino Linotype"/>
          <w:noProof/>
          <w:sz w:val="20"/>
        </w:rPr>
        <w:t>, 583–587, doi:10.4269/ajtmh.14-0593.</w:t>
      </w:r>
    </w:p>
    <w:p w14:paraId="166F42FB"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83. </w:t>
      </w:r>
      <w:r w:rsidRPr="00FF7476">
        <w:rPr>
          <w:rFonts w:ascii="Palatino Linotype" w:hAnsi="Palatino Linotype"/>
          <w:noProof/>
          <w:sz w:val="20"/>
        </w:rPr>
        <w:tab/>
        <w:t xml:space="preserve">Plutzer, J.; Karanis, P. Rapid identification of Giardia duodenalis by loop-mediated isothermal amplification (LAMP) from faecal and environmental samples and comparative findings by PCR and real-time PCR methods. </w:t>
      </w:r>
      <w:r w:rsidRPr="00FF7476">
        <w:rPr>
          <w:rFonts w:ascii="Palatino Linotype" w:hAnsi="Palatino Linotype"/>
          <w:i/>
          <w:iCs/>
          <w:noProof/>
          <w:sz w:val="20"/>
        </w:rPr>
        <w:t>Parasitol. Res.</w:t>
      </w:r>
      <w:r w:rsidRPr="00FF7476">
        <w:rPr>
          <w:rFonts w:ascii="Palatino Linotype" w:hAnsi="Palatino Linotype"/>
          <w:noProof/>
          <w:sz w:val="20"/>
        </w:rPr>
        <w:t xml:space="preserve"> </w:t>
      </w:r>
      <w:r w:rsidRPr="00FF7476">
        <w:rPr>
          <w:rFonts w:ascii="Palatino Linotype" w:hAnsi="Palatino Linotype"/>
          <w:b/>
          <w:bCs/>
          <w:noProof/>
          <w:sz w:val="20"/>
        </w:rPr>
        <w:t>2009</w:t>
      </w:r>
      <w:r w:rsidRPr="00FF7476">
        <w:rPr>
          <w:rFonts w:ascii="Palatino Linotype" w:hAnsi="Palatino Linotype"/>
          <w:noProof/>
          <w:sz w:val="20"/>
        </w:rPr>
        <w:t xml:space="preserve">, </w:t>
      </w:r>
      <w:r w:rsidRPr="00FF7476">
        <w:rPr>
          <w:rFonts w:ascii="Palatino Linotype" w:hAnsi="Palatino Linotype"/>
          <w:i/>
          <w:iCs/>
          <w:noProof/>
          <w:sz w:val="20"/>
        </w:rPr>
        <w:t>104</w:t>
      </w:r>
      <w:r w:rsidRPr="00FF7476">
        <w:rPr>
          <w:rFonts w:ascii="Palatino Linotype" w:hAnsi="Palatino Linotype"/>
          <w:noProof/>
          <w:sz w:val="20"/>
        </w:rPr>
        <w:t>, 1527–1533, doi:10.1007/s00436-009-1391-3.</w:t>
      </w:r>
    </w:p>
    <w:p w14:paraId="45694C02"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84. </w:t>
      </w:r>
      <w:r w:rsidRPr="00FF7476">
        <w:rPr>
          <w:rFonts w:ascii="Palatino Linotype" w:hAnsi="Palatino Linotype"/>
          <w:noProof/>
          <w:sz w:val="20"/>
        </w:rPr>
        <w:tab/>
        <w:t xml:space="preserve">De Dood, C.J.; Hoekstra, P.T.; Mngara, J.; Kalluvya, S.E.; Van Dam, G.J.; Downs, J.A.; Corstjens, P.L.A.M. Refining diagnosis of schistosoma haematobium infections: Antigen and antibody detection in urine. </w:t>
      </w:r>
      <w:r w:rsidRPr="00FF7476">
        <w:rPr>
          <w:rFonts w:ascii="Palatino Linotype" w:hAnsi="Palatino Linotype"/>
          <w:i/>
          <w:iCs/>
          <w:noProof/>
          <w:sz w:val="20"/>
        </w:rPr>
        <w:t>Front. Immunol.</w:t>
      </w:r>
      <w:r w:rsidRPr="00FF7476">
        <w:rPr>
          <w:rFonts w:ascii="Palatino Linotype" w:hAnsi="Palatino Linotype"/>
          <w:noProof/>
          <w:sz w:val="20"/>
        </w:rPr>
        <w:t xml:space="preserve"> </w:t>
      </w:r>
      <w:r w:rsidRPr="00FF7476">
        <w:rPr>
          <w:rFonts w:ascii="Palatino Linotype" w:hAnsi="Palatino Linotype"/>
          <w:b/>
          <w:bCs/>
          <w:noProof/>
          <w:sz w:val="20"/>
        </w:rPr>
        <w:t>2018</w:t>
      </w:r>
      <w:r w:rsidRPr="00FF7476">
        <w:rPr>
          <w:rFonts w:ascii="Palatino Linotype" w:hAnsi="Palatino Linotype"/>
          <w:noProof/>
          <w:sz w:val="20"/>
        </w:rPr>
        <w:t xml:space="preserve">, </w:t>
      </w:r>
      <w:r w:rsidRPr="00FF7476">
        <w:rPr>
          <w:rFonts w:ascii="Palatino Linotype" w:hAnsi="Palatino Linotype"/>
          <w:i/>
          <w:iCs/>
          <w:noProof/>
          <w:sz w:val="20"/>
        </w:rPr>
        <w:t>9</w:t>
      </w:r>
      <w:r w:rsidRPr="00FF7476">
        <w:rPr>
          <w:rFonts w:ascii="Palatino Linotype" w:hAnsi="Palatino Linotype"/>
          <w:noProof/>
          <w:sz w:val="20"/>
        </w:rPr>
        <w:t>, 1–9, doi:10.3389/fimmu.2018.02635.</w:t>
      </w:r>
    </w:p>
    <w:p w14:paraId="7395C4BC"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85. </w:t>
      </w:r>
      <w:r w:rsidRPr="00FF7476">
        <w:rPr>
          <w:rFonts w:ascii="Palatino Linotype" w:hAnsi="Palatino Linotype"/>
          <w:noProof/>
          <w:sz w:val="20"/>
        </w:rPr>
        <w:tab/>
        <w:t xml:space="preserve">MINETTI, C.; LACOURSE, E.J.; REIMER, L.; STOTHARD, J.R. Focusing nucleic acid-based molecular diagnostics and xenomonitoring approaches for human helminthiases amenable to preventive chemotherapy. </w:t>
      </w:r>
      <w:r w:rsidRPr="00FF7476">
        <w:rPr>
          <w:rFonts w:ascii="Palatino Linotype" w:hAnsi="Palatino Linotype"/>
          <w:i/>
          <w:iCs/>
          <w:noProof/>
          <w:sz w:val="20"/>
        </w:rPr>
        <w:t>Parasitol. Open</w:t>
      </w:r>
      <w:r w:rsidRPr="00FF7476">
        <w:rPr>
          <w:rFonts w:ascii="Palatino Linotype" w:hAnsi="Palatino Linotype"/>
          <w:noProof/>
          <w:sz w:val="20"/>
        </w:rPr>
        <w:t xml:space="preserve"> </w:t>
      </w:r>
      <w:r w:rsidRPr="00FF7476">
        <w:rPr>
          <w:rFonts w:ascii="Palatino Linotype" w:hAnsi="Palatino Linotype"/>
          <w:b/>
          <w:bCs/>
          <w:noProof/>
          <w:sz w:val="20"/>
        </w:rPr>
        <w:t>2016</w:t>
      </w:r>
      <w:r w:rsidRPr="00FF7476">
        <w:rPr>
          <w:rFonts w:ascii="Palatino Linotype" w:hAnsi="Palatino Linotype"/>
          <w:noProof/>
          <w:sz w:val="20"/>
        </w:rPr>
        <w:t xml:space="preserve">, </w:t>
      </w:r>
      <w:r w:rsidRPr="00FF7476">
        <w:rPr>
          <w:rFonts w:ascii="Palatino Linotype" w:hAnsi="Palatino Linotype"/>
          <w:i/>
          <w:iCs/>
          <w:noProof/>
          <w:sz w:val="20"/>
        </w:rPr>
        <w:t>2</w:t>
      </w:r>
      <w:r w:rsidRPr="00FF7476">
        <w:rPr>
          <w:rFonts w:ascii="Palatino Linotype" w:hAnsi="Palatino Linotype"/>
          <w:noProof/>
          <w:sz w:val="20"/>
        </w:rPr>
        <w:t>, doi:10.1017/pao.2016.13.</w:t>
      </w:r>
    </w:p>
    <w:p w14:paraId="53A96299"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86. </w:t>
      </w:r>
      <w:r w:rsidRPr="00FF7476">
        <w:rPr>
          <w:rFonts w:ascii="Palatino Linotype" w:hAnsi="Palatino Linotype"/>
          <w:noProof/>
          <w:sz w:val="20"/>
        </w:rPr>
        <w:tab/>
        <w:t xml:space="preserve">Amoah, A.S.; Hoekstra, P.T.; Casacuberta-Partal, M.; Coffeng, L.E.; Corstjens, P.L.A.M.; Greco, B.; van Lieshout, L.; Lim, M.D.; Markwalter, C.F.; Odiere, M.R.; et al. Sensitive diagnostic tools and targeted drug administration strategies are needed to eliminate schistosomiasis. </w:t>
      </w:r>
      <w:r w:rsidRPr="00FF7476">
        <w:rPr>
          <w:rFonts w:ascii="Palatino Linotype" w:hAnsi="Palatino Linotype"/>
          <w:i/>
          <w:iCs/>
          <w:noProof/>
          <w:sz w:val="20"/>
        </w:rPr>
        <w:t>Lancet Infect. Dis.</w:t>
      </w:r>
      <w:r w:rsidRPr="00FF7476">
        <w:rPr>
          <w:rFonts w:ascii="Palatino Linotype" w:hAnsi="Palatino Linotype"/>
          <w:noProof/>
          <w:sz w:val="20"/>
        </w:rPr>
        <w:t xml:space="preserve"> </w:t>
      </w:r>
      <w:r w:rsidRPr="00FF7476">
        <w:rPr>
          <w:rFonts w:ascii="Palatino Linotype" w:hAnsi="Palatino Linotype"/>
          <w:b/>
          <w:bCs/>
          <w:noProof/>
          <w:sz w:val="20"/>
        </w:rPr>
        <w:t>2020</w:t>
      </w:r>
      <w:r w:rsidRPr="00FF7476">
        <w:rPr>
          <w:rFonts w:ascii="Palatino Linotype" w:hAnsi="Palatino Linotype"/>
          <w:noProof/>
          <w:sz w:val="20"/>
        </w:rPr>
        <w:t xml:space="preserve">, </w:t>
      </w:r>
      <w:r w:rsidRPr="00FF7476">
        <w:rPr>
          <w:rFonts w:ascii="Palatino Linotype" w:hAnsi="Palatino Linotype"/>
          <w:i/>
          <w:iCs/>
          <w:noProof/>
          <w:sz w:val="20"/>
        </w:rPr>
        <w:t>3099</w:t>
      </w:r>
      <w:r w:rsidRPr="00FF7476">
        <w:rPr>
          <w:rFonts w:ascii="Palatino Linotype" w:hAnsi="Palatino Linotype"/>
          <w:noProof/>
          <w:sz w:val="20"/>
        </w:rPr>
        <w:t>, 1–8, doi:10.1016/S1473-3099(20)30254-1.</w:t>
      </w:r>
    </w:p>
    <w:p w14:paraId="24385CA1"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87. </w:t>
      </w:r>
      <w:r w:rsidRPr="00FF7476">
        <w:rPr>
          <w:rFonts w:ascii="Palatino Linotype" w:hAnsi="Palatino Linotype"/>
          <w:noProof/>
          <w:sz w:val="20"/>
        </w:rPr>
        <w:tab/>
        <w:t xml:space="preserve">Pennance, T.; Person, B.; Muhsin, M.A.; Khamis, A.N.; Muhsin, J.; Khamis, I.S.; Mohammed, K.A.; Kabole, F.; Rollinson, D.; Knopp, S. Urogenital schistosomiasis transmission on Unguja Island, Zanzibar: Characterisation of persistent hot-spots. </w:t>
      </w:r>
      <w:r w:rsidRPr="00FF7476">
        <w:rPr>
          <w:rFonts w:ascii="Palatino Linotype" w:hAnsi="Palatino Linotype"/>
          <w:i/>
          <w:iCs/>
          <w:noProof/>
          <w:sz w:val="20"/>
        </w:rPr>
        <w:t>Parasites and Vectors</w:t>
      </w:r>
      <w:r w:rsidRPr="00FF7476">
        <w:rPr>
          <w:rFonts w:ascii="Palatino Linotype" w:hAnsi="Palatino Linotype"/>
          <w:noProof/>
          <w:sz w:val="20"/>
        </w:rPr>
        <w:t xml:space="preserve"> </w:t>
      </w:r>
      <w:r w:rsidRPr="00FF7476">
        <w:rPr>
          <w:rFonts w:ascii="Palatino Linotype" w:hAnsi="Palatino Linotype"/>
          <w:b/>
          <w:bCs/>
          <w:noProof/>
          <w:sz w:val="20"/>
        </w:rPr>
        <w:t>2016</w:t>
      </w:r>
      <w:r w:rsidRPr="00FF7476">
        <w:rPr>
          <w:rFonts w:ascii="Palatino Linotype" w:hAnsi="Palatino Linotype"/>
          <w:noProof/>
          <w:sz w:val="20"/>
        </w:rPr>
        <w:t xml:space="preserve">, </w:t>
      </w:r>
      <w:r w:rsidRPr="00FF7476">
        <w:rPr>
          <w:rFonts w:ascii="Palatino Linotype" w:hAnsi="Palatino Linotype"/>
          <w:i/>
          <w:iCs/>
          <w:noProof/>
          <w:sz w:val="20"/>
        </w:rPr>
        <w:t>9</w:t>
      </w:r>
      <w:r w:rsidRPr="00FF7476">
        <w:rPr>
          <w:rFonts w:ascii="Palatino Linotype" w:hAnsi="Palatino Linotype"/>
          <w:noProof/>
          <w:sz w:val="20"/>
        </w:rPr>
        <w:t>, 1–13, doi:10.1186/s13071-016-1847-0.</w:t>
      </w:r>
    </w:p>
    <w:p w14:paraId="2146462F"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88. </w:t>
      </w:r>
      <w:r w:rsidRPr="00FF7476">
        <w:rPr>
          <w:rFonts w:ascii="Palatino Linotype" w:hAnsi="Palatino Linotype"/>
          <w:noProof/>
          <w:sz w:val="20"/>
        </w:rPr>
        <w:tab/>
        <w:t xml:space="preserve">STOTHARD, J.R.; ARCHER, J.; GYAPONG, M.; TCHUEM-TCHUENTÉ, L.A.; BUSTINDUY, A.L.; KABATEREINE, N.B.; AL-SHEHRI, H. A centenary of Robert T. Leiper’s lasting legacy on schistosomiasis and a COUNTDOWN on control of neglected tropical diseases. </w:t>
      </w:r>
      <w:r w:rsidRPr="00FF7476">
        <w:rPr>
          <w:rFonts w:ascii="Palatino Linotype" w:hAnsi="Palatino Linotype"/>
          <w:i/>
          <w:iCs/>
          <w:noProof/>
          <w:sz w:val="20"/>
        </w:rPr>
        <w:t>Parasitology</w:t>
      </w:r>
      <w:r w:rsidRPr="00FF7476">
        <w:rPr>
          <w:rFonts w:ascii="Palatino Linotype" w:hAnsi="Palatino Linotype"/>
          <w:noProof/>
          <w:sz w:val="20"/>
        </w:rPr>
        <w:t xml:space="preserve"> </w:t>
      </w:r>
      <w:r w:rsidRPr="00FF7476">
        <w:rPr>
          <w:rFonts w:ascii="Palatino Linotype" w:hAnsi="Palatino Linotype"/>
          <w:b/>
          <w:bCs/>
          <w:noProof/>
          <w:sz w:val="20"/>
        </w:rPr>
        <w:t>2016</w:t>
      </w:r>
      <w:r w:rsidRPr="00FF7476">
        <w:rPr>
          <w:rFonts w:ascii="Palatino Linotype" w:hAnsi="Palatino Linotype"/>
          <w:noProof/>
          <w:sz w:val="20"/>
        </w:rPr>
        <w:t xml:space="preserve">, </w:t>
      </w:r>
      <w:r w:rsidRPr="00FF7476">
        <w:rPr>
          <w:rFonts w:ascii="Palatino Linotype" w:hAnsi="Palatino Linotype"/>
          <w:i/>
          <w:iCs/>
          <w:noProof/>
          <w:sz w:val="20"/>
        </w:rPr>
        <w:t>144</w:t>
      </w:r>
      <w:r w:rsidRPr="00FF7476">
        <w:rPr>
          <w:rFonts w:ascii="Palatino Linotype" w:hAnsi="Palatino Linotype"/>
          <w:noProof/>
          <w:sz w:val="20"/>
        </w:rPr>
        <w:t>, 1602–1612, doi:10.1017/s0031182016000998.</w:t>
      </w:r>
    </w:p>
    <w:p w14:paraId="1FFF4DAC"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89. </w:t>
      </w:r>
      <w:r w:rsidRPr="00FF7476">
        <w:rPr>
          <w:rFonts w:ascii="Palatino Linotype" w:hAnsi="Palatino Linotype"/>
          <w:noProof/>
          <w:sz w:val="20"/>
        </w:rPr>
        <w:tab/>
        <w:t xml:space="preserve">King, C.H.; Sturrock, R.F.; Kariuki, H.C.; Hamburger, J. Transmission control for schistosomiasis - why it matters now. </w:t>
      </w:r>
      <w:r w:rsidRPr="00FF7476">
        <w:rPr>
          <w:rFonts w:ascii="Palatino Linotype" w:hAnsi="Palatino Linotype"/>
          <w:i/>
          <w:iCs/>
          <w:noProof/>
          <w:sz w:val="20"/>
        </w:rPr>
        <w:t>Trends Parasitol.</w:t>
      </w:r>
      <w:r w:rsidRPr="00FF7476">
        <w:rPr>
          <w:rFonts w:ascii="Palatino Linotype" w:hAnsi="Palatino Linotype"/>
          <w:noProof/>
          <w:sz w:val="20"/>
        </w:rPr>
        <w:t xml:space="preserve"> </w:t>
      </w:r>
      <w:r w:rsidRPr="00FF7476">
        <w:rPr>
          <w:rFonts w:ascii="Palatino Linotype" w:hAnsi="Palatino Linotype"/>
          <w:b/>
          <w:bCs/>
          <w:noProof/>
          <w:sz w:val="20"/>
        </w:rPr>
        <w:t>2006</w:t>
      </w:r>
      <w:r w:rsidRPr="00FF7476">
        <w:rPr>
          <w:rFonts w:ascii="Palatino Linotype" w:hAnsi="Palatino Linotype"/>
          <w:noProof/>
          <w:sz w:val="20"/>
        </w:rPr>
        <w:t xml:space="preserve">, </w:t>
      </w:r>
      <w:r w:rsidRPr="00FF7476">
        <w:rPr>
          <w:rFonts w:ascii="Palatino Linotype" w:hAnsi="Palatino Linotype"/>
          <w:i/>
          <w:iCs/>
          <w:noProof/>
          <w:sz w:val="20"/>
        </w:rPr>
        <w:t>22</w:t>
      </w:r>
      <w:r w:rsidRPr="00FF7476">
        <w:rPr>
          <w:rFonts w:ascii="Palatino Linotype" w:hAnsi="Palatino Linotype"/>
          <w:noProof/>
          <w:sz w:val="20"/>
        </w:rPr>
        <w:t>, 575–582, doi:10.1016/j.pt.2006.09.006.</w:t>
      </w:r>
    </w:p>
    <w:p w14:paraId="205375BC"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90. </w:t>
      </w:r>
      <w:r w:rsidRPr="00FF7476">
        <w:rPr>
          <w:rFonts w:ascii="Palatino Linotype" w:hAnsi="Palatino Linotype"/>
          <w:noProof/>
          <w:sz w:val="20"/>
        </w:rPr>
        <w:tab/>
        <w:t xml:space="preserve">Allan, F.; Ame, S.M.; Tian-Bi, Y.-N.T.; Hofkin, B. V.; Webster, B.L.; Diakité, N.R.; N’Goran, E.K.; Kabole, F.; Khamis, I.S.; Gouvras, A.N.; et al. Snail-Related Contributions from the Schistosomiasis Consortium for Operational Research and Evaluation Program Including Xenomonitoring, Focal Mollusciciding, Biological Control, and Modeling. </w:t>
      </w:r>
      <w:r w:rsidRPr="00FF7476">
        <w:rPr>
          <w:rFonts w:ascii="Palatino Linotype" w:hAnsi="Palatino Linotype"/>
          <w:i/>
          <w:iCs/>
          <w:noProof/>
          <w:sz w:val="20"/>
        </w:rPr>
        <w:t>Am. J. Trop. Med. Hyg.</w:t>
      </w:r>
      <w:r w:rsidRPr="00FF7476">
        <w:rPr>
          <w:rFonts w:ascii="Palatino Linotype" w:hAnsi="Palatino Linotype"/>
          <w:noProof/>
          <w:sz w:val="20"/>
        </w:rPr>
        <w:t xml:space="preserve"> </w:t>
      </w:r>
      <w:r w:rsidRPr="00FF7476">
        <w:rPr>
          <w:rFonts w:ascii="Palatino Linotype" w:hAnsi="Palatino Linotype"/>
          <w:b/>
          <w:bCs/>
          <w:noProof/>
          <w:sz w:val="20"/>
        </w:rPr>
        <w:t>2020</w:t>
      </w:r>
      <w:r w:rsidRPr="00FF7476">
        <w:rPr>
          <w:rFonts w:ascii="Palatino Linotype" w:hAnsi="Palatino Linotype"/>
          <w:noProof/>
          <w:sz w:val="20"/>
        </w:rPr>
        <w:t>, 1–14, doi:10.4269/ajtmh.19-0831.</w:t>
      </w:r>
    </w:p>
    <w:p w14:paraId="3CD87441"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91. </w:t>
      </w:r>
      <w:r w:rsidRPr="00FF7476">
        <w:rPr>
          <w:rFonts w:ascii="Palatino Linotype" w:hAnsi="Palatino Linotype"/>
          <w:noProof/>
          <w:sz w:val="20"/>
        </w:rPr>
        <w:tab/>
        <w:t xml:space="preserve">Abbasi, I.; King, C.H.; Muchiri, E.M.; Hamburger, J. Detection of Schistosoma mansoni and Schistosoma haematobium DNA by loop-mediated isothermal amplification: Identification of infected snails from early prepatency. </w:t>
      </w:r>
      <w:r w:rsidRPr="00FF7476">
        <w:rPr>
          <w:rFonts w:ascii="Palatino Linotype" w:hAnsi="Palatino Linotype"/>
          <w:i/>
          <w:iCs/>
          <w:noProof/>
          <w:sz w:val="20"/>
        </w:rPr>
        <w:t>Am. J. Trop. Med. Hyg.</w:t>
      </w:r>
      <w:r w:rsidRPr="00FF7476">
        <w:rPr>
          <w:rFonts w:ascii="Palatino Linotype" w:hAnsi="Palatino Linotype"/>
          <w:noProof/>
          <w:sz w:val="20"/>
        </w:rPr>
        <w:t xml:space="preserve"> </w:t>
      </w:r>
      <w:r w:rsidRPr="00FF7476">
        <w:rPr>
          <w:rFonts w:ascii="Palatino Linotype" w:hAnsi="Palatino Linotype"/>
          <w:b/>
          <w:bCs/>
          <w:noProof/>
          <w:sz w:val="20"/>
        </w:rPr>
        <w:t>2010</w:t>
      </w:r>
      <w:r w:rsidRPr="00FF7476">
        <w:rPr>
          <w:rFonts w:ascii="Palatino Linotype" w:hAnsi="Palatino Linotype"/>
          <w:noProof/>
          <w:sz w:val="20"/>
        </w:rPr>
        <w:t xml:space="preserve">, </w:t>
      </w:r>
      <w:r w:rsidRPr="00FF7476">
        <w:rPr>
          <w:rFonts w:ascii="Palatino Linotype" w:hAnsi="Palatino Linotype"/>
          <w:i/>
          <w:iCs/>
          <w:noProof/>
          <w:sz w:val="20"/>
        </w:rPr>
        <w:t>83</w:t>
      </w:r>
      <w:r w:rsidRPr="00FF7476">
        <w:rPr>
          <w:rFonts w:ascii="Palatino Linotype" w:hAnsi="Palatino Linotype"/>
          <w:noProof/>
          <w:sz w:val="20"/>
        </w:rPr>
        <w:t>, 427–432, doi:10.4269/ajtmh.2010.09-0764.</w:t>
      </w:r>
    </w:p>
    <w:p w14:paraId="56F0BBFA"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92. </w:t>
      </w:r>
      <w:r w:rsidRPr="00FF7476">
        <w:rPr>
          <w:rFonts w:ascii="Palatino Linotype" w:hAnsi="Palatino Linotype"/>
          <w:noProof/>
          <w:sz w:val="20"/>
        </w:rPr>
        <w:tab/>
        <w:t xml:space="preserve">Gandasegui, J.; Fernández-Soto, P.; Hernández-Goenaga, J.; López-Abán, J.; Vicente, B.; Muro, A. Biompha-LAMP: A New Rapid Loop-Mediated Isothermal Amplification Assay for Detecting Schistosoma mansoni in Biomphalaria glabrata Snail Host. </w:t>
      </w:r>
      <w:r w:rsidRPr="00FF7476">
        <w:rPr>
          <w:rFonts w:ascii="Palatino Linotype" w:hAnsi="Palatino Linotype"/>
          <w:i/>
          <w:iCs/>
          <w:noProof/>
          <w:sz w:val="20"/>
        </w:rPr>
        <w:t>PLoS Negl. Trop. Dis.</w:t>
      </w:r>
      <w:r w:rsidRPr="00FF7476">
        <w:rPr>
          <w:rFonts w:ascii="Palatino Linotype" w:hAnsi="Palatino Linotype"/>
          <w:noProof/>
          <w:sz w:val="20"/>
        </w:rPr>
        <w:t xml:space="preserve"> </w:t>
      </w:r>
      <w:r w:rsidRPr="00FF7476">
        <w:rPr>
          <w:rFonts w:ascii="Palatino Linotype" w:hAnsi="Palatino Linotype"/>
          <w:b/>
          <w:bCs/>
          <w:noProof/>
          <w:sz w:val="20"/>
        </w:rPr>
        <w:t>2016</w:t>
      </w:r>
      <w:r w:rsidRPr="00FF7476">
        <w:rPr>
          <w:rFonts w:ascii="Palatino Linotype" w:hAnsi="Palatino Linotype"/>
          <w:noProof/>
          <w:sz w:val="20"/>
        </w:rPr>
        <w:t xml:space="preserve">, </w:t>
      </w:r>
      <w:r w:rsidRPr="00FF7476">
        <w:rPr>
          <w:rFonts w:ascii="Palatino Linotype" w:hAnsi="Palatino Linotype"/>
          <w:i/>
          <w:iCs/>
          <w:noProof/>
          <w:sz w:val="20"/>
        </w:rPr>
        <w:t>10</w:t>
      </w:r>
      <w:r w:rsidRPr="00FF7476">
        <w:rPr>
          <w:rFonts w:ascii="Palatino Linotype" w:hAnsi="Palatino Linotype"/>
          <w:noProof/>
          <w:sz w:val="20"/>
        </w:rPr>
        <w:t>, 1–14, doi:10.1371/journal.pntd.0005225.</w:t>
      </w:r>
    </w:p>
    <w:p w14:paraId="6C6841E8"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93. </w:t>
      </w:r>
      <w:r w:rsidRPr="00FF7476">
        <w:rPr>
          <w:rFonts w:ascii="Palatino Linotype" w:hAnsi="Palatino Linotype"/>
          <w:noProof/>
          <w:sz w:val="20"/>
        </w:rPr>
        <w:tab/>
        <w:t xml:space="preserve">Bartley, P.M.; Roehe, B.K.; Thomson, S.; Shaw, H.J.; Peto, F.; Innes, E.A.; Katzer, F. Detection of potentially human infectious assemblages of Giardia duodenalis in fecal samples from beef and dairy cattle in Scotland. </w:t>
      </w:r>
      <w:r w:rsidRPr="00FF7476">
        <w:rPr>
          <w:rFonts w:ascii="Palatino Linotype" w:hAnsi="Palatino Linotype"/>
          <w:i/>
          <w:iCs/>
          <w:noProof/>
          <w:sz w:val="20"/>
        </w:rPr>
        <w:t>Parasitology</w:t>
      </w:r>
      <w:r w:rsidRPr="00FF7476">
        <w:rPr>
          <w:rFonts w:ascii="Palatino Linotype" w:hAnsi="Palatino Linotype"/>
          <w:noProof/>
          <w:sz w:val="20"/>
        </w:rPr>
        <w:t xml:space="preserve"> </w:t>
      </w:r>
      <w:r w:rsidRPr="00FF7476">
        <w:rPr>
          <w:rFonts w:ascii="Palatino Linotype" w:hAnsi="Palatino Linotype"/>
          <w:b/>
          <w:bCs/>
          <w:noProof/>
          <w:sz w:val="20"/>
        </w:rPr>
        <w:t>2019</w:t>
      </w:r>
      <w:r w:rsidRPr="00FF7476">
        <w:rPr>
          <w:rFonts w:ascii="Palatino Linotype" w:hAnsi="Palatino Linotype"/>
          <w:noProof/>
          <w:sz w:val="20"/>
        </w:rPr>
        <w:t xml:space="preserve">, </w:t>
      </w:r>
      <w:r w:rsidRPr="00FF7476">
        <w:rPr>
          <w:rFonts w:ascii="Palatino Linotype" w:hAnsi="Palatino Linotype"/>
          <w:i/>
          <w:iCs/>
          <w:noProof/>
          <w:sz w:val="20"/>
        </w:rPr>
        <w:t>146</w:t>
      </w:r>
      <w:r w:rsidRPr="00FF7476">
        <w:rPr>
          <w:rFonts w:ascii="Palatino Linotype" w:hAnsi="Palatino Linotype"/>
          <w:noProof/>
          <w:sz w:val="20"/>
        </w:rPr>
        <w:t>, 1123–1130, doi:10.1017/S0031182018001117.</w:t>
      </w:r>
    </w:p>
    <w:p w14:paraId="76B5442F"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94. </w:t>
      </w:r>
      <w:r w:rsidRPr="00FF7476">
        <w:rPr>
          <w:rFonts w:ascii="Palatino Linotype" w:hAnsi="Palatino Linotype"/>
          <w:noProof/>
          <w:sz w:val="20"/>
        </w:rPr>
        <w:tab/>
        <w:t xml:space="preserve">Sawitri, D.H.; Wardhana, A.H.; Martindah, E.; Ekawasti, F.; Dewi, D.A.; Utomo, B.N.; Shibahara, T.; Kusumoto, M.; Tokoro, M.; Sasai, K.; et al. Detections of gastrointestinal parasites, including Giardia intestinalis and Cryptosporidium spp., in cattle of Banten province, Indonesia. </w:t>
      </w:r>
      <w:r w:rsidRPr="00FF7476">
        <w:rPr>
          <w:rFonts w:ascii="Palatino Linotype" w:hAnsi="Palatino Linotype"/>
          <w:i/>
          <w:iCs/>
          <w:noProof/>
          <w:sz w:val="20"/>
        </w:rPr>
        <w:t>J. Parasit. Dis.</w:t>
      </w:r>
      <w:r w:rsidRPr="00FF7476">
        <w:rPr>
          <w:rFonts w:ascii="Palatino Linotype" w:hAnsi="Palatino Linotype"/>
          <w:noProof/>
          <w:sz w:val="20"/>
        </w:rPr>
        <w:t xml:space="preserve"> </w:t>
      </w:r>
      <w:r w:rsidRPr="00FF7476">
        <w:rPr>
          <w:rFonts w:ascii="Palatino Linotype" w:hAnsi="Palatino Linotype"/>
          <w:b/>
          <w:bCs/>
          <w:noProof/>
          <w:sz w:val="20"/>
        </w:rPr>
        <w:t>2020</w:t>
      </w:r>
      <w:r w:rsidRPr="00FF7476">
        <w:rPr>
          <w:rFonts w:ascii="Palatino Linotype" w:hAnsi="Palatino Linotype"/>
          <w:noProof/>
          <w:sz w:val="20"/>
        </w:rPr>
        <w:t xml:space="preserve">, </w:t>
      </w:r>
      <w:r w:rsidRPr="00FF7476">
        <w:rPr>
          <w:rFonts w:ascii="Palatino Linotype" w:hAnsi="Palatino Linotype"/>
          <w:i/>
          <w:iCs/>
          <w:noProof/>
          <w:sz w:val="20"/>
        </w:rPr>
        <w:t>44</w:t>
      </w:r>
      <w:r w:rsidRPr="00FF7476">
        <w:rPr>
          <w:rFonts w:ascii="Palatino Linotype" w:hAnsi="Palatino Linotype"/>
          <w:noProof/>
          <w:sz w:val="20"/>
        </w:rPr>
        <w:t>, 174–179, doi:10.1007/s12639-019-01179-3.</w:t>
      </w:r>
    </w:p>
    <w:p w14:paraId="2305B64A"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95. </w:t>
      </w:r>
      <w:r w:rsidRPr="00FF7476">
        <w:rPr>
          <w:rFonts w:ascii="Palatino Linotype" w:hAnsi="Palatino Linotype"/>
          <w:noProof/>
          <w:sz w:val="20"/>
        </w:rPr>
        <w:tab/>
        <w:t xml:space="preserve">DiGiorgio, C.L.; Gonzalez, D.A.; Huitt, C.C. Cryptosporidium and Giardia recoveries in natural waters by using environmental protection agency method 1623. </w:t>
      </w:r>
      <w:r w:rsidRPr="00FF7476">
        <w:rPr>
          <w:rFonts w:ascii="Palatino Linotype" w:hAnsi="Palatino Linotype"/>
          <w:i/>
          <w:iCs/>
          <w:noProof/>
          <w:sz w:val="20"/>
        </w:rPr>
        <w:t>Appl. Environ. Microbiol.</w:t>
      </w:r>
      <w:r w:rsidRPr="00FF7476">
        <w:rPr>
          <w:rFonts w:ascii="Palatino Linotype" w:hAnsi="Palatino Linotype"/>
          <w:noProof/>
          <w:sz w:val="20"/>
        </w:rPr>
        <w:t xml:space="preserve"> </w:t>
      </w:r>
      <w:r w:rsidRPr="00FF7476">
        <w:rPr>
          <w:rFonts w:ascii="Palatino Linotype" w:hAnsi="Palatino Linotype"/>
          <w:b/>
          <w:bCs/>
          <w:noProof/>
          <w:sz w:val="20"/>
        </w:rPr>
        <w:t>2002</w:t>
      </w:r>
      <w:r w:rsidRPr="00FF7476">
        <w:rPr>
          <w:rFonts w:ascii="Palatino Linotype" w:hAnsi="Palatino Linotype"/>
          <w:noProof/>
          <w:sz w:val="20"/>
        </w:rPr>
        <w:t xml:space="preserve">, </w:t>
      </w:r>
      <w:r w:rsidRPr="00FF7476">
        <w:rPr>
          <w:rFonts w:ascii="Palatino Linotype" w:hAnsi="Palatino Linotype"/>
          <w:i/>
          <w:iCs/>
          <w:noProof/>
          <w:sz w:val="20"/>
        </w:rPr>
        <w:t>68</w:t>
      </w:r>
      <w:r w:rsidRPr="00FF7476">
        <w:rPr>
          <w:rFonts w:ascii="Palatino Linotype" w:hAnsi="Palatino Linotype"/>
          <w:noProof/>
          <w:sz w:val="20"/>
        </w:rPr>
        <w:t>, 5952–5955, doi:10.1128/AEM.68.12.5952-5955.2002.</w:t>
      </w:r>
    </w:p>
    <w:p w14:paraId="2D2EE80F"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96. </w:t>
      </w:r>
      <w:r w:rsidRPr="00FF7476">
        <w:rPr>
          <w:rFonts w:ascii="Palatino Linotype" w:hAnsi="Palatino Linotype"/>
          <w:noProof/>
          <w:sz w:val="20"/>
        </w:rPr>
        <w:tab/>
        <w:t>EPA United States Environmental Protection Agency. Method 1623: Cryptosporidium and Giardia in Water by Filtration/IMS/FA Available online: https://www.epa.gov/sites/production/files/2015-07/documents/epa-1623.pdf (accessed on Jul 24, 2020).</w:t>
      </w:r>
    </w:p>
    <w:p w14:paraId="7B89639C"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97. </w:t>
      </w:r>
      <w:r w:rsidRPr="00FF7476">
        <w:rPr>
          <w:rFonts w:ascii="Palatino Linotype" w:hAnsi="Palatino Linotype"/>
          <w:noProof/>
          <w:sz w:val="20"/>
        </w:rPr>
        <w:tab/>
        <w:t xml:space="preserve">Bass, D.; Stentiford, G.D.; Littlewood, D.T.J.; Hartikainen, H. Diverse Applications of Environmental DNA Methods in Parasitology. </w:t>
      </w:r>
      <w:r w:rsidRPr="00FF7476">
        <w:rPr>
          <w:rFonts w:ascii="Palatino Linotype" w:hAnsi="Palatino Linotype"/>
          <w:i/>
          <w:iCs/>
          <w:noProof/>
          <w:sz w:val="20"/>
        </w:rPr>
        <w:t>Trends Parasitol.</w:t>
      </w:r>
      <w:r w:rsidRPr="00FF7476">
        <w:rPr>
          <w:rFonts w:ascii="Palatino Linotype" w:hAnsi="Palatino Linotype"/>
          <w:noProof/>
          <w:sz w:val="20"/>
        </w:rPr>
        <w:t xml:space="preserve"> </w:t>
      </w:r>
      <w:r w:rsidRPr="00FF7476">
        <w:rPr>
          <w:rFonts w:ascii="Palatino Linotype" w:hAnsi="Palatino Linotype"/>
          <w:b/>
          <w:bCs/>
          <w:noProof/>
          <w:sz w:val="20"/>
        </w:rPr>
        <w:t>2015</w:t>
      </w:r>
      <w:r w:rsidRPr="00FF7476">
        <w:rPr>
          <w:rFonts w:ascii="Palatino Linotype" w:hAnsi="Palatino Linotype"/>
          <w:noProof/>
          <w:sz w:val="20"/>
        </w:rPr>
        <w:t xml:space="preserve">, </w:t>
      </w:r>
      <w:r w:rsidRPr="00FF7476">
        <w:rPr>
          <w:rFonts w:ascii="Palatino Linotype" w:hAnsi="Palatino Linotype"/>
          <w:i/>
          <w:iCs/>
          <w:noProof/>
          <w:sz w:val="20"/>
        </w:rPr>
        <w:t>31</w:t>
      </w:r>
      <w:r w:rsidRPr="00FF7476">
        <w:rPr>
          <w:rFonts w:ascii="Palatino Linotype" w:hAnsi="Palatino Linotype"/>
          <w:noProof/>
          <w:sz w:val="20"/>
        </w:rPr>
        <w:t>, 499–513, doi:10.1016/j.pt.2015.06.013.</w:t>
      </w:r>
    </w:p>
    <w:p w14:paraId="60BF418B"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98. </w:t>
      </w:r>
      <w:r w:rsidRPr="00FF7476">
        <w:rPr>
          <w:rFonts w:ascii="Palatino Linotype" w:hAnsi="Palatino Linotype"/>
          <w:noProof/>
          <w:sz w:val="20"/>
        </w:rPr>
        <w:tab/>
        <w:t xml:space="preserve">Sengupta, M.E.; Hellström, M.; Kariuki, H.C.; Olsen, A.; Thomsen, P.F.; Mejer, H.; Willerslev, E.; Mwanje, M.T.; Madsen, H.; Kristensen, T.K.; et al. Environmental DNA for improved detection and environmental surveillance of schistosomiasis. </w:t>
      </w:r>
      <w:r w:rsidRPr="00FF7476">
        <w:rPr>
          <w:rFonts w:ascii="Palatino Linotype" w:hAnsi="Palatino Linotype"/>
          <w:i/>
          <w:iCs/>
          <w:noProof/>
          <w:sz w:val="20"/>
        </w:rPr>
        <w:t>Proc. Natl. Acad. Sci. U. S. A.</w:t>
      </w:r>
      <w:r w:rsidRPr="00FF7476">
        <w:rPr>
          <w:rFonts w:ascii="Palatino Linotype" w:hAnsi="Palatino Linotype"/>
          <w:noProof/>
          <w:sz w:val="20"/>
        </w:rPr>
        <w:t xml:space="preserve"> </w:t>
      </w:r>
      <w:r w:rsidRPr="00FF7476">
        <w:rPr>
          <w:rFonts w:ascii="Palatino Linotype" w:hAnsi="Palatino Linotype"/>
          <w:b/>
          <w:bCs/>
          <w:noProof/>
          <w:sz w:val="20"/>
        </w:rPr>
        <w:t>2019</w:t>
      </w:r>
      <w:r w:rsidRPr="00FF7476">
        <w:rPr>
          <w:rFonts w:ascii="Palatino Linotype" w:hAnsi="Palatino Linotype"/>
          <w:noProof/>
          <w:sz w:val="20"/>
        </w:rPr>
        <w:t xml:space="preserve">, </w:t>
      </w:r>
      <w:r w:rsidRPr="00FF7476">
        <w:rPr>
          <w:rFonts w:ascii="Palatino Linotype" w:hAnsi="Palatino Linotype"/>
          <w:i/>
          <w:iCs/>
          <w:noProof/>
          <w:sz w:val="20"/>
        </w:rPr>
        <w:t>116</w:t>
      </w:r>
      <w:r w:rsidRPr="00FF7476">
        <w:rPr>
          <w:rFonts w:ascii="Palatino Linotype" w:hAnsi="Palatino Linotype"/>
          <w:noProof/>
          <w:sz w:val="20"/>
        </w:rPr>
        <w:t>, 8931–8940, doi:10.1073/pnas.1815046116.</w:t>
      </w:r>
    </w:p>
    <w:p w14:paraId="244264AA"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99. </w:t>
      </w:r>
      <w:r w:rsidRPr="00FF7476">
        <w:rPr>
          <w:rFonts w:ascii="Palatino Linotype" w:hAnsi="Palatino Linotype"/>
          <w:noProof/>
          <w:sz w:val="20"/>
        </w:rPr>
        <w:tab/>
        <w:t xml:space="preserve">Baque, R.H.; Gilliam, A.O.; Robles, L.D.; Jakubowski, W.; Slifko, T.R. A real-time RT-PCR method to detect viable Giardia lamblia cysts in environmental waters. </w:t>
      </w:r>
      <w:r w:rsidRPr="00FF7476">
        <w:rPr>
          <w:rFonts w:ascii="Palatino Linotype" w:hAnsi="Palatino Linotype"/>
          <w:i/>
          <w:iCs/>
          <w:noProof/>
          <w:sz w:val="20"/>
        </w:rPr>
        <w:t>Water Res.</w:t>
      </w:r>
      <w:r w:rsidRPr="00FF7476">
        <w:rPr>
          <w:rFonts w:ascii="Palatino Linotype" w:hAnsi="Palatino Linotype"/>
          <w:noProof/>
          <w:sz w:val="20"/>
        </w:rPr>
        <w:t xml:space="preserve"> </w:t>
      </w:r>
      <w:r w:rsidRPr="00FF7476">
        <w:rPr>
          <w:rFonts w:ascii="Palatino Linotype" w:hAnsi="Palatino Linotype"/>
          <w:b/>
          <w:bCs/>
          <w:noProof/>
          <w:sz w:val="20"/>
        </w:rPr>
        <w:t>2011</w:t>
      </w:r>
      <w:r w:rsidRPr="00FF7476">
        <w:rPr>
          <w:rFonts w:ascii="Palatino Linotype" w:hAnsi="Palatino Linotype"/>
          <w:noProof/>
          <w:sz w:val="20"/>
        </w:rPr>
        <w:t xml:space="preserve">, </w:t>
      </w:r>
      <w:r w:rsidRPr="00FF7476">
        <w:rPr>
          <w:rFonts w:ascii="Palatino Linotype" w:hAnsi="Palatino Linotype"/>
          <w:i/>
          <w:iCs/>
          <w:noProof/>
          <w:sz w:val="20"/>
        </w:rPr>
        <w:t>45</w:t>
      </w:r>
      <w:r w:rsidRPr="00FF7476">
        <w:rPr>
          <w:rFonts w:ascii="Palatino Linotype" w:hAnsi="Palatino Linotype"/>
          <w:noProof/>
          <w:sz w:val="20"/>
        </w:rPr>
        <w:t>, 3175–3184, doi:10.1016/j.watres.2011.03.032.</w:t>
      </w:r>
    </w:p>
    <w:p w14:paraId="221C8834"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100. </w:t>
      </w:r>
      <w:r w:rsidRPr="00FF7476">
        <w:rPr>
          <w:rFonts w:ascii="Palatino Linotype" w:hAnsi="Palatino Linotype"/>
          <w:noProof/>
          <w:sz w:val="20"/>
        </w:rPr>
        <w:tab/>
        <w:t xml:space="preserve">Alzaylaee, H.; Collins, R.A.; Rinaldi, G.; Shechonge, A.; Ngatunga, B.; Morgan, E.R.; Genner, M.J. Schistosoma species detection by environmental DNA assays in african freshwaters. </w:t>
      </w:r>
      <w:r w:rsidRPr="00FF7476">
        <w:rPr>
          <w:rFonts w:ascii="Palatino Linotype" w:hAnsi="Palatino Linotype"/>
          <w:i/>
          <w:iCs/>
          <w:noProof/>
          <w:sz w:val="20"/>
        </w:rPr>
        <w:t>PLoS Negl. Trop. Dis.</w:t>
      </w:r>
      <w:r w:rsidRPr="00FF7476">
        <w:rPr>
          <w:rFonts w:ascii="Palatino Linotype" w:hAnsi="Palatino Linotype"/>
          <w:noProof/>
          <w:sz w:val="20"/>
        </w:rPr>
        <w:t xml:space="preserve"> </w:t>
      </w:r>
      <w:r w:rsidRPr="00FF7476">
        <w:rPr>
          <w:rFonts w:ascii="Palatino Linotype" w:hAnsi="Palatino Linotype"/>
          <w:b/>
          <w:bCs/>
          <w:noProof/>
          <w:sz w:val="20"/>
        </w:rPr>
        <w:t>2020</w:t>
      </w:r>
      <w:r w:rsidRPr="00FF7476">
        <w:rPr>
          <w:rFonts w:ascii="Palatino Linotype" w:hAnsi="Palatino Linotype"/>
          <w:noProof/>
          <w:sz w:val="20"/>
        </w:rPr>
        <w:t xml:space="preserve">, </w:t>
      </w:r>
      <w:r w:rsidRPr="00FF7476">
        <w:rPr>
          <w:rFonts w:ascii="Palatino Linotype" w:hAnsi="Palatino Linotype"/>
          <w:i/>
          <w:iCs/>
          <w:noProof/>
          <w:sz w:val="20"/>
        </w:rPr>
        <w:t>14</w:t>
      </w:r>
      <w:r w:rsidRPr="00FF7476">
        <w:rPr>
          <w:rFonts w:ascii="Palatino Linotype" w:hAnsi="Palatino Linotype"/>
          <w:noProof/>
          <w:sz w:val="20"/>
        </w:rPr>
        <w:t>, 1–19, doi:10.1371/journal.pntd.0008129.</w:t>
      </w:r>
    </w:p>
    <w:p w14:paraId="3BA20071"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101. </w:t>
      </w:r>
      <w:r w:rsidRPr="00FF7476">
        <w:rPr>
          <w:rFonts w:ascii="Palatino Linotype" w:hAnsi="Palatino Linotype"/>
          <w:noProof/>
          <w:sz w:val="20"/>
        </w:rPr>
        <w:tab/>
        <w:t xml:space="preserve">Lass, A.; Szostakowska, B.; Korzeniewski, K.; Karanis, P. Detection of Giardia intestinalis in water samples collected from natural water reservoirs and wells in northern and north-eastern Poland using LAMP, real-time PCR and nested PCR. </w:t>
      </w:r>
      <w:r w:rsidRPr="00FF7476">
        <w:rPr>
          <w:rFonts w:ascii="Palatino Linotype" w:hAnsi="Palatino Linotype"/>
          <w:i/>
          <w:iCs/>
          <w:noProof/>
          <w:sz w:val="20"/>
        </w:rPr>
        <w:t>J. Water Health</w:t>
      </w:r>
      <w:r w:rsidRPr="00FF7476">
        <w:rPr>
          <w:rFonts w:ascii="Palatino Linotype" w:hAnsi="Palatino Linotype"/>
          <w:noProof/>
          <w:sz w:val="20"/>
        </w:rPr>
        <w:t xml:space="preserve"> </w:t>
      </w:r>
      <w:r w:rsidRPr="00FF7476">
        <w:rPr>
          <w:rFonts w:ascii="Palatino Linotype" w:hAnsi="Palatino Linotype"/>
          <w:b/>
          <w:bCs/>
          <w:noProof/>
          <w:sz w:val="20"/>
        </w:rPr>
        <w:t>2017</w:t>
      </w:r>
      <w:r w:rsidRPr="00FF7476">
        <w:rPr>
          <w:rFonts w:ascii="Palatino Linotype" w:hAnsi="Palatino Linotype"/>
          <w:noProof/>
          <w:sz w:val="20"/>
        </w:rPr>
        <w:t xml:space="preserve">, </w:t>
      </w:r>
      <w:r w:rsidRPr="00FF7476">
        <w:rPr>
          <w:rFonts w:ascii="Palatino Linotype" w:hAnsi="Palatino Linotype"/>
          <w:i/>
          <w:iCs/>
          <w:noProof/>
          <w:sz w:val="20"/>
        </w:rPr>
        <w:t>15</w:t>
      </w:r>
      <w:r w:rsidRPr="00FF7476">
        <w:rPr>
          <w:rFonts w:ascii="Palatino Linotype" w:hAnsi="Palatino Linotype"/>
          <w:noProof/>
          <w:sz w:val="20"/>
        </w:rPr>
        <w:t>, 775–787, doi:10.2166/wh.2017.039.</w:t>
      </w:r>
    </w:p>
    <w:p w14:paraId="50F7C8D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102. </w:t>
      </w:r>
      <w:r w:rsidRPr="00FF7476">
        <w:rPr>
          <w:rFonts w:ascii="Palatino Linotype" w:hAnsi="Palatino Linotype"/>
          <w:noProof/>
          <w:sz w:val="20"/>
        </w:rPr>
        <w:tab/>
        <w:t xml:space="preserve">Alzaylaee, H.; Collins, R.A.; Shechonge, A.; Ngatunga, B.P.; Morgan, E.R.; Genner, M.J. Environmental DNA-based xenomonitoring for determining Schistosoma presence in tropical freshwaters. </w:t>
      </w:r>
      <w:r w:rsidRPr="00FF7476">
        <w:rPr>
          <w:rFonts w:ascii="Palatino Linotype" w:hAnsi="Palatino Linotype"/>
          <w:i/>
          <w:iCs/>
          <w:noProof/>
          <w:sz w:val="20"/>
        </w:rPr>
        <w:t>Parasites and Vectors</w:t>
      </w:r>
      <w:r w:rsidRPr="00FF7476">
        <w:rPr>
          <w:rFonts w:ascii="Palatino Linotype" w:hAnsi="Palatino Linotype"/>
          <w:noProof/>
          <w:sz w:val="20"/>
        </w:rPr>
        <w:t xml:space="preserve"> </w:t>
      </w:r>
      <w:r w:rsidRPr="00FF7476">
        <w:rPr>
          <w:rFonts w:ascii="Palatino Linotype" w:hAnsi="Palatino Linotype"/>
          <w:b/>
          <w:bCs/>
          <w:noProof/>
          <w:sz w:val="20"/>
        </w:rPr>
        <w:t>2020</w:t>
      </w:r>
      <w:r w:rsidRPr="00FF7476">
        <w:rPr>
          <w:rFonts w:ascii="Palatino Linotype" w:hAnsi="Palatino Linotype"/>
          <w:noProof/>
          <w:sz w:val="20"/>
        </w:rPr>
        <w:t xml:space="preserve">, </w:t>
      </w:r>
      <w:r w:rsidRPr="00FF7476">
        <w:rPr>
          <w:rFonts w:ascii="Palatino Linotype" w:hAnsi="Palatino Linotype"/>
          <w:i/>
          <w:iCs/>
          <w:noProof/>
          <w:sz w:val="20"/>
        </w:rPr>
        <w:t>13</w:t>
      </w:r>
      <w:r w:rsidRPr="00FF7476">
        <w:rPr>
          <w:rFonts w:ascii="Palatino Linotype" w:hAnsi="Palatino Linotype"/>
          <w:noProof/>
          <w:sz w:val="20"/>
        </w:rPr>
        <w:t>, 1–11, doi:10.1186/s13071-020-3941-6.</w:t>
      </w:r>
    </w:p>
    <w:p w14:paraId="4CDFC4A1"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103. </w:t>
      </w:r>
      <w:r w:rsidRPr="00FF7476">
        <w:rPr>
          <w:rFonts w:ascii="Palatino Linotype" w:hAnsi="Palatino Linotype"/>
          <w:noProof/>
          <w:sz w:val="20"/>
        </w:rPr>
        <w:tab/>
        <w:t>Mulero, S.; Boissier, J.; Allienne, J.; Quilichini, Y.; Foata, J.; Pointier, J.; Rey, O.  Environmental DNA for detecting Bulinus truncatus</w:t>
      </w:r>
      <w:r w:rsidRPr="00FF7476">
        <w:rPr>
          <w:noProof/>
          <w:sz w:val="20"/>
        </w:rPr>
        <w:t> </w:t>
      </w:r>
      <w:r w:rsidRPr="00FF7476">
        <w:rPr>
          <w:rFonts w:ascii="Palatino Linotype" w:hAnsi="Palatino Linotype"/>
          <w:noProof/>
          <w:sz w:val="20"/>
        </w:rPr>
        <w:t xml:space="preserve">: A new environmental surveillance tool for schistosomiasis emergence risk assessment . </w:t>
      </w:r>
      <w:r w:rsidRPr="00FF7476">
        <w:rPr>
          <w:rFonts w:ascii="Palatino Linotype" w:hAnsi="Palatino Linotype"/>
          <w:i/>
          <w:iCs/>
          <w:noProof/>
          <w:sz w:val="20"/>
        </w:rPr>
        <w:t>Environ. DNA</w:t>
      </w:r>
      <w:r w:rsidRPr="00FF7476">
        <w:rPr>
          <w:rFonts w:ascii="Palatino Linotype" w:hAnsi="Palatino Linotype"/>
          <w:noProof/>
          <w:sz w:val="20"/>
        </w:rPr>
        <w:t xml:space="preserve"> </w:t>
      </w:r>
      <w:r w:rsidRPr="00FF7476">
        <w:rPr>
          <w:rFonts w:ascii="Palatino Linotype" w:hAnsi="Palatino Linotype"/>
          <w:b/>
          <w:bCs/>
          <w:noProof/>
          <w:sz w:val="20"/>
        </w:rPr>
        <w:t>2020</w:t>
      </w:r>
      <w:r w:rsidRPr="00FF7476">
        <w:rPr>
          <w:rFonts w:ascii="Palatino Linotype" w:hAnsi="Palatino Linotype"/>
          <w:noProof/>
          <w:sz w:val="20"/>
        </w:rPr>
        <w:t xml:space="preserve">, </w:t>
      </w:r>
      <w:r w:rsidRPr="00FF7476">
        <w:rPr>
          <w:rFonts w:ascii="Palatino Linotype" w:hAnsi="Palatino Linotype"/>
          <w:i/>
          <w:iCs/>
          <w:noProof/>
          <w:sz w:val="20"/>
        </w:rPr>
        <w:t>2</w:t>
      </w:r>
      <w:r w:rsidRPr="00FF7476">
        <w:rPr>
          <w:rFonts w:ascii="Palatino Linotype" w:hAnsi="Palatino Linotype"/>
          <w:noProof/>
          <w:sz w:val="20"/>
        </w:rPr>
        <w:t>, 161–174, doi:10.1002/edn3.53.</w:t>
      </w:r>
    </w:p>
    <w:p w14:paraId="3F87320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104. </w:t>
      </w:r>
      <w:r w:rsidRPr="00FF7476">
        <w:rPr>
          <w:rFonts w:ascii="Palatino Linotype" w:hAnsi="Palatino Linotype"/>
          <w:noProof/>
          <w:sz w:val="20"/>
        </w:rPr>
        <w:tab/>
        <w:t xml:space="preserve">Coulibaly, G.; Ouattara, M.; Dongo, K.; Hürlimann, E.; Bassa, F.K.; Koné, N.; Essé, C.; Yapi, R.B.; Bonfoh, B.; Utzinger, J.; et al. Epidemiology of intestinal parasite infections in three departments of south-central Côte d’Ivoire before the implementation of a cluster-randomised trial. </w:t>
      </w:r>
      <w:r w:rsidRPr="00FF7476">
        <w:rPr>
          <w:rFonts w:ascii="Palatino Linotype" w:hAnsi="Palatino Linotype"/>
          <w:i/>
          <w:iCs/>
          <w:noProof/>
          <w:sz w:val="20"/>
        </w:rPr>
        <w:t>Parasite Epidemiol. Control</w:t>
      </w:r>
      <w:r w:rsidRPr="00FF7476">
        <w:rPr>
          <w:rFonts w:ascii="Palatino Linotype" w:hAnsi="Palatino Linotype"/>
          <w:noProof/>
          <w:sz w:val="20"/>
        </w:rPr>
        <w:t xml:space="preserve"> </w:t>
      </w:r>
      <w:r w:rsidRPr="00FF7476">
        <w:rPr>
          <w:rFonts w:ascii="Palatino Linotype" w:hAnsi="Palatino Linotype"/>
          <w:b/>
          <w:bCs/>
          <w:noProof/>
          <w:sz w:val="20"/>
        </w:rPr>
        <w:t>2018</w:t>
      </w:r>
      <w:r w:rsidRPr="00FF7476">
        <w:rPr>
          <w:rFonts w:ascii="Palatino Linotype" w:hAnsi="Palatino Linotype"/>
          <w:noProof/>
          <w:sz w:val="20"/>
        </w:rPr>
        <w:t xml:space="preserve">, </w:t>
      </w:r>
      <w:r w:rsidRPr="00FF7476">
        <w:rPr>
          <w:rFonts w:ascii="Palatino Linotype" w:hAnsi="Palatino Linotype"/>
          <w:i/>
          <w:iCs/>
          <w:noProof/>
          <w:sz w:val="20"/>
        </w:rPr>
        <w:t>3</w:t>
      </w:r>
      <w:r w:rsidRPr="00FF7476">
        <w:rPr>
          <w:rFonts w:ascii="Palatino Linotype" w:hAnsi="Palatino Linotype"/>
          <w:noProof/>
          <w:sz w:val="20"/>
        </w:rPr>
        <w:t>, 63–76, doi:10.1016/j.parepi.2018.02.003.</w:t>
      </w:r>
    </w:p>
    <w:p w14:paraId="4095F7DA"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105. </w:t>
      </w:r>
      <w:r w:rsidRPr="00FF7476">
        <w:rPr>
          <w:rFonts w:ascii="Palatino Linotype" w:hAnsi="Palatino Linotype"/>
          <w:noProof/>
          <w:sz w:val="20"/>
        </w:rPr>
        <w:tab/>
        <w:t xml:space="preserve">Fofana, H.K.M.; Schwarzkopf, M.; Doumbia, M.N.; Saye, R.; Nimmesgern, A.; Landouré, A.; Traoré, M.S.; Mertens, P.; Utzinger, J.; Sacko, M.; et al. Prevalence of giardia intestinalis infection in schistosomiasis-endemic areas in south-central Mali. </w:t>
      </w:r>
      <w:r w:rsidRPr="00FF7476">
        <w:rPr>
          <w:rFonts w:ascii="Palatino Linotype" w:hAnsi="Palatino Linotype"/>
          <w:i/>
          <w:iCs/>
          <w:noProof/>
          <w:sz w:val="20"/>
        </w:rPr>
        <w:t>Trop. Med. Infect. Dis.</w:t>
      </w:r>
      <w:r w:rsidRPr="00FF7476">
        <w:rPr>
          <w:rFonts w:ascii="Palatino Linotype" w:hAnsi="Palatino Linotype"/>
          <w:noProof/>
          <w:sz w:val="20"/>
        </w:rPr>
        <w:t xml:space="preserve"> </w:t>
      </w:r>
      <w:r w:rsidRPr="00FF7476">
        <w:rPr>
          <w:rFonts w:ascii="Palatino Linotype" w:hAnsi="Palatino Linotype"/>
          <w:b/>
          <w:bCs/>
          <w:noProof/>
          <w:sz w:val="20"/>
        </w:rPr>
        <w:t>2019</w:t>
      </w:r>
      <w:r w:rsidRPr="00FF7476">
        <w:rPr>
          <w:rFonts w:ascii="Palatino Linotype" w:hAnsi="Palatino Linotype"/>
          <w:noProof/>
          <w:sz w:val="20"/>
        </w:rPr>
        <w:t xml:space="preserve">, </w:t>
      </w:r>
      <w:r w:rsidRPr="00FF7476">
        <w:rPr>
          <w:rFonts w:ascii="Palatino Linotype" w:hAnsi="Palatino Linotype"/>
          <w:i/>
          <w:iCs/>
          <w:noProof/>
          <w:sz w:val="20"/>
        </w:rPr>
        <w:t>4</w:t>
      </w:r>
      <w:r w:rsidRPr="00FF7476">
        <w:rPr>
          <w:rFonts w:ascii="Palatino Linotype" w:hAnsi="Palatino Linotype"/>
          <w:noProof/>
          <w:sz w:val="20"/>
        </w:rPr>
        <w:t>, 4–9, doi:10.3390/tropicalmed4020086.</w:t>
      </w:r>
    </w:p>
    <w:p w14:paraId="54523578"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106. </w:t>
      </w:r>
      <w:r w:rsidRPr="00FF7476">
        <w:rPr>
          <w:rFonts w:ascii="Palatino Linotype" w:hAnsi="Palatino Linotype"/>
          <w:noProof/>
          <w:sz w:val="20"/>
        </w:rPr>
        <w:tab/>
        <w:t xml:space="preserve">Stothard, J.R.; Sousa-Figueiredo, J.C.; Betson, M.; Bustinduy, A.; Reinhard-Rupp, J. Schistosomiasis in African infants and preschool children: Let them now be treated! </w:t>
      </w:r>
      <w:r w:rsidRPr="00FF7476">
        <w:rPr>
          <w:rFonts w:ascii="Palatino Linotype" w:hAnsi="Palatino Linotype"/>
          <w:i/>
          <w:iCs/>
          <w:noProof/>
          <w:sz w:val="20"/>
        </w:rPr>
        <w:t>Trends Parasitol.</w:t>
      </w:r>
      <w:r w:rsidRPr="00FF7476">
        <w:rPr>
          <w:rFonts w:ascii="Palatino Linotype" w:hAnsi="Palatino Linotype"/>
          <w:noProof/>
          <w:sz w:val="20"/>
        </w:rPr>
        <w:t xml:space="preserve"> </w:t>
      </w:r>
      <w:r w:rsidRPr="00FF7476">
        <w:rPr>
          <w:rFonts w:ascii="Palatino Linotype" w:hAnsi="Palatino Linotype"/>
          <w:b/>
          <w:bCs/>
          <w:noProof/>
          <w:sz w:val="20"/>
        </w:rPr>
        <w:t>2013</w:t>
      </w:r>
      <w:r w:rsidRPr="00FF7476">
        <w:rPr>
          <w:rFonts w:ascii="Palatino Linotype" w:hAnsi="Palatino Linotype"/>
          <w:noProof/>
          <w:sz w:val="20"/>
        </w:rPr>
        <w:t xml:space="preserve">, </w:t>
      </w:r>
      <w:r w:rsidRPr="00FF7476">
        <w:rPr>
          <w:rFonts w:ascii="Palatino Linotype" w:hAnsi="Palatino Linotype"/>
          <w:i/>
          <w:iCs/>
          <w:noProof/>
          <w:sz w:val="20"/>
        </w:rPr>
        <w:t>29</w:t>
      </w:r>
      <w:r w:rsidRPr="00FF7476">
        <w:rPr>
          <w:rFonts w:ascii="Palatino Linotype" w:hAnsi="Palatino Linotype"/>
          <w:noProof/>
          <w:sz w:val="20"/>
        </w:rPr>
        <w:t>, 197–205, doi:10.1016/j.pt.2013.02.001.</w:t>
      </w:r>
    </w:p>
    <w:p w14:paraId="70DA1D2C"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107. </w:t>
      </w:r>
      <w:r w:rsidRPr="00FF7476">
        <w:rPr>
          <w:rFonts w:ascii="Palatino Linotype" w:hAnsi="Palatino Linotype"/>
          <w:noProof/>
          <w:sz w:val="20"/>
        </w:rPr>
        <w:tab/>
        <w:t xml:space="preserve">Al-Shehri, H.; James LaCourse, E.; Klimach, O.; Kabatereine, N.B.; Stothard, J.R. Molecular characterisation and taxon assemblage typing of giardiasis in primary school children living close to the shoreline of Lake Albert, Uganda. </w:t>
      </w:r>
      <w:r w:rsidRPr="00FF7476">
        <w:rPr>
          <w:rFonts w:ascii="Palatino Linotype" w:hAnsi="Palatino Linotype"/>
          <w:i/>
          <w:iCs/>
          <w:noProof/>
          <w:sz w:val="20"/>
        </w:rPr>
        <w:t>Parasite Epidemiol. Control</w:t>
      </w:r>
      <w:r w:rsidRPr="00FF7476">
        <w:rPr>
          <w:rFonts w:ascii="Palatino Linotype" w:hAnsi="Palatino Linotype"/>
          <w:noProof/>
          <w:sz w:val="20"/>
        </w:rPr>
        <w:t xml:space="preserve"> </w:t>
      </w:r>
      <w:r w:rsidRPr="00FF7476">
        <w:rPr>
          <w:rFonts w:ascii="Palatino Linotype" w:hAnsi="Palatino Linotype"/>
          <w:b/>
          <w:bCs/>
          <w:noProof/>
          <w:sz w:val="20"/>
        </w:rPr>
        <w:t>2019</w:t>
      </w:r>
      <w:r w:rsidRPr="00FF7476">
        <w:rPr>
          <w:rFonts w:ascii="Palatino Linotype" w:hAnsi="Palatino Linotype"/>
          <w:noProof/>
          <w:sz w:val="20"/>
        </w:rPr>
        <w:t xml:space="preserve">, </w:t>
      </w:r>
      <w:r w:rsidRPr="00FF7476">
        <w:rPr>
          <w:rFonts w:ascii="Palatino Linotype" w:hAnsi="Palatino Linotype"/>
          <w:i/>
          <w:iCs/>
          <w:noProof/>
          <w:sz w:val="20"/>
        </w:rPr>
        <w:t>4</w:t>
      </w:r>
      <w:r w:rsidRPr="00FF7476">
        <w:rPr>
          <w:rFonts w:ascii="Palatino Linotype" w:hAnsi="Palatino Linotype"/>
          <w:noProof/>
          <w:sz w:val="20"/>
        </w:rPr>
        <w:t>, e00074, doi:10.1016/j.parepi.2018.e00074.</w:t>
      </w:r>
    </w:p>
    <w:p w14:paraId="7A9E265A"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108. </w:t>
      </w:r>
      <w:r w:rsidRPr="00FF7476">
        <w:rPr>
          <w:rFonts w:ascii="Palatino Linotype" w:hAnsi="Palatino Linotype"/>
          <w:noProof/>
          <w:sz w:val="20"/>
        </w:rPr>
        <w:tab/>
        <w:t xml:space="preserve">Levitz, S.; Standley, C.J.; Adriko, M.; Kabatereine, N.B.; Stothard, J.R. Environmental epidemiology of intestinal schistosomiasis and genetic diversity of Schistosoma mansoni infections in snails at Bugoigo village, Lake Albert. </w:t>
      </w:r>
      <w:r w:rsidRPr="00FF7476">
        <w:rPr>
          <w:rFonts w:ascii="Palatino Linotype" w:hAnsi="Palatino Linotype"/>
          <w:i/>
          <w:iCs/>
          <w:noProof/>
          <w:sz w:val="20"/>
        </w:rPr>
        <w:t>Acta Trop.</w:t>
      </w:r>
      <w:r w:rsidRPr="00FF7476">
        <w:rPr>
          <w:rFonts w:ascii="Palatino Linotype" w:hAnsi="Palatino Linotype"/>
          <w:noProof/>
          <w:sz w:val="20"/>
        </w:rPr>
        <w:t xml:space="preserve"> </w:t>
      </w:r>
      <w:r w:rsidRPr="00FF7476">
        <w:rPr>
          <w:rFonts w:ascii="Palatino Linotype" w:hAnsi="Palatino Linotype"/>
          <w:b/>
          <w:bCs/>
          <w:noProof/>
          <w:sz w:val="20"/>
        </w:rPr>
        <w:t>2013</w:t>
      </w:r>
      <w:r w:rsidRPr="00FF7476">
        <w:rPr>
          <w:rFonts w:ascii="Palatino Linotype" w:hAnsi="Palatino Linotype"/>
          <w:noProof/>
          <w:sz w:val="20"/>
        </w:rPr>
        <w:t xml:space="preserve">, </w:t>
      </w:r>
      <w:r w:rsidRPr="00FF7476">
        <w:rPr>
          <w:rFonts w:ascii="Palatino Linotype" w:hAnsi="Palatino Linotype"/>
          <w:i/>
          <w:iCs/>
          <w:noProof/>
          <w:sz w:val="20"/>
        </w:rPr>
        <w:t>128</w:t>
      </w:r>
      <w:r w:rsidRPr="00FF7476">
        <w:rPr>
          <w:rFonts w:ascii="Palatino Linotype" w:hAnsi="Palatino Linotype"/>
          <w:noProof/>
          <w:sz w:val="20"/>
        </w:rPr>
        <w:t>, 284–291, doi:10.1016/j.actatropica.2012.10.003.</w:t>
      </w:r>
    </w:p>
    <w:p w14:paraId="2032573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109. </w:t>
      </w:r>
      <w:r w:rsidRPr="00FF7476">
        <w:rPr>
          <w:rFonts w:ascii="Palatino Linotype" w:hAnsi="Palatino Linotype"/>
          <w:noProof/>
          <w:sz w:val="20"/>
        </w:rPr>
        <w:tab/>
        <w:t xml:space="preserve">Tchuem Tchuenté, L.A.; Momo, S.C.; Stothard, J.R.; Rollinson, D. Efficacy of praziquantel and reinfection patterns in single and mixed infection foci for intestinal and urogenital schistosomiasis in Cameroon. </w:t>
      </w:r>
      <w:r w:rsidRPr="00FF7476">
        <w:rPr>
          <w:rFonts w:ascii="Palatino Linotype" w:hAnsi="Palatino Linotype"/>
          <w:i/>
          <w:iCs/>
          <w:noProof/>
          <w:sz w:val="20"/>
        </w:rPr>
        <w:t>Acta Trop.</w:t>
      </w:r>
      <w:r w:rsidRPr="00FF7476">
        <w:rPr>
          <w:rFonts w:ascii="Palatino Linotype" w:hAnsi="Palatino Linotype"/>
          <w:noProof/>
          <w:sz w:val="20"/>
        </w:rPr>
        <w:t xml:space="preserve"> </w:t>
      </w:r>
      <w:r w:rsidRPr="00FF7476">
        <w:rPr>
          <w:rFonts w:ascii="Palatino Linotype" w:hAnsi="Palatino Linotype"/>
          <w:b/>
          <w:bCs/>
          <w:noProof/>
          <w:sz w:val="20"/>
        </w:rPr>
        <w:t>2013</w:t>
      </w:r>
      <w:r w:rsidRPr="00FF7476">
        <w:rPr>
          <w:rFonts w:ascii="Palatino Linotype" w:hAnsi="Palatino Linotype"/>
          <w:noProof/>
          <w:sz w:val="20"/>
        </w:rPr>
        <w:t xml:space="preserve">, </w:t>
      </w:r>
      <w:r w:rsidRPr="00FF7476">
        <w:rPr>
          <w:rFonts w:ascii="Palatino Linotype" w:hAnsi="Palatino Linotype"/>
          <w:i/>
          <w:iCs/>
          <w:noProof/>
          <w:sz w:val="20"/>
        </w:rPr>
        <w:t>128</w:t>
      </w:r>
      <w:r w:rsidRPr="00FF7476">
        <w:rPr>
          <w:rFonts w:ascii="Palatino Linotype" w:hAnsi="Palatino Linotype"/>
          <w:noProof/>
          <w:sz w:val="20"/>
        </w:rPr>
        <w:t>, 275–283, doi:10.1016/j.actatropica.2013.06.007.</w:t>
      </w:r>
    </w:p>
    <w:p w14:paraId="46479618"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110. </w:t>
      </w:r>
      <w:r w:rsidRPr="00FF7476">
        <w:rPr>
          <w:rFonts w:ascii="Palatino Linotype" w:hAnsi="Palatino Linotype"/>
          <w:noProof/>
          <w:sz w:val="20"/>
        </w:rPr>
        <w:tab/>
        <w:t xml:space="preserve">Stothard, J.R.; Sousa-Figueiredo, J.C.; Navaratnam, A.M.D. Advocacy, policies and practicalities of preventive chemotherapy campaigns for African children with schistosomiasis. </w:t>
      </w:r>
      <w:r w:rsidRPr="00FF7476">
        <w:rPr>
          <w:rFonts w:ascii="Palatino Linotype" w:hAnsi="Palatino Linotype"/>
          <w:i/>
          <w:iCs/>
          <w:noProof/>
          <w:sz w:val="20"/>
        </w:rPr>
        <w:t>Expert Rev. Anti. Infect. Ther.</w:t>
      </w:r>
      <w:r w:rsidRPr="00FF7476">
        <w:rPr>
          <w:rFonts w:ascii="Palatino Linotype" w:hAnsi="Palatino Linotype"/>
          <w:noProof/>
          <w:sz w:val="20"/>
        </w:rPr>
        <w:t xml:space="preserve"> </w:t>
      </w:r>
      <w:r w:rsidRPr="00FF7476">
        <w:rPr>
          <w:rFonts w:ascii="Palatino Linotype" w:hAnsi="Palatino Linotype"/>
          <w:b/>
          <w:bCs/>
          <w:noProof/>
          <w:sz w:val="20"/>
        </w:rPr>
        <w:t>2013</w:t>
      </w:r>
      <w:r w:rsidRPr="00FF7476">
        <w:rPr>
          <w:rFonts w:ascii="Palatino Linotype" w:hAnsi="Palatino Linotype"/>
          <w:noProof/>
          <w:sz w:val="20"/>
        </w:rPr>
        <w:t xml:space="preserve">, </w:t>
      </w:r>
      <w:r w:rsidRPr="00FF7476">
        <w:rPr>
          <w:rFonts w:ascii="Palatino Linotype" w:hAnsi="Palatino Linotype"/>
          <w:i/>
          <w:iCs/>
          <w:noProof/>
          <w:sz w:val="20"/>
        </w:rPr>
        <w:t>11</w:t>
      </w:r>
      <w:r w:rsidRPr="00FF7476">
        <w:rPr>
          <w:rFonts w:ascii="Palatino Linotype" w:hAnsi="Palatino Linotype"/>
          <w:noProof/>
          <w:sz w:val="20"/>
        </w:rPr>
        <w:t>, 733–752, doi:10.1586/14787210.2013.811931.</w:t>
      </w:r>
    </w:p>
    <w:p w14:paraId="4355DF66"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111. </w:t>
      </w:r>
      <w:r w:rsidRPr="00FF7476">
        <w:rPr>
          <w:rFonts w:ascii="Palatino Linotype" w:hAnsi="Palatino Linotype"/>
          <w:noProof/>
          <w:sz w:val="20"/>
        </w:rPr>
        <w:tab/>
        <w:t xml:space="preserve">Park, S.K.; Marchant, J.S. The Journey to Discovering a Flatworm Target of Praziquantel: A Long TRP. </w:t>
      </w:r>
      <w:r w:rsidRPr="00FF7476">
        <w:rPr>
          <w:rFonts w:ascii="Palatino Linotype" w:hAnsi="Palatino Linotype"/>
          <w:i/>
          <w:iCs/>
          <w:noProof/>
          <w:sz w:val="20"/>
        </w:rPr>
        <w:t>Trends Parasitol.</w:t>
      </w:r>
      <w:r w:rsidRPr="00FF7476">
        <w:rPr>
          <w:rFonts w:ascii="Palatino Linotype" w:hAnsi="Palatino Linotype"/>
          <w:noProof/>
          <w:sz w:val="20"/>
        </w:rPr>
        <w:t xml:space="preserve"> </w:t>
      </w:r>
      <w:r w:rsidRPr="00FF7476">
        <w:rPr>
          <w:rFonts w:ascii="Palatino Linotype" w:hAnsi="Palatino Linotype"/>
          <w:b/>
          <w:bCs/>
          <w:noProof/>
          <w:sz w:val="20"/>
        </w:rPr>
        <w:t>2020</w:t>
      </w:r>
      <w:r w:rsidRPr="00FF7476">
        <w:rPr>
          <w:rFonts w:ascii="Palatino Linotype" w:hAnsi="Palatino Linotype"/>
          <w:noProof/>
          <w:sz w:val="20"/>
        </w:rPr>
        <w:t xml:space="preserve">, </w:t>
      </w:r>
      <w:r w:rsidRPr="00FF7476">
        <w:rPr>
          <w:rFonts w:ascii="Palatino Linotype" w:hAnsi="Palatino Linotype"/>
          <w:i/>
          <w:iCs/>
          <w:noProof/>
          <w:sz w:val="20"/>
        </w:rPr>
        <w:t>36</w:t>
      </w:r>
      <w:r w:rsidRPr="00FF7476">
        <w:rPr>
          <w:rFonts w:ascii="Palatino Linotype" w:hAnsi="Palatino Linotype"/>
          <w:noProof/>
          <w:sz w:val="20"/>
        </w:rPr>
        <w:t>, 182–194, doi:10.1016/j.pt.2019.11.002.</w:t>
      </w:r>
    </w:p>
    <w:p w14:paraId="50682D3C"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112. </w:t>
      </w:r>
      <w:r w:rsidRPr="00FF7476">
        <w:rPr>
          <w:rFonts w:ascii="Palatino Linotype" w:hAnsi="Palatino Linotype"/>
          <w:noProof/>
          <w:sz w:val="20"/>
        </w:rPr>
        <w:tab/>
        <w:t xml:space="preserve">Lo, N.C.; Addiss, D.G.; Hotez, P.J.; King, C.H.; Stothard, J.R.; Evans, D.S.; Colley, D.G.; Lin, W.; Coulibaly, J.T.; Bustinduy, A.L.; et al. A call to strengthen the global strategy against schistosomiasis and soil-transmitted helminthiasis: the time is now. </w:t>
      </w:r>
      <w:r w:rsidRPr="00FF7476">
        <w:rPr>
          <w:rFonts w:ascii="Palatino Linotype" w:hAnsi="Palatino Linotype"/>
          <w:i/>
          <w:iCs/>
          <w:noProof/>
          <w:sz w:val="20"/>
        </w:rPr>
        <w:t>Lancet Infect. Dis.</w:t>
      </w:r>
      <w:r w:rsidRPr="00FF7476">
        <w:rPr>
          <w:rFonts w:ascii="Palatino Linotype" w:hAnsi="Palatino Linotype"/>
          <w:noProof/>
          <w:sz w:val="20"/>
        </w:rPr>
        <w:t xml:space="preserve"> </w:t>
      </w:r>
      <w:r w:rsidRPr="00FF7476">
        <w:rPr>
          <w:rFonts w:ascii="Palatino Linotype" w:hAnsi="Palatino Linotype"/>
          <w:b/>
          <w:bCs/>
          <w:noProof/>
          <w:sz w:val="20"/>
        </w:rPr>
        <w:t>2017</w:t>
      </w:r>
      <w:r w:rsidRPr="00FF7476">
        <w:rPr>
          <w:rFonts w:ascii="Palatino Linotype" w:hAnsi="Palatino Linotype"/>
          <w:noProof/>
          <w:sz w:val="20"/>
        </w:rPr>
        <w:t xml:space="preserve">, </w:t>
      </w:r>
      <w:r w:rsidRPr="00FF7476">
        <w:rPr>
          <w:rFonts w:ascii="Palatino Linotype" w:hAnsi="Palatino Linotype"/>
          <w:i/>
          <w:iCs/>
          <w:noProof/>
          <w:sz w:val="20"/>
        </w:rPr>
        <w:t>17</w:t>
      </w:r>
      <w:r w:rsidRPr="00FF7476">
        <w:rPr>
          <w:rFonts w:ascii="Palatino Linotype" w:hAnsi="Palatino Linotype"/>
          <w:noProof/>
          <w:sz w:val="20"/>
        </w:rPr>
        <w:t>, e64–e69, doi:10.1016/S1473-3099(16)30535-7.</w:t>
      </w:r>
    </w:p>
    <w:p w14:paraId="479C473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113. </w:t>
      </w:r>
      <w:r w:rsidRPr="00FF7476">
        <w:rPr>
          <w:rFonts w:ascii="Palatino Linotype" w:hAnsi="Palatino Linotype"/>
          <w:noProof/>
          <w:sz w:val="20"/>
        </w:rPr>
        <w:tab/>
        <w:t xml:space="preserve">Wang, W.; Wang, L.; Liang, Y.S. Susceptibility or resistance of praziquantel in human schistosomiasis: A review. </w:t>
      </w:r>
      <w:r w:rsidRPr="00FF7476">
        <w:rPr>
          <w:rFonts w:ascii="Palatino Linotype" w:hAnsi="Palatino Linotype"/>
          <w:i/>
          <w:iCs/>
          <w:noProof/>
          <w:sz w:val="20"/>
        </w:rPr>
        <w:t>Parasitol. Res.</w:t>
      </w:r>
      <w:r w:rsidRPr="00FF7476">
        <w:rPr>
          <w:rFonts w:ascii="Palatino Linotype" w:hAnsi="Palatino Linotype"/>
          <w:noProof/>
          <w:sz w:val="20"/>
        </w:rPr>
        <w:t xml:space="preserve"> </w:t>
      </w:r>
      <w:r w:rsidRPr="00FF7476">
        <w:rPr>
          <w:rFonts w:ascii="Palatino Linotype" w:hAnsi="Palatino Linotype"/>
          <w:b/>
          <w:bCs/>
          <w:noProof/>
          <w:sz w:val="20"/>
        </w:rPr>
        <w:t>2012</w:t>
      </w:r>
      <w:r w:rsidRPr="00FF7476">
        <w:rPr>
          <w:rFonts w:ascii="Palatino Linotype" w:hAnsi="Palatino Linotype"/>
          <w:noProof/>
          <w:sz w:val="20"/>
        </w:rPr>
        <w:t xml:space="preserve">, </w:t>
      </w:r>
      <w:r w:rsidRPr="00FF7476">
        <w:rPr>
          <w:rFonts w:ascii="Palatino Linotype" w:hAnsi="Palatino Linotype"/>
          <w:i/>
          <w:iCs/>
          <w:noProof/>
          <w:sz w:val="20"/>
        </w:rPr>
        <w:t>111</w:t>
      </w:r>
      <w:r w:rsidRPr="00FF7476">
        <w:rPr>
          <w:rFonts w:ascii="Palatino Linotype" w:hAnsi="Palatino Linotype"/>
          <w:noProof/>
          <w:sz w:val="20"/>
        </w:rPr>
        <w:t>, 1871–1877, doi:10.1007/s00436-012-3151-z.</w:t>
      </w:r>
    </w:p>
    <w:p w14:paraId="5163E7F5"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114. </w:t>
      </w:r>
      <w:r w:rsidRPr="00FF7476">
        <w:rPr>
          <w:rFonts w:ascii="Palatino Linotype" w:hAnsi="Palatino Linotype"/>
          <w:noProof/>
          <w:sz w:val="20"/>
        </w:rPr>
        <w:tab/>
        <w:t xml:space="preserve">Bustinduy, A.L.; Friedman, J.F.; Kjetland, E.F.; Ezeamama, A.E.; Kabatereine, N.B.; Stothard, J.R.; King, C.H. Expanding Praziquantel (PZQ) Access beyond Mass Drug Administration Programs: Paving a Way Forward for a Pediatric PZQ Formulation for Schistosomiasis. </w:t>
      </w:r>
      <w:r w:rsidRPr="00FF7476">
        <w:rPr>
          <w:rFonts w:ascii="Palatino Linotype" w:hAnsi="Palatino Linotype"/>
          <w:i/>
          <w:iCs/>
          <w:noProof/>
          <w:sz w:val="20"/>
        </w:rPr>
        <w:t>PLoS Negl. Trop. Dis.</w:t>
      </w:r>
      <w:r w:rsidRPr="00FF7476">
        <w:rPr>
          <w:rFonts w:ascii="Palatino Linotype" w:hAnsi="Palatino Linotype"/>
          <w:noProof/>
          <w:sz w:val="20"/>
        </w:rPr>
        <w:t xml:space="preserve"> </w:t>
      </w:r>
      <w:r w:rsidRPr="00FF7476">
        <w:rPr>
          <w:rFonts w:ascii="Palatino Linotype" w:hAnsi="Palatino Linotype"/>
          <w:b/>
          <w:bCs/>
          <w:noProof/>
          <w:sz w:val="20"/>
        </w:rPr>
        <w:t>2016</w:t>
      </w:r>
      <w:r w:rsidRPr="00FF7476">
        <w:rPr>
          <w:rFonts w:ascii="Palatino Linotype" w:hAnsi="Palatino Linotype"/>
          <w:noProof/>
          <w:sz w:val="20"/>
        </w:rPr>
        <w:t xml:space="preserve">, </w:t>
      </w:r>
      <w:r w:rsidRPr="00FF7476">
        <w:rPr>
          <w:rFonts w:ascii="Palatino Linotype" w:hAnsi="Palatino Linotype"/>
          <w:i/>
          <w:iCs/>
          <w:noProof/>
          <w:sz w:val="20"/>
        </w:rPr>
        <w:t>10</w:t>
      </w:r>
      <w:r w:rsidRPr="00FF7476">
        <w:rPr>
          <w:rFonts w:ascii="Palatino Linotype" w:hAnsi="Palatino Linotype"/>
          <w:noProof/>
          <w:sz w:val="20"/>
        </w:rPr>
        <w:t>, 1–7, doi:10.1371/journal.pntd.0004946.</w:t>
      </w:r>
    </w:p>
    <w:p w14:paraId="00C694F3"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115. </w:t>
      </w:r>
      <w:r w:rsidRPr="00FF7476">
        <w:rPr>
          <w:rFonts w:ascii="Palatino Linotype" w:hAnsi="Palatino Linotype"/>
          <w:noProof/>
          <w:sz w:val="20"/>
        </w:rPr>
        <w:tab/>
        <w:t xml:space="preserve">Bergquist, R.; Utzinger, J.; Keiser, J. Controlling schistosomiasis with praziquantel: How much longer without a viable alternative? </w:t>
      </w:r>
      <w:r w:rsidRPr="00FF7476">
        <w:rPr>
          <w:rFonts w:ascii="Palatino Linotype" w:hAnsi="Palatino Linotype"/>
          <w:i/>
          <w:iCs/>
          <w:noProof/>
          <w:sz w:val="20"/>
        </w:rPr>
        <w:t>Infect. Dis. Poverty</w:t>
      </w:r>
      <w:r w:rsidRPr="00FF7476">
        <w:rPr>
          <w:rFonts w:ascii="Palatino Linotype" w:hAnsi="Palatino Linotype"/>
          <w:noProof/>
          <w:sz w:val="20"/>
        </w:rPr>
        <w:t xml:space="preserve"> </w:t>
      </w:r>
      <w:r w:rsidRPr="00FF7476">
        <w:rPr>
          <w:rFonts w:ascii="Palatino Linotype" w:hAnsi="Palatino Linotype"/>
          <w:b/>
          <w:bCs/>
          <w:noProof/>
          <w:sz w:val="20"/>
        </w:rPr>
        <w:t>2017</w:t>
      </w:r>
      <w:r w:rsidRPr="00FF7476">
        <w:rPr>
          <w:rFonts w:ascii="Palatino Linotype" w:hAnsi="Palatino Linotype"/>
          <w:noProof/>
          <w:sz w:val="20"/>
        </w:rPr>
        <w:t xml:space="preserve">, </w:t>
      </w:r>
      <w:r w:rsidRPr="00FF7476">
        <w:rPr>
          <w:rFonts w:ascii="Palatino Linotype" w:hAnsi="Palatino Linotype"/>
          <w:i/>
          <w:iCs/>
          <w:noProof/>
          <w:sz w:val="20"/>
        </w:rPr>
        <w:t>6</w:t>
      </w:r>
      <w:r w:rsidRPr="00FF7476">
        <w:rPr>
          <w:rFonts w:ascii="Palatino Linotype" w:hAnsi="Palatino Linotype"/>
          <w:noProof/>
          <w:sz w:val="20"/>
        </w:rPr>
        <w:t>, 1–10, doi:10.1186/s40249-017-0286-2.</w:t>
      </w:r>
    </w:p>
    <w:p w14:paraId="5D4CD3D1"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116. </w:t>
      </w:r>
      <w:r w:rsidRPr="00FF7476">
        <w:rPr>
          <w:rFonts w:ascii="Palatino Linotype" w:hAnsi="Palatino Linotype"/>
          <w:noProof/>
          <w:sz w:val="20"/>
        </w:rPr>
        <w:tab/>
        <w:t xml:space="preserve">Doenhoff, M.J.; Cioli, D.; Utzinger, J. Praziquantel: Mechanisms of action, resistance and new derivatives for schistosomiasis. </w:t>
      </w:r>
      <w:r w:rsidRPr="00FF7476">
        <w:rPr>
          <w:rFonts w:ascii="Palatino Linotype" w:hAnsi="Palatino Linotype"/>
          <w:i/>
          <w:iCs/>
          <w:noProof/>
          <w:sz w:val="20"/>
        </w:rPr>
        <w:t>Curr. Opin. Infect. Dis.</w:t>
      </w:r>
      <w:r w:rsidRPr="00FF7476">
        <w:rPr>
          <w:rFonts w:ascii="Palatino Linotype" w:hAnsi="Palatino Linotype"/>
          <w:noProof/>
          <w:sz w:val="20"/>
        </w:rPr>
        <w:t xml:space="preserve"> </w:t>
      </w:r>
      <w:r w:rsidRPr="00FF7476">
        <w:rPr>
          <w:rFonts w:ascii="Palatino Linotype" w:hAnsi="Palatino Linotype"/>
          <w:b/>
          <w:bCs/>
          <w:noProof/>
          <w:sz w:val="20"/>
        </w:rPr>
        <w:t>2008</w:t>
      </w:r>
      <w:r w:rsidRPr="00FF7476">
        <w:rPr>
          <w:rFonts w:ascii="Palatino Linotype" w:hAnsi="Palatino Linotype"/>
          <w:noProof/>
          <w:sz w:val="20"/>
        </w:rPr>
        <w:t xml:space="preserve">, </w:t>
      </w:r>
      <w:r w:rsidRPr="00FF7476">
        <w:rPr>
          <w:rFonts w:ascii="Palatino Linotype" w:hAnsi="Palatino Linotype"/>
          <w:i/>
          <w:iCs/>
          <w:noProof/>
          <w:sz w:val="20"/>
        </w:rPr>
        <w:t>21</w:t>
      </w:r>
      <w:r w:rsidRPr="00FF7476">
        <w:rPr>
          <w:rFonts w:ascii="Palatino Linotype" w:hAnsi="Palatino Linotype"/>
          <w:noProof/>
          <w:sz w:val="20"/>
        </w:rPr>
        <w:t>, 659–667, doi:10.1097/QCO.0b013e328318978f.</w:t>
      </w:r>
    </w:p>
    <w:p w14:paraId="6766D2D7"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117. </w:t>
      </w:r>
      <w:r w:rsidRPr="00FF7476">
        <w:rPr>
          <w:rFonts w:ascii="Palatino Linotype" w:hAnsi="Palatino Linotype"/>
          <w:noProof/>
          <w:sz w:val="20"/>
        </w:rPr>
        <w:tab/>
        <w:t xml:space="preserve">Hill, D.R.; Timothy.B., G. Treatment of giardiasis. </w:t>
      </w:r>
      <w:r w:rsidRPr="00FF7476">
        <w:rPr>
          <w:rFonts w:ascii="Palatino Linotype" w:hAnsi="Palatino Linotype"/>
          <w:i/>
          <w:iCs/>
          <w:noProof/>
          <w:sz w:val="20"/>
        </w:rPr>
        <w:t>Curr. Treat. Options Gastroenterol.</w:t>
      </w:r>
      <w:r w:rsidRPr="00FF7476">
        <w:rPr>
          <w:rFonts w:ascii="Palatino Linotype" w:hAnsi="Palatino Linotype"/>
          <w:noProof/>
          <w:sz w:val="20"/>
        </w:rPr>
        <w:t xml:space="preserve"> </w:t>
      </w:r>
      <w:r w:rsidRPr="00FF7476">
        <w:rPr>
          <w:rFonts w:ascii="Palatino Linotype" w:hAnsi="Palatino Linotype"/>
          <w:b/>
          <w:bCs/>
          <w:noProof/>
          <w:sz w:val="20"/>
        </w:rPr>
        <w:t>2005</w:t>
      </w:r>
      <w:r w:rsidRPr="00FF7476">
        <w:rPr>
          <w:rFonts w:ascii="Palatino Linotype" w:hAnsi="Palatino Linotype"/>
          <w:noProof/>
          <w:sz w:val="20"/>
        </w:rPr>
        <w:t xml:space="preserve">, </w:t>
      </w:r>
      <w:r w:rsidRPr="00FF7476">
        <w:rPr>
          <w:rFonts w:ascii="Palatino Linotype" w:hAnsi="Palatino Linotype"/>
          <w:i/>
          <w:iCs/>
          <w:noProof/>
          <w:sz w:val="20"/>
        </w:rPr>
        <w:t>8</w:t>
      </w:r>
      <w:r w:rsidRPr="00FF7476">
        <w:rPr>
          <w:rFonts w:ascii="Palatino Linotype" w:hAnsi="Palatino Linotype"/>
          <w:noProof/>
          <w:sz w:val="20"/>
        </w:rPr>
        <w:t>, 13–17, doi:10.1007/s11938-005-0047-3.</w:t>
      </w:r>
    </w:p>
    <w:p w14:paraId="6EB36635"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118. </w:t>
      </w:r>
      <w:r w:rsidRPr="00FF7476">
        <w:rPr>
          <w:rFonts w:ascii="Palatino Linotype" w:hAnsi="Palatino Linotype"/>
          <w:noProof/>
          <w:sz w:val="20"/>
        </w:rPr>
        <w:tab/>
        <w:t xml:space="preserve">Ce, G.; Reveiz, L.; Lg, U.; Cp, C. Drugs for treating giardiasis ( Review ). </w:t>
      </w:r>
      <w:r w:rsidRPr="00FF7476">
        <w:rPr>
          <w:rFonts w:ascii="Palatino Linotype" w:hAnsi="Palatino Linotype"/>
          <w:b/>
          <w:bCs/>
          <w:noProof/>
          <w:sz w:val="20"/>
        </w:rPr>
        <w:t>2012</w:t>
      </w:r>
      <w:r w:rsidRPr="00FF7476">
        <w:rPr>
          <w:rFonts w:ascii="Palatino Linotype" w:hAnsi="Palatino Linotype"/>
          <w:noProof/>
          <w:sz w:val="20"/>
        </w:rPr>
        <w:t>, doi:10.1002/14651858.CD007787.pub2.www.cochranelibrary.com.</w:t>
      </w:r>
    </w:p>
    <w:p w14:paraId="7364F2DE"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119. </w:t>
      </w:r>
      <w:r w:rsidRPr="00FF7476">
        <w:rPr>
          <w:rFonts w:ascii="Palatino Linotype" w:hAnsi="Palatino Linotype"/>
          <w:noProof/>
          <w:sz w:val="20"/>
        </w:rPr>
        <w:tab/>
        <w:t xml:space="preserve">Carter, E.R.; Nabarro, L.E.; Hedley, L.; Chiodini, P.L. Nitroimidazole-refractory giardiasis: a growing problem requiring rational solutions. </w:t>
      </w:r>
      <w:r w:rsidRPr="00FF7476">
        <w:rPr>
          <w:rFonts w:ascii="Palatino Linotype" w:hAnsi="Palatino Linotype"/>
          <w:i/>
          <w:iCs/>
          <w:noProof/>
          <w:sz w:val="20"/>
        </w:rPr>
        <w:t>Clin. Microbiol. Infect.</w:t>
      </w:r>
      <w:r w:rsidRPr="00FF7476">
        <w:rPr>
          <w:rFonts w:ascii="Palatino Linotype" w:hAnsi="Palatino Linotype"/>
          <w:noProof/>
          <w:sz w:val="20"/>
        </w:rPr>
        <w:t xml:space="preserve"> </w:t>
      </w:r>
      <w:r w:rsidRPr="00FF7476">
        <w:rPr>
          <w:rFonts w:ascii="Palatino Linotype" w:hAnsi="Palatino Linotype"/>
          <w:b/>
          <w:bCs/>
          <w:noProof/>
          <w:sz w:val="20"/>
        </w:rPr>
        <w:t>2018</w:t>
      </w:r>
      <w:r w:rsidRPr="00FF7476">
        <w:rPr>
          <w:rFonts w:ascii="Palatino Linotype" w:hAnsi="Palatino Linotype"/>
          <w:noProof/>
          <w:sz w:val="20"/>
        </w:rPr>
        <w:t xml:space="preserve">, </w:t>
      </w:r>
      <w:r w:rsidRPr="00FF7476">
        <w:rPr>
          <w:rFonts w:ascii="Palatino Linotype" w:hAnsi="Palatino Linotype"/>
          <w:i/>
          <w:iCs/>
          <w:noProof/>
          <w:sz w:val="20"/>
        </w:rPr>
        <w:t>24</w:t>
      </w:r>
      <w:r w:rsidRPr="00FF7476">
        <w:rPr>
          <w:rFonts w:ascii="Palatino Linotype" w:hAnsi="Palatino Linotype"/>
          <w:noProof/>
          <w:sz w:val="20"/>
        </w:rPr>
        <w:t>, 37–42, doi:10.1016/j.cmi.2017.05.028.</w:t>
      </w:r>
    </w:p>
    <w:p w14:paraId="02C612FB"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120. </w:t>
      </w:r>
      <w:r w:rsidRPr="00FF7476">
        <w:rPr>
          <w:rFonts w:ascii="Palatino Linotype" w:hAnsi="Palatino Linotype"/>
          <w:noProof/>
          <w:sz w:val="20"/>
        </w:rPr>
        <w:tab/>
        <w:t xml:space="preserve">Vercruysse, J.; Behnke, J.M.; Albonico, M.; Ame, S.M.; Angebault, C.; Bethony, J.M.; Engels, D.; Guillard, B.; Hoa, N.T.V.; Kang, G.; et al. Assessment of the anthelmintic efficacy of albendazole in school children in seven countries where soil-transmitted helminths are endemic. </w:t>
      </w:r>
      <w:r w:rsidRPr="00FF7476">
        <w:rPr>
          <w:rFonts w:ascii="Palatino Linotype" w:hAnsi="Palatino Linotype"/>
          <w:i/>
          <w:iCs/>
          <w:noProof/>
          <w:sz w:val="20"/>
        </w:rPr>
        <w:t>PLoS Negl. Trop. Dis.</w:t>
      </w:r>
      <w:r w:rsidRPr="00FF7476">
        <w:rPr>
          <w:rFonts w:ascii="Palatino Linotype" w:hAnsi="Palatino Linotype"/>
          <w:noProof/>
          <w:sz w:val="20"/>
        </w:rPr>
        <w:t xml:space="preserve"> </w:t>
      </w:r>
      <w:r w:rsidRPr="00FF7476">
        <w:rPr>
          <w:rFonts w:ascii="Palatino Linotype" w:hAnsi="Palatino Linotype"/>
          <w:b/>
          <w:bCs/>
          <w:noProof/>
          <w:sz w:val="20"/>
        </w:rPr>
        <w:t>2011</w:t>
      </w:r>
      <w:r w:rsidRPr="00FF7476">
        <w:rPr>
          <w:rFonts w:ascii="Palatino Linotype" w:hAnsi="Palatino Linotype"/>
          <w:noProof/>
          <w:sz w:val="20"/>
        </w:rPr>
        <w:t xml:space="preserve">, </w:t>
      </w:r>
      <w:r w:rsidRPr="00FF7476">
        <w:rPr>
          <w:rFonts w:ascii="Palatino Linotype" w:hAnsi="Palatino Linotype"/>
          <w:i/>
          <w:iCs/>
          <w:noProof/>
          <w:sz w:val="20"/>
        </w:rPr>
        <w:t>5</w:t>
      </w:r>
      <w:r w:rsidRPr="00FF7476">
        <w:rPr>
          <w:rFonts w:ascii="Palatino Linotype" w:hAnsi="Palatino Linotype"/>
          <w:noProof/>
          <w:sz w:val="20"/>
        </w:rPr>
        <w:t>, doi:10.1371/journal.pntd.0000948.</w:t>
      </w:r>
    </w:p>
    <w:p w14:paraId="03D2E30E"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121. </w:t>
      </w:r>
      <w:r w:rsidRPr="00FF7476">
        <w:rPr>
          <w:rFonts w:ascii="Palatino Linotype" w:hAnsi="Palatino Linotype"/>
          <w:noProof/>
          <w:sz w:val="20"/>
        </w:rPr>
        <w:tab/>
        <w:t xml:space="preserve">Hoerauf, A.; Pfarr, K.; Mand, S.; Debrah, A.Y.; Specht, S. Filariasis in Africa-treatment challenges and prospects. </w:t>
      </w:r>
      <w:r w:rsidRPr="00FF7476">
        <w:rPr>
          <w:rFonts w:ascii="Palatino Linotype" w:hAnsi="Palatino Linotype"/>
          <w:i/>
          <w:iCs/>
          <w:noProof/>
          <w:sz w:val="20"/>
        </w:rPr>
        <w:t>Clin. Microbiol. Infect.</w:t>
      </w:r>
      <w:r w:rsidRPr="00FF7476">
        <w:rPr>
          <w:rFonts w:ascii="Palatino Linotype" w:hAnsi="Palatino Linotype"/>
          <w:noProof/>
          <w:sz w:val="20"/>
        </w:rPr>
        <w:t xml:space="preserve"> </w:t>
      </w:r>
      <w:r w:rsidRPr="00FF7476">
        <w:rPr>
          <w:rFonts w:ascii="Palatino Linotype" w:hAnsi="Palatino Linotype"/>
          <w:b/>
          <w:bCs/>
          <w:noProof/>
          <w:sz w:val="20"/>
        </w:rPr>
        <w:t>2011</w:t>
      </w:r>
      <w:r w:rsidRPr="00FF7476">
        <w:rPr>
          <w:rFonts w:ascii="Palatino Linotype" w:hAnsi="Palatino Linotype"/>
          <w:noProof/>
          <w:sz w:val="20"/>
        </w:rPr>
        <w:t xml:space="preserve">, </w:t>
      </w:r>
      <w:r w:rsidRPr="00FF7476">
        <w:rPr>
          <w:rFonts w:ascii="Palatino Linotype" w:hAnsi="Palatino Linotype"/>
          <w:i/>
          <w:iCs/>
          <w:noProof/>
          <w:sz w:val="20"/>
        </w:rPr>
        <w:t>17</w:t>
      </w:r>
      <w:r w:rsidRPr="00FF7476">
        <w:rPr>
          <w:rFonts w:ascii="Palatino Linotype" w:hAnsi="Palatino Linotype"/>
          <w:noProof/>
          <w:sz w:val="20"/>
        </w:rPr>
        <w:t>, 977–985, doi:10.1111/j.1469-0691.2011.03586.x.</w:t>
      </w:r>
    </w:p>
    <w:p w14:paraId="4C5D4895"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122. </w:t>
      </w:r>
      <w:r w:rsidRPr="00FF7476">
        <w:rPr>
          <w:rFonts w:ascii="Palatino Linotype" w:hAnsi="Palatino Linotype"/>
          <w:noProof/>
          <w:sz w:val="20"/>
        </w:rPr>
        <w:tab/>
        <w:t xml:space="preserve">Solaymani-Mohammadi, S.; Genkinger, J.M.; Loffredo, C.A.; Singer, S.M. A meta-analysis of the effectiveness of albendazole compared with metronidazole as treatments for infections with Giardia duodenalis. </w:t>
      </w:r>
      <w:r w:rsidRPr="00FF7476">
        <w:rPr>
          <w:rFonts w:ascii="Palatino Linotype" w:hAnsi="Palatino Linotype"/>
          <w:i/>
          <w:iCs/>
          <w:noProof/>
          <w:sz w:val="20"/>
        </w:rPr>
        <w:t>PLoS Negl. Trop. Dis.</w:t>
      </w:r>
      <w:r w:rsidRPr="00FF7476">
        <w:rPr>
          <w:rFonts w:ascii="Palatino Linotype" w:hAnsi="Palatino Linotype"/>
          <w:noProof/>
          <w:sz w:val="20"/>
        </w:rPr>
        <w:t xml:space="preserve"> </w:t>
      </w:r>
      <w:r w:rsidRPr="00FF7476">
        <w:rPr>
          <w:rFonts w:ascii="Palatino Linotype" w:hAnsi="Palatino Linotype"/>
          <w:b/>
          <w:bCs/>
          <w:noProof/>
          <w:sz w:val="20"/>
        </w:rPr>
        <w:t>2010</w:t>
      </w:r>
      <w:r w:rsidRPr="00FF7476">
        <w:rPr>
          <w:rFonts w:ascii="Palatino Linotype" w:hAnsi="Palatino Linotype"/>
          <w:noProof/>
          <w:sz w:val="20"/>
        </w:rPr>
        <w:t xml:space="preserve">, </w:t>
      </w:r>
      <w:r w:rsidRPr="00FF7476">
        <w:rPr>
          <w:rFonts w:ascii="Palatino Linotype" w:hAnsi="Palatino Linotype"/>
          <w:i/>
          <w:iCs/>
          <w:noProof/>
          <w:sz w:val="20"/>
        </w:rPr>
        <w:t>4</w:t>
      </w:r>
      <w:r w:rsidRPr="00FF7476">
        <w:rPr>
          <w:rFonts w:ascii="Palatino Linotype" w:hAnsi="Palatino Linotype"/>
          <w:noProof/>
          <w:sz w:val="20"/>
        </w:rPr>
        <w:t>, doi:10.1371/journal.pntd.0000682.</w:t>
      </w:r>
    </w:p>
    <w:p w14:paraId="31B66B5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123. </w:t>
      </w:r>
      <w:r w:rsidRPr="00FF7476">
        <w:rPr>
          <w:rFonts w:ascii="Palatino Linotype" w:hAnsi="Palatino Linotype"/>
          <w:noProof/>
          <w:sz w:val="20"/>
        </w:rPr>
        <w:tab/>
        <w:t xml:space="preserve">Pickering, A.J.; Njenga, S.M.; Steinbaum, L.; Swarthout, J.; Lin, A.; Arnold, B.F.; Stewart, C.P.; Dentz, H.N.; Mureithi, M.; Chieng, B.; et al. Effects of single and integrated water, sanitation, handwashing, and nutrition interventions on child soil-transmitted helminth and giardia infections: A cluster-randomized controlled trial in rural Kenya. </w:t>
      </w:r>
      <w:r w:rsidRPr="00FF7476">
        <w:rPr>
          <w:rFonts w:ascii="Palatino Linotype" w:hAnsi="Palatino Linotype"/>
          <w:i/>
          <w:iCs/>
          <w:noProof/>
          <w:sz w:val="20"/>
        </w:rPr>
        <w:t>PLoS Med.</w:t>
      </w:r>
      <w:r w:rsidRPr="00FF7476">
        <w:rPr>
          <w:rFonts w:ascii="Palatino Linotype" w:hAnsi="Palatino Linotype"/>
          <w:noProof/>
          <w:sz w:val="20"/>
        </w:rPr>
        <w:t xml:space="preserve"> </w:t>
      </w:r>
      <w:r w:rsidRPr="00FF7476">
        <w:rPr>
          <w:rFonts w:ascii="Palatino Linotype" w:hAnsi="Palatino Linotype"/>
          <w:b/>
          <w:bCs/>
          <w:noProof/>
          <w:sz w:val="20"/>
        </w:rPr>
        <w:t>2019</w:t>
      </w:r>
      <w:r w:rsidRPr="00FF7476">
        <w:rPr>
          <w:rFonts w:ascii="Palatino Linotype" w:hAnsi="Palatino Linotype"/>
          <w:noProof/>
          <w:sz w:val="20"/>
        </w:rPr>
        <w:t xml:space="preserve">, </w:t>
      </w:r>
      <w:r w:rsidRPr="00FF7476">
        <w:rPr>
          <w:rFonts w:ascii="Palatino Linotype" w:hAnsi="Palatino Linotype"/>
          <w:i/>
          <w:iCs/>
          <w:noProof/>
          <w:sz w:val="20"/>
        </w:rPr>
        <w:t>16</w:t>
      </w:r>
      <w:r w:rsidRPr="00FF7476">
        <w:rPr>
          <w:rFonts w:ascii="Palatino Linotype" w:hAnsi="Palatino Linotype"/>
          <w:noProof/>
          <w:sz w:val="20"/>
        </w:rPr>
        <w:t>, 1–21, doi:10.1371/journal.pmed.1002841.</w:t>
      </w:r>
    </w:p>
    <w:p w14:paraId="3E3FBBE5"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124. </w:t>
      </w:r>
      <w:r w:rsidRPr="00FF7476">
        <w:rPr>
          <w:rFonts w:ascii="Palatino Linotype" w:hAnsi="Palatino Linotype"/>
          <w:noProof/>
          <w:sz w:val="20"/>
        </w:rPr>
        <w:tab/>
        <w:t xml:space="preserve">Aw, J.Y.H.; Clarke, N.E.; McCarthy, J.S.; Traub, R.J.; Amaral, S.; Huque, M.H.; Andrews, R.M.; Gray, D.J.; Clements, A.C.A.; Vaz Nery, S. Giardia duodenalis infection in the context of a community-based deworming and water, sanitation and hygiene trial in Timor-Leste. </w:t>
      </w:r>
      <w:r w:rsidRPr="00FF7476">
        <w:rPr>
          <w:rFonts w:ascii="Palatino Linotype" w:hAnsi="Palatino Linotype"/>
          <w:i/>
          <w:iCs/>
          <w:noProof/>
          <w:sz w:val="20"/>
        </w:rPr>
        <w:t>Parasites and Vectors</w:t>
      </w:r>
      <w:r w:rsidRPr="00FF7476">
        <w:rPr>
          <w:rFonts w:ascii="Palatino Linotype" w:hAnsi="Palatino Linotype"/>
          <w:noProof/>
          <w:sz w:val="20"/>
        </w:rPr>
        <w:t xml:space="preserve"> </w:t>
      </w:r>
      <w:r w:rsidRPr="00FF7476">
        <w:rPr>
          <w:rFonts w:ascii="Palatino Linotype" w:hAnsi="Palatino Linotype"/>
          <w:b/>
          <w:bCs/>
          <w:noProof/>
          <w:sz w:val="20"/>
        </w:rPr>
        <w:t>2019</w:t>
      </w:r>
      <w:r w:rsidRPr="00FF7476">
        <w:rPr>
          <w:rFonts w:ascii="Palatino Linotype" w:hAnsi="Palatino Linotype"/>
          <w:noProof/>
          <w:sz w:val="20"/>
        </w:rPr>
        <w:t xml:space="preserve">, </w:t>
      </w:r>
      <w:r w:rsidRPr="00FF7476">
        <w:rPr>
          <w:rFonts w:ascii="Palatino Linotype" w:hAnsi="Palatino Linotype"/>
          <w:i/>
          <w:iCs/>
          <w:noProof/>
          <w:sz w:val="20"/>
        </w:rPr>
        <w:t>12</w:t>
      </w:r>
      <w:r w:rsidRPr="00FF7476">
        <w:rPr>
          <w:rFonts w:ascii="Palatino Linotype" w:hAnsi="Palatino Linotype"/>
          <w:noProof/>
          <w:sz w:val="20"/>
        </w:rPr>
        <w:t>, 4–13, doi:10.1186/s13071-019-3752-9.</w:t>
      </w:r>
    </w:p>
    <w:p w14:paraId="2E18263F"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125. </w:t>
      </w:r>
      <w:r w:rsidRPr="00FF7476">
        <w:rPr>
          <w:rFonts w:ascii="Palatino Linotype" w:hAnsi="Palatino Linotype"/>
          <w:noProof/>
          <w:sz w:val="20"/>
        </w:rPr>
        <w:tab/>
        <w:t xml:space="preserve">Roche, R.; Bain, R.; Cumming, O. A long way to go - Estimates of combined water, sanitation and hygiene coverage for 25 sub-Saharan African countries. </w:t>
      </w:r>
      <w:r w:rsidRPr="00FF7476">
        <w:rPr>
          <w:rFonts w:ascii="Palatino Linotype" w:hAnsi="Palatino Linotype"/>
          <w:i/>
          <w:iCs/>
          <w:noProof/>
          <w:sz w:val="20"/>
        </w:rPr>
        <w:t>PLoS One</w:t>
      </w:r>
      <w:r w:rsidRPr="00FF7476">
        <w:rPr>
          <w:rFonts w:ascii="Palatino Linotype" w:hAnsi="Palatino Linotype"/>
          <w:noProof/>
          <w:sz w:val="20"/>
        </w:rPr>
        <w:t xml:space="preserve"> </w:t>
      </w:r>
      <w:r w:rsidRPr="00FF7476">
        <w:rPr>
          <w:rFonts w:ascii="Palatino Linotype" w:hAnsi="Palatino Linotype"/>
          <w:b/>
          <w:bCs/>
          <w:noProof/>
          <w:sz w:val="20"/>
        </w:rPr>
        <w:t>2017</w:t>
      </w:r>
      <w:r w:rsidRPr="00FF7476">
        <w:rPr>
          <w:rFonts w:ascii="Palatino Linotype" w:hAnsi="Palatino Linotype"/>
          <w:noProof/>
          <w:sz w:val="20"/>
        </w:rPr>
        <w:t xml:space="preserve">, </w:t>
      </w:r>
      <w:r w:rsidRPr="00FF7476">
        <w:rPr>
          <w:rFonts w:ascii="Palatino Linotype" w:hAnsi="Palatino Linotype"/>
          <w:i/>
          <w:iCs/>
          <w:noProof/>
          <w:sz w:val="20"/>
        </w:rPr>
        <w:t>12</w:t>
      </w:r>
      <w:r w:rsidRPr="00FF7476">
        <w:rPr>
          <w:rFonts w:ascii="Palatino Linotype" w:hAnsi="Palatino Linotype"/>
          <w:noProof/>
          <w:sz w:val="20"/>
        </w:rPr>
        <w:t>, 1–24, doi:10.1371/journal.pone.0171783.</w:t>
      </w:r>
    </w:p>
    <w:p w14:paraId="6F80017F"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126. </w:t>
      </w:r>
      <w:r w:rsidRPr="00FF7476">
        <w:rPr>
          <w:rFonts w:ascii="Palatino Linotype" w:hAnsi="Palatino Linotype"/>
          <w:noProof/>
          <w:sz w:val="20"/>
        </w:rPr>
        <w:tab/>
        <w:t>World Health Organization (WHO) Water, Sanitation &amp; Hygiene for accelerating and sustaining progress on Neglected Tropical Diseases Available online: https://www.who.int/water_sanitation_health/publications/wash-and-ntd-strategy/en/ (accessed on Jul 2, 2020).</w:t>
      </w:r>
    </w:p>
    <w:p w14:paraId="1CC65156"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127. </w:t>
      </w:r>
      <w:r w:rsidRPr="00FF7476">
        <w:rPr>
          <w:rFonts w:ascii="Palatino Linotype" w:hAnsi="Palatino Linotype"/>
          <w:noProof/>
          <w:sz w:val="20"/>
        </w:rPr>
        <w:tab/>
        <w:t>World Health Organisation. Integrating Neglected Tropical Diseases into Global Health and Development, 2017. Geneva, Switzerland: World Health Organisation Available online: https://apps.who.int/iris/bitstream/handle/10665/255011/9789241565448-eng.pdf (accessed on Jun 17, 2020).</w:t>
      </w:r>
    </w:p>
    <w:p w14:paraId="7F2B0ECE"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128. </w:t>
      </w:r>
      <w:r w:rsidRPr="00FF7476">
        <w:rPr>
          <w:rFonts w:ascii="Palatino Linotype" w:hAnsi="Palatino Linotype"/>
          <w:noProof/>
          <w:sz w:val="20"/>
        </w:rPr>
        <w:tab/>
        <w:t xml:space="preserve">Campbell, S.J.; Savage, G.B.; Gray, D.J.; Atkinson, J.A.M.; Soares Magalhães, R.J.; Nery, S. V.; McCarthy, J.S.; Velleman, Y.; Wicken, J.H.; Traub, R.J.; et al. Water, Sanitation, and Hygiene (WASH): A Critical Component for Sustainable Soil-Transmitted Helminth and Schistosomiasis Control. </w:t>
      </w:r>
      <w:r w:rsidRPr="00FF7476">
        <w:rPr>
          <w:rFonts w:ascii="Palatino Linotype" w:hAnsi="Palatino Linotype"/>
          <w:i/>
          <w:iCs/>
          <w:noProof/>
          <w:sz w:val="20"/>
        </w:rPr>
        <w:t>PLoS Negl. Trop. Dis.</w:t>
      </w:r>
      <w:r w:rsidRPr="00FF7476">
        <w:rPr>
          <w:rFonts w:ascii="Palatino Linotype" w:hAnsi="Palatino Linotype"/>
          <w:noProof/>
          <w:sz w:val="20"/>
        </w:rPr>
        <w:t xml:space="preserve"> </w:t>
      </w:r>
      <w:r w:rsidRPr="00FF7476">
        <w:rPr>
          <w:rFonts w:ascii="Palatino Linotype" w:hAnsi="Palatino Linotype"/>
          <w:b/>
          <w:bCs/>
          <w:noProof/>
          <w:sz w:val="20"/>
        </w:rPr>
        <w:t>2014</w:t>
      </w:r>
      <w:r w:rsidRPr="00FF7476">
        <w:rPr>
          <w:rFonts w:ascii="Palatino Linotype" w:hAnsi="Palatino Linotype"/>
          <w:noProof/>
          <w:sz w:val="20"/>
        </w:rPr>
        <w:t xml:space="preserve">, </w:t>
      </w:r>
      <w:r w:rsidRPr="00FF7476">
        <w:rPr>
          <w:rFonts w:ascii="Palatino Linotype" w:hAnsi="Palatino Linotype"/>
          <w:i/>
          <w:iCs/>
          <w:noProof/>
          <w:sz w:val="20"/>
        </w:rPr>
        <w:t>8</w:t>
      </w:r>
      <w:r w:rsidRPr="00FF7476">
        <w:rPr>
          <w:rFonts w:ascii="Palatino Linotype" w:hAnsi="Palatino Linotype"/>
          <w:noProof/>
          <w:sz w:val="20"/>
        </w:rPr>
        <w:t>, 1–5, doi:10.1371/journal.pntd.0002651.</w:t>
      </w:r>
    </w:p>
    <w:p w14:paraId="31E3E86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129. </w:t>
      </w:r>
      <w:r w:rsidRPr="00FF7476">
        <w:rPr>
          <w:rFonts w:ascii="Palatino Linotype" w:hAnsi="Palatino Linotype"/>
          <w:noProof/>
          <w:sz w:val="20"/>
        </w:rPr>
        <w:tab/>
        <w:t xml:space="preserve">Spear, R.C. Commentary by Spear, R. on “Integration of Water, Sanitation, and Hygiene for the Prevention and Control of Neglected Tropical Diseases: A Rationale for Inter-Sectoral Collaboration:” Can the Control of NTDs Profit from a Good WASH? </w:t>
      </w:r>
      <w:r w:rsidRPr="00FF7476">
        <w:rPr>
          <w:rFonts w:ascii="Palatino Linotype" w:hAnsi="Palatino Linotype"/>
          <w:i/>
          <w:iCs/>
          <w:noProof/>
          <w:sz w:val="20"/>
        </w:rPr>
        <w:t>PLoS Negl. Trop. Dis.</w:t>
      </w:r>
      <w:r w:rsidRPr="00FF7476">
        <w:rPr>
          <w:rFonts w:ascii="Palatino Linotype" w:hAnsi="Palatino Linotype"/>
          <w:noProof/>
          <w:sz w:val="20"/>
        </w:rPr>
        <w:t xml:space="preserve"> </w:t>
      </w:r>
      <w:r w:rsidRPr="00FF7476">
        <w:rPr>
          <w:rFonts w:ascii="Palatino Linotype" w:hAnsi="Palatino Linotype"/>
          <w:b/>
          <w:bCs/>
          <w:noProof/>
          <w:sz w:val="20"/>
        </w:rPr>
        <w:t>2013</w:t>
      </w:r>
      <w:r w:rsidRPr="00FF7476">
        <w:rPr>
          <w:rFonts w:ascii="Palatino Linotype" w:hAnsi="Palatino Linotype"/>
          <w:noProof/>
          <w:sz w:val="20"/>
        </w:rPr>
        <w:t xml:space="preserve">, </w:t>
      </w:r>
      <w:r w:rsidRPr="00FF7476">
        <w:rPr>
          <w:rFonts w:ascii="Palatino Linotype" w:hAnsi="Palatino Linotype"/>
          <w:i/>
          <w:iCs/>
          <w:noProof/>
          <w:sz w:val="20"/>
        </w:rPr>
        <w:t>7</w:t>
      </w:r>
      <w:r w:rsidRPr="00FF7476">
        <w:rPr>
          <w:rFonts w:ascii="Palatino Linotype" w:hAnsi="Palatino Linotype"/>
          <w:noProof/>
          <w:sz w:val="20"/>
        </w:rPr>
        <w:t>, doi:10.1371/journal.pntd.0002473.</w:t>
      </w:r>
    </w:p>
    <w:p w14:paraId="0F56885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130. </w:t>
      </w:r>
      <w:r w:rsidRPr="00FF7476">
        <w:rPr>
          <w:rFonts w:ascii="Palatino Linotype" w:hAnsi="Palatino Linotype"/>
          <w:noProof/>
          <w:sz w:val="20"/>
        </w:rPr>
        <w:tab/>
        <w:t xml:space="preserve">Rollinson, D.; Knopp, S.; Levitz, S.; Stothard, J.R.; Tchuem Tchuenté, L.A.; Garba, A.; Mohammed, K.A.; Schur, N.; Person, B.; Colley, D.G.; et al. Time to set the agenda for schistosomiasis elimination. </w:t>
      </w:r>
      <w:r w:rsidRPr="00FF7476">
        <w:rPr>
          <w:rFonts w:ascii="Palatino Linotype" w:hAnsi="Palatino Linotype"/>
          <w:i/>
          <w:iCs/>
          <w:noProof/>
          <w:sz w:val="20"/>
        </w:rPr>
        <w:t>Acta Trop.</w:t>
      </w:r>
      <w:r w:rsidRPr="00FF7476">
        <w:rPr>
          <w:rFonts w:ascii="Palatino Linotype" w:hAnsi="Palatino Linotype"/>
          <w:noProof/>
          <w:sz w:val="20"/>
        </w:rPr>
        <w:t xml:space="preserve"> </w:t>
      </w:r>
      <w:r w:rsidRPr="00FF7476">
        <w:rPr>
          <w:rFonts w:ascii="Palatino Linotype" w:hAnsi="Palatino Linotype"/>
          <w:b/>
          <w:bCs/>
          <w:noProof/>
          <w:sz w:val="20"/>
        </w:rPr>
        <w:t>2013</w:t>
      </w:r>
      <w:r w:rsidRPr="00FF7476">
        <w:rPr>
          <w:rFonts w:ascii="Palatino Linotype" w:hAnsi="Palatino Linotype"/>
          <w:noProof/>
          <w:sz w:val="20"/>
        </w:rPr>
        <w:t xml:space="preserve">, </w:t>
      </w:r>
      <w:r w:rsidRPr="00FF7476">
        <w:rPr>
          <w:rFonts w:ascii="Palatino Linotype" w:hAnsi="Palatino Linotype"/>
          <w:i/>
          <w:iCs/>
          <w:noProof/>
          <w:sz w:val="20"/>
        </w:rPr>
        <w:t>128</w:t>
      </w:r>
      <w:r w:rsidRPr="00FF7476">
        <w:rPr>
          <w:rFonts w:ascii="Palatino Linotype" w:hAnsi="Palatino Linotype"/>
          <w:noProof/>
          <w:sz w:val="20"/>
        </w:rPr>
        <w:t>, 423–440, doi:10.1016/j.actatropica.2012.04.013.</w:t>
      </w:r>
    </w:p>
    <w:p w14:paraId="05B82BF3"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131. </w:t>
      </w:r>
      <w:r w:rsidRPr="00FF7476">
        <w:rPr>
          <w:rFonts w:ascii="Palatino Linotype" w:hAnsi="Palatino Linotype"/>
          <w:noProof/>
          <w:sz w:val="20"/>
        </w:rPr>
        <w:tab/>
        <w:t>Reed, S.L.; Mckerrow, J.H.; Reed, S.L.; Mckerrow, J.H. Why Funding for Neglected Tropical Diseases Should Be a Global Priority Why Funding for Neglected Tropical Diseases Should Be a Global Priority., doi:10.1093/cid/ciy349.</w:t>
      </w:r>
    </w:p>
    <w:p w14:paraId="057AB65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132. </w:t>
      </w:r>
      <w:r w:rsidRPr="00FF7476">
        <w:rPr>
          <w:rFonts w:ascii="Palatino Linotype" w:hAnsi="Palatino Linotype"/>
          <w:noProof/>
          <w:sz w:val="20"/>
        </w:rPr>
        <w:tab/>
        <w:t xml:space="preserve">Van den Berg, H.; Kelly-Hope, L.A.; Lindsay, S.W. Malaria and lymphatic filariasis: The case for integrated vector management. </w:t>
      </w:r>
      <w:r w:rsidRPr="00FF7476">
        <w:rPr>
          <w:rFonts w:ascii="Palatino Linotype" w:hAnsi="Palatino Linotype"/>
          <w:i/>
          <w:iCs/>
          <w:noProof/>
          <w:sz w:val="20"/>
        </w:rPr>
        <w:t>Lancet Infect. Dis.</w:t>
      </w:r>
      <w:r w:rsidRPr="00FF7476">
        <w:rPr>
          <w:rFonts w:ascii="Palatino Linotype" w:hAnsi="Palatino Linotype"/>
          <w:noProof/>
          <w:sz w:val="20"/>
        </w:rPr>
        <w:t xml:space="preserve"> </w:t>
      </w:r>
      <w:r w:rsidRPr="00FF7476">
        <w:rPr>
          <w:rFonts w:ascii="Palatino Linotype" w:hAnsi="Palatino Linotype"/>
          <w:b/>
          <w:bCs/>
          <w:noProof/>
          <w:sz w:val="20"/>
        </w:rPr>
        <w:t>2013</w:t>
      </w:r>
      <w:r w:rsidRPr="00FF7476">
        <w:rPr>
          <w:rFonts w:ascii="Palatino Linotype" w:hAnsi="Palatino Linotype"/>
          <w:noProof/>
          <w:sz w:val="20"/>
        </w:rPr>
        <w:t xml:space="preserve">, </w:t>
      </w:r>
      <w:r w:rsidRPr="00FF7476">
        <w:rPr>
          <w:rFonts w:ascii="Palatino Linotype" w:hAnsi="Palatino Linotype"/>
          <w:i/>
          <w:iCs/>
          <w:noProof/>
          <w:sz w:val="20"/>
        </w:rPr>
        <w:t>13</w:t>
      </w:r>
      <w:r w:rsidRPr="00FF7476">
        <w:rPr>
          <w:rFonts w:ascii="Palatino Linotype" w:hAnsi="Palatino Linotype"/>
          <w:noProof/>
          <w:sz w:val="20"/>
        </w:rPr>
        <w:t>, 89–94, doi:10.1016/S1473-3099(12)70148-2.</w:t>
      </w:r>
    </w:p>
    <w:p w14:paraId="4FB0D4E8"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133. </w:t>
      </w:r>
      <w:r w:rsidRPr="00FF7476">
        <w:rPr>
          <w:rFonts w:ascii="Palatino Linotype" w:hAnsi="Palatino Linotype"/>
          <w:noProof/>
          <w:sz w:val="20"/>
        </w:rPr>
        <w:tab/>
        <w:t xml:space="preserve">Kelly-Hope, L.A.; Molyneux, D.H.; Bockarie, M.J. Can malaria vector control accelerate the interruption of lymphatic filariasis transmission in Africa; Capturing a window of opportunity? </w:t>
      </w:r>
      <w:r w:rsidRPr="00FF7476">
        <w:rPr>
          <w:rFonts w:ascii="Palatino Linotype" w:hAnsi="Palatino Linotype"/>
          <w:i/>
          <w:iCs/>
          <w:noProof/>
          <w:sz w:val="20"/>
        </w:rPr>
        <w:t>Parasites and Vectors</w:t>
      </w:r>
      <w:r w:rsidRPr="00FF7476">
        <w:rPr>
          <w:rFonts w:ascii="Palatino Linotype" w:hAnsi="Palatino Linotype"/>
          <w:noProof/>
          <w:sz w:val="20"/>
        </w:rPr>
        <w:t xml:space="preserve"> </w:t>
      </w:r>
      <w:r w:rsidRPr="00FF7476">
        <w:rPr>
          <w:rFonts w:ascii="Palatino Linotype" w:hAnsi="Palatino Linotype"/>
          <w:b/>
          <w:bCs/>
          <w:noProof/>
          <w:sz w:val="20"/>
        </w:rPr>
        <w:t>2013</w:t>
      </w:r>
      <w:r w:rsidRPr="00FF7476">
        <w:rPr>
          <w:rFonts w:ascii="Palatino Linotype" w:hAnsi="Palatino Linotype"/>
          <w:noProof/>
          <w:sz w:val="20"/>
        </w:rPr>
        <w:t xml:space="preserve">, </w:t>
      </w:r>
      <w:r w:rsidRPr="00FF7476">
        <w:rPr>
          <w:rFonts w:ascii="Palatino Linotype" w:hAnsi="Palatino Linotype"/>
          <w:i/>
          <w:iCs/>
          <w:noProof/>
          <w:sz w:val="20"/>
        </w:rPr>
        <w:t>6</w:t>
      </w:r>
      <w:r w:rsidRPr="00FF7476">
        <w:rPr>
          <w:rFonts w:ascii="Palatino Linotype" w:hAnsi="Palatino Linotype"/>
          <w:noProof/>
          <w:sz w:val="20"/>
        </w:rPr>
        <w:t>, 1–12, doi:10.1186/1756-3305-6-39.</w:t>
      </w:r>
    </w:p>
    <w:p w14:paraId="4DE4AAD0"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134. </w:t>
      </w:r>
      <w:r w:rsidRPr="00FF7476">
        <w:rPr>
          <w:rFonts w:ascii="Palatino Linotype" w:hAnsi="Palatino Linotype"/>
          <w:noProof/>
          <w:sz w:val="20"/>
        </w:rPr>
        <w:tab/>
        <w:t xml:space="preserve">Knipes, A.K.; Lemoine, J.F.; Monestime, F.; Fayette, C.R.; Direny, A.N.; Desir, L.; Beau de Rochars, V.E.; Streit, T.G.; Renneker, K.; Chu, B.K.; et al. Partnering for impact: Integrated transmission assessment surveys for lymphatic filariasis, soil transmitted helminths and malaria in Haiti. </w:t>
      </w:r>
      <w:r w:rsidRPr="00FF7476">
        <w:rPr>
          <w:rFonts w:ascii="Palatino Linotype" w:hAnsi="Palatino Linotype"/>
          <w:i/>
          <w:iCs/>
          <w:noProof/>
          <w:sz w:val="20"/>
        </w:rPr>
        <w:t>PLoS Negl. Trop. Dis.</w:t>
      </w:r>
      <w:r w:rsidRPr="00FF7476">
        <w:rPr>
          <w:rFonts w:ascii="Palatino Linotype" w:hAnsi="Palatino Linotype"/>
          <w:noProof/>
          <w:sz w:val="20"/>
        </w:rPr>
        <w:t xml:space="preserve"> </w:t>
      </w:r>
      <w:r w:rsidRPr="00FF7476">
        <w:rPr>
          <w:rFonts w:ascii="Palatino Linotype" w:hAnsi="Palatino Linotype"/>
          <w:b/>
          <w:bCs/>
          <w:noProof/>
          <w:sz w:val="20"/>
        </w:rPr>
        <w:t>2017</w:t>
      </w:r>
      <w:r w:rsidRPr="00FF7476">
        <w:rPr>
          <w:rFonts w:ascii="Palatino Linotype" w:hAnsi="Palatino Linotype"/>
          <w:noProof/>
          <w:sz w:val="20"/>
        </w:rPr>
        <w:t xml:space="preserve">, </w:t>
      </w:r>
      <w:r w:rsidRPr="00FF7476">
        <w:rPr>
          <w:rFonts w:ascii="Palatino Linotype" w:hAnsi="Palatino Linotype"/>
          <w:i/>
          <w:iCs/>
          <w:noProof/>
          <w:sz w:val="20"/>
        </w:rPr>
        <w:t>11</w:t>
      </w:r>
      <w:r w:rsidRPr="00FF7476">
        <w:rPr>
          <w:rFonts w:ascii="Palatino Linotype" w:hAnsi="Palatino Linotype"/>
          <w:noProof/>
          <w:sz w:val="20"/>
        </w:rPr>
        <w:t>, 1–12, doi:10.1371/journal.pntd.0005387.</w:t>
      </w:r>
    </w:p>
    <w:p w14:paraId="5879C1EE" w14:textId="77777777" w:rsidR="00FF7476" w:rsidRPr="00FF7476" w:rsidRDefault="00FF7476" w:rsidP="00FF7476">
      <w:pPr>
        <w:widowControl w:val="0"/>
        <w:autoSpaceDE w:val="0"/>
        <w:autoSpaceDN w:val="0"/>
        <w:adjustRightInd w:val="0"/>
        <w:ind w:left="640" w:hanging="640"/>
        <w:rPr>
          <w:rFonts w:ascii="Palatino Linotype" w:hAnsi="Palatino Linotype"/>
          <w:noProof/>
          <w:sz w:val="20"/>
        </w:rPr>
      </w:pPr>
      <w:r w:rsidRPr="00FF7476">
        <w:rPr>
          <w:rFonts w:ascii="Palatino Linotype" w:hAnsi="Palatino Linotype"/>
          <w:noProof/>
          <w:sz w:val="20"/>
        </w:rPr>
        <w:t xml:space="preserve">135. </w:t>
      </w:r>
      <w:r w:rsidRPr="00FF7476">
        <w:rPr>
          <w:rFonts w:ascii="Palatino Linotype" w:hAnsi="Palatino Linotype"/>
          <w:noProof/>
          <w:sz w:val="20"/>
        </w:rPr>
        <w:tab/>
        <w:t xml:space="preserve">Bronzan, R.N.; Dorkenoo, A.M.; Agbo, Y.M.; Halatoko, W.; Layibo, Y.; Adjeloh, P.; Teko, M.; Sossou, E.; Yakpa, K.; Tchalim, M.; et al. Impact of community-based integrated mass drug administration on schistosomiasis and soil-transmitted helminth prevalence in Togo. </w:t>
      </w:r>
      <w:r w:rsidRPr="00FF7476">
        <w:rPr>
          <w:rFonts w:ascii="Palatino Linotype" w:hAnsi="Palatino Linotype"/>
          <w:i/>
          <w:iCs/>
          <w:noProof/>
          <w:sz w:val="20"/>
        </w:rPr>
        <w:t>PLoS Negl. Trop. Dis.</w:t>
      </w:r>
      <w:r w:rsidRPr="00FF7476">
        <w:rPr>
          <w:rFonts w:ascii="Palatino Linotype" w:hAnsi="Palatino Linotype"/>
          <w:noProof/>
          <w:sz w:val="20"/>
        </w:rPr>
        <w:t xml:space="preserve"> </w:t>
      </w:r>
      <w:r w:rsidRPr="00FF7476">
        <w:rPr>
          <w:rFonts w:ascii="Palatino Linotype" w:hAnsi="Palatino Linotype"/>
          <w:b/>
          <w:bCs/>
          <w:noProof/>
          <w:sz w:val="20"/>
        </w:rPr>
        <w:t>2018</w:t>
      </w:r>
      <w:r w:rsidRPr="00FF7476">
        <w:rPr>
          <w:rFonts w:ascii="Palatino Linotype" w:hAnsi="Palatino Linotype"/>
          <w:noProof/>
          <w:sz w:val="20"/>
        </w:rPr>
        <w:t xml:space="preserve">, </w:t>
      </w:r>
      <w:r w:rsidRPr="00FF7476">
        <w:rPr>
          <w:rFonts w:ascii="Palatino Linotype" w:hAnsi="Palatino Linotype"/>
          <w:i/>
          <w:iCs/>
          <w:noProof/>
          <w:sz w:val="20"/>
        </w:rPr>
        <w:t>12</w:t>
      </w:r>
      <w:r w:rsidRPr="00FF7476">
        <w:rPr>
          <w:rFonts w:ascii="Palatino Linotype" w:hAnsi="Palatino Linotype"/>
          <w:noProof/>
          <w:sz w:val="20"/>
        </w:rPr>
        <w:t>, 1–23, doi:10.1371/journal.pntd.0006551.</w:t>
      </w:r>
    </w:p>
    <w:p w14:paraId="43634150" w14:textId="5211B588" w:rsidR="00E07BBE" w:rsidRPr="004D573A" w:rsidRDefault="004D573A" w:rsidP="00FF7476">
      <w:pPr>
        <w:widowControl w:val="0"/>
        <w:autoSpaceDE w:val="0"/>
        <w:autoSpaceDN w:val="0"/>
        <w:adjustRightInd w:val="0"/>
        <w:ind w:left="640" w:hanging="640"/>
        <w:rPr>
          <w:rFonts w:eastAsia="SimSun"/>
        </w:rPr>
      </w:pPr>
      <w:r>
        <w:rPr>
          <w:bCs/>
          <w:color w:val="000000" w:themeColor="text1"/>
        </w:rPr>
        <w:fldChar w:fldCharType="end"/>
      </w:r>
    </w:p>
    <w:sectPr w:rsidR="00E07BBE" w:rsidRPr="004D573A" w:rsidSect="00FE3088">
      <w:headerReference w:type="even" r:id="rId15"/>
      <w:headerReference w:type="default" r:id="rId16"/>
      <w:footerReference w:type="default" r:id="rId17"/>
      <w:headerReference w:type="first" r:id="rId18"/>
      <w:footerReference w:type="first" r:id="rId19"/>
      <w:pgSz w:w="11906" w:h="16838" w:code="9"/>
      <w:pgMar w:top="1417" w:right="1531" w:bottom="1077" w:left="1531" w:header="1020" w:footer="850" w:gutter="0"/>
      <w:lnNumType w:countBy="1" w:restart="continuous"/>
      <w:pgNumType w:start="1"/>
      <w:cols w:space="425"/>
      <w:titlePg/>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John Archer" w:date="2020-08-14T08:36:00Z" w:initials="JA">
    <w:p w14:paraId="32C8A5B3" w14:textId="0C844B42" w:rsidR="0084466E" w:rsidRPr="00A015B9" w:rsidRDefault="0084466E">
      <w:pPr>
        <w:pStyle w:val="CommentText"/>
      </w:pPr>
      <w:r>
        <w:rPr>
          <w:rStyle w:val="CommentReference"/>
        </w:rPr>
        <w:annotationRef/>
      </w:r>
      <w:r w:rsidRPr="0084466E">
        <w:rPr>
          <w:b/>
          <w:bCs/>
          <w:u w:val="single"/>
        </w:rPr>
        <w:t>Academic Editor</w:t>
      </w:r>
      <w:r w:rsidR="00831919" w:rsidRPr="00831919">
        <w:rPr>
          <w:b/>
          <w:bCs/>
        </w:rPr>
        <w:t>:</w:t>
      </w:r>
      <w:r w:rsidRPr="0084466E">
        <w:rPr>
          <w:b/>
          <w:bCs/>
          <w:u w:val="single"/>
        </w:rPr>
        <w:br/>
      </w:r>
      <w:r w:rsidR="00A015B9" w:rsidRPr="0028391B">
        <w:t>Revised to clarify local endemicity in South America and Caribbean.</w:t>
      </w:r>
    </w:p>
  </w:comment>
  <w:comment w:id="3" w:author="John Archer" w:date="2020-08-14T08:43:00Z" w:initials="JA">
    <w:p w14:paraId="268164D4" w14:textId="77777777" w:rsidR="00F65696" w:rsidRDefault="00317705">
      <w:pPr>
        <w:pStyle w:val="CommentText"/>
        <w:rPr>
          <w:b/>
          <w:bCs/>
        </w:rPr>
      </w:pPr>
      <w:r>
        <w:rPr>
          <w:rStyle w:val="CommentReference"/>
        </w:rPr>
        <w:annotationRef/>
      </w:r>
      <w:r w:rsidR="00F65696" w:rsidRPr="0084466E">
        <w:rPr>
          <w:b/>
          <w:bCs/>
          <w:u w:val="single"/>
        </w:rPr>
        <w:t>Academic Editor</w:t>
      </w:r>
      <w:r w:rsidR="00F65696" w:rsidRPr="00831919">
        <w:rPr>
          <w:b/>
          <w:bCs/>
        </w:rPr>
        <w:t>:</w:t>
      </w:r>
    </w:p>
    <w:p w14:paraId="7571FB87" w14:textId="0DA17E00" w:rsidR="00317705" w:rsidRDefault="00317705">
      <w:pPr>
        <w:pStyle w:val="CommentText"/>
      </w:pPr>
      <w:r>
        <w:t>No longer italicised here and throughout.</w:t>
      </w:r>
      <w:r w:rsidR="007A75FB">
        <w:t xml:space="preserve"> Also replaced word ‘via’ with more appropriate alternatives throughout.</w:t>
      </w:r>
    </w:p>
  </w:comment>
  <w:comment w:id="4" w:author="John Archer" w:date="2020-08-14T08:43:00Z" w:initials="JA">
    <w:p w14:paraId="37641E00" w14:textId="77777777" w:rsidR="00F65696" w:rsidRDefault="008164B9">
      <w:pPr>
        <w:pStyle w:val="CommentText"/>
        <w:rPr>
          <w:b/>
          <w:bCs/>
        </w:rPr>
      </w:pPr>
      <w:r>
        <w:rPr>
          <w:rStyle w:val="CommentReference"/>
        </w:rPr>
        <w:annotationRef/>
      </w:r>
      <w:r w:rsidR="00F65696" w:rsidRPr="0084466E">
        <w:rPr>
          <w:b/>
          <w:bCs/>
          <w:u w:val="single"/>
        </w:rPr>
        <w:t>Academic Editor</w:t>
      </w:r>
      <w:r w:rsidR="00F65696" w:rsidRPr="00831919">
        <w:rPr>
          <w:b/>
          <w:bCs/>
        </w:rPr>
        <w:t>:</w:t>
      </w:r>
    </w:p>
    <w:p w14:paraId="2101F48E" w14:textId="26BA8E88" w:rsidR="008164B9" w:rsidRDefault="008164B9">
      <w:pPr>
        <w:pStyle w:val="CommentText"/>
      </w:pPr>
      <w:r>
        <w:t>Revised</w:t>
      </w:r>
      <w:r w:rsidR="00191D0C">
        <w:t>.</w:t>
      </w:r>
    </w:p>
  </w:comment>
  <w:comment w:id="5" w:author="John Archer" w:date="2020-08-14T08:45:00Z" w:initials="JA">
    <w:p w14:paraId="4CC06BF8" w14:textId="77777777" w:rsidR="00F65696" w:rsidRDefault="00EE572C">
      <w:pPr>
        <w:pStyle w:val="CommentText"/>
        <w:rPr>
          <w:b/>
          <w:bCs/>
        </w:rPr>
      </w:pPr>
      <w:r>
        <w:rPr>
          <w:rStyle w:val="CommentReference"/>
        </w:rPr>
        <w:annotationRef/>
      </w:r>
      <w:r w:rsidR="00F65696" w:rsidRPr="0084466E">
        <w:rPr>
          <w:b/>
          <w:bCs/>
          <w:u w:val="single"/>
        </w:rPr>
        <w:t>Academic Editor</w:t>
      </w:r>
      <w:r w:rsidR="00F65696" w:rsidRPr="00831919">
        <w:rPr>
          <w:b/>
          <w:bCs/>
        </w:rPr>
        <w:t>:</w:t>
      </w:r>
    </w:p>
    <w:p w14:paraId="6DFA71DA" w14:textId="04986B67" w:rsidR="00EE572C" w:rsidRDefault="00EE572C">
      <w:pPr>
        <w:pStyle w:val="CommentText"/>
      </w:pPr>
      <w:r>
        <w:t>Removed ‘within’</w:t>
      </w:r>
      <w:r w:rsidR="00191D0C">
        <w:t xml:space="preserve"> here</w:t>
      </w:r>
      <w:r w:rsidR="00EE549B">
        <w:t xml:space="preserve"> and</w:t>
      </w:r>
      <w:r w:rsidR="00191D0C">
        <w:t xml:space="preserve"> </w:t>
      </w:r>
      <w:r w:rsidR="00B92E5C">
        <w:t>revised overuse of ‘within’</w:t>
      </w:r>
      <w:r w:rsidR="00191D0C">
        <w:t xml:space="preserve"> throughout document.</w:t>
      </w:r>
    </w:p>
  </w:comment>
  <w:comment w:id="6" w:author="John Archer" w:date="2020-08-14T08:45:00Z" w:initials="JA">
    <w:p w14:paraId="465F9208" w14:textId="77777777" w:rsidR="004B5A69" w:rsidRDefault="004B5A69">
      <w:pPr>
        <w:pStyle w:val="CommentText"/>
        <w:rPr>
          <w:b/>
          <w:bCs/>
        </w:rPr>
      </w:pPr>
      <w:r>
        <w:rPr>
          <w:rStyle w:val="CommentReference"/>
        </w:rPr>
        <w:annotationRef/>
      </w:r>
      <w:r w:rsidRPr="0084466E">
        <w:rPr>
          <w:b/>
          <w:bCs/>
          <w:u w:val="single"/>
        </w:rPr>
        <w:t>Academic Editor</w:t>
      </w:r>
      <w:r w:rsidRPr="00831919">
        <w:rPr>
          <w:b/>
          <w:bCs/>
        </w:rPr>
        <w:t>:</w:t>
      </w:r>
    </w:p>
    <w:p w14:paraId="525B8015" w14:textId="6F74600C" w:rsidR="004B5A69" w:rsidRPr="004B5A69" w:rsidRDefault="004B5A69">
      <w:pPr>
        <w:pStyle w:val="CommentText"/>
      </w:pPr>
      <w:r>
        <w:t>Removed dash.</w:t>
      </w:r>
    </w:p>
  </w:comment>
  <w:comment w:id="7" w:author="John Archer" w:date="2020-08-14T09:07:00Z" w:initials="JA">
    <w:p w14:paraId="5155480F" w14:textId="77777777" w:rsidR="000601C9" w:rsidRDefault="0035704E">
      <w:pPr>
        <w:pStyle w:val="CommentText"/>
        <w:rPr>
          <w:b/>
          <w:bCs/>
        </w:rPr>
      </w:pPr>
      <w:r>
        <w:rPr>
          <w:rStyle w:val="CommentReference"/>
        </w:rPr>
        <w:annotationRef/>
      </w:r>
      <w:r w:rsidR="000601C9" w:rsidRPr="0084466E">
        <w:rPr>
          <w:b/>
          <w:bCs/>
          <w:u w:val="single"/>
        </w:rPr>
        <w:t>Academic Editor</w:t>
      </w:r>
      <w:r w:rsidR="000601C9" w:rsidRPr="00831919">
        <w:rPr>
          <w:b/>
          <w:bCs/>
        </w:rPr>
        <w:t>:</w:t>
      </w:r>
    </w:p>
    <w:p w14:paraId="5681305E" w14:textId="166239EF" w:rsidR="0035704E" w:rsidRDefault="0035704E">
      <w:pPr>
        <w:pStyle w:val="CommentText"/>
      </w:pPr>
      <w:r>
        <w:t>Revised.</w:t>
      </w:r>
    </w:p>
  </w:comment>
  <w:comment w:id="8" w:author="John Archer" w:date="2020-08-14T12:46:00Z" w:initials="JA">
    <w:p w14:paraId="44DCBC32" w14:textId="77777777" w:rsidR="00C42F0A" w:rsidRDefault="00C42F0A">
      <w:pPr>
        <w:pStyle w:val="CommentText"/>
        <w:rPr>
          <w:b/>
          <w:bCs/>
        </w:rPr>
      </w:pPr>
      <w:r>
        <w:rPr>
          <w:rStyle w:val="CommentReference"/>
        </w:rPr>
        <w:annotationRef/>
      </w:r>
      <w:r w:rsidRPr="0084466E">
        <w:rPr>
          <w:b/>
          <w:bCs/>
          <w:u w:val="single"/>
        </w:rPr>
        <w:t>Academic Editor</w:t>
      </w:r>
      <w:r w:rsidRPr="00831919">
        <w:rPr>
          <w:b/>
          <w:bCs/>
        </w:rPr>
        <w:t>:</w:t>
      </w:r>
    </w:p>
    <w:p w14:paraId="1296A4A2" w14:textId="71A9359B" w:rsidR="00C42F0A" w:rsidRPr="00C42F0A" w:rsidRDefault="00C42F0A">
      <w:pPr>
        <w:pStyle w:val="CommentText"/>
      </w:pPr>
      <w:r w:rsidRPr="00C41B25">
        <w:t>Long sentence split into two sentences.</w:t>
      </w:r>
    </w:p>
  </w:comment>
  <w:comment w:id="9" w:author="John Archer" w:date="2020-08-14T09:13:00Z" w:initials="JA">
    <w:p w14:paraId="7759A64E" w14:textId="77777777" w:rsidR="00337ADC" w:rsidRDefault="00337ADC">
      <w:pPr>
        <w:pStyle w:val="CommentText"/>
        <w:rPr>
          <w:b/>
          <w:bCs/>
        </w:rPr>
      </w:pPr>
      <w:r>
        <w:rPr>
          <w:rStyle w:val="CommentReference"/>
        </w:rPr>
        <w:annotationRef/>
      </w:r>
      <w:r w:rsidRPr="0084466E">
        <w:rPr>
          <w:b/>
          <w:bCs/>
          <w:u w:val="single"/>
        </w:rPr>
        <w:t>Academic Editor</w:t>
      </w:r>
      <w:r w:rsidRPr="00831919">
        <w:rPr>
          <w:b/>
          <w:bCs/>
        </w:rPr>
        <w:t>:</w:t>
      </w:r>
    </w:p>
    <w:p w14:paraId="60B49EED" w14:textId="6C683493" w:rsidR="00337ADC" w:rsidRPr="00337ADC" w:rsidRDefault="00337ADC">
      <w:pPr>
        <w:pStyle w:val="CommentText"/>
      </w:pPr>
      <w:r>
        <w:t>Revised.</w:t>
      </w:r>
    </w:p>
  </w:comment>
  <w:comment w:id="10" w:author="John Archer" w:date="2020-08-14T09:14:00Z" w:initials="JA">
    <w:p w14:paraId="7E8DBDB0" w14:textId="77777777" w:rsidR="00A94E9C" w:rsidRDefault="00A94E9C">
      <w:pPr>
        <w:pStyle w:val="CommentText"/>
        <w:rPr>
          <w:b/>
          <w:bCs/>
        </w:rPr>
      </w:pPr>
      <w:r>
        <w:rPr>
          <w:rStyle w:val="CommentReference"/>
        </w:rPr>
        <w:annotationRef/>
      </w:r>
      <w:r w:rsidRPr="0084466E">
        <w:rPr>
          <w:b/>
          <w:bCs/>
          <w:u w:val="single"/>
        </w:rPr>
        <w:t>Academic Editor</w:t>
      </w:r>
      <w:r w:rsidRPr="00831919">
        <w:rPr>
          <w:b/>
          <w:bCs/>
        </w:rPr>
        <w:t>:</w:t>
      </w:r>
    </w:p>
    <w:p w14:paraId="151B8AFA" w14:textId="1FEF86AE" w:rsidR="00A94E9C" w:rsidRPr="00A94E9C" w:rsidRDefault="00A94E9C">
      <w:pPr>
        <w:pStyle w:val="CommentText"/>
      </w:pPr>
      <w:r>
        <w:t>Revised.</w:t>
      </w:r>
    </w:p>
  </w:comment>
  <w:comment w:id="11" w:author="John Archer" w:date="2020-08-14T12:49:00Z" w:initials="JA">
    <w:p w14:paraId="7A2871D9" w14:textId="77777777" w:rsidR="004B0D15" w:rsidRDefault="004B0D15">
      <w:pPr>
        <w:pStyle w:val="CommentText"/>
        <w:rPr>
          <w:b/>
          <w:bCs/>
        </w:rPr>
      </w:pPr>
      <w:r>
        <w:rPr>
          <w:rStyle w:val="CommentReference"/>
        </w:rPr>
        <w:annotationRef/>
      </w:r>
      <w:r w:rsidRPr="0084466E">
        <w:rPr>
          <w:b/>
          <w:bCs/>
          <w:u w:val="single"/>
        </w:rPr>
        <w:t>Academic Editor</w:t>
      </w:r>
      <w:r w:rsidRPr="00831919">
        <w:rPr>
          <w:b/>
          <w:bCs/>
        </w:rPr>
        <w:t>:</w:t>
      </w:r>
    </w:p>
    <w:p w14:paraId="28047C4A" w14:textId="7E19AE57" w:rsidR="004B0D15" w:rsidRPr="004B0D15" w:rsidRDefault="004B0D15">
      <w:pPr>
        <w:pStyle w:val="CommentText"/>
      </w:pPr>
      <w:r>
        <w:t xml:space="preserve">Revised sentence </w:t>
      </w:r>
      <w:r w:rsidR="008C0756">
        <w:t>to improve clarity</w:t>
      </w:r>
      <w:r w:rsidR="00072753">
        <w:t xml:space="preserve">. </w:t>
      </w:r>
    </w:p>
  </w:comment>
  <w:comment w:id="12" w:author="John Archer" w:date="2020-08-14T09:15:00Z" w:initials="JA">
    <w:p w14:paraId="3E3A2A04" w14:textId="77777777" w:rsidR="00F1036B" w:rsidRDefault="00F1036B">
      <w:pPr>
        <w:pStyle w:val="CommentText"/>
        <w:rPr>
          <w:b/>
          <w:bCs/>
        </w:rPr>
      </w:pPr>
      <w:r>
        <w:rPr>
          <w:rStyle w:val="CommentReference"/>
        </w:rPr>
        <w:annotationRef/>
      </w:r>
      <w:r w:rsidRPr="0084466E">
        <w:rPr>
          <w:b/>
          <w:bCs/>
          <w:u w:val="single"/>
        </w:rPr>
        <w:t>Academic Editor</w:t>
      </w:r>
      <w:r w:rsidRPr="00831919">
        <w:rPr>
          <w:b/>
          <w:bCs/>
        </w:rPr>
        <w:t>:</w:t>
      </w:r>
    </w:p>
    <w:p w14:paraId="5018F0E1" w14:textId="34D2D5EE" w:rsidR="00F1036B" w:rsidRPr="00F1036B" w:rsidRDefault="00F1036B">
      <w:pPr>
        <w:pStyle w:val="CommentText"/>
      </w:pPr>
      <w:r>
        <w:t>Revised.</w:t>
      </w:r>
    </w:p>
  </w:comment>
  <w:comment w:id="13" w:author="John Archer" w:date="2020-08-15T19:55:00Z" w:initials="JA">
    <w:p w14:paraId="7D56A944" w14:textId="77777777" w:rsidR="00C01130" w:rsidRDefault="00C01130">
      <w:pPr>
        <w:pStyle w:val="CommentText"/>
        <w:rPr>
          <w:b/>
          <w:bCs/>
        </w:rPr>
      </w:pPr>
      <w:r>
        <w:rPr>
          <w:rStyle w:val="CommentReference"/>
        </w:rPr>
        <w:annotationRef/>
      </w:r>
      <w:r w:rsidRPr="0084466E">
        <w:rPr>
          <w:b/>
          <w:bCs/>
          <w:u w:val="single"/>
        </w:rPr>
        <w:t>Academic Editor</w:t>
      </w:r>
      <w:r w:rsidRPr="00831919">
        <w:rPr>
          <w:b/>
          <w:bCs/>
        </w:rPr>
        <w:t>:</w:t>
      </w:r>
    </w:p>
    <w:p w14:paraId="0C59BE17" w14:textId="64195EB7" w:rsidR="00C01130" w:rsidRPr="00C01130" w:rsidRDefault="00C01130">
      <w:pPr>
        <w:pStyle w:val="CommentText"/>
      </w:pPr>
      <w:r>
        <w:t xml:space="preserve">Revised section 2.1 to include non-waterbourne transmission </w:t>
      </w:r>
      <w:r w:rsidR="00B20C91">
        <w:t xml:space="preserve">route </w:t>
      </w:r>
      <w:r>
        <w:t>of</w:t>
      </w:r>
      <w:r w:rsidR="00B20C91">
        <w:t xml:space="preserve"> giardiasis.</w:t>
      </w:r>
    </w:p>
  </w:comment>
  <w:comment w:id="14" w:author="John Archer" w:date="2020-08-14T09:17:00Z" w:initials="JA">
    <w:p w14:paraId="148011AE" w14:textId="77777777" w:rsidR="005D4465" w:rsidRDefault="005D4465">
      <w:pPr>
        <w:pStyle w:val="CommentText"/>
        <w:rPr>
          <w:b/>
          <w:bCs/>
        </w:rPr>
      </w:pPr>
      <w:r>
        <w:rPr>
          <w:rStyle w:val="CommentReference"/>
        </w:rPr>
        <w:annotationRef/>
      </w:r>
      <w:r w:rsidRPr="0084466E">
        <w:rPr>
          <w:b/>
          <w:bCs/>
          <w:u w:val="single"/>
        </w:rPr>
        <w:t>Academic Editor</w:t>
      </w:r>
      <w:r w:rsidRPr="00831919">
        <w:rPr>
          <w:b/>
          <w:bCs/>
        </w:rPr>
        <w:t>:</w:t>
      </w:r>
    </w:p>
    <w:p w14:paraId="278B30CA" w14:textId="181B8708" w:rsidR="005D4465" w:rsidRPr="005D4465" w:rsidRDefault="005D4465">
      <w:pPr>
        <w:pStyle w:val="CommentText"/>
      </w:pPr>
      <w:r>
        <w:t>Revised.</w:t>
      </w:r>
    </w:p>
  </w:comment>
  <w:comment w:id="15" w:author="John Archer" w:date="2020-08-15T17:24:00Z" w:initials="JA">
    <w:p w14:paraId="42971C4F" w14:textId="77777777" w:rsidR="00710390" w:rsidRDefault="00710390">
      <w:pPr>
        <w:pStyle w:val="CommentText"/>
        <w:rPr>
          <w:b/>
          <w:bCs/>
        </w:rPr>
      </w:pPr>
      <w:r>
        <w:rPr>
          <w:rStyle w:val="CommentReference"/>
        </w:rPr>
        <w:annotationRef/>
      </w:r>
      <w:r w:rsidRPr="0084466E">
        <w:rPr>
          <w:b/>
          <w:bCs/>
          <w:u w:val="single"/>
        </w:rPr>
        <w:t>Academic Editor</w:t>
      </w:r>
      <w:r w:rsidRPr="00831919">
        <w:rPr>
          <w:b/>
          <w:bCs/>
        </w:rPr>
        <w:t>:</w:t>
      </w:r>
    </w:p>
    <w:p w14:paraId="3FBEAD82" w14:textId="452D4DFA" w:rsidR="00710390" w:rsidRPr="00710390" w:rsidRDefault="00710390">
      <w:pPr>
        <w:pStyle w:val="CommentText"/>
      </w:pPr>
      <w:r>
        <w:t xml:space="preserve">Figure now revised to include faecal-oral transmission route of </w:t>
      </w:r>
      <w:r>
        <w:rPr>
          <w:i/>
          <w:iCs/>
        </w:rPr>
        <w:t xml:space="preserve">Giardia </w:t>
      </w:r>
      <w:r>
        <w:t xml:space="preserve">and annotated within figure legend. </w:t>
      </w:r>
      <w:r w:rsidR="008A0174">
        <w:t xml:space="preserve">Figure also revised to more clearly highlight waterbourne transmission routes of </w:t>
      </w:r>
      <w:r w:rsidR="008A0174">
        <w:rPr>
          <w:i/>
          <w:iCs/>
        </w:rPr>
        <w:t xml:space="preserve">S. mansoni </w:t>
      </w:r>
      <w:r w:rsidR="008A0174">
        <w:t xml:space="preserve">and </w:t>
      </w:r>
      <w:r w:rsidR="008A0174">
        <w:rPr>
          <w:i/>
          <w:iCs/>
        </w:rPr>
        <w:t>Giardia</w:t>
      </w:r>
      <w:r w:rsidR="00AE1231">
        <w:t>. I</w:t>
      </w:r>
      <w:r w:rsidR="008A0174">
        <w:t xml:space="preserve">n particular it is now clear that </w:t>
      </w:r>
      <w:r w:rsidR="008A0174">
        <w:rPr>
          <w:i/>
          <w:iCs/>
        </w:rPr>
        <w:t xml:space="preserve">Biomphalaria </w:t>
      </w:r>
      <w:r w:rsidR="008A0174">
        <w:t xml:space="preserve">freshwater snail hosts are present in freshwater. </w:t>
      </w:r>
      <w:r w:rsidR="00AA2CB9">
        <w:t>Numbers in cycle now included in figure legend, and also included</w:t>
      </w:r>
      <w:r w:rsidR="00873676">
        <w:t>/</w:t>
      </w:r>
      <w:r w:rsidR="008559A7">
        <w:t>more clearly referenced</w:t>
      </w:r>
      <w:r w:rsidR="00AA2CB9">
        <w:t xml:space="preserve"> within main body of text below. </w:t>
      </w:r>
    </w:p>
  </w:comment>
  <w:comment w:id="16" w:author="John Archer" w:date="2020-08-14T09:30:00Z" w:initials="JA">
    <w:p w14:paraId="2790DD13" w14:textId="77777777" w:rsidR="00F94762" w:rsidRDefault="00F94762">
      <w:pPr>
        <w:pStyle w:val="CommentText"/>
        <w:rPr>
          <w:b/>
          <w:bCs/>
        </w:rPr>
      </w:pPr>
      <w:r>
        <w:rPr>
          <w:rStyle w:val="CommentReference"/>
        </w:rPr>
        <w:annotationRef/>
      </w:r>
      <w:r w:rsidRPr="0084466E">
        <w:rPr>
          <w:b/>
          <w:bCs/>
          <w:u w:val="single"/>
        </w:rPr>
        <w:t>Academic Editor</w:t>
      </w:r>
      <w:r w:rsidRPr="00831919">
        <w:rPr>
          <w:b/>
          <w:bCs/>
        </w:rPr>
        <w:t>:</w:t>
      </w:r>
    </w:p>
    <w:p w14:paraId="7CB8CF53" w14:textId="26B0C7BA" w:rsidR="00F94762" w:rsidRPr="00F94762" w:rsidRDefault="00F94762">
      <w:pPr>
        <w:pStyle w:val="CommentText"/>
      </w:pPr>
      <w:r>
        <w:t>Revised.</w:t>
      </w:r>
    </w:p>
  </w:comment>
  <w:comment w:id="17" w:author="John Archer" w:date="2020-08-15T20:06:00Z" w:initials="JA">
    <w:p w14:paraId="1E99AE07" w14:textId="77777777" w:rsidR="00914780" w:rsidRDefault="00914780">
      <w:pPr>
        <w:pStyle w:val="CommentText"/>
        <w:rPr>
          <w:b/>
          <w:bCs/>
        </w:rPr>
      </w:pPr>
      <w:r>
        <w:rPr>
          <w:rStyle w:val="CommentReference"/>
        </w:rPr>
        <w:annotationRef/>
      </w:r>
      <w:r w:rsidRPr="0084466E">
        <w:rPr>
          <w:b/>
          <w:bCs/>
          <w:u w:val="single"/>
        </w:rPr>
        <w:t>Academic Editor</w:t>
      </w:r>
      <w:r w:rsidRPr="00831919">
        <w:rPr>
          <w:b/>
          <w:bCs/>
        </w:rPr>
        <w:t>:</w:t>
      </w:r>
    </w:p>
    <w:p w14:paraId="3D13F777" w14:textId="2F30A688" w:rsidR="00914780" w:rsidRPr="00914780" w:rsidRDefault="00914780">
      <w:pPr>
        <w:pStyle w:val="CommentText"/>
      </w:pPr>
      <w:r>
        <w:t>Sentence revised to clarify that giardiasis transmission is not strictly dependant on contamination/consumption of freshwater.</w:t>
      </w:r>
    </w:p>
  </w:comment>
  <w:comment w:id="18" w:author="John Archer" w:date="2020-08-14T09:29:00Z" w:initials="JA">
    <w:p w14:paraId="08D3C908" w14:textId="77777777" w:rsidR="00EF5EF4" w:rsidRDefault="00EF5EF4">
      <w:pPr>
        <w:pStyle w:val="CommentText"/>
        <w:rPr>
          <w:b/>
          <w:bCs/>
        </w:rPr>
      </w:pPr>
      <w:r>
        <w:rPr>
          <w:rStyle w:val="CommentReference"/>
        </w:rPr>
        <w:annotationRef/>
      </w:r>
      <w:r w:rsidRPr="0084466E">
        <w:rPr>
          <w:b/>
          <w:bCs/>
          <w:u w:val="single"/>
        </w:rPr>
        <w:t>Academic Editor</w:t>
      </w:r>
      <w:r w:rsidRPr="00831919">
        <w:rPr>
          <w:b/>
          <w:bCs/>
        </w:rPr>
        <w:t>:</w:t>
      </w:r>
    </w:p>
    <w:p w14:paraId="086E702D" w14:textId="3627DC78" w:rsidR="00EF5EF4" w:rsidRPr="00EF5EF4" w:rsidRDefault="00EF5EF4">
      <w:pPr>
        <w:pStyle w:val="CommentText"/>
      </w:pPr>
      <w:r>
        <w:t>Revised.</w:t>
      </w:r>
    </w:p>
  </w:comment>
  <w:comment w:id="19" w:author="John Archer" w:date="2020-08-14T09:30:00Z" w:initials="JA">
    <w:p w14:paraId="69DAFDED" w14:textId="77777777" w:rsidR="00851898" w:rsidRDefault="00851898">
      <w:pPr>
        <w:pStyle w:val="CommentText"/>
        <w:rPr>
          <w:b/>
          <w:bCs/>
        </w:rPr>
      </w:pPr>
      <w:r>
        <w:rPr>
          <w:rStyle w:val="CommentReference"/>
        </w:rPr>
        <w:annotationRef/>
      </w:r>
      <w:r w:rsidRPr="0084466E">
        <w:rPr>
          <w:b/>
          <w:bCs/>
          <w:u w:val="single"/>
        </w:rPr>
        <w:t>Academic Editor</w:t>
      </w:r>
      <w:r w:rsidRPr="00831919">
        <w:rPr>
          <w:b/>
          <w:bCs/>
        </w:rPr>
        <w:t>:</w:t>
      </w:r>
    </w:p>
    <w:p w14:paraId="2E11C9DE" w14:textId="7E45D859" w:rsidR="00851898" w:rsidRPr="00851898" w:rsidRDefault="00851898">
      <w:pPr>
        <w:pStyle w:val="CommentText"/>
      </w:pPr>
      <w:r>
        <w:t>Revised.</w:t>
      </w:r>
    </w:p>
  </w:comment>
  <w:comment w:id="20" w:author="John Archer" w:date="2020-08-15T21:12:00Z" w:initials="JA">
    <w:p w14:paraId="73B965D2" w14:textId="77777777" w:rsidR="00AE1EE5" w:rsidRDefault="00AE1EE5" w:rsidP="00AE1EE5">
      <w:pPr>
        <w:pStyle w:val="CommentText"/>
        <w:rPr>
          <w:b/>
          <w:bCs/>
        </w:rPr>
      </w:pPr>
      <w:r>
        <w:rPr>
          <w:rStyle w:val="CommentReference"/>
        </w:rPr>
        <w:annotationRef/>
      </w:r>
      <w:r w:rsidRPr="0084466E">
        <w:rPr>
          <w:b/>
          <w:bCs/>
          <w:u w:val="single"/>
        </w:rPr>
        <w:t>Academic Editor</w:t>
      </w:r>
      <w:r w:rsidRPr="00831919">
        <w:rPr>
          <w:b/>
          <w:bCs/>
        </w:rPr>
        <w:t>:</w:t>
      </w:r>
    </w:p>
    <w:p w14:paraId="6D8735F3" w14:textId="2A8411D1" w:rsidR="00AE1EE5" w:rsidRDefault="00AE1EE5" w:rsidP="00AE1EE5">
      <w:pPr>
        <w:pStyle w:val="CommentText"/>
      </w:pPr>
      <w:r>
        <w:t>Now highlights that the extent to which non-human definitive hosts contribute to transmission is not fully understood.</w:t>
      </w:r>
    </w:p>
  </w:comment>
  <w:comment w:id="21" w:author="John Archer" w:date="2020-08-14T09:34:00Z" w:initials="JA">
    <w:p w14:paraId="233D30C5" w14:textId="77777777" w:rsidR="00F67E5E" w:rsidRDefault="00F67E5E">
      <w:pPr>
        <w:pStyle w:val="CommentText"/>
        <w:rPr>
          <w:b/>
          <w:bCs/>
        </w:rPr>
      </w:pPr>
      <w:r>
        <w:rPr>
          <w:rStyle w:val="CommentReference"/>
        </w:rPr>
        <w:annotationRef/>
      </w:r>
      <w:r w:rsidRPr="0084466E">
        <w:rPr>
          <w:b/>
          <w:bCs/>
          <w:u w:val="single"/>
        </w:rPr>
        <w:t>Academic Editor</w:t>
      </w:r>
      <w:r w:rsidRPr="00831919">
        <w:rPr>
          <w:b/>
          <w:bCs/>
        </w:rPr>
        <w:t>:</w:t>
      </w:r>
    </w:p>
    <w:p w14:paraId="27CEBFB6" w14:textId="75EB846E" w:rsidR="00F67E5E" w:rsidRPr="00F67E5E" w:rsidRDefault="00F67E5E">
      <w:pPr>
        <w:pStyle w:val="CommentText"/>
      </w:pPr>
      <w:r>
        <w:t>Revised</w:t>
      </w:r>
      <w:r w:rsidR="00264859">
        <w:t xml:space="preserve"> to specify bodily samples used.</w:t>
      </w:r>
    </w:p>
  </w:comment>
  <w:comment w:id="22" w:author="John Archer" w:date="2020-08-14T09:40:00Z" w:initials="JA">
    <w:p w14:paraId="76C8C06E" w14:textId="77777777" w:rsidR="00015CDA" w:rsidRDefault="00015CDA">
      <w:pPr>
        <w:pStyle w:val="CommentText"/>
        <w:rPr>
          <w:b/>
          <w:bCs/>
        </w:rPr>
      </w:pPr>
      <w:r>
        <w:rPr>
          <w:rStyle w:val="CommentReference"/>
        </w:rPr>
        <w:annotationRef/>
      </w:r>
      <w:r w:rsidRPr="0084466E">
        <w:rPr>
          <w:b/>
          <w:bCs/>
          <w:u w:val="single"/>
        </w:rPr>
        <w:t>Academic Editor</w:t>
      </w:r>
      <w:r w:rsidRPr="00831919">
        <w:rPr>
          <w:b/>
          <w:bCs/>
        </w:rPr>
        <w:t>:</w:t>
      </w:r>
    </w:p>
    <w:p w14:paraId="66B7E199" w14:textId="66534EE6" w:rsidR="00015CDA" w:rsidRPr="00015CDA" w:rsidRDefault="00015CDA">
      <w:pPr>
        <w:pStyle w:val="CommentText"/>
      </w:pPr>
      <w:r>
        <w:t>Revised.</w:t>
      </w:r>
    </w:p>
  </w:comment>
  <w:comment w:id="23" w:author="John Archer" w:date="2020-08-14T13:21:00Z" w:initials="JA">
    <w:p w14:paraId="47EC5C83" w14:textId="77777777" w:rsidR="006564DC" w:rsidRDefault="006564DC" w:rsidP="006564DC">
      <w:pPr>
        <w:pStyle w:val="CommentText"/>
        <w:rPr>
          <w:b/>
          <w:bCs/>
        </w:rPr>
      </w:pPr>
      <w:r>
        <w:rPr>
          <w:rStyle w:val="CommentReference"/>
        </w:rPr>
        <w:annotationRef/>
      </w:r>
      <w:r w:rsidRPr="0084466E">
        <w:rPr>
          <w:b/>
          <w:bCs/>
          <w:u w:val="single"/>
        </w:rPr>
        <w:t>Academic Editor</w:t>
      </w:r>
      <w:r w:rsidRPr="00831919">
        <w:rPr>
          <w:b/>
          <w:bCs/>
        </w:rPr>
        <w:t>:</w:t>
      </w:r>
    </w:p>
    <w:p w14:paraId="04622D5F" w14:textId="3BEFBA35" w:rsidR="006564DC" w:rsidRDefault="006564DC" w:rsidP="006564DC">
      <w:pPr>
        <w:pStyle w:val="CommentText"/>
      </w:pPr>
      <w:r>
        <w:t>Long sentence now split into two sentences.</w:t>
      </w:r>
    </w:p>
  </w:comment>
  <w:comment w:id="24" w:author="John Archer" w:date="2020-08-15T21:01:00Z" w:initials="JA">
    <w:p w14:paraId="64357717" w14:textId="77777777" w:rsidR="00701273" w:rsidRDefault="00701273">
      <w:pPr>
        <w:pStyle w:val="CommentText"/>
        <w:rPr>
          <w:b/>
          <w:bCs/>
        </w:rPr>
      </w:pPr>
      <w:r>
        <w:rPr>
          <w:rStyle w:val="CommentReference"/>
        </w:rPr>
        <w:annotationRef/>
      </w:r>
      <w:r w:rsidRPr="0084466E">
        <w:rPr>
          <w:b/>
          <w:bCs/>
          <w:u w:val="single"/>
        </w:rPr>
        <w:t>Academic Editor</w:t>
      </w:r>
      <w:r w:rsidRPr="00831919">
        <w:rPr>
          <w:b/>
          <w:bCs/>
        </w:rPr>
        <w:t>:</w:t>
      </w:r>
    </w:p>
    <w:p w14:paraId="2BC03442" w14:textId="760DFCED" w:rsidR="00701273" w:rsidRPr="00701273" w:rsidRDefault="00701273">
      <w:pPr>
        <w:pStyle w:val="CommentText"/>
      </w:pPr>
      <w:r>
        <w:t>Now highlights screening of snail hosts (</w:t>
      </w:r>
      <w:r>
        <w:rPr>
          <w:i/>
          <w:iCs/>
        </w:rPr>
        <w:t>S. mansoni</w:t>
      </w:r>
      <w:r>
        <w:t xml:space="preserve">) and </w:t>
      </w:r>
      <w:r w:rsidR="00EB0201">
        <w:t xml:space="preserve">suggests future screening of </w:t>
      </w:r>
      <w:r w:rsidR="00C332FB">
        <w:t>rodent definitive hosts</w:t>
      </w:r>
      <w:r w:rsidR="008A7FD8">
        <w:t xml:space="preserve"> for DNA</w:t>
      </w:r>
      <w:r w:rsidR="00C332FB">
        <w:t xml:space="preserve"> and water samples</w:t>
      </w:r>
      <w:r w:rsidR="008A7FD8">
        <w:t xml:space="preserve"> for eDNA.</w:t>
      </w:r>
    </w:p>
  </w:comment>
  <w:comment w:id="25" w:author="John Archer" w:date="2020-08-14T13:47:00Z" w:initials="JA">
    <w:p w14:paraId="657C47FE" w14:textId="77777777" w:rsidR="00924AE7" w:rsidRDefault="00924AE7" w:rsidP="00924AE7">
      <w:pPr>
        <w:pStyle w:val="CommentText"/>
        <w:rPr>
          <w:b/>
          <w:bCs/>
        </w:rPr>
      </w:pPr>
      <w:r>
        <w:rPr>
          <w:rStyle w:val="CommentReference"/>
        </w:rPr>
        <w:annotationRef/>
      </w:r>
      <w:r w:rsidRPr="0084466E">
        <w:rPr>
          <w:b/>
          <w:bCs/>
          <w:u w:val="single"/>
        </w:rPr>
        <w:t>Academic Editor</w:t>
      </w:r>
      <w:r w:rsidRPr="00831919">
        <w:rPr>
          <w:b/>
          <w:bCs/>
        </w:rPr>
        <w:t>:</w:t>
      </w:r>
    </w:p>
    <w:p w14:paraId="79CBA83D" w14:textId="70940B2C" w:rsidR="00924AE7" w:rsidRDefault="00924AE7" w:rsidP="00924AE7">
      <w:pPr>
        <w:pStyle w:val="CommentText"/>
      </w:pPr>
      <w:r>
        <w:t>Reference now added relating to praziquantel mechanism of action not being fully understood</w:t>
      </w:r>
      <w:r w:rsidR="000F056F">
        <w:t>:</w:t>
      </w:r>
      <w:r w:rsidR="000F056F">
        <w:br/>
      </w:r>
      <w:r w:rsidR="000F056F" w:rsidRPr="00557AD2">
        <w:rPr>
          <w:rFonts w:ascii="Palatino Linotype" w:hAnsi="Palatino Linotype" w:cs="Times New Roman"/>
          <w:noProof/>
        </w:rPr>
        <w:t xml:space="preserve">Park, S.K.; Marchant, J.S. The Journey to Discovering a Flatworm Target of Praziquantel: A Long TRP. </w:t>
      </w:r>
      <w:r w:rsidR="000F056F" w:rsidRPr="00557AD2">
        <w:rPr>
          <w:rFonts w:ascii="Palatino Linotype" w:hAnsi="Palatino Linotype" w:cs="Times New Roman"/>
          <w:i/>
          <w:iCs/>
          <w:noProof/>
        </w:rPr>
        <w:t>Trends Parasitol.</w:t>
      </w:r>
      <w:r w:rsidR="000F056F" w:rsidRPr="00557AD2">
        <w:rPr>
          <w:rFonts w:ascii="Palatino Linotype" w:hAnsi="Palatino Linotype" w:cs="Times New Roman"/>
          <w:noProof/>
        </w:rPr>
        <w:t xml:space="preserve"> </w:t>
      </w:r>
      <w:r w:rsidR="000F056F" w:rsidRPr="00557AD2">
        <w:rPr>
          <w:rFonts w:ascii="Palatino Linotype" w:hAnsi="Palatino Linotype" w:cs="Times New Roman"/>
          <w:b/>
          <w:bCs/>
          <w:noProof/>
        </w:rPr>
        <w:t>2020</w:t>
      </w:r>
      <w:r w:rsidR="000F056F" w:rsidRPr="00557AD2">
        <w:rPr>
          <w:rFonts w:ascii="Palatino Linotype" w:hAnsi="Palatino Linotype" w:cs="Times New Roman"/>
          <w:noProof/>
        </w:rPr>
        <w:t xml:space="preserve">, </w:t>
      </w:r>
      <w:r w:rsidR="000F056F" w:rsidRPr="00557AD2">
        <w:rPr>
          <w:rFonts w:ascii="Palatino Linotype" w:hAnsi="Palatino Linotype" w:cs="Times New Roman"/>
          <w:i/>
          <w:iCs/>
          <w:noProof/>
        </w:rPr>
        <w:t>36</w:t>
      </w:r>
      <w:r w:rsidR="000F056F" w:rsidRPr="00557AD2">
        <w:rPr>
          <w:rFonts w:ascii="Palatino Linotype" w:hAnsi="Palatino Linotype" w:cs="Times New Roman"/>
          <w:noProof/>
        </w:rPr>
        <w:t>, 182–194, doi:10.1016/j.pt.2019.11.002.</w:t>
      </w:r>
    </w:p>
  </w:comment>
  <w:comment w:id="26" w:author="John Archer" w:date="2020-08-15T19:35:00Z" w:initials="JA">
    <w:p w14:paraId="1C4F675F" w14:textId="77777777" w:rsidR="00EA6EFB" w:rsidRDefault="00EA6EFB">
      <w:pPr>
        <w:pStyle w:val="CommentText"/>
        <w:rPr>
          <w:b/>
          <w:bCs/>
        </w:rPr>
      </w:pPr>
      <w:r>
        <w:rPr>
          <w:rStyle w:val="CommentReference"/>
        </w:rPr>
        <w:annotationRef/>
      </w:r>
      <w:r w:rsidRPr="0084466E">
        <w:rPr>
          <w:b/>
          <w:bCs/>
          <w:u w:val="single"/>
        </w:rPr>
        <w:t>Academic Editor</w:t>
      </w:r>
      <w:r w:rsidRPr="00831919">
        <w:rPr>
          <w:b/>
          <w:bCs/>
        </w:rPr>
        <w:t>:</w:t>
      </w:r>
    </w:p>
    <w:p w14:paraId="3F6F2DBB" w14:textId="589A4BE2" w:rsidR="00EA6EFB" w:rsidRPr="00EA6EFB" w:rsidRDefault="00EB0DA6">
      <w:pPr>
        <w:pStyle w:val="CommentText"/>
      </w:pPr>
      <w:r>
        <w:t>Long sentence split and</w:t>
      </w:r>
      <w:r w:rsidR="00EA6EFB">
        <w:t xml:space="preserve"> revised. </w:t>
      </w:r>
    </w:p>
  </w:comment>
  <w:comment w:id="27" w:author="John Archer" w:date="2020-08-15T20:40:00Z" w:initials="JA">
    <w:p w14:paraId="1E0583E2" w14:textId="77777777" w:rsidR="008E5B91" w:rsidRDefault="008E5B91" w:rsidP="008E5B91">
      <w:pPr>
        <w:pStyle w:val="CommentText"/>
        <w:rPr>
          <w:b/>
          <w:bCs/>
        </w:rPr>
      </w:pPr>
      <w:r>
        <w:rPr>
          <w:rStyle w:val="CommentReference"/>
        </w:rPr>
        <w:annotationRef/>
      </w:r>
      <w:r w:rsidRPr="0084466E">
        <w:rPr>
          <w:b/>
          <w:bCs/>
          <w:u w:val="single"/>
        </w:rPr>
        <w:t>Academic Editor</w:t>
      </w:r>
      <w:r w:rsidRPr="00831919">
        <w:rPr>
          <w:b/>
          <w:bCs/>
        </w:rPr>
        <w:t>:</w:t>
      </w:r>
    </w:p>
    <w:p w14:paraId="4979590D" w14:textId="7C922B92" w:rsidR="008E5B91" w:rsidRDefault="008E5B91" w:rsidP="008E5B91">
      <w:pPr>
        <w:pStyle w:val="CommentText"/>
      </w:pPr>
      <w:r>
        <w:rPr>
          <w:bCs/>
        </w:rPr>
        <w:t xml:space="preserve">Now explicitly states that aligning treatment of both diseases in tandem would be difficult to </w:t>
      </w:r>
      <w:r w:rsidR="00924448">
        <w:rPr>
          <w:bCs/>
        </w:rPr>
        <w:t>implement</w:t>
      </w:r>
      <w:r>
        <w:rPr>
          <w:bCs/>
        </w:rPr>
        <w:t>.</w:t>
      </w:r>
    </w:p>
  </w:comment>
  <w:comment w:id="28" w:author="John Archer" w:date="2020-08-15T19:42:00Z" w:initials="JA">
    <w:p w14:paraId="4B7DABFA" w14:textId="77777777" w:rsidR="00503EA9" w:rsidRDefault="00503EA9">
      <w:pPr>
        <w:pStyle w:val="CommentText"/>
        <w:rPr>
          <w:b/>
          <w:bCs/>
        </w:rPr>
      </w:pPr>
      <w:r>
        <w:rPr>
          <w:rStyle w:val="CommentReference"/>
        </w:rPr>
        <w:annotationRef/>
      </w:r>
      <w:r w:rsidRPr="0084466E">
        <w:rPr>
          <w:b/>
          <w:bCs/>
          <w:u w:val="single"/>
        </w:rPr>
        <w:t>Academic Editor</w:t>
      </w:r>
      <w:r w:rsidRPr="00831919">
        <w:rPr>
          <w:b/>
          <w:bCs/>
        </w:rPr>
        <w:t>:</w:t>
      </w:r>
    </w:p>
    <w:p w14:paraId="6B21F9D3" w14:textId="6FB7F3C9" w:rsidR="00503EA9" w:rsidRPr="00503EA9" w:rsidRDefault="00503EA9">
      <w:pPr>
        <w:pStyle w:val="CommentText"/>
      </w:pPr>
      <w:r>
        <w:t>Sentence reduced and revised.</w:t>
      </w:r>
    </w:p>
  </w:comment>
  <w:comment w:id="29" w:author="John Archer" w:date="2020-08-15T19:51:00Z" w:initials="JA">
    <w:p w14:paraId="078B0DD8" w14:textId="77777777" w:rsidR="00220344" w:rsidRDefault="00220344">
      <w:pPr>
        <w:pStyle w:val="CommentText"/>
        <w:rPr>
          <w:b/>
          <w:bCs/>
        </w:rPr>
      </w:pPr>
      <w:r>
        <w:rPr>
          <w:rStyle w:val="CommentReference"/>
        </w:rPr>
        <w:annotationRef/>
      </w:r>
      <w:r w:rsidRPr="0084466E">
        <w:rPr>
          <w:b/>
          <w:bCs/>
          <w:u w:val="single"/>
        </w:rPr>
        <w:t>Academic Editor</w:t>
      </w:r>
      <w:r w:rsidRPr="00831919">
        <w:rPr>
          <w:b/>
          <w:bCs/>
        </w:rPr>
        <w:t>:</w:t>
      </w:r>
    </w:p>
    <w:p w14:paraId="67FE41AF" w14:textId="39C41EFE" w:rsidR="00220344" w:rsidRPr="00220344" w:rsidRDefault="0013404F">
      <w:pPr>
        <w:pStyle w:val="CommentText"/>
      </w:pPr>
      <w:r>
        <w:t>Long sentence split and revised.</w:t>
      </w:r>
    </w:p>
  </w:comment>
  <w:comment w:id="30" w:author="John Archer" w:date="2020-08-14T09:51:00Z" w:initials="JA">
    <w:p w14:paraId="18211112" w14:textId="77777777" w:rsidR="00C70F9C" w:rsidRDefault="00C70F9C">
      <w:pPr>
        <w:pStyle w:val="CommentText"/>
        <w:rPr>
          <w:b/>
          <w:bCs/>
        </w:rPr>
      </w:pPr>
      <w:r>
        <w:rPr>
          <w:rStyle w:val="CommentReference"/>
        </w:rPr>
        <w:annotationRef/>
      </w:r>
      <w:r w:rsidRPr="0084466E">
        <w:rPr>
          <w:b/>
          <w:bCs/>
          <w:u w:val="single"/>
        </w:rPr>
        <w:t>Academic Editor</w:t>
      </w:r>
      <w:r w:rsidRPr="00831919">
        <w:rPr>
          <w:b/>
          <w:bCs/>
        </w:rPr>
        <w:t>:</w:t>
      </w:r>
    </w:p>
    <w:p w14:paraId="0B183DA0" w14:textId="32E83646" w:rsidR="00C70F9C" w:rsidRPr="00C70F9C" w:rsidRDefault="00C70F9C">
      <w:pPr>
        <w:pStyle w:val="CommentText"/>
      </w:pPr>
      <w:r>
        <w:t>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C8A5B3" w15:done="0"/>
  <w15:commentEx w15:paraId="7571FB87" w15:done="0"/>
  <w15:commentEx w15:paraId="2101F48E" w15:done="0"/>
  <w15:commentEx w15:paraId="6DFA71DA" w15:done="0"/>
  <w15:commentEx w15:paraId="525B8015" w15:done="0"/>
  <w15:commentEx w15:paraId="5681305E" w15:done="0"/>
  <w15:commentEx w15:paraId="1296A4A2" w15:done="0"/>
  <w15:commentEx w15:paraId="60B49EED" w15:done="0"/>
  <w15:commentEx w15:paraId="151B8AFA" w15:done="0"/>
  <w15:commentEx w15:paraId="28047C4A" w15:done="0"/>
  <w15:commentEx w15:paraId="5018F0E1" w15:done="0"/>
  <w15:commentEx w15:paraId="0C59BE17" w15:done="0"/>
  <w15:commentEx w15:paraId="278B30CA" w15:done="0"/>
  <w15:commentEx w15:paraId="3FBEAD82" w15:done="0"/>
  <w15:commentEx w15:paraId="7CB8CF53" w15:done="0"/>
  <w15:commentEx w15:paraId="3D13F777" w15:done="0"/>
  <w15:commentEx w15:paraId="086E702D" w15:done="0"/>
  <w15:commentEx w15:paraId="2E11C9DE" w15:done="0"/>
  <w15:commentEx w15:paraId="6D8735F3" w15:done="0"/>
  <w15:commentEx w15:paraId="27CEBFB6" w15:done="0"/>
  <w15:commentEx w15:paraId="66B7E199" w15:done="0"/>
  <w15:commentEx w15:paraId="04622D5F" w15:done="0"/>
  <w15:commentEx w15:paraId="2BC03442" w15:done="0"/>
  <w15:commentEx w15:paraId="79CBA83D" w15:done="0"/>
  <w15:commentEx w15:paraId="3F6F2DBB" w15:done="0"/>
  <w15:commentEx w15:paraId="4979590D" w15:done="0"/>
  <w15:commentEx w15:paraId="6B21F9D3" w15:done="0"/>
  <w15:commentEx w15:paraId="67FE41AF" w15:done="0"/>
  <w15:commentEx w15:paraId="0B183D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0CB82" w16cex:dateUtc="2020-08-14T07:36:00Z"/>
  <w16cex:commentExtensible w16cex:durableId="22E0CD39" w16cex:dateUtc="2020-08-14T07:43:00Z"/>
  <w16cex:commentExtensible w16cex:durableId="22E0CD4C" w16cex:dateUtc="2020-08-14T07:43:00Z"/>
  <w16cex:commentExtensible w16cex:durableId="22E0CD91" w16cex:dateUtc="2020-08-14T07:45:00Z"/>
  <w16cex:commentExtensible w16cex:durableId="22E0CDAB" w16cex:dateUtc="2020-08-14T07:45:00Z"/>
  <w16cex:commentExtensible w16cex:durableId="22E0D2E7" w16cex:dateUtc="2020-08-14T08:07:00Z"/>
  <w16cex:commentExtensible w16cex:durableId="22E10631" w16cex:dateUtc="2020-08-14T11:46:00Z"/>
  <w16cex:commentExtensible w16cex:durableId="22E0D44F" w16cex:dateUtc="2020-08-14T08:13:00Z"/>
  <w16cex:commentExtensible w16cex:durableId="22E0D474" w16cex:dateUtc="2020-08-14T08:14:00Z"/>
  <w16cex:commentExtensible w16cex:durableId="22E106F4" w16cex:dateUtc="2020-08-14T11:49:00Z"/>
  <w16cex:commentExtensible w16cex:durableId="22E0D4CE" w16cex:dateUtc="2020-08-14T08:15:00Z"/>
  <w16cex:commentExtensible w16cex:durableId="22E2BC23" w16cex:dateUtc="2020-08-15T18:55:00Z"/>
  <w16cex:commentExtensible w16cex:durableId="22E0D51B" w16cex:dateUtc="2020-08-14T08:17:00Z"/>
  <w16cex:commentExtensible w16cex:durableId="22E298CA" w16cex:dateUtc="2020-08-15T16:24:00Z"/>
  <w16cex:commentExtensible w16cex:durableId="22E0D81A" w16cex:dateUtc="2020-08-14T08:30:00Z"/>
  <w16cex:commentExtensible w16cex:durableId="22E2BEB9" w16cex:dateUtc="2020-08-15T19:06:00Z"/>
  <w16cex:commentExtensible w16cex:durableId="22E0D803" w16cex:dateUtc="2020-08-14T08:29:00Z"/>
  <w16cex:commentExtensible w16cex:durableId="22E0D843" w16cex:dateUtc="2020-08-14T08:30:00Z"/>
  <w16cex:commentExtensible w16cex:durableId="22E2CE47" w16cex:dateUtc="2020-08-15T20:12:00Z"/>
  <w16cex:commentExtensible w16cex:durableId="22E0D91B" w16cex:dateUtc="2020-08-14T08:34:00Z"/>
  <w16cex:commentExtensible w16cex:durableId="22E0DA76" w16cex:dateUtc="2020-08-14T08:40:00Z"/>
  <w16cex:commentExtensible w16cex:durableId="22E10E4C" w16cex:dateUtc="2020-08-14T12:21:00Z"/>
  <w16cex:commentExtensible w16cex:durableId="22E2CBBF" w16cex:dateUtc="2020-08-15T20:01:00Z"/>
  <w16cex:commentExtensible w16cex:durableId="22E1145E" w16cex:dateUtc="2020-08-14T12:47:00Z"/>
  <w16cex:commentExtensible w16cex:durableId="22E2B788" w16cex:dateUtc="2020-08-15T18:35:00Z"/>
  <w16cex:commentExtensible w16cex:durableId="22E2C6D1" w16cex:dateUtc="2020-08-15T19:40:00Z"/>
  <w16cex:commentExtensible w16cex:durableId="22E2B90F" w16cex:dateUtc="2020-08-15T18:42:00Z"/>
  <w16cex:commentExtensible w16cex:durableId="22E2BB2F" w16cex:dateUtc="2020-08-15T18:51:00Z"/>
  <w16cex:commentExtensible w16cex:durableId="22E0DD3C" w16cex:dateUtc="2020-08-14T0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C8A5B3" w16cid:durableId="22E0CB82"/>
  <w16cid:commentId w16cid:paraId="7571FB87" w16cid:durableId="22E0CD39"/>
  <w16cid:commentId w16cid:paraId="2101F48E" w16cid:durableId="22E0CD4C"/>
  <w16cid:commentId w16cid:paraId="6DFA71DA" w16cid:durableId="22E0CD91"/>
  <w16cid:commentId w16cid:paraId="525B8015" w16cid:durableId="22E0CDAB"/>
  <w16cid:commentId w16cid:paraId="5681305E" w16cid:durableId="22E0D2E7"/>
  <w16cid:commentId w16cid:paraId="1296A4A2" w16cid:durableId="22E10631"/>
  <w16cid:commentId w16cid:paraId="60B49EED" w16cid:durableId="22E0D44F"/>
  <w16cid:commentId w16cid:paraId="151B8AFA" w16cid:durableId="22E0D474"/>
  <w16cid:commentId w16cid:paraId="28047C4A" w16cid:durableId="22E106F4"/>
  <w16cid:commentId w16cid:paraId="5018F0E1" w16cid:durableId="22E0D4CE"/>
  <w16cid:commentId w16cid:paraId="0C59BE17" w16cid:durableId="22E2BC23"/>
  <w16cid:commentId w16cid:paraId="278B30CA" w16cid:durableId="22E0D51B"/>
  <w16cid:commentId w16cid:paraId="3FBEAD82" w16cid:durableId="22E298CA"/>
  <w16cid:commentId w16cid:paraId="7CB8CF53" w16cid:durableId="22E0D81A"/>
  <w16cid:commentId w16cid:paraId="3D13F777" w16cid:durableId="22E2BEB9"/>
  <w16cid:commentId w16cid:paraId="086E702D" w16cid:durableId="22E0D803"/>
  <w16cid:commentId w16cid:paraId="2E11C9DE" w16cid:durableId="22E0D843"/>
  <w16cid:commentId w16cid:paraId="6D8735F3" w16cid:durableId="22E2CE47"/>
  <w16cid:commentId w16cid:paraId="27CEBFB6" w16cid:durableId="22E0D91B"/>
  <w16cid:commentId w16cid:paraId="66B7E199" w16cid:durableId="22E0DA76"/>
  <w16cid:commentId w16cid:paraId="04622D5F" w16cid:durableId="22E10E4C"/>
  <w16cid:commentId w16cid:paraId="2BC03442" w16cid:durableId="22E2CBBF"/>
  <w16cid:commentId w16cid:paraId="79CBA83D" w16cid:durableId="22E1145E"/>
  <w16cid:commentId w16cid:paraId="3F6F2DBB" w16cid:durableId="22E2B788"/>
  <w16cid:commentId w16cid:paraId="4979590D" w16cid:durableId="22E2C6D1"/>
  <w16cid:commentId w16cid:paraId="6B21F9D3" w16cid:durableId="22E2B90F"/>
  <w16cid:commentId w16cid:paraId="67FE41AF" w16cid:durableId="22E2BB2F"/>
  <w16cid:commentId w16cid:paraId="0B183DA0" w16cid:durableId="22E0DD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53189" w14:textId="77777777" w:rsidR="003E4375" w:rsidRDefault="003E4375">
      <w:r>
        <w:separator/>
      </w:r>
    </w:p>
  </w:endnote>
  <w:endnote w:type="continuationSeparator" w:id="0">
    <w:p w14:paraId="370785F2" w14:textId="77777777" w:rsidR="003E4375" w:rsidRDefault="003E4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Palatino">
    <w:charset w:val="4D"/>
    <w:family w:val="auto"/>
    <w:pitch w:val="variable"/>
    <w:sig w:usb0="A00002FF" w:usb1="7800205A" w:usb2="14600000" w:usb3="00000000" w:csb0="00000193" w:csb1="00000000"/>
  </w:font>
  <w:font w:name="Times New Roman,Arial">
    <w:altName w:val="Times New Roman"/>
    <w:charset w:val="00"/>
    <w:family w:val="auto"/>
    <w:pitch w:val="variable"/>
    <w:sig w:usb0="E00002FF" w:usb1="5000205A" w:usb2="00000000" w:usb3="00000000" w:csb0="0000019F" w:csb1="00000000"/>
  </w:font>
  <w:font w:name="Times New Roman,Arial,AdvTT3713">
    <w:altName w:val="Times New Roman"/>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29535" w14:textId="77777777" w:rsidR="00B37215" w:rsidRDefault="00B37215" w:rsidP="00E43929">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1E35F" w14:textId="77777777" w:rsidR="00B37215" w:rsidRPr="00372FCD" w:rsidRDefault="00B37215" w:rsidP="00834353">
    <w:pPr>
      <w:tabs>
        <w:tab w:val="right" w:pos="8844"/>
      </w:tabs>
      <w:adjustRightInd w:val="0"/>
      <w:snapToGrid w:val="0"/>
      <w:spacing w:before="120"/>
      <w:rPr>
        <w:rFonts w:ascii="Palatino Linotype" w:hAnsi="Palatino Linotype"/>
        <w:sz w:val="16"/>
        <w:szCs w:val="16"/>
        <w:lang w:val="fr-CH"/>
      </w:rPr>
    </w:pPr>
    <w:r>
      <w:rPr>
        <w:rFonts w:ascii="Palatino Linotype" w:hAnsi="Palatino Linotype"/>
        <w:i/>
        <w:sz w:val="16"/>
        <w:szCs w:val="16"/>
      </w:rPr>
      <w:t xml:space="preserve">Trop. Med. </w:t>
    </w:r>
    <w:r w:rsidRPr="0078108D">
      <w:rPr>
        <w:rFonts w:ascii="Palatino Linotype" w:hAnsi="Palatino Linotype"/>
        <w:i/>
        <w:sz w:val="16"/>
        <w:szCs w:val="16"/>
      </w:rPr>
      <w:t>Infect. Dis.</w:t>
    </w:r>
    <w:r w:rsidRPr="00CD2926">
      <w:rPr>
        <w:rFonts w:ascii="Palatino Linotype" w:hAnsi="Palatino Linotype"/>
        <w:i/>
        <w:sz w:val="16"/>
        <w:szCs w:val="16"/>
      </w:rPr>
      <w:t xml:space="preserve"> </w:t>
    </w:r>
    <w:r w:rsidRPr="00FB3CCF">
      <w:rPr>
        <w:rFonts w:ascii="Palatino Linotype" w:hAnsi="Palatino Linotype"/>
        <w:b/>
        <w:bCs/>
        <w:iCs/>
        <w:sz w:val="16"/>
        <w:szCs w:val="16"/>
      </w:rPr>
      <w:t>20</w:t>
    </w:r>
    <w:r>
      <w:rPr>
        <w:rFonts w:ascii="Palatino Linotype" w:hAnsi="Palatino Linotype"/>
        <w:b/>
        <w:bCs/>
        <w:iCs/>
        <w:sz w:val="16"/>
        <w:szCs w:val="16"/>
      </w:rPr>
      <w:t>20</w:t>
    </w:r>
    <w:r w:rsidRPr="00FB3CCF">
      <w:rPr>
        <w:rFonts w:ascii="Palatino Linotype" w:hAnsi="Palatino Linotype"/>
        <w:bCs/>
        <w:iCs/>
        <w:sz w:val="16"/>
        <w:szCs w:val="16"/>
      </w:rPr>
      <w:t xml:space="preserve">, </w:t>
    </w:r>
    <w:r>
      <w:rPr>
        <w:rFonts w:ascii="Palatino Linotype" w:hAnsi="Palatino Linotype"/>
        <w:bCs/>
        <w:i/>
        <w:iCs/>
        <w:sz w:val="16"/>
        <w:szCs w:val="16"/>
      </w:rPr>
      <w:t>5</w:t>
    </w:r>
    <w:r w:rsidRPr="00FB3CCF">
      <w:rPr>
        <w:rFonts w:ascii="Palatino Linotype" w:hAnsi="Palatino Linotype"/>
        <w:bCs/>
        <w:iCs/>
        <w:sz w:val="16"/>
        <w:szCs w:val="16"/>
      </w:rPr>
      <w:t xml:space="preserve">, </w:t>
    </w:r>
    <w:r>
      <w:rPr>
        <w:rFonts w:ascii="Palatino Linotype" w:hAnsi="Palatino Linotype"/>
        <w:bCs/>
        <w:iCs/>
        <w:sz w:val="16"/>
        <w:szCs w:val="16"/>
      </w:rPr>
      <w:t>x; doi: FOR PEER REVIEW</w:t>
    </w:r>
    <w:r w:rsidRPr="00372FCD">
      <w:rPr>
        <w:rFonts w:ascii="Palatino Linotype" w:hAnsi="Palatino Linotype"/>
        <w:sz w:val="16"/>
        <w:szCs w:val="16"/>
        <w:lang w:val="fr-CH"/>
      </w:rPr>
      <w:tab/>
      <w:t>www.mdpi.com/journal/</w:t>
    </w:r>
    <w:r>
      <w:rPr>
        <w:rFonts w:ascii="Palatino Linotype" w:hAnsi="Palatino Linotype"/>
        <w:sz w:val="16"/>
        <w:szCs w:val="16"/>
      </w:rPr>
      <w:t>tropical</w:t>
    </w:r>
    <w:r w:rsidRPr="00EE4C19">
      <w:rPr>
        <w:rFonts w:ascii="Palatino Linotype" w:hAnsi="Palatino Linotype"/>
        <w:sz w:val="16"/>
        <w:szCs w:val="16"/>
      </w:rPr>
      <w:t>med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70B53" w14:textId="77777777" w:rsidR="003E4375" w:rsidRDefault="003E4375">
      <w:r>
        <w:separator/>
      </w:r>
    </w:p>
  </w:footnote>
  <w:footnote w:type="continuationSeparator" w:id="0">
    <w:p w14:paraId="1B67B5DD" w14:textId="77777777" w:rsidR="003E4375" w:rsidRDefault="003E4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002BB" w14:textId="77777777" w:rsidR="00B37215" w:rsidRDefault="00B37215" w:rsidP="00E4392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5EE2B" w14:textId="77777777" w:rsidR="00B37215" w:rsidRPr="008D3D08" w:rsidRDefault="00B37215" w:rsidP="00834353">
    <w:pPr>
      <w:tabs>
        <w:tab w:val="right" w:pos="8844"/>
      </w:tabs>
      <w:adjustRightInd w:val="0"/>
      <w:snapToGrid w:val="0"/>
      <w:spacing w:after="240"/>
      <w:rPr>
        <w:rFonts w:ascii="Palatino Linotype" w:hAnsi="Palatino Linotype"/>
        <w:sz w:val="16"/>
      </w:rPr>
    </w:pPr>
    <w:r>
      <w:rPr>
        <w:rFonts w:ascii="Palatino Linotype" w:hAnsi="Palatino Linotype"/>
        <w:i/>
        <w:sz w:val="16"/>
      </w:rPr>
      <w:t xml:space="preserve">Trop. Med. Infect. Dis. </w:t>
    </w:r>
    <w:r w:rsidRPr="00FB3CCF">
      <w:rPr>
        <w:rFonts w:ascii="Palatino Linotype" w:hAnsi="Palatino Linotype"/>
        <w:b/>
        <w:sz w:val="16"/>
      </w:rPr>
      <w:t>20</w:t>
    </w:r>
    <w:r>
      <w:rPr>
        <w:rFonts w:ascii="Palatino Linotype" w:hAnsi="Palatino Linotype"/>
        <w:b/>
        <w:sz w:val="16"/>
      </w:rPr>
      <w:t>20</w:t>
    </w:r>
    <w:r w:rsidRPr="00FB3CCF">
      <w:rPr>
        <w:rFonts w:ascii="Palatino Linotype" w:hAnsi="Palatino Linotype"/>
        <w:sz w:val="16"/>
      </w:rPr>
      <w:t xml:space="preserve">, </w:t>
    </w:r>
    <w:r>
      <w:rPr>
        <w:rFonts w:ascii="Palatino Linotype" w:hAnsi="Palatino Linotype"/>
        <w:i/>
        <w:sz w:val="16"/>
      </w:rPr>
      <w:t>5</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3</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Pr>
        <w:rFonts w:ascii="Palatino Linotype" w:hAnsi="Palatino Linotype"/>
        <w:noProof/>
        <w:sz w:val="16"/>
      </w:rPr>
      <w:t>4</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FDDCC" w14:textId="2D6C2859" w:rsidR="00B37215" w:rsidRDefault="00B37215" w:rsidP="00E43929">
    <w:pPr>
      <w:pStyle w:val="MDPIheaderjournallogo"/>
    </w:pPr>
    <w:r w:rsidRPr="00107786">
      <w:rPr>
        <w:i w:val="0"/>
        <w:noProof/>
        <w:szCs w:val="16"/>
        <w:lang w:eastAsia="zh-CN"/>
      </w:rPr>
      <mc:AlternateContent>
        <mc:Choice Requires="wps">
          <w:drawing>
            <wp:anchor distT="45720" distB="45720" distL="114300" distR="114300" simplePos="0" relativeHeight="251657728" behindDoc="1" locked="0" layoutInCell="1" allowOverlap="1" wp14:anchorId="5E7224AC" wp14:editId="42C8D3A5">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5BF5C03C" w14:textId="0F64F541" w:rsidR="00B37215" w:rsidRDefault="00B37215" w:rsidP="00E43929">
                          <w:pPr>
                            <w:pStyle w:val="MDPIheaderjournallogo"/>
                            <w:jc w:val="center"/>
                            <w:textboxTightWrap w:val="allLines"/>
                            <w:rPr>
                              <w:i w:val="0"/>
                              <w:szCs w:val="16"/>
                            </w:rPr>
                          </w:pPr>
                          <w:r w:rsidRPr="00FE3088">
                            <w:rPr>
                              <w:i w:val="0"/>
                              <w:noProof/>
                              <w:szCs w:val="16"/>
                              <w:lang w:eastAsia="zh-CN"/>
                            </w:rPr>
                            <w:drawing>
                              <wp:inline distT="0" distB="0" distL="0" distR="0" wp14:anchorId="5A0896A0" wp14:editId="5FC7CF34">
                                <wp:extent cx="541020" cy="358140"/>
                                <wp:effectExtent l="0" t="0" r="0" b="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224AC"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5BF5C03C" w14:textId="0F64F541" w:rsidR="00B37215" w:rsidRDefault="00B37215" w:rsidP="00E43929">
                    <w:pPr>
                      <w:pStyle w:val="MDPIheaderjournallogo"/>
                      <w:jc w:val="center"/>
                      <w:textboxTightWrap w:val="allLines"/>
                      <w:rPr>
                        <w:i w:val="0"/>
                        <w:szCs w:val="16"/>
                      </w:rPr>
                    </w:pPr>
                    <w:r w:rsidRPr="00FE3088">
                      <w:rPr>
                        <w:i w:val="0"/>
                        <w:noProof/>
                        <w:szCs w:val="16"/>
                        <w:lang w:eastAsia="zh-CN"/>
                      </w:rPr>
                      <w:drawing>
                        <wp:inline distT="0" distB="0" distL="0" distR="0" wp14:anchorId="5A0896A0" wp14:editId="5FC7CF34">
                          <wp:extent cx="541020" cy="358140"/>
                          <wp:effectExtent l="0" t="0" r="0" b="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16875B7C" wp14:editId="61689539">
          <wp:extent cx="1752600" cy="426720"/>
          <wp:effectExtent l="0" t="0" r="0" b="0"/>
          <wp:docPr id="5" name="Picture 6" descr="C:\Users\home\Downloads\TropicalMe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ownloads\TropicalMed-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0" cy="4267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A6BAC"/>
    <w:multiLevelType w:val="hybridMultilevel"/>
    <w:tmpl w:val="0B1C9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4A20717B"/>
    <w:multiLevelType w:val="singleLevel"/>
    <w:tmpl w:val="932A438A"/>
    <w:lvl w:ilvl="0">
      <w:start w:val="1"/>
      <w:numFmt w:val="decimal"/>
      <w:lvlText w:val="%1."/>
      <w:lvlJc w:val="left"/>
      <w:pPr>
        <w:ind w:left="288" w:firstLine="72"/>
      </w:pPr>
      <w:rPr>
        <w:vertAlign w:val="superscript"/>
      </w:rPr>
    </w:lvl>
  </w:abstractNum>
  <w:abstractNum w:abstractNumId="5" w15:restartNumberingAfterBreak="0">
    <w:nsid w:val="5769203E"/>
    <w:multiLevelType w:val="hybridMultilevel"/>
    <w:tmpl w:val="8DB257C6"/>
    <w:lvl w:ilvl="0" w:tplc="E264B61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ABA3FFD"/>
    <w:multiLevelType w:val="hybridMultilevel"/>
    <w:tmpl w:val="251A9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62642C"/>
    <w:multiLevelType w:val="hybridMultilevel"/>
    <w:tmpl w:val="519E77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 w:numId="7">
    <w:abstractNumId w:val="6"/>
  </w:num>
  <w:num w:numId="8">
    <w:abstractNumId w:val="4"/>
  </w:num>
  <w:num w:numId="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Archer">
    <w15:presenceInfo w15:providerId="Windows Live" w15:userId="954a303d0f06cd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4E2"/>
    <w:rsid w:val="000002A7"/>
    <w:rsid w:val="00000645"/>
    <w:rsid w:val="000012EA"/>
    <w:rsid w:val="00001496"/>
    <w:rsid w:val="00002140"/>
    <w:rsid w:val="00002AAC"/>
    <w:rsid w:val="00003299"/>
    <w:rsid w:val="00004616"/>
    <w:rsid w:val="00004BB4"/>
    <w:rsid w:val="00004F1C"/>
    <w:rsid w:val="000051EF"/>
    <w:rsid w:val="0000571F"/>
    <w:rsid w:val="00006FEE"/>
    <w:rsid w:val="00007138"/>
    <w:rsid w:val="000072A5"/>
    <w:rsid w:val="000077CC"/>
    <w:rsid w:val="00010009"/>
    <w:rsid w:val="00010BE2"/>
    <w:rsid w:val="00010E19"/>
    <w:rsid w:val="00012894"/>
    <w:rsid w:val="00012CBA"/>
    <w:rsid w:val="00012D70"/>
    <w:rsid w:val="00012DBA"/>
    <w:rsid w:val="00015CDA"/>
    <w:rsid w:val="00015FE0"/>
    <w:rsid w:val="00017997"/>
    <w:rsid w:val="000220CB"/>
    <w:rsid w:val="00022D2A"/>
    <w:rsid w:val="00023399"/>
    <w:rsid w:val="00023FD7"/>
    <w:rsid w:val="000245AB"/>
    <w:rsid w:val="00025EAB"/>
    <w:rsid w:val="000261CA"/>
    <w:rsid w:val="00027E79"/>
    <w:rsid w:val="00027EC9"/>
    <w:rsid w:val="00031110"/>
    <w:rsid w:val="00031162"/>
    <w:rsid w:val="0003134B"/>
    <w:rsid w:val="000314C7"/>
    <w:rsid w:val="00031BFE"/>
    <w:rsid w:val="00032894"/>
    <w:rsid w:val="00033D2B"/>
    <w:rsid w:val="0003532B"/>
    <w:rsid w:val="00036029"/>
    <w:rsid w:val="00036AD1"/>
    <w:rsid w:val="000402A7"/>
    <w:rsid w:val="00040B5D"/>
    <w:rsid w:val="00040D26"/>
    <w:rsid w:val="00040E57"/>
    <w:rsid w:val="00042CD5"/>
    <w:rsid w:val="000432FA"/>
    <w:rsid w:val="00043B58"/>
    <w:rsid w:val="00045EB6"/>
    <w:rsid w:val="00045EEB"/>
    <w:rsid w:val="0004622D"/>
    <w:rsid w:val="00047810"/>
    <w:rsid w:val="0004797C"/>
    <w:rsid w:val="00047AA9"/>
    <w:rsid w:val="00047DB8"/>
    <w:rsid w:val="00047F1A"/>
    <w:rsid w:val="0005088C"/>
    <w:rsid w:val="00050D0C"/>
    <w:rsid w:val="00051FA4"/>
    <w:rsid w:val="000528ED"/>
    <w:rsid w:val="00052AE7"/>
    <w:rsid w:val="00052CA8"/>
    <w:rsid w:val="000535D1"/>
    <w:rsid w:val="00053E4F"/>
    <w:rsid w:val="00054BFF"/>
    <w:rsid w:val="00057C95"/>
    <w:rsid w:val="000601C9"/>
    <w:rsid w:val="00060227"/>
    <w:rsid w:val="00060F54"/>
    <w:rsid w:val="00062416"/>
    <w:rsid w:val="000635C1"/>
    <w:rsid w:val="00063680"/>
    <w:rsid w:val="0006426D"/>
    <w:rsid w:val="00064939"/>
    <w:rsid w:val="00064F7E"/>
    <w:rsid w:val="0006647B"/>
    <w:rsid w:val="00067176"/>
    <w:rsid w:val="00067512"/>
    <w:rsid w:val="000702F8"/>
    <w:rsid w:val="000707A3"/>
    <w:rsid w:val="000714B0"/>
    <w:rsid w:val="000715A9"/>
    <w:rsid w:val="00071A85"/>
    <w:rsid w:val="0007229F"/>
    <w:rsid w:val="00072753"/>
    <w:rsid w:val="0007344B"/>
    <w:rsid w:val="00074423"/>
    <w:rsid w:val="0007502F"/>
    <w:rsid w:val="00076260"/>
    <w:rsid w:val="00076CC1"/>
    <w:rsid w:val="00076F3F"/>
    <w:rsid w:val="00077392"/>
    <w:rsid w:val="00077BDF"/>
    <w:rsid w:val="00077D41"/>
    <w:rsid w:val="000811F1"/>
    <w:rsid w:val="00081413"/>
    <w:rsid w:val="00081724"/>
    <w:rsid w:val="00082131"/>
    <w:rsid w:val="00082C52"/>
    <w:rsid w:val="000830BB"/>
    <w:rsid w:val="00083BAA"/>
    <w:rsid w:val="00083DF9"/>
    <w:rsid w:val="00086CDB"/>
    <w:rsid w:val="000873A8"/>
    <w:rsid w:val="000874B5"/>
    <w:rsid w:val="00090AEF"/>
    <w:rsid w:val="000917CF"/>
    <w:rsid w:val="00094D53"/>
    <w:rsid w:val="00095A96"/>
    <w:rsid w:val="000963D6"/>
    <w:rsid w:val="00097C76"/>
    <w:rsid w:val="000A002C"/>
    <w:rsid w:val="000A0165"/>
    <w:rsid w:val="000A087F"/>
    <w:rsid w:val="000A1126"/>
    <w:rsid w:val="000A4784"/>
    <w:rsid w:val="000A59C9"/>
    <w:rsid w:val="000A62B5"/>
    <w:rsid w:val="000A7C51"/>
    <w:rsid w:val="000B0B2C"/>
    <w:rsid w:val="000B148B"/>
    <w:rsid w:val="000B172F"/>
    <w:rsid w:val="000B28B9"/>
    <w:rsid w:val="000B2E36"/>
    <w:rsid w:val="000B2F65"/>
    <w:rsid w:val="000B31AE"/>
    <w:rsid w:val="000B3677"/>
    <w:rsid w:val="000B38C6"/>
    <w:rsid w:val="000B3CC5"/>
    <w:rsid w:val="000B4EBB"/>
    <w:rsid w:val="000B5FC1"/>
    <w:rsid w:val="000B60AF"/>
    <w:rsid w:val="000B6315"/>
    <w:rsid w:val="000C0171"/>
    <w:rsid w:val="000C035E"/>
    <w:rsid w:val="000C100C"/>
    <w:rsid w:val="000C10A4"/>
    <w:rsid w:val="000C1C4B"/>
    <w:rsid w:val="000C3280"/>
    <w:rsid w:val="000C48B5"/>
    <w:rsid w:val="000C5433"/>
    <w:rsid w:val="000C5917"/>
    <w:rsid w:val="000C5EBD"/>
    <w:rsid w:val="000C5F06"/>
    <w:rsid w:val="000C6B36"/>
    <w:rsid w:val="000C6BC3"/>
    <w:rsid w:val="000C7355"/>
    <w:rsid w:val="000D09A8"/>
    <w:rsid w:val="000D1A1F"/>
    <w:rsid w:val="000D21B8"/>
    <w:rsid w:val="000D2402"/>
    <w:rsid w:val="000D258C"/>
    <w:rsid w:val="000D3205"/>
    <w:rsid w:val="000D400F"/>
    <w:rsid w:val="000D4149"/>
    <w:rsid w:val="000D508D"/>
    <w:rsid w:val="000D5FE9"/>
    <w:rsid w:val="000D66AD"/>
    <w:rsid w:val="000D77A9"/>
    <w:rsid w:val="000E0DD8"/>
    <w:rsid w:val="000E1478"/>
    <w:rsid w:val="000E16B8"/>
    <w:rsid w:val="000E189A"/>
    <w:rsid w:val="000E194D"/>
    <w:rsid w:val="000E2BF5"/>
    <w:rsid w:val="000E4112"/>
    <w:rsid w:val="000E47D8"/>
    <w:rsid w:val="000E57BA"/>
    <w:rsid w:val="000E65A7"/>
    <w:rsid w:val="000E6B40"/>
    <w:rsid w:val="000E7741"/>
    <w:rsid w:val="000E77FD"/>
    <w:rsid w:val="000F01B7"/>
    <w:rsid w:val="000F0255"/>
    <w:rsid w:val="000F056F"/>
    <w:rsid w:val="000F1FC2"/>
    <w:rsid w:val="000F30DD"/>
    <w:rsid w:val="000F34ED"/>
    <w:rsid w:val="000F38BB"/>
    <w:rsid w:val="000F3997"/>
    <w:rsid w:val="000F6949"/>
    <w:rsid w:val="000F7745"/>
    <w:rsid w:val="00100318"/>
    <w:rsid w:val="0010070C"/>
    <w:rsid w:val="00101384"/>
    <w:rsid w:val="0010184A"/>
    <w:rsid w:val="00101A2B"/>
    <w:rsid w:val="0010312B"/>
    <w:rsid w:val="00103617"/>
    <w:rsid w:val="00103959"/>
    <w:rsid w:val="00106B7B"/>
    <w:rsid w:val="00112FC1"/>
    <w:rsid w:val="00113304"/>
    <w:rsid w:val="00115480"/>
    <w:rsid w:val="001158A0"/>
    <w:rsid w:val="00117A85"/>
    <w:rsid w:val="001200CC"/>
    <w:rsid w:val="001223DD"/>
    <w:rsid w:val="00123383"/>
    <w:rsid w:val="00124456"/>
    <w:rsid w:val="0012456A"/>
    <w:rsid w:val="00127356"/>
    <w:rsid w:val="001318A4"/>
    <w:rsid w:val="001328B4"/>
    <w:rsid w:val="00132FDD"/>
    <w:rsid w:val="0013404F"/>
    <w:rsid w:val="00135BB8"/>
    <w:rsid w:val="0013624C"/>
    <w:rsid w:val="00136C5C"/>
    <w:rsid w:val="00140AB0"/>
    <w:rsid w:val="00140BC8"/>
    <w:rsid w:val="001414EE"/>
    <w:rsid w:val="001443E4"/>
    <w:rsid w:val="00147098"/>
    <w:rsid w:val="0015070C"/>
    <w:rsid w:val="0015109C"/>
    <w:rsid w:val="001515FB"/>
    <w:rsid w:val="001529F9"/>
    <w:rsid w:val="001541AD"/>
    <w:rsid w:val="00154B26"/>
    <w:rsid w:val="00154B7A"/>
    <w:rsid w:val="00155E17"/>
    <w:rsid w:val="0015613F"/>
    <w:rsid w:val="0015684B"/>
    <w:rsid w:val="00157EDA"/>
    <w:rsid w:val="00160846"/>
    <w:rsid w:val="001617E5"/>
    <w:rsid w:val="00161A21"/>
    <w:rsid w:val="00162CB8"/>
    <w:rsid w:val="001644FA"/>
    <w:rsid w:val="00164972"/>
    <w:rsid w:val="00164FD7"/>
    <w:rsid w:val="00165883"/>
    <w:rsid w:val="0016628E"/>
    <w:rsid w:val="00166911"/>
    <w:rsid w:val="00166E1F"/>
    <w:rsid w:val="0017040A"/>
    <w:rsid w:val="00170AA3"/>
    <w:rsid w:val="001720CC"/>
    <w:rsid w:val="00172882"/>
    <w:rsid w:val="00173B95"/>
    <w:rsid w:val="00175398"/>
    <w:rsid w:val="00176D32"/>
    <w:rsid w:val="001808E0"/>
    <w:rsid w:val="00180E2B"/>
    <w:rsid w:val="001816F5"/>
    <w:rsid w:val="00182752"/>
    <w:rsid w:val="00182F6D"/>
    <w:rsid w:val="00184371"/>
    <w:rsid w:val="00184C88"/>
    <w:rsid w:val="00185A9A"/>
    <w:rsid w:val="00191D0C"/>
    <w:rsid w:val="00191EF4"/>
    <w:rsid w:val="001921C0"/>
    <w:rsid w:val="001927CC"/>
    <w:rsid w:val="00192B31"/>
    <w:rsid w:val="0019316B"/>
    <w:rsid w:val="001933FF"/>
    <w:rsid w:val="001935DB"/>
    <w:rsid w:val="0019397C"/>
    <w:rsid w:val="00194363"/>
    <w:rsid w:val="00194D24"/>
    <w:rsid w:val="00195059"/>
    <w:rsid w:val="001955ED"/>
    <w:rsid w:val="00195907"/>
    <w:rsid w:val="0019609D"/>
    <w:rsid w:val="00196B18"/>
    <w:rsid w:val="001A0DC3"/>
    <w:rsid w:val="001A1C5C"/>
    <w:rsid w:val="001A4158"/>
    <w:rsid w:val="001A4F57"/>
    <w:rsid w:val="001A4F75"/>
    <w:rsid w:val="001A5085"/>
    <w:rsid w:val="001A60BD"/>
    <w:rsid w:val="001A6635"/>
    <w:rsid w:val="001A67E3"/>
    <w:rsid w:val="001A6F73"/>
    <w:rsid w:val="001B10BA"/>
    <w:rsid w:val="001B10E5"/>
    <w:rsid w:val="001B1618"/>
    <w:rsid w:val="001B1F46"/>
    <w:rsid w:val="001B28FD"/>
    <w:rsid w:val="001B2AAF"/>
    <w:rsid w:val="001B2F5E"/>
    <w:rsid w:val="001B30F2"/>
    <w:rsid w:val="001B3C6C"/>
    <w:rsid w:val="001B3D75"/>
    <w:rsid w:val="001B663A"/>
    <w:rsid w:val="001B6DE1"/>
    <w:rsid w:val="001B75B6"/>
    <w:rsid w:val="001B7712"/>
    <w:rsid w:val="001B7B17"/>
    <w:rsid w:val="001B7BF3"/>
    <w:rsid w:val="001C066C"/>
    <w:rsid w:val="001C0AEC"/>
    <w:rsid w:val="001C190F"/>
    <w:rsid w:val="001C1DE5"/>
    <w:rsid w:val="001C3112"/>
    <w:rsid w:val="001C36C3"/>
    <w:rsid w:val="001C429C"/>
    <w:rsid w:val="001C4762"/>
    <w:rsid w:val="001C608E"/>
    <w:rsid w:val="001D102C"/>
    <w:rsid w:val="001D11CA"/>
    <w:rsid w:val="001D1526"/>
    <w:rsid w:val="001D3363"/>
    <w:rsid w:val="001D3544"/>
    <w:rsid w:val="001D41CC"/>
    <w:rsid w:val="001D4869"/>
    <w:rsid w:val="001D48BB"/>
    <w:rsid w:val="001D4CC9"/>
    <w:rsid w:val="001D5060"/>
    <w:rsid w:val="001D5E3E"/>
    <w:rsid w:val="001D5ECE"/>
    <w:rsid w:val="001E170A"/>
    <w:rsid w:val="001E1CA7"/>
    <w:rsid w:val="001E1D48"/>
    <w:rsid w:val="001E206E"/>
    <w:rsid w:val="001E2A7E"/>
    <w:rsid w:val="001E2AEB"/>
    <w:rsid w:val="001E2B69"/>
    <w:rsid w:val="001E2DAD"/>
    <w:rsid w:val="001E2FCB"/>
    <w:rsid w:val="001E33AC"/>
    <w:rsid w:val="001E3B78"/>
    <w:rsid w:val="001E4385"/>
    <w:rsid w:val="001E4610"/>
    <w:rsid w:val="001E6E4B"/>
    <w:rsid w:val="001E727C"/>
    <w:rsid w:val="001E743B"/>
    <w:rsid w:val="001F03D6"/>
    <w:rsid w:val="001F04AA"/>
    <w:rsid w:val="001F0833"/>
    <w:rsid w:val="001F208A"/>
    <w:rsid w:val="001F326C"/>
    <w:rsid w:val="001F444D"/>
    <w:rsid w:val="001F62EC"/>
    <w:rsid w:val="001F6F28"/>
    <w:rsid w:val="001F7D84"/>
    <w:rsid w:val="00200540"/>
    <w:rsid w:val="00200E2E"/>
    <w:rsid w:val="00201356"/>
    <w:rsid w:val="0020151A"/>
    <w:rsid w:val="00201E9E"/>
    <w:rsid w:val="002027EC"/>
    <w:rsid w:val="00202EC8"/>
    <w:rsid w:val="00203B2D"/>
    <w:rsid w:val="0020422D"/>
    <w:rsid w:val="002061C0"/>
    <w:rsid w:val="00206271"/>
    <w:rsid w:val="002067EE"/>
    <w:rsid w:val="0020746A"/>
    <w:rsid w:val="00207D06"/>
    <w:rsid w:val="0021545C"/>
    <w:rsid w:val="00215AE1"/>
    <w:rsid w:val="002167B7"/>
    <w:rsid w:val="00217CB1"/>
    <w:rsid w:val="00220344"/>
    <w:rsid w:val="00220735"/>
    <w:rsid w:val="00220F9A"/>
    <w:rsid w:val="00221476"/>
    <w:rsid w:val="002224FE"/>
    <w:rsid w:val="00222B82"/>
    <w:rsid w:val="00222F47"/>
    <w:rsid w:val="00230004"/>
    <w:rsid w:val="002318D8"/>
    <w:rsid w:val="00232985"/>
    <w:rsid w:val="00232DC6"/>
    <w:rsid w:val="00232DFA"/>
    <w:rsid w:val="0023390B"/>
    <w:rsid w:val="002348F2"/>
    <w:rsid w:val="0023494D"/>
    <w:rsid w:val="00234997"/>
    <w:rsid w:val="00234A84"/>
    <w:rsid w:val="00235783"/>
    <w:rsid w:val="00235882"/>
    <w:rsid w:val="00236729"/>
    <w:rsid w:val="00236D92"/>
    <w:rsid w:val="00237680"/>
    <w:rsid w:val="0024140F"/>
    <w:rsid w:val="00241737"/>
    <w:rsid w:val="00241BAA"/>
    <w:rsid w:val="00241E0C"/>
    <w:rsid w:val="00242577"/>
    <w:rsid w:val="00242B4B"/>
    <w:rsid w:val="00243C69"/>
    <w:rsid w:val="0024464C"/>
    <w:rsid w:val="00244870"/>
    <w:rsid w:val="00244A57"/>
    <w:rsid w:val="002470EC"/>
    <w:rsid w:val="0025061C"/>
    <w:rsid w:val="00251041"/>
    <w:rsid w:val="002512CA"/>
    <w:rsid w:val="00253AD3"/>
    <w:rsid w:val="00254EB0"/>
    <w:rsid w:val="0025527F"/>
    <w:rsid w:val="0025566C"/>
    <w:rsid w:val="00257A73"/>
    <w:rsid w:val="00257E3E"/>
    <w:rsid w:val="00257F12"/>
    <w:rsid w:val="00261B51"/>
    <w:rsid w:val="002629AD"/>
    <w:rsid w:val="002629F1"/>
    <w:rsid w:val="00262A9B"/>
    <w:rsid w:val="002633F4"/>
    <w:rsid w:val="00263D6A"/>
    <w:rsid w:val="00264449"/>
    <w:rsid w:val="00264859"/>
    <w:rsid w:val="00265AD2"/>
    <w:rsid w:val="002701FD"/>
    <w:rsid w:val="00271681"/>
    <w:rsid w:val="002728AE"/>
    <w:rsid w:val="002733E2"/>
    <w:rsid w:val="00273D7D"/>
    <w:rsid w:val="002759F6"/>
    <w:rsid w:val="00276DEA"/>
    <w:rsid w:val="00276E6E"/>
    <w:rsid w:val="0027715E"/>
    <w:rsid w:val="0027744B"/>
    <w:rsid w:val="00277FDA"/>
    <w:rsid w:val="00280210"/>
    <w:rsid w:val="00280A9F"/>
    <w:rsid w:val="0028239A"/>
    <w:rsid w:val="0028391B"/>
    <w:rsid w:val="00283A57"/>
    <w:rsid w:val="00284909"/>
    <w:rsid w:val="0028494E"/>
    <w:rsid w:val="00285607"/>
    <w:rsid w:val="0028570C"/>
    <w:rsid w:val="002861A9"/>
    <w:rsid w:val="00286F10"/>
    <w:rsid w:val="00290DF7"/>
    <w:rsid w:val="00291564"/>
    <w:rsid w:val="0029258D"/>
    <w:rsid w:val="00292718"/>
    <w:rsid w:val="002929AA"/>
    <w:rsid w:val="00292F5A"/>
    <w:rsid w:val="00292FDE"/>
    <w:rsid w:val="002936DA"/>
    <w:rsid w:val="00293F91"/>
    <w:rsid w:val="00294209"/>
    <w:rsid w:val="00294656"/>
    <w:rsid w:val="00294C1C"/>
    <w:rsid w:val="00295FB2"/>
    <w:rsid w:val="002A036A"/>
    <w:rsid w:val="002A145D"/>
    <w:rsid w:val="002A1D72"/>
    <w:rsid w:val="002A2B6F"/>
    <w:rsid w:val="002A2F57"/>
    <w:rsid w:val="002A546D"/>
    <w:rsid w:val="002A7B51"/>
    <w:rsid w:val="002B003A"/>
    <w:rsid w:val="002B32B9"/>
    <w:rsid w:val="002B3370"/>
    <w:rsid w:val="002B3EC1"/>
    <w:rsid w:val="002B4B5A"/>
    <w:rsid w:val="002B50A8"/>
    <w:rsid w:val="002B51B4"/>
    <w:rsid w:val="002B5446"/>
    <w:rsid w:val="002B5F5F"/>
    <w:rsid w:val="002B64FE"/>
    <w:rsid w:val="002B6884"/>
    <w:rsid w:val="002B6BD0"/>
    <w:rsid w:val="002C128B"/>
    <w:rsid w:val="002C2EAE"/>
    <w:rsid w:val="002C3C0C"/>
    <w:rsid w:val="002C449E"/>
    <w:rsid w:val="002C4548"/>
    <w:rsid w:val="002C4B50"/>
    <w:rsid w:val="002C584A"/>
    <w:rsid w:val="002C75AE"/>
    <w:rsid w:val="002C7A8A"/>
    <w:rsid w:val="002C7A8B"/>
    <w:rsid w:val="002D0CB4"/>
    <w:rsid w:val="002D1FFB"/>
    <w:rsid w:val="002D2B8A"/>
    <w:rsid w:val="002D2BB3"/>
    <w:rsid w:val="002D2E07"/>
    <w:rsid w:val="002D4674"/>
    <w:rsid w:val="002D4C21"/>
    <w:rsid w:val="002D4C8C"/>
    <w:rsid w:val="002D6621"/>
    <w:rsid w:val="002D6D72"/>
    <w:rsid w:val="002D79F8"/>
    <w:rsid w:val="002E196B"/>
    <w:rsid w:val="002E2252"/>
    <w:rsid w:val="002E265E"/>
    <w:rsid w:val="002E30B1"/>
    <w:rsid w:val="002E384A"/>
    <w:rsid w:val="002E4672"/>
    <w:rsid w:val="002E470D"/>
    <w:rsid w:val="002E4A36"/>
    <w:rsid w:val="002E4CE1"/>
    <w:rsid w:val="002E4D05"/>
    <w:rsid w:val="002E576B"/>
    <w:rsid w:val="002E57D8"/>
    <w:rsid w:val="002E629F"/>
    <w:rsid w:val="002E6B07"/>
    <w:rsid w:val="002E761D"/>
    <w:rsid w:val="002F2738"/>
    <w:rsid w:val="002F2A9E"/>
    <w:rsid w:val="002F3AE6"/>
    <w:rsid w:val="002F3CB1"/>
    <w:rsid w:val="002F3D36"/>
    <w:rsid w:val="002F47E7"/>
    <w:rsid w:val="002F51D7"/>
    <w:rsid w:val="002F60FB"/>
    <w:rsid w:val="002F79A8"/>
    <w:rsid w:val="002F7C07"/>
    <w:rsid w:val="0030032A"/>
    <w:rsid w:val="00300EB4"/>
    <w:rsid w:val="003016F8"/>
    <w:rsid w:val="0030187B"/>
    <w:rsid w:val="00302065"/>
    <w:rsid w:val="00302999"/>
    <w:rsid w:val="00303FF7"/>
    <w:rsid w:val="00304C0F"/>
    <w:rsid w:val="00304C90"/>
    <w:rsid w:val="00305E14"/>
    <w:rsid w:val="00305EC6"/>
    <w:rsid w:val="003063CB"/>
    <w:rsid w:val="003066C4"/>
    <w:rsid w:val="0030710F"/>
    <w:rsid w:val="003072BD"/>
    <w:rsid w:val="0031025B"/>
    <w:rsid w:val="00310EF5"/>
    <w:rsid w:val="00311650"/>
    <w:rsid w:val="00311ACE"/>
    <w:rsid w:val="00311C25"/>
    <w:rsid w:val="00312559"/>
    <w:rsid w:val="00312CB0"/>
    <w:rsid w:val="00313A44"/>
    <w:rsid w:val="00314F4C"/>
    <w:rsid w:val="00315439"/>
    <w:rsid w:val="00316416"/>
    <w:rsid w:val="00317705"/>
    <w:rsid w:val="00321A3A"/>
    <w:rsid w:val="00321F58"/>
    <w:rsid w:val="00322207"/>
    <w:rsid w:val="00322516"/>
    <w:rsid w:val="003228AF"/>
    <w:rsid w:val="003230C4"/>
    <w:rsid w:val="00323F53"/>
    <w:rsid w:val="00324F8B"/>
    <w:rsid w:val="0032540A"/>
    <w:rsid w:val="00326141"/>
    <w:rsid w:val="0032672F"/>
    <w:rsid w:val="00326748"/>
    <w:rsid w:val="00326CAE"/>
    <w:rsid w:val="00327901"/>
    <w:rsid w:val="003317D5"/>
    <w:rsid w:val="00331A72"/>
    <w:rsid w:val="00332432"/>
    <w:rsid w:val="00333B00"/>
    <w:rsid w:val="0033428F"/>
    <w:rsid w:val="00336973"/>
    <w:rsid w:val="003371A4"/>
    <w:rsid w:val="00337ADC"/>
    <w:rsid w:val="003404E8"/>
    <w:rsid w:val="00340B80"/>
    <w:rsid w:val="00341888"/>
    <w:rsid w:val="00341A5B"/>
    <w:rsid w:val="00341C30"/>
    <w:rsid w:val="00341E7E"/>
    <w:rsid w:val="00342819"/>
    <w:rsid w:val="00343417"/>
    <w:rsid w:val="00343918"/>
    <w:rsid w:val="00343B0A"/>
    <w:rsid w:val="00344129"/>
    <w:rsid w:val="0034529C"/>
    <w:rsid w:val="00345944"/>
    <w:rsid w:val="003461F3"/>
    <w:rsid w:val="003462F6"/>
    <w:rsid w:val="00346E74"/>
    <w:rsid w:val="00346F1B"/>
    <w:rsid w:val="0034756C"/>
    <w:rsid w:val="0035174D"/>
    <w:rsid w:val="00351CE2"/>
    <w:rsid w:val="00352FB9"/>
    <w:rsid w:val="00353AA6"/>
    <w:rsid w:val="00353FAC"/>
    <w:rsid w:val="00355218"/>
    <w:rsid w:val="00355A8C"/>
    <w:rsid w:val="0035704E"/>
    <w:rsid w:val="00362B6A"/>
    <w:rsid w:val="00363812"/>
    <w:rsid w:val="00364974"/>
    <w:rsid w:val="0036514A"/>
    <w:rsid w:val="00365A48"/>
    <w:rsid w:val="00366867"/>
    <w:rsid w:val="00366C36"/>
    <w:rsid w:val="00371DC7"/>
    <w:rsid w:val="00372460"/>
    <w:rsid w:val="00372654"/>
    <w:rsid w:val="00374585"/>
    <w:rsid w:val="003756D4"/>
    <w:rsid w:val="00375DDC"/>
    <w:rsid w:val="003776E6"/>
    <w:rsid w:val="00380707"/>
    <w:rsid w:val="003820F5"/>
    <w:rsid w:val="00382673"/>
    <w:rsid w:val="0038289D"/>
    <w:rsid w:val="00382E5E"/>
    <w:rsid w:val="00384AC7"/>
    <w:rsid w:val="00385C7D"/>
    <w:rsid w:val="00390450"/>
    <w:rsid w:val="0039045B"/>
    <w:rsid w:val="0039241D"/>
    <w:rsid w:val="00392CCA"/>
    <w:rsid w:val="00393821"/>
    <w:rsid w:val="0039453F"/>
    <w:rsid w:val="003959F1"/>
    <w:rsid w:val="00395EB4"/>
    <w:rsid w:val="00396F0C"/>
    <w:rsid w:val="00397B56"/>
    <w:rsid w:val="003A0273"/>
    <w:rsid w:val="003A03DD"/>
    <w:rsid w:val="003A0834"/>
    <w:rsid w:val="003A1470"/>
    <w:rsid w:val="003A39B0"/>
    <w:rsid w:val="003A3DDE"/>
    <w:rsid w:val="003A457E"/>
    <w:rsid w:val="003A4E9B"/>
    <w:rsid w:val="003A5879"/>
    <w:rsid w:val="003A5FE9"/>
    <w:rsid w:val="003A6BF4"/>
    <w:rsid w:val="003A79A8"/>
    <w:rsid w:val="003B0445"/>
    <w:rsid w:val="003B064B"/>
    <w:rsid w:val="003B118D"/>
    <w:rsid w:val="003B2A3E"/>
    <w:rsid w:val="003B3AEC"/>
    <w:rsid w:val="003B58C6"/>
    <w:rsid w:val="003B6300"/>
    <w:rsid w:val="003B666B"/>
    <w:rsid w:val="003C0572"/>
    <w:rsid w:val="003C07A6"/>
    <w:rsid w:val="003C07B0"/>
    <w:rsid w:val="003C2188"/>
    <w:rsid w:val="003C4369"/>
    <w:rsid w:val="003C5624"/>
    <w:rsid w:val="003C627B"/>
    <w:rsid w:val="003C68F5"/>
    <w:rsid w:val="003C7EED"/>
    <w:rsid w:val="003D044B"/>
    <w:rsid w:val="003D1185"/>
    <w:rsid w:val="003D1976"/>
    <w:rsid w:val="003D1FD1"/>
    <w:rsid w:val="003D267B"/>
    <w:rsid w:val="003D337F"/>
    <w:rsid w:val="003D3716"/>
    <w:rsid w:val="003D3969"/>
    <w:rsid w:val="003D3A21"/>
    <w:rsid w:val="003D570E"/>
    <w:rsid w:val="003D5931"/>
    <w:rsid w:val="003D5B71"/>
    <w:rsid w:val="003D5ECF"/>
    <w:rsid w:val="003E0688"/>
    <w:rsid w:val="003E0B40"/>
    <w:rsid w:val="003E180B"/>
    <w:rsid w:val="003E2CDC"/>
    <w:rsid w:val="003E3423"/>
    <w:rsid w:val="003E4375"/>
    <w:rsid w:val="003E4E72"/>
    <w:rsid w:val="003E5143"/>
    <w:rsid w:val="003E543C"/>
    <w:rsid w:val="003E6568"/>
    <w:rsid w:val="003E7863"/>
    <w:rsid w:val="003F06EB"/>
    <w:rsid w:val="003F58FB"/>
    <w:rsid w:val="003F77D3"/>
    <w:rsid w:val="00401281"/>
    <w:rsid w:val="00401CF4"/>
    <w:rsid w:val="00401D30"/>
    <w:rsid w:val="00402DC0"/>
    <w:rsid w:val="004038E4"/>
    <w:rsid w:val="00404C0A"/>
    <w:rsid w:val="00404E00"/>
    <w:rsid w:val="00407925"/>
    <w:rsid w:val="004079ED"/>
    <w:rsid w:val="004104F4"/>
    <w:rsid w:val="0041095F"/>
    <w:rsid w:val="00410AD1"/>
    <w:rsid w:val="00410AF0"/>
    <w:rsid w:val="004126F2"/>
    <w:rsid w:val="00412D9D"/>
    <w:rsid w:val="00414044"/>
    <w:rsid w:val="004165AB"/>
    <w:rsid w:val="00420379"/>
    <w:rsid w:val="00420F70"/>
    <w:rsid w:val="00421747"/>
    <w:rsid w:val="00421D4B"/>
    <w:rsid w:val="00422613"/>
    <w:rsid w:val="0042323B"/>
    <w:rsid w:val="00423851"/>
    <w:rsid w:val="004238F6"/>
    <w:rsid w:val="00423DED"/>
    <w:rsid w:val="0042475B"/>
    <w:rsid w:val="00425958"/>
    <w:rsid w:val="00426BAD"/>
    <w:rsid w:val="00426D2B"/>
    <w:rsid w:val="00427178"/>
    <w:rsid w:val="004325AE"/>
    <w:rsid w:val="004336CC"/>
    <w:rsid w:val="00433CB3"/>
    <w:rsid w:val="00434E24"/>
    <w:rsid w:val="0043520B"/>
    <w:rsid w:val="004376C9"/>
    <w:rsid w:val="00440585"/>
    <w:rsid w:val="00443066"/>
    <w:rsid w:val="00443287"/>
    <w:rsid w:val="00443317"/>
    <w:rsid w:val="00443AEF"/>
    <w:rsid w:val="00444225"/>
    <w:rsid w:val="0044479C"/>
    <w:rsid w:val="00447BE8"/>
    <w:rsid w:val="00447C08"/>
    <w:rsid w:val="00451158"/>
    <w:rsid w:val="00451851"/>
    <w:rsid w:val="004531FB"/>
    <w:rsid w:val="004533A9"/>
    <w:rsid w:val="004536AB"/>
    <w:rsid w:val="00455F3A"/>
    <w:rsid w:val="004569C1"/>
    <w:rsid w:val="00456B36"/>
    <w:rsid w:val="00460934"/>
    <w:rsid w:val="00460A0B"/>
    <w:rsid w:val="00462E23"/>
    <w:rsid w:val="0046413A"/>
    <w:rsid w:val="004664EE"/>
    <w:rsid w:val="00467D25"/>
    <w:rsid w:val="004708B9"/>
    <w:rsid w:val="00472955"/>
    <w:rsid w:val="00472B3F"/>
    <w:rsid w:val="00472BEA"/>
    <w:rsid w:val="00473C42"/>
    <w:rsid w:val="00474587"/>
    <w:rsid w:val="004749F9"/>
    <w:rsid w:val="00474D87"/>
    <w:rsid w:val="00475000"/>
    <w:rsid w:val="004775AE"/>
    <w:rsid w:val="00477C51"/>
    <w:rsid w:val="00480C89"/>
    <w:rsid w:val="004819B7"/>
    <w:rsid w:val="00481CFA"/>
    <w:rsid w:val="00482177"/>
    <w:rsid w:val="004825F8"/>
    <w:rsid w:val="00484752"/>
    <w:rsid w:val="004849CA"/>
    <w:rsid w:val="00485117"/>
    <w:rsid w:val="00485E6B"/>
    <w:rsid w:val="00486475"/>
    <w:rsid w:val="00486608"/>
    <w:rsid w:val="0048669A"/>
    <w:rsid w:val="0048763C"/>
    <w:rsid w:val="004906A5"/>
    <w:rsid w:val="0049199A"/>
    <w:rsid w:val="00492023"/>
    <w:rsid w:val="0049358A"/>
    <w:rsid w:val="00493D87"/>
    <w:rsid w:val="004948C7"/>
    <w:rsid w:val="00495340"/>
    <w:rsid w:val="004953FD"/>
    <w:rsid w:val="0049580E"/>
    <w:rsid w:val="00495A21"/>
    <w:rsid w:val="00495F46"/>
    <w:rsid w:val="00496459"/>
    <w:rsid w:val="004A0F66"/>
    <w:rsid w:val="004A1640"/>
    <w:rsid w:val="004A1D04"/>
    <w:rsid w:val="004A2185"/>
    <w:rsid w:val="004A2309"/>
    <w:rsid w:val="004A2A6A"/>
    <w:rsid w:val="004A34D6"/>
    <w:rsid w:val="004A3DC2"/>
    <w:rsid w:val="004A49AE"/>
    <w:rsid w:val="004A5B1B"/>
    <w:rsid w:val="004A5D4E"/>
    <w:rsid w:val="004A5F6D"/>
    <w:rsid w:val="004A66D6"/>
    <w:rsid w:val="004A68CF"/>
    <w:rsid w:val="004A6E79"/>
    <w:rsid w:val="004B01D4"/>
    <w:rsid w:val="004B0642"/>
    <w:rsid w:val="004B084E"/>
    <w:rsid w:val="004B0D15"/>
    <w:rsid w:val="004B1766"/>
    <w:rsid w:val="004B263F"/>
    <w:rsid w:val="004B4CDC"/>
    <w:rsid w:val="004B5A69"/>
    <w:rsid w:val="004B64D0"/>
    <w:rsid w:val="004B6A6C"/>
    <w:rsid w:val="004B6D7C"/>
    <w:rsid w:val="004B78E6"/>
    <w:rsid w:val="004C1B0F"/>
    <w:rsid w:val="004C3D77"/>
    <w:rsid w:val="004C4F2A"/>
    <w:rsid w:val="004C5956"/>
    <w:rsid w:val="004C6769"/>
    <w:rsid w:val="004C6B64"/>
    <w:rsid w:val="004D02E9"/>
    <w:rsid w:val="004D0975"/>
    <w:rsid w:val="004D097C"/>
    <w:rsid w:val="004D2C06"/>
    <w:rsid w:val="004D2F58"/>
    <w:rsid w:val="004D369A"/>
    <w:rsid w:val="004D573A"/>
    <w:rsid w:val="004D7006"/>
    <w:rsid w:val="004D7F63"/>
    <w:rsid w:val="004E07B6"/>
    <w:rsid w:val="004E0D23"/>
    <w:rsid w:val="004E258A"/>
    <w:rsid w:val="004E3E90"/>
    <w:rsid w:val="004E424D"/>
    <w:rsid w:val="004E437F"/>
    <w:rsid w:val="004E4856"/>
    <w:rsid w:val="004E53AB"/>
    <w:rsid w:val="004E6321"/>
    <w:rsid w:val="004E63F4"/>
    <w:rsid w:val="004E68BC"/>
    <w:rsid w:val="004E6AB6"/>
    <w:rsid w:val="004E742A"/>
    <w:rsid w:val="004F0E26"/>
    <w:rsid w:val="004F0FD8"/>
    <w:rsid w:val="004F0FEF"/>
    <w:rsid w:val="004F2060"/>
    <w:rsid w:val="004F225A"/>
    <w:rsid w:val="004F244C"/>
    <w:rsid w:val="004F35D4"/>
    <w:rsid w:val="004F3A55"/>
    <w:rsid w:val="004F5316"/>
    <w:rsid w:val="004F6AE7"/>
    <w:rsid w:val="004F6B5E"/>
    <w:rsid w:val="00500DBB"/>
    <w:rsid w:val="0050193C"/>
    <w:rsid w:val="00502DB2"/>
    <w:rsid w:val="00503EA9"/>
    <w:rsid w:val="00504A73"/>
    <w:rsid w:val="00505D91"/>
    <w:rsid w:val="0050615C"/>
    <w:rsid w:val="005126FD"/>
    <w:rsid w:val="005144AE"/>
    <w:rsid w:val="00514592"/>
    <w:rsid w:val="005160AF"/>
    <w:rsid w:val="00520707"/>
    <w:rsid w:val="00520C20"/>
    <w:rsid w:val="00520D97"/>
    <w:rsid w:val="0052148B"/>
    <w:rsid w:val="005216DA"/>
    <w:rsid w:val="0052219C"/>
    <w:rsid w:val="00522CC5"/>
    <w:rsid w:val="00523282"/>
    <w:rsid w:val="00523D15"/>
    <w:rsid w:val="00523FDD"/>
    <w:rsid w:val="00524307"/>
    <w:rsid w:val="005243BA"/>
    <w:rsid w:val="0052584B"/>
    <w:rsid w:val="00525A21"/>
    <w:rsid w:val="00526E6F"/>
    <w:rsid w:val="00526EB0"/>
    <w:rsid w:val="005275CA"/>
    <w:rsid w:val="0052760B"/>
    <w:rsid w:val="005279D5"/>
    <w:rsid w:val="00530C39"/>
    <w:rsid w:val="00530F10"/>
    <w:rsid w:val="00533B7D"/>
    <w:rsid w:val="00533BF3"/>
    <w:rsid w:val="005346DC"/>
    <w:rsid w:val="0053572C"/>
    <w:rsid w:val="00535A53"/>
    <w:rsid w:val="00535AEE"/>
    <w:rsid w:val="0054076A"/>
    <w:rsid w:val="00542FB6"/>
    <w:rsid w:val="00543019"/>
    <w:rsid w:val="005446E5"/>
    <w:rsid w:val="00544F53"/>
    <w:rsid w:val="00545B83"/>
    <w:rsid w:val="00546014"/>
    <w:rsid w:val="005460DE"/>
    <w:rsid w:val="0054636D"/>
    <w:rsid w:val="00547AAC"/>
    <w:rsid w:val="00547DB5"/>
    <w:rsid w:val="00550807"/>
    <w:rsid w:val="00550943"/>
    <w:rsid w:val="00550CE7"/>
    <w:rsid w:val="00551124"/>
    <w:rsid w:val="00551825"/>
    <w:rsid w:val="00551DA7"/>
    <w:rsid w:val="00551EDA"/>
    <w:rsid w:val="005521E7"/>
    <w:rsid w:val="0055251D"/>
    <w:rsid w:val="005530F0"/>
    <w:rsid w:val="0055593E"/>
    <w:rsid w:val="00555E9B"/>
    <w:rsid w:val="0055733A"/>
    <w:rsid w:val="00557AD2"/>
    <w:rsid w:val="005629F4"/>
    <w:rsid w:val="00562C55"/>
    <w:rsid w:val="00562DB1"/>
    <w:rsid w:val="005630B7"/>
    <w:rsid w:val="0056464C"/>
    <w:rsid w:val="005648FA"/>
    <w:rsid w:val="00565259"/>
    <w:rsid w:val="00567821"/>
    <w:rsid w:val="00567EDA"/>
    <w:rsid w:val="00570C44"/>
    <w:rsid w:val="00570FDC"/>
    <w:rsid w:val="0057123C"/>
    <w:rsid w:val="005738C4"/>
    <w:rsid w:val="00574CF9"/>
    <w:rsid w:val="005753E1"/>
    <w:rsid w:val="005755ED"/>
    <w:rsid w:val="00576613"/>
    <w:rsid w:val="00580458"/>
    <w:rsid w:val="00580B2D"/>
    <w:rsid w:val="00581083"/>
    <w:rsid w:val="00581DBB"/>
    <w:rsid w:val="00582174"/>
    <w:rsid w:val="005829BA"/>
    <w:rsid w:val="00583666"/>
    <w:rsid w:val="00583A16"/>
    <w:rsid w:val="005848D3"/>
    <w:rsid w:val="00585058"/>
    <w:rsid w:val="00585C01"/>
    <w:rsid w:val="00586CF5"/>
    <w:rsid w:val="00587C45"/>
    <w:rsid w:val="005901F3"/>
    <w:rsid w:val="0059111B"/>
    <w:rsid w:val="00591AF9"/>
    <w:rsid w:val="005937FD"/>
    <w:rsid w:val="005940EC"/>
    <w:rsid w:val="00595B35"/>
    <w:rsid w:val="00595D59"/>
    <w:rsid w:val="00596995"/>
    <w:rsid w:val="005A0631"/>
    <w:rsid w:val="005A2709"/>
    <w:rsid w:val="005A27C9"/>
    <w:rsid w:val="005A3E62"/>
    <w:rsid w:val="005A4087"/>
    <w:rsid w:val="005A51F8"/>
    <w:rsid w:val="005A57FE"/>
    <w:rsid w:val="005A65C2"/>
    <w:rsid w:val="005A6786"/>
    <w:rsid w:val="005A68EA"/>
    <w:rsid w:val="005A7713"/>
    <w:rsid w:val="005B0C7E"/>
    <w:rsid w:val="005B3F56"/>
    <w:rsid w:val="005B415A"/>
    <w:rsid w:val="005B433D"/>
    <w:rsid w:val="005B4463"/>
    <w:rsid w:val="005B4BC6"/>
    <w:rsid w:val="005B6233"/>
    <w:rsid w:val="005C0F6B"/>
    <w:rsid w:val="005C17D2"/>
    <w:rsid w:val="005C2125"/>
    <w:rsid w:val="005C2412"/>
    <w:rsid w:val="005C2AF2"/>
    <w:rsid w:val="005C2B1E"/>
    <w:rsid w:val="005C38C5"/>
    <w:rsid w:val="005C4536"/>
    <w:rsid w:val="005C45A5"/>
    <w:rsid w:val="005C48DB"/>
    <w:rsid w:val="005C491D"/>
    <w:rsid w:val="005C50B6"/>
    <w:rsid w:val="005C5944"/>
    <w:rsid w:val="005C5FFC"/>
    <w:rsid w:val="005C612E"/>
    <w:rsid w:val="005C64C8"/>
    <w:rsid w:val="005C7D47"/>
    <w:rsid w:val="005C7F28"/>
    <w:rsid w:val="005D132D"/>
    <w:rsid w:val="005D3003"/>
    <w:rsid w:val="005D4465"/>
    <w:rsid w:val="005D4496"/>
    <w:rsid w:val="005D4FF4"/>
    <w:rsid w:val="005D534B"/>
    <w:rsid w:val="005D6644"/>
    <w:rsid w:val="005D689F"/>
    <w:rsid w:val="005D6D94"/>
    <w:rsid w:val="005E0BA1"/>
    <w:rsid w:val="005E1060"/>
    <w:rsid w:val="005E1B33"/>
    <w:rsid w:val="005E1CB7"/>
    <w:rsid w:val="005E20CA"/>
    <w:rsid w:val="005E382B"/>
    <w:rsid w:val="005E4405"/>
    <w:rsid w:val="005E44D6"/>
    <w:rsid w:val="005E7084"/>
    <w:rsid w:val="005F0F0D"/>
    <w:rsid w:val="005F1EBE"/>
    <w:rsid w:val="005F4C49"/>
    <w:rsid w:val="005F6CEE"/>
    <w:rsid w:val="00600484"/>
    <w:rsid w:val="006015EB"/>
    <w:rsid w:val="00602653"/>
    <w:rsid w:val="006029F4"/>
    <w:rsid w:val="00602BBB"/>
    <w:rsid w:val="00602C0C"/>
    <w:rsid w:val="0060591B"/>
    <w:rsid w:val="00605A77"/>
    <w:rsid w:val="00606234"/>
    <w:rsid w:val="0060630D"/>
    <w:rsid w:val="006065C2"/>
    <w:rsid w:val="00606CF6"/>
    <w:rsid w:val="00607E5F"/>
    <w:rsid w:val="00607E7C"/>
    <w:rsid w:val="0061082B"/>
    <w:rsid w:val="006109FE"/>
    <w:rsid w:val="00610F53"/>
    <w:rsid w:val="00613AA9"/>
    <w:rsid w:val="00613C76"/>
    <w:rsid w:val="006141C8"/>
    <w:rsid w:val="006144FD"/>
    <w:rsid w:val="00614D2F"/>
    <w:rsid w:val="00615751"/>
    <w:rsid w:val="006168DB"/>
    <w:rsid w:val="0061710F"/>
    <w:rsid w:val="006176EA"/>
    <w:rsid w:val="00622353"/>
    <w:rsid w:val="006223C7"/>
    <w:rsid w:val="006226DF"/>
    <w:rsid w:val="00622861"/>
    <w:rsid w:val="00623479"/>
    <w:rsid w:val="00623624"/>
    <w:rsid w:val="006241EA"/>
    <w:rsid w:val="0062497A"/>
    <w:rsid w:val="0062597D"/>
    <w:rsid w:val="00626823"/>
    <w:rsid w:val="00627B1A"/>
    <w:rsid w:val="0063043D"/>
    <w:rsid w:val="00630AEB"/>
    <w:rsid w:val="00630B02"/>
    <w:rsid w:val="00632437"/>
    <w:rsid w:val="006336AE"/>
    <w:rsid w:val="00633BCD"/>
    <w:rsid w:val="00634581"/>
    <w:rsid w:val="006358EE"/>
    <w:rsid w:val="00636111"/>
    <w:rsid w:val="00636BCA"/>
    <w:rsid w:val="00637DDB"/>
    <w:rsid w:val="00637F66"/>
    <w:rsid w:val="006444D8"/>
    <w:rsid w:val="00645580"/>
    <w:rsid w:val="006459D4"/>
    <w:rsid w:val="00646102"/>
    <w:rsid w:val="00647643"/>
    <w:rsid w:val="0064768E"/>
    <w:rsid w:val="00650E5D"/>
    <w:rsid w:val="006516B2"/>
    <w:rsid w:val="0065214B"/>
    <w:rsid w:val="006523B7"/>
    <w:rsid w:val="00653D73"/>
    <w:rsid w:val="0065467C"/>
    <w:rsid w:val="00654C5B"/>
    <w:rsid w:val="00655872"/>
    <w:rsid w:val="00655C1F"/>
    <w:rsid w:val="00656425"/>
    <w:rsid w:val="006564DC"/>
    <w:rsid w:val="00656DC4"/>
    <w:rsid w:val="0065747D"/>
    <w:rsid w:val="00657E22"/>
    <w:rsid w:val="00660637"/>
    <w:rsid w:val="00660B13"/>
    <w:rsid w:val="00662445"/>
    <w:rsid w:val="0066348E"/>
    <w:rsid w:val="00663F56"/>
    <w:rsid w:val="006650A6"/>
    <w:rsid w:val="0066536F"/>
    <w:rsid w:val="0066764C"/>
    <w:rsid w:val="00667D8E"/>
    <w:rsid w:val="00667E81"/>
    <w:rsid w:val="0067068D"/>
    <w:rsid w:val="00671182"/>
    <w:rsid w:val="0067150F"/>
    <w:rsid w:val="00672D2C"/>
    <w:rsid w:val="0067447B"/>
    <w:rsid w:val="00674565"/>
    <w:rsid w:val="00674758"/>
    <w:rsid w:val="00674B74"/>
    <w:rsid w:val="00674BF7"/>
    <w:rsid w:val="00675D4A"/>
    <w:rsid w:val="006774AF"/>
    <w:rsid w:val="00677B33"/>
    <w:rsid w:val="006800FF"/>
    <w:rsid w:val="00680DC9"/>
    <w:rsid w:val="0068119A"/>
    <w:rsid w:val="00681790"/>
    <w:rsid w:val="0068361C"/>
    <w:rsid w:val="00684928"/>
    <w:rsid w:val="0068596A"/>
    <w:rsid w:val="00685BAA"/>
    <w:rsid w:val="00685E3F"/>
    <w:rsid w:val="00685E56"/>
    <w:rsid w:val="00690A31"/>
    <w:rsid w:val="00691EBB"/>
    <w:rsid w:val="00691FD2"/>
    <w:rsid w:val="00692393"/>
    <w:rsid w:val="00692CA6"/>
    <w:rsid w:val="006942E2"/>
    <w:rsid w:val="006944E0"/>
    <w:rsid w:val="00694734"/>
    <w:rsid w:val="00694847"/>
    <w:rsid w:val="00694963"/>
    <w:rsid w:val="00694A94"/>
    <w:rsid w:val="00694EB9"/>
    <w:rsid w:val="00695E52"/>
    <w:rsid w:val="00695E57"/>
    <w:rsid w:val="0069712D"/>
    <w:rsid w:val="006A0F44"/>
    <w:rsid w:val="006A182E"/>
    <w:rsid w:val="006A3753"/>
    <w:rsid w:val="006A3E16"/>
    <w:rsid w:val="006A5B9E"/>
    <w:rsid w:val="006A740A"/>
    <w:rsid w:val="006A74C7"/>
    <w:rsid w:val="006B0EA4"/>
    <w:rsid w:val="006B1938"/>
    <w:rsid w:val="006B1FFE"/>
    <w:rsid w:val="006B2C38"/>
    <w:rsid w:val="006B3634"/>
    <w:rsid w:val="006B59D1"/>
    <w:rsid w:val="006B668D"/>
    <w:rsid w:val="006B69C2"/>
    <w:rsid w:val="006B7F3F"/>
    <w:rsid w:val="006C12A5"/>
    <w:rsid w:val="006C3228"/>
    <w:rsid w:val="006C32AB"/>
    <w:rsid w:val="006C37F5"/>
    <w:rsid w:val="006C632B"/>
    <w:rsid w:val="006C724D"/>
    <w:rsid w:val="006C7A7E"/>
    <w:rsid w:val="006D3017"/>
    <w:rsid w:val="006D3D37"/>
    <w:rsid w:val="006D3E66"/>
    <w:rsid w:val="006D57F9"/>
    <w:rsid w:val="006D5AF9"/>
    <w:rsid w:val="006D600F"/>
    <w:rsid w:val="006D6B7D"/>
    <w:rsid w:val="006D6B9A"/>
    <w:rsid w:val="006D6CD0"/>
    <w:rsid w:val="006D7021"/>
    <w:rsid w:val="006D7D18"/>
    <w:rsid w:val="006E057E"/>
    <w:rsid w:val="006E14D3"/>
    <w:rsid w:val="006E2793"/>
    <w:rsid w:val="006E6CAB"/>
    <w:rsid w:val="006F03B5"/>
    <w:rsid w:val="006F0DF6"/>
    <w:rsid w:val="006F1089"/>
    <w:rsid w:val="006F1BAA"/>
    <w:rsid w:val="006F1FD6"/>
    <w:rsid w:val="006F2314"/>
    <w:rsid w:val="006F2370"/>
    <w:rsid w:val="006F28DE"/>
    <w:rsid w:val="006F2997"/>
    <w:rsid w:val="006F2AB4"/>
    <w:rsid w:val="006F317D"/>
    <w:rsid w:val="006F35DF"/>
    <w:rsid w:val="006F5837"/>
    <w:rsid w:val="006F59A5"/>
    <w:rsid w:val="006F6055"/>
    <w:rsid w:val="00701273"/>
    <w:rsid w:val="007013E6"/>
    <w:rsid w:val="00703780"/>
    <w:rsid w:val="00704223"/>
    <w:rsid w:val="007048D4"/>
    <w:rsid w:val="00704CE6"/>
    <w:rsid w:val="007051B3"/>
    <w:rsid w:val="00705D9F"/>
    <w:rsid w:val="00710390"/>
    <w:rsid w:val="007103BC"/>
    <w:rsid w:val="007108D7"/>
    <w:rsid w:val="00710FF7"/>
    <w:rsid w:val="00712A37"/>
    <w:rsid w:val="007132CB"/>
    <w:rsid w:val="0071494B"/>
    <w:rsid w:val="00715160"/>
    <w:rsid w:val="00716F65"/>
    <w:rsid w:val="007172D6"/>
    <w:rsid w:val="007175E7"/>
    <w:rsid w:val="00717811"/>
    <w:rsid w:val="00720683"/>
    <w:rsid w:val="00720E18"/>
    <w:rsid w:val="0072110D"/>
    <w:rsid w:val="00721606"/>
    <w:rsid w:val="0072190D"/>
    <w:rsid w:val="00721A1B"/>
    <w:rsid w:val="00721A43"/>
    <w:rsid w:val="00722188"/>
    <w:rsid w:val="00723DF0"/>
    <w:rsid w:val="00724517"/>
    <w:rsid w:val="00726D38"/>
    <w:rsid w:val="00730449"/>
    <w:rsid w:val="007305DA"/>
    <w:rsid w:val="0073125D"/>
    <w:rsid w:val="007316EF"/>
    <w:rsid w:val="0073226F"/>
    <w:rsid w:val="00734818"/>
    <w:rsid w:val="00736970"/>
    <w:rsid w:val="00737E7E"/>
    <w:rsid w:val="00740787"/>
    <w:rsid w:val="00742D0D"/>
    <w:rsid w:val="00743387"/>
    <w:rsid w:val="00743635"/>
    <w:rsid w:val="00744BCC"/>
    <w:rsid w:val="00745B29"/>
    <w:rsid w:val="00746249"/>
    <w:rsid w:val="00746C43"/>
    <w:rsid w:val="00746E66"/>
    <w:rsid w:val="00750498"/>
    <w:rsid w:val="0075357D"/>
    <w:rsid w:val="00753E07"/>
    <w:rsid w:val="00755B31"/>
    <w:rsid w:val="00755DB1"/>
    <w:rsid w:val="00756C7F"/>
    <w:rsid w:val="0075724D"/>
    <w:rsid w:val="00757912"/>
    <w:rsid w:val="00760595"/>
    <w:rsid w:val="00761C7B"/>
    <w:rsid w:val="00762E35"/>
    <w:rsid w:val="00762EC0"/>
    <w:rsid w:val="0076379C"/>
    <w:rsid w:val="00763C22"/>
    <w:rsid w:val="00764697"/>
    <w:rsid w:val="00764892"/>
    <w:rsid w:val="0076504E"/>
    <w:rsid w:val="00765268"/>
    <w:rsid w:val="007657BF"/>
    <w:rsid w:val="00765A1C"/>
    <w:rsid w:val="00766BFE"/>
    <w:rsid w:val="00767ED8"/>
    <w:rsid w:val="00770235"/>
    <w:rsid w:val="0077235E"/>
    <w:rsid w:val="00772506"/>
    <w:rsid w:val="00774F3C"/>
    <w:rsid w:val="00775064"/>
    <w:rsid w:val="00775D0B"/>
    <w:rsid w:val="007770C1"/>
    <w:rsid w:val="0077760F"/>
    <w:rsid w:val="00777C44"/>
    <w:rsid w:val="007807F4"/>
    <w:rsid w:val="00780E2F"/>
    <w:rsid w:val="00781DD8"/>
    <w:rsid w:val="0078345B"/>
    <w:rsid w:val="007834FF"/>
    <w:rsid w:val="00783835"/>
    <w:rsid w:val="007846A5"/>
    <w:rsid w:val="007847E5"/>
    <w:rsid w:val="00786613"/>
    <w:rsid w:val="007875D8"/>
    <w:rsid w:val="00790659"/>
    <w:rsid w:val="007920C6"/>
    <w:rsid w:val="007946F6"/>
    <w:rsid w:val="00794A82"/>
    <w:rsid w:val="0079530A"/>
    <w:rsid w:val="00795903"/>
    <w:rsid w:val="00795993"/>
    <w:rsid w:val="00797334"/>
    <w:rsid w:val="007973BB"/>
    <w:rsid w:val="007A05FC"/>
    <w:rsid w:val="007A0D53"/>
    <w:rsid w:val="007A1AF5"/>
    <w:rsid w:val="007A2487"/>
    <w:rsid w:val="007A3399"/>
    <w:rsid w:val="007A37F3"/>
    <w:rsid w:val="007A4D43"/>
    <w:rsid w:val="007A5637"/>
    <w:rsid w:val="007A6FA9"/>
    <w:rsid w:val="007A75FB"/>
    <w:rsid w:val="007B0B7A"/>
    <w:rsid w:val="007B1135"/>
    <w:rsid w:val="007B3C03"/>
    <w:rsid w:val="007B4AAB"/>
    <w:rsid w:val="007B4C55"/>
    <w:rsid w:val="007B5092"/>
    <w:rsid w:val="007B5782"/>
    <w:rsid w:val="007B63BF"/>
    <w:rsid w:val="007C09D4"/>
    <w:rsid w:val="007C145B"/>
    <w:rsid w:val="007C2106"/>
    <w:rsid w:val="007C222C"/>
    <w:rsid w:val="007C2833"/>
    <w:rsid w:val="007C5413"/>
    <w:rsid w:val="007C5E5F"/>
    <w:rsid w:val="007C6C01"/>
    <w:rsid w:val="007C6F77"/>
    <w:rsid w:val="007D1438"/>
    <w:rsid w:val="007D19D9"/>
    <w:rsid w:val="007D2118"/>
    <w:rsid w:val="007D27AA"/>
    <w:rsid w:val="007D7113"/>
    <w:rsid w:val="007D733D"/>
    <w:rsid w:val="007E0018"/>
    <w:rsid w:val="007E0DB8"/>
    <w:rsid w:val="007E4136"/>
    <w:rsid w:val="007E41CA"/>
    <w:rsid w:val="007E50A5"/>
    <w:rsid w:val="007E546A"/>
    <w:rsid w:val="007E585E"/>
    <w:rsid w:val="007E590C"/>
    <w:rsid w:val="007F015C"/>
    <w:rsid w:val="007F04A3"/>
    <w:rsid w:val="007F0556"/>
    <w:rsid w:val="007F1621"/>
    <w:rsid w:val="007F2B16"/>
    <w:rsid w:val="007F2C5A"/>
    <w:rsid w:val="007F31CF"/>
    <w:rsid w:val="007F35B7"/>
    <w:rsid w:val="007F54B9"/>
    <w:rsid w:val="007F62D6"/>
    <w:rsid w:val="007F6FD9"/>
    <w:rsid w:val="008002C3"/>
    <w:rsid w:val="008005ED"/>
    <w:rsid w:val="00800B4F"/>
    <w:rsid w:val="00802408"/>
    <w:rsid w:val="00802CAE"/>
    <w:rsid w:val="00802F40"/>
    <w:rsid w:val="0080309B"/>
    <w:rsid w:val="0080323E"/>
    <w:rsid w:val="008037FF"/>
    <w:rsid w:val="008041BB"/>
    <w:rsid w:val="00804FDA"/>
    <w:rsid w:val="00804FEF"/>
    <w:rsid w:val="008072FE"/>
    <w:rsid w:val="0080779F"/>
    <w:rsid w:val="008110ED"/>
    <w:rsid w:val="0081150D"/>
    <w:rsid w:val="008133F2"/>
    <w:rsid w:val="00814F1A"/>
    <w:rsid w:val="0081581A"/>
    <w:rsid w:val="00816117"/>
    <w:rsid w:val="0081647A"/>
    <w:rsid w:val="008164B9"/>
    <w:rsid w:val="0081702C"/>
    <w:rsid w:val="0081785B"/>
    <w:rsid w:val="00817DD0"/>
    <w:rsid w:val="0082006C"/>
    <w:rsid w:val="00820296"/>
    <w:rsid w:val="00820746"/>
    <w:rsid w:val="008207FD"/>
    <w:rsid w:val="008209A3"/>
    <w:rsid w:val="008218E0"/>
    <w:rsid w:val="00821EB8"/>
    <w:rsid w:val="008222B7"/>
    <w:rsid w:val="0082231A"/>
    <w:rsid w:val="00823109"/>
    <w:rsid w:val="008232F5"/>
    <w:rsid w:val="00823C85"/>
    <w:rsid w:val="00826209"/>
    <w:rsid w:val="00826ADA"/>
    <w:rsid w:val="00827794"/>
    <w:rsid w:val="008277D6"/>
    <w:rsid w:val="00827DCF"/>
    <w:rsid w:val="008307D5"/>
    <w:rsid w:val="008308DE"/>
    <w:rsid w:val="00830B70"/>
    <w:rsid w:val="00830BD0"/>
    <w:rsid w:val="00831746"/>
    <w:rsid w:val="00831919"/>
    <w:rsid w:val="00834353"/>
    <w:rsid w:val="0083565B"/>
    <w:rsid w:val="00837BC0"/>
    <w:rsid w:val="00837EA6"/>
    <w:rsid w:val="00840209"/>
    <w:rsid w:val="00840E29"/>
    <w:rsid w:val="008410A9"/>
    <w:rsid w:val="008416DB"/>
    <w:rsid w:val="00843308"/>
    <w:rsid w:val="0084466E"/>
    <w:rsid w:val="008447BC"/>
    <w:rsid w:val="00844817"/>
    <w:rsid w:val="00845437"/>
    <w:rsid w:val="00845AFE"/>
    <w:rsid w:val="008462CB"/>
    <w:rsid w:val="00846E3C"/>
    <w:rsid w:val="00847A64"/>
    <w:rsid w:val="00851898"/>
    <w:rsid w:val="0085197B"/>
    <w:rsid w:val="00852BFB"/>
    <w:rsid w:val="00853367"/>
    <w:rsid w:val="00853435"/>
    <w:rsid w:val="008535A2"/>
    <w:rsid w:val="00853D54"/>
    <w:rsid w:val="0085517A"/>
    <w:rsid w:val="008559A7"/>
    <w:rsid w:val="0085609B"/>
    <w:rsid w:val="0085641F"/>
    <w:rsid w:val="00856452"/>
    <w:rsid w:val="00856AC8"/>
    <w:rsid w:val="008572F9"/>
    <w:rsid w:val="00860047"/>
    <w:rsid w:val="0086147D"/>
    <w:rsid w:val="00861B6E"/>
    <w:rsid w:val="008625E9"/>
    <w:rsid w:val="00862714"/>
    <w:rsid w:val="008632ED"/>
    <w:rsid w:val="0086553C"/>
    <w:rsid w:val="008673B1"/>
    <w:rsid w:val="00867C2E"/>
    <w:rsid w:val="00867EF4"/>
    <w:rsid w:val="0087169D"/>
    <w:rsid w:val="00871A76"/>
    <w:rsid w:val="00871F34"/>
    <w:rsid w:val="008727BD"/>
    <w:rsid w:val="00872A4C"/>
    <w:rsid w:val="00873676"/>
    <w:rsid w:val="00873818"/>
    <w:rsid w:val="00873877"/>
    <w:rsid w:val="008738B6"/>
    <w:rsid w:val="00873AE2"/>
    <w:rsid w:val="00874752"/>
    <w:rsid w:val="00875939"/>
    <w:rsid w:val="00876B8C"/>
    <w:rsid w:val="00876CC1"/>
    <w:rsid w:val="00877CB2"/>
    <w:rsid w:val="00880B84"/>
    <w:rsid w:val="008814E2"/>
    <w:rsid w:val="00882091"/>
    <w:rsid w:val="00884548"/>
    <w:rsid w:val="008860AE"/>
    <w:rsid w:val="00886210"/>
    <w:rsid w:val="00886ABC"/>
    <w:rsid w:val="0088732A"/>
    <w:rsid w:val="0089031E"/>
    <w:rsid w:val="0089107F"/>
    <w:rsid w:val="008926D7"/>
    <w:rsid w:val="0089360F"/>
    <w:rsid w:val="00894860"/>
    <w:rsid w:val="00895679"/>
    <w:rsid w:val="00895D95"/>
    <w:rsid w:val="00896019"/>
    <w:rsid w:val="00896761"/>
    <w:rsid w:val="008A0174"/>
    <w:rsid w:val="008A1044"/>
    <w:rsid w:val="008A1246"/>
    <w:rsid w:val="008A20A7"/>
    <w:rsid w:val="008A313C"/>
    <w:rsid w:val="008A3B28"/>
    <w:rsid w:val="008A3D3B"/>
    <w:rsid w:val="008A526E"/>
    <w:rsid w:val="008A5C53"/>
    <w:rsid w:val="008A63CF"/>
    <w:rsid w:val="008A6ED4"/>
    <w:rsid w:val="008A704A"/>
    <w:rsid w:val="008A7AF0"/>
    <w:rsid w:val="008A7EFB"/>
    <w:rsid w:val="008A7FD8"/>
    <w:rsid w:val="008B2D83"/>
    <w:rsid w:val="008B453D"/>
    <w:rsid w:val="008B55E3"/>
    <w:rsid w:val="008B5C9D"/>
    <w:rsid w:val="008B6041"/>
    <w:rsid w:val="008C0756"/>
    <w:rsid w:val="008C1646"/>
    <w:rsid w:val="008C1CF8"/>
    <w:rsid w:val="008C2541"/>
    <w:rsid w:val="008C42D8"/>
    <w:rsid w:val="008C4656"/>
    <w:rsid w:val="008C50CA"/>
    <w:rsid w:val="008C52BB"/>
    <w:rsid w:val="008C70E2"/>
    <w:rsid w:val="008C7E1E"/>
    <w:rsid w:val="008D11FA"/>
    <w:rsid w:val="008D23BD"/>
    <w:rsid w:val="008D2D5F"/>
    <w:rsid w:val="008D5206"/>
    <w:rsid w:val="008D5989"/>
    <w:rsid w:val="008D5CBE"/>
    <w:rsid w:val="008D5D65"/>
    <w:rsid w:val="008D662E"/>
    <w:rsid w:val="008D6814"/>
    <w:rsid w:val="008D7883"/>
    <w:rsid w:val="008D7923"/>
    <w:rsid w:val="008E0A35"/>
    <w:rsid w:val="008E0E65"/>
    <w:rsid w:val="008E170B"/>
    <w:rsid w:val="008E3C97"/>
    <w:rsid w:val="008E4224"/>
    <w:rsid w:val="008E56A9"/>
    <w:rsid w:val="008E5A63"/>
    <w:rsid w:val="008E5B91"/>
    <w:rsid w:val="008E6951"/>
    <w:rsid w:val="008F0605"/>
    <w:rsid w:val="008F1955"/>
    <w:rsid w:val="008F3580"/>
    <w:rsid w:val="008F4026"/>
    <w:rsid w:val="008F66D5"/>
    <w:rsid w:val="008F6AF9"/>
    <w:rsid w:val="008F78A9"/>
    <w:rsid w:val="008F7E24"/>
    <w:rsid w:val="00900270"/>
    <w:rsid w:val="0090084C"/>
    <w:rsid w:val="00901A23"/>
    <w:rsid w:val="00902080"/>
    <w:rsid w:val="0090225B"/>
    <w:rsid w:val="00905041"/>
    <w:rsid w:val="00905E6A"/>
    <w:rsid w:val="00907ACA"/>
    <w:rsid w:val="00911D11"/>
    <w:rsid w:val="00912851"/>
    <w:rsid w:val="009128B0"/>
    <w:rsid w:val="00913839"/>
    <w:rsid w:val="00913BDE"/>
    <w:rsid w:val="00914780"/>
    <w:rsid w:val="00914A8E"/>
    <w:rsid w:val="0091778A"/>
    <w:rsid w:val="00921371"/>
    <w:rsid w:val="00921726"/>
    <w:rsid w:val="00923103"/>
    <w:rsid w:val="009239AE"/>
    <w:rsid w:val="00924448"/>
    <w:rsid w:val="00924A87"/>
    <w:rsid w:val="00924AC3"/>
    <w:rsid w:val="00924AE7"/>
    <w:rsid w:val="00924C57"/>
    <w:rsid w:val="00925981"/>
    <w:rsid w:val="00925E29"/>
    <w:rsid w:val="0092763B"/>
    <w:rsid w:val="00930627"/>
    <w:rsid w:val="009308B8"/>
    <w:rsid w:val="00931135"/>
    <w:rsid w:val="00931AEB"/>
    <w:rsid w:val="00933C0D"/>
    <w:rsid w:val="00933DF9"/>
    <w:rsid w:val="009351B3"/>
    <w:rsid w:val="00941185"/>
    <w:rsid w:val="00941FB5"/>
    <w:rsid w:val="00942D24"/>
    <w:rsid w:val="00942F25"/>
    <w:rsid w:val="009431D2"/>
    <w:rsid w:val="009435B7"/>
    <w:rsid w:val="00943826"/>
    <w:rsid w:val="0094464C"/>
    <w:rsid w:val="00944F48"/>
    <w:rsid w:val="00945B8B"/>
    <w:rsid w:val="0094642B"/>
    <w:rsid w:val="009469F4"/>
    <w:rsid w:val="0094754E"/>
    <w:rsid w:val="009479F5"/>
    <w:rsid w:val="0095245E"/>
    <w:rsid w:val="009529D2"/>
    <w:rsid w:val="00952F07"/>
    <w:rsid w:val="00953AAD"/>
    <w:rsid w:val="009540BB"/>
    <w:rsid w:val="0095420B"/>
    <w:rsid w:val="00955ABE"/>
    <w:rsid w:val="00956335"/>
    <w:rsid w:val="00956945"/>
    <w:rsid w:val="00956BD2"/>
    <w:rsid w:val="009605F7"/>
    <w:rsid w:val="00960607"/>
    <w:rsid w:val="00960C19"/>
    <w:rsid w:val="00962E08"/>
    <w:rsid w:val="0096338B"/>
    <w:rsid w:val="00963542"/>
    <w:rsid w:val="00963695"/>
    <w:rsid w:val="00963796"/>
    <w:rsid w:val="00965304"/>
    <w:rsid w:val="00965DE9"/>
    <w:rsid w:val="00965E79"/>
    <w:rsid w:val="00966186"/>
    <w:rsid w:val="00966651"/>
    <w:rsid w:val="00966B80"/>
    <w:rsid w:val="0096726E"/>
    <w:rsid w:val="00967D91"/>
    <w:rsid w:val="009700CE"/>
    <w:rsid w:val="009710EB"/>
    <w:rsid w:val="0097117A"/>
    <w:rsid w:val="009717D8"/>
    <w:rsid w:val="00971CF4"/>
    <w:rsid w:val="009729C1"/>
    <w:rsid w:val="00972F83"/>
    <w:rsid w:val="00973028"/>
    <w:rsid w:val="009746E3"/>
    <w:rsid w:val="00974A4E"/>
    <w:rsid w:val="00974CBC"/>
    <w:rsid w:val="00976699"/>
    <w:rsid w:val="00977577"/>
    <w:rsid w:val="00977C34"/>
    <w:rsid w:val="00977F8E"/>
    <w:rsid w:val="00980713"/>
    <w:rsid w:val="00981140"/>
    <w:rsid w:val="0098284B"/>
    <w:rsid w:val="00983982"/>
    <w:rsid w:val="00984C9E"/>
    <w:rsid w:val="00985470"/>
    <w:rsid w:val="00985D61"/>
    <w:rsid w:val="00986A94"/>
    <w:rsid w:val="00986BF0"/>
    <w:rsid w:val="0098754B"/>
    <w:rsid w:val="009875F5"/>
    <w:rsid w:val="00990EA5"/>
    <w:rsid w:val="00990FA4"/>
    <w:rsid w:val="00993104"/>
    <w:rsid w:val="009932B5"/>
    <w:rsid w:val="009939C6"/>
    <w:rsid w:val="009943E6"/>
    <w:rsid w:val="00994EC1"/>
    <w:rsid w:val="00995239"/>
    <w:rsid w:val="00995902"/>
    <w:rsid w:val="00995CBA"/>
    <w:rsid w:val="009A088D"/>
    <w:rsid w:val="009A10E3"/>
    <w:rsid w:val="009A11E5"/>
    <w:rsid w:val="009A171C"/>
    <w:rsid w:val="009A1C32"/>
    <w:rsid w:val="009A23D5"/>
    <w:rsid w:val="009A276E"/>
    <w:rsid w:val="009A47A0"/>
    <w:rsid w:val="009A7037"/>
    <w:rsid w:val="009A7C6A"/>
    <w:rsid w:val="009B0858"/>
    <w:rsid w:val="009B0A09"/>
    <w:rsid w:val="009B0B4B"/>
    <w:rsid w:val="009B150D"/>
    <w:rsid w:val="009B2952"/>
    <w:rsid w:val="009B3FFD"/>
    <w:rsid w:val="009B4124"/>
    <w:rsid w:val="009B4DF1"/>
    <w:rsid w:val="009B501A"/>
    <w:rsid w:val="009B69C1"/>
    <w:rsid w:val="009B73E9"/>
    <w:rsid w:val="009B786B"/>
    <w:rsid w:val="009B7ABF"/>
    <w:rsid w:val="009C0163"/>
    <w:rsid w:val="009C02FC"/>
    <w:rsid w:val="009C0D1E"/>
    <w:rsid w:val="009C118B"/>
    <w:rsid w:val="009C1505"/>
    <w:rsid w:val="009C225F"/>
    <w:rsid w:val="009C2739"/>
    <w:rsid w:val="009C285D"/>
    <w:rsid w:val="009C2E8C"/>
    <w:rsid w:val="009C34E7"/>
    <w:rsid w:val="009C36E8"/>
    <w:rsid w:val="009C58C0"/>
    <w:rsid w:val="009C5CE1"/>
    <w:rsid w:val="009D0057"/>
    <w:rsid w:val="009D0626"/>
    <w:rsid w:val="009D0775"/>
    <w:rsid w:val="009D2A53"/>
    <w:rsid w:val="009D3416"/>
    <w:rsid w:val="009D3595"/>
    <w:rsid w:val="009D374D"/>
    <w:rsid w:val="009D4808"/>
    <w:rsid w:val="009D4C56"/>
    <w:rsid w:val="009D530A"/>
    <w:rsid w:val="009D64AE"/>
    <w:rsid w:val="009D6FCB"/>
    <w:rsid w:val="009E02AD"/>
    <w:rsid w:val="009E081A"/>
    <w:rsid w:val="009E0896"/>
    <w:rsid w:val="009E1642"/>
    <w:rsid w:val="009E388B"/>
    <w:rsid w:val="009E393A"/>
    <w:rsid w:val="009E3D05"/>
    <w:rsid w:val="009E3DAD"/>
    <w:rsid w:val="009E41C4"/>
    <w:rsid w:val="009E4C7E"/>
    <w:rsid w:val="009E4FFC"/>
    <w:rsid w:val="009E592F"/>
    <w:rsid w:val="009E69B1"/>
    <w:rsid w:val="009E6D7E"/>
    <w:rsid w:val="009E7042"/>
    <w:rsid w:val="009E7221"/>
    <w:rsid w:val="009F2043"/>
    <w:rsid w:val="009F20EE"/>
    <w:rsid w:val="009F27A3"/>
    <w:rsid w:val="009F4389"/>
    <w:rsid w:val="009F44BB"/>
    <w:rsid w:val="009F6566"/>
    <w:rsid w:val="009F69EA"/>
    <w:rsid w:val="009F6B52"/>
    <w:rsid w:val="009F6F3B"/>
    <w:rsid w:val="009F70E6"/>
    <w:rsid w:val="00A009FD"/>
    <w:rsid w:val="00A015B9"/>
    <w:rsid w:val="00A01F0E"/>
    <w:rsid w:val="00A02C95"/>
    <w:rsid w:val="00A031CF"/>
    <w:rsid w:val="00A032DE"/>
    <w:rsid w:val="00A03CD0"/>
    <w:rsid w:val="00A057A9"/>
    <w:rsid w:val="00A05BFE"/>
    <w:rsid w:val="00A05D22"/>
    <w:rsid w:val="00A07068"/>
    <w:rsid w:val="00A07946"/>
    <w:rsid w:val="00A0798A"/>
    <w:rsid w:val="00A07B1E"/>
    <w:rsid w:val="00A07B3A"/>
    <w:rsid w:val="00A10456"/>
    <w:rsid w:val="00A11494"/>
    <w:rsid w:val="00A1210F"/>
    <w:rsid w:val="00A121C6"/>
    <w:rsid w:val="00A130A6"/>
    <w:rsid w:val="00A144FE"/>
    <w:rsid w:val="00A14A9E"/>
    <w:rsid w:val="00A15B48"/>
    <w:rsid w:val="00A16731"/>
    <w:rsid w:val="00A1746F"/>
    <w:rsid w:val="00A17C26"/>
    <w:rsid w:val="00A200F4"/>
    <w:rsid w:val="00A20E27"/>
    <w:rsid w:val="00A210EA"/>
    <w:rsid w:val="00A2185E"/>
    <w:rsid w:val="00A2317C"/>
    <w:rsid w:val="00A23633"/>
    <w:rsid w:val="00A24204"/>
    <w:rsid w:val="00A24757"/>
    <w:rsid w:val="00A247F4"/>
    <w:rsid w:val="00A24CB2"/>
    <w:rsid w:val="00A25EE0"/>
    <w:rsid w:val="00A25FFC"/>
    <w:rsid w:val="00A2634F"/>
    <w:rsid w:val="00A2728A"/>
    <w:rsid w:val="00A27411"/>
    <w:rsid w:val="00A2772B"/>
    <w:rsid w:val="00A30932"/>
    <w:rsid w:val="00A3093C"/>
    <w:rsid w:val="00A3177E"/>
    <w:rsid w:val="00A31D26"/>
    <w:rsid w:val="00A32D0D"/>
    <w:rsid w:val="00A33A4B"/>
    <w:rsid w:val="00A33BF1"/>
    <w:rsid w:val="00A34177"/>
    <w:rsid w:val="00A34ED1"/>
    <w:rsid w:val="00A35E13"/>
    <w:rsid w:val="00A36B86"/>
    <w:rsid w:val="00A401FD"/>
    <w:rsid w:val="00A41F8D"/>
    <w:rsid w:val="00A43155"/>
    <w:rsid w:val="00A43C21"/>
    <w:rsid w:val="00A44B45"/>
    <w:rsid w:val="00A44FB3"/>
    <w:rsid w:val="00A45397"/>
    <w:rsid w:val="00A46015"/>
    <w:rsid w:val="00A46640"/>
    <w:rsid w:val="00A46E40"/>
    <w:rsid w:val="00A46FC3"/>
    <w:rsid w:val="00A4766A"/>
    <w:rsid w:val="00A47A53"/>
    <w:rsid w:val="00A51C14"/>
    <w:rsid w:val="00A5252E"/>
    <w:rsid w:val="00A52655"/>
    <w:rsid w:val="00A528CE"/>
    <w:rsid w:val="00A52E95"/>
    <w:rsid w:val="00A5326C"/>
    <w:rsid w:val="00A536D5"/>
    <w:rsid w:val="00A5374F"/>
    <w:rsid w:val="00A53D5A"/>
    <w:rsid w:val="00A544B3"/>
    <w:rsid w:val="00A54899"/>
    <w:rsid w:val="00A55952"/>
    <w:rsid w:val="00A55D84"/>
    <w:rsid w:val="00A6230D"/>
    <w:rsid w:val="00A632F7"/>
    <w:rsid w:val="00A634FF"/>
    <w:rsid w:val="00A6588E"/>
    <w:rsid w:val="00A65B7E"/>
    <w:rsid w:val="00A660A2"/>
    <w:rsid w:val="00A6625D"/>
    <w:rsid w:val="00A673B1"/>
    <w:rsid w:val="00A673BF"/>
    <w:rsid w:val="00A71B95"/>
    <w:rsid w:val="00A72EBB"/>
    <w:rsid w:val="00A7353C"/>
    <w:rsid w:val="00A7372E"/>
    <w:rsid w:val="00A74EB7"/>
    <w:rsid w:val="00A808B1"/>
    <w:rsid w:val="00A80A4C"/>
    <w:rsid w:val="00A80AA8"/>
    <w:rsid w:val="00A818B8"/>
    <w:rsid w:val="00A81E1E"/>
    <w:rsid w:val="00A82242"/>
    <w:rsid w:val="00A8259F"/>
    <w:rsid w:val="00A833AC"/>
    <w:rsid w:val="00A84B33"/>
    <w:rsid w:val="00A84DF7"/>
    <w:rsid w:val="00A8518E"/>
    <w:rsid w:val="00A85655"/>
    <w:rsid w:val="00A86426"/>
    <w:rsid w:val="00A868B7"/>
    <w:rsid w:val="00A872E2"/>
    <w:rsid w:val="00A87AFF"/>
    <w:rsid w:val="00A90B26"/>
    <w:rsid w:val="00A914B2"/>
    <w:rsid w:val="00A91F5E"/>
    <w:rsid w:val="00A921FF"/>
    <w:rsid w:val="00A94E9C"/>
    <w:rsid w:val="00A9616A"/>
    <w:rsid w:val="00A96528"/>
    <w:rsid w:val="00A96736"/>
    <w:rsid w:val="00A96A64"/>
    <w:rsid w:val="00A96F42"/>
    <w:rsid w:val="00AA1632"/>
    <w:rsid w:val="00AA247A"/>
    <w:rsid w:val="00AA2CB9"/>
    <w:rsid w:val="00AA325D"/>
    <w:rsid w:val="00AA4052"/>
    <w:rsid w:val="00AA4B7A"/>
    <w:rsid w:val="00AA4F9C"/>
    <w:rsid w:val="00AA4FDF"/>
    <w:rsid w:val="00AA55DF"/>
    <w:rsid w:val="00AA5A9E"/>
    <w:rsid w:val="00AA6BA3"/>
    <w:rsid w:val="00AB0DC7"/>
    <w:rsid w:val="00AB2E4B"/>
    <w:rsid w:val="00AB2FBC"/>
    <w:rsid w:val="00AB32F0"/>
    <w:rsid w:val="00AB3508"/>
    <w:rsid w:val="00AB3A0D"/>
    <w:rsid w:val="00AB4BEC"/>
    <w:rsid w:val="00AB4D39"/>
    <w:rsid w:val="00AB4F5F"/>
    <w:rsid w:val="00AB717D"/>
    <w:rsid w:val="00AB7DD3"/>
    <w:rsid w:val="00AB7E10"/>
    <w:rsid w:val="00AB7FBC"/>
    <w:rsid w:val="00AC09AA"/>
    <w:rsid w:val="00AC0EB2"/>
    <w:rsid w:val="00AC1097"/>
    <w:rsid w:val="00AC1536"/>
    <w:rsid w:val="00AC2BF7"/>
    <w:rsid w:val="00AC2F08"/>
    <w:rsid w:val="00AC37D1"/>
    <w:rsid w:val="00AC381C"/>
    <w:rsid w:val="00AC48B3"/>
    <w:rsid w:val="00AC5779"/>
    <w:rsid w:val="00AC5F5C"/>
    <w:rsid w:val="00AC6782"/>
    <w:rsid w:val="00AC6AEE"/>
    <w:rsid w:val="00AC6FCF"/>
    <w:rsid w:val="00AC710E"/>
    <w:rsid w:val="00AC77E9"/>
    <w:rsid w:val="00AC7C30"/>
    <w:rsid w:val="00AD0509"/>
    <w:rsid w:val="00AD06E6"/>
    <w:rsid w:val="00AD1D67"/>
    <w:rsid w:val="00AD2551"/>
    <w:rsid w:val="00AD28E5"/>
    <w:rsid w:val="00AD2A5F"/>
    <w:rsid w:val="00AD3030"/>
    <w:rsid w:val="00AD3F84"/>
    <w:rsid w:val="00AD616B"/>
    <w:rsid w:val="00AD64DC"/>
    <w:rsid w:val="00AD6F93"/>
    <w:rsid w:val="00AD71D9"/>
    <w:rsid w:val="00AD7D02"/>
    <w:rsid w:val="00AE1231"/>
    <w:rsid w:val="00AE1EE5"/>
    <w:rsid w:val="00AE1FCB"/>
    <w:rsid w:val="00AE221F"/>
    <w:rsid w:val="00AE28A3"/>
    <w:rsid w:val="00AE29BD"/>
    <w:rsid w:val="00AE373A"/>
    <w:rsid w:val="00AE4575"/>
    <w:rsid w:val="00AE465C"/>
    <w:rsid w:val="00AE4E74"/>
    <w:rsid w:val="00AE4F75"/>
    <w:rsid w:val="00AE7015"/>
    <w:rsid w:val="00AE709A"/>
    <w:rsid w:val="00AE72D4"/>
    <w:rsid w:val="00AF2F45"/>
    <w:rsid w:val="00AF36F4"/>
    <w:rsid w:val="00AF4136"/>
    <w:rsid w:val="00AF5D7F"/>
    <w:rsid w:val="00AF5E76"/>
    <w:rsid w:val="00AF65F5"/>
    <w:rsid w:val="00AF67C9"/>
    <w:rsid w:val="00AF6AF9"/>
    <w:rsid w:val="00AF7725"/>
    <w:rsid w:val="00AF7EC4"/>
    <w:rsid w:val="00B000FD"/>
    <w:rsid w:val="00B0169F"/>
    <w:rsid w:val="00B01EEE"/>
    <w:rsid w:val="00B02C77"/>
    <w:rsid w:val="00B0420B"/>
    <w:rsid w:val="00B06538"/>
    <w:rsid w:val="00B06BB8"/>
    <w:rsid w:val="00B071D0"/>
    <w:rsid w:val="00B11241"/>
    <w:rsid w:val="00B1163E"/>
    <w:rsid w:val="00B12860"/>
    <w:rsid w:val="00B1447A"/>
    <w:rsid w:val="00B15CA6"/>
    <w:rsid w:val="00B17117"/>
    <w:rsid w:val="00B17D95"/>
    <w:rsid w:val="00B20348"/>
    <w:rsid w:val="00B20C91"/>
    <w:rsid w:val="00B2132C"/>
    <w:rsid w:val="00B21403"/>
    <w:rsid w:val="00B2167B"/>
    <w:rsid w:val="00B221E5"/>
    <w:rsid w:val="00B23A4C"/>
    <w:rsid w:val="00B2613F"/>
    <w:rsid w:val="00B270C6"/>
    <w:rsid w:val="00B2753D"/>
    <w:rsid w:val="00B30645"/>
    <w:rsid w:val="00B30C60"/>
    <w:rsid w:val="00B32CDE"/>
    <w:rsid w:val="00B33FCD"/>
    <w:rsid w:val="00B371A7"/>
    <w:rsid w:val="00B37215"/>
    <w:rsid w:val="00B37625"/>
    <w:rsid w:val="00B40032"/>
    <w:rsid w:val="00B403A9"/>
    <w:rsid w:val="00B41337"/>
    <w:rsid w:val="00B41934"/>
    <w:rsid w:val="00B41D21"/>
    <w:rsid w:val="00B4343F"/>
    <w:rsid w:val="00B43A77"/>
    <w:rsid w:val="00B44E50"/>
    <w:rsid w:val="00B457EB"/>
    <w:rsid w:val="00B45E5F"/>
    <w:rsid w:val="00B4733E"/>
    <w:rsid w:val="00B47432"/>
    <w:rsid w:val="00B508E8"/>
    <w:rsid w:val="00B51A17"/>
    <w:rsid w:val="00B51D65"/>
    <w:rsid w:val="00B527C5"/>
    <w:rsid w:val="00B52851"/>
    <w:rsid w:val="00B52914"/>
    <w:rsid w:val="00B52A73"/>
    <w:rsid w:val="00B530FA"/>
    <w:rsid w:val="00B53B0D"/>
    <w:rsid w:val="00B53D62"/>
    <w:rsid w:val="00B53F26"/>
    <w:rsid w:val="00B5578B"/>
    <w:rsid w:val="00B5602C"/>
    <w:rsid w:val="00B571C2"/>
    <w:rsid w:val="00B57333"/>
    <w:rsid w:val="00B57DB4"/>
    <w:rsid w:val="00B61EF9"/>
    <w:rsid w:val="00B6257B"/>
    <w:rsid w:val="00B625FB"/>
    <w:rsid w:val="00B6373D"/>
    <w:rsid w:val="00B63AA5"/>
    <w:rsid w:val="00B642A1"/>
    <w:rsid w:val="00B649F4"/>
    <w:rsid w:val="00B65777"/>
    <w:rsid w:val="00B65926"/>
    <w:rsid w:val="00B65A60"/>
    <w:rsid w:val="00B6648A"/>
    <w:rsid w:val="00B66534"/>
    <w:rsid w:val="00B66E80"/>
    <w:rsid w:val="00B72B45"/>
    <w:rsid w:val="00B73606"/>
    <w:rsid w:val="00B73EB4"/>
    <w:rsid w:val="00B74502"/>
    <w:rsid w:val="00B74EDE"/>
    <w:rsid w:val="00B75097"/>
    <w:rsid w:val="00B75200"/>
    <w:rsid w:val="00B75615"/>
    <w:rsid w:val="00B75A70"/>
    <w:rsid w:val="00B76663"/>
    <w:rsid w:val="00B77016"/>
    <w:rsid w:val="00B77487"/>
    <w:rsid w:val="00B774CB"/>
    <w:rsid w:val="00B812FD"/>
    <w:rsid w:val="00B82962"/>
    <w:rsid w:val="00B82A77"/>
    <w:rsid w:val="00B82E61"/>
    <w:rsid w:val="00B83459"/>
    <w:rsid w:val="00B83B1A"/>
    <w:rsid w:val="00B8435A"/>
    <w:rsid w:val="00B8455B"/>
    <w:rsid w:val="00B853C0"/>
    <w:rsid w:val="00B85C0C"/>
    <w:rsid w:val="00B86171"/>
    <w:rsid w:val="00B867F1"/>
    <w:rsid w:val="00B90BD2"/>
    <w:rsid w:val="00B91D22"/>
    <w:rsid w:val="00B92E5C"/>
    <w:rsid w:val="00B93968"/>
    <w:rsid w:val="00B949CE"/>
    <w:rsid w:val="00B953B2"/>
    <w:rsid w:val="00B957A1"/>
    <w:rsid w:val="00BA03E8"/>
    <w:rsid w:val="00BA1072"/>
    <w:rsid w:val="00BA23EE"/>
    <w:rsid w:val="00BA35B4"/>
    <w:rsid w:val="00BA50A2"/>
    <w:rsid w:val="00BA5353"/>
    <w:rsid w:val="00BA6EFB"/>
    <w:rsid w:val="00BA7CD3"/>
    <w:rsid w:val="00BB08A0"/>
    <w:rsid w:val="00BB1FAF"/>
    <w:rsid w:val="00BB2764"/>
    <w:rsid w:val="00BB458C"/>
    <w:rsid w:val="00BB4CD4"/>
    <w:rsid w:val="00BB529E"/>
    <w:rsid w:val="00BB78CE"/>
    <w:rsid w:val="00BC02C1"/>
    <w:rsid w:val="00BC0568"/>
    <w:rsid w:val="00BC0C3E"/>
    <w:rsid w:val="00BC175C"/>
    <w:rsid w:val="00BC199B"/>
    <w:rsid w:val="00BC21D0"/>
    <w:rsid w:val="00BC3598"/>
    <w:rsid w:val="00BC3DDA"/>
    <w:rsid w:val="00BC4FF6"/>
    <w:rsid w:val="00BC6D4D"/>
    <w:rsid w:val="00BC6DFE"/>
    <w:rsid w:val="00BC7561"/>
    <w:rsid w:val="00BD08BB"/>
    <w:rsid w:val="00BD1493"/>
    <w:rsid w:val="00BD2CA9"/>
    <w:rsid w:val="00BD401F"/>
    <w:rsid w:val="00BD43AC"/>
    <w:rsid w:val="00BD5569"/>
    <w:rsid w:val="00BD64BB"/>
    <w:rsid w:val="00BD73AE"/>
    <w:rsid w:val="00BD76E1"/>
    <w:rsid w:val="00BD7C5A"/>
    <w:rsid w:val="00BE013E"/>
    <w:rsid w:val="00BE0299"/>
    <w:rsid w:val="00BE1AA7"/>
    <w:rsid w:val="00BE1AF1"/>
    <w:rsid w:val="00BE1B2A"/>
    <w:rsid w:val="00BE1B9C"/>
    <w:rsid w:val="00BE207E"/>
    <w:rsid w:val="00BE30B2"/>
    <w:rsid w:val="00BE4D03"/>
    <w:rsid w:val="00BE4F0D"/>
    <w:rsid w:val="00BE50DD"/>
    <w:rsid w:val="00BE5369"/>
    <w:rsid w:val="00BE791B"/>
    <w:rsid w:val="00BE7CAA"/>
    <w:rsid w:val="00BF1AFD"/>
    <w:rsid w:val="00BF26BD"/>
    <w:rsid w:val="00BF397E"/>
    <w:rsid w:val="00BF3A00"/>
    <w:rsid w:val="00BF43A7"/>
    <w:rsid w:val="00BF61B1"/>
    <w:rsid w:val="00BF6A96"/>
    <w:rsid w:val="00BF6F82"/>
    <w:rsid w:val="00BF75FC"/>
    <w:rsid w:val="00BF7D8A"/>
    <w:rsid w:val="00C008CF"/>
    <w:rsid w:val="00C01130"/>
    <w:rsid w:val="00C012CF"/>
    <w:rsid w:val="00C015B9"/>
    <w:rsid w:val="00C05713"/>
    <w:rsid w:val="00C06DDC"/>
    <w:rsid w:val="00C11145"/>
    <w:rsid w:val="00C1216E"/>
    <w:rsid w:val="00C13253"/>
    <w:rsid w:val="00C13975"/>
    <w:rsid w:val="00C140E5"/>
    <w:rsid w:val="00C14845"/>
    <w:rsid w:val="00C2062D"/>
    <w:rsid w:val="00C21109"/>
    <w:rsid w:val="00C21783"/>
    <w:rsid w:val="00C2196D"/>
    <w:rsid w:val="00C242BA"/>
    <w:rsid w:val="00C24E03"/>
    <w:rsid w:val="00C2611D"/>
    <w:rsid w:val="00C26519"/>
    <w:rsid w:val="00C274EF"/>
    <w:rsid w:val="00C300C4"/>
    <w:rsid w:val="00C300F6"/>
    <w:rsid w:val="00C3097E"/>
    <w:rsid w:val="00C30D30"/>
    <w:rsid w:val="00C30E8B"/>
    <w:rsid w:val="00C31A34"/>
    <w:rsid w:val="00C31B25"/>
    <w:rsid w:val="00C326FD"/>
    <w:rsid w:val="00C3295C"/>
    <w:rsid w:val="00C32BB2"/>
    <w:rsid w:val="00C332FB"/>
    <w:rsid w:val="00C33F46"/>
    <w:rsid w:val="00C3449B"/>
    <w:rsid w:val="00C35A08"/>
    <w:rsid w:val="00C35BBF"/>
    <w:rsid w:val="00C406D6"/>
    <w:rsid w:val="00C41401"/>
    <w:rsid w:val="00C41B25"/>
    <w:rsid w:val="00C42F0A"/>
    <w:rsid w:val="00C43DC6"/>
    <w:rsid w:val="00C4444B"/>
    <w:rsid w:val="00C44735"/>
    <w:rsid w:val="00C45E0D"/>
    <w:rsid w:val="00C464A2"/>
    <w:rsid w:val="00C4680A"/>
    <w:rsid w:val="00C47A4C"/>
    <w:rsid w:val="00C47D4E"/>
    <w:rsid w:val="00C50D84"/>
    <w:rsid w:val="00C5193B"/>
    <w:rsid w:val="00C51996"/>
    <w:rsid w:val="00C52539"/>
    <w:rsid w:val="00C52ED0"/>
    <w:rsid w:val="00C5441E"/>
    <w:rsid w:val="00C552CF"/>
    <w:rsid w:val="00C5607E"/>
    <w:rsid w:val="00C5668E"/>
    <w:rsid w:val="00C57A38"/>
    <w:rsid w:val="00C57F3A"/>
    <w:rsid w:val="00C62E71"/>
    <w:rsid w:val="00C62EEE"/>
    <w:rsid w:val="00C62F4D"/>
    <w:rsid w:val="00C64F2D"/>
    <w:rsid w:val="00C65957"/>
    <w:rsid w:val="00C661DE"/>
    <w:rsid w:val="00C67392"/>
    <w:rsid w:val="00C70F9C"/>
    <w:rsid w:val="00C7248C"/>
    <w:rsid w:val="00C729C5"/>
    <w:rsid w:val="00C7371B"/>
    <w:rsid w:val="00C76DAA"/>
    <w:rsid w:val="00C819B7"/>
    <w:rsid w:val="00C84C30"/>
    <w:rsid w:val="00C85783"/>
    <w:rsid w:val="00C86A89"/>
    <w:rsid w:val="00C86C59"/>
    <w:rsid w:val="00C904A8"/>
    <w:rsid w:val="00C90A68"/>
    <w:rsid w:val="00C91CE3"/>
    <w:rsid w:val="00C92382"/>
    <w:rsid w:val="00C946C1"/>
    <w:rsid w:val="00C9513C"/>
    <w:rsid w:val="00C961E9"/>
    <w:rsid w:val="00C97705"/>
    <w:rsid w:val="00C97E64"/>
    <w:rsid w:val="00CA0367"/>
    <w:rsid w:val="00CA3D6C"/>
    <w:rsid w:val="00CA42FE"/>
    <w:rsid w:val="00CA44BC"/>
    <w:rsid w:val="00CA4C64"/>
    <w:rsid w:val="00CA50BD"/>
    <w:rsid w:val="00CA5BD5"/>
    <w:rsid w:val="00CA7F99"/>
    <w:rsid w:val="00CB04F2"/>
    <w:rsid w:val="00CB2E55"/>
    <w:rsid w:val="00CB2EDA"/>
    <w:rsid w:val="00CB387B"/>
    <w:rsid w:val="00CB3A63"/>
    <w:rsid w:val="00CB45F0"/>
    <w:rsid w:val="00CB563D"/>
    <w:rsid w:val="00CB6564"/>
    <w:rsid w:val="00CB6FF1"/>
    <w:rsid w:val="00CB7169"/>
    <w:rsid w:val="00CB74E3"/>
    <w:rsid w:val="00CB7E6A"/>
    <w:rsid w:val="00CC0B92"/>
    <w:rsid w:val="00CC1DF6"/>
    <w:rsid w:val="00CC1EAD"/>
    <w:rsid w:val="00CC23AC"/>
    <w:rsid w:val="00CC3140"/>
    <w:rsid w:val="00CC3366"/>
    <w:rsid w:val="00CC35DD"/>
    <w:rsid w:val="00CC391C"/>
    <w:rsid w:val="00CC3E8E"/>
    <w:rsid w:val="00CC5529"/>
    <w:rsid w:val="00CC5F83"/>
    <w:rsid w:val="00CC658C"/>
    <w:rsid w:val="00CD1BFA"/>
    <w:rsid w:val="00CD3DAD"/>
    <w:rsid w:val="00CD490D"/>
    <w:rsid w:val="00CD4CA5"/>
    <w:rsid w:val="00CD4E6D"/>
    <w:rsid w:val="00CD5CA7"/>
    <w:rsid w:val="00CD643C"/>
    <w:rsid w:val="00CE0AF5"/>
    <w:rsid w:val="00CE0C80"/>
    <w:rsid w:val="00CE0E16"/>
    <w:rsid w:val="00CE43BA"/>
    <w:rsid w:val="00CE4BF1"/>
    <w:rsid w:val="00CF12BB"/>
    <w:rsid w:val="00CF231B"/>
    <w:rsid w:val="00CF28BD"/>
    <w:rsid w:val="00CF2D03"/>
    <w:rsid w:val="00CF3654"/>
    <w:rsid w:val="00CF3F39"/>
    <w:rsid w:val="00CF4825"/>
    <w:rsid w:val="00CF4EF4"/>
    <w:rsid w:val="00CF5CA1"/>
    <w:rsid w:val="00CF7226"/>
    <w:rsid w:val="00D01049"/>
    <w:rsid w:val="00D011C0"/>
    <w:rsid w:val="00D01A2B"/>
    <w:rsid w:val="00D025F7"/>
    <w:rsid w:val="00D038E9"/>
    <w:rsid w:val="00D03DBF"/>
    <w:rsid w:val="00D04C10"/>
    <w:rsid w:val="00D04D4D"/>
    <w:rsid w:val="00D0550B"/>
    <w:rsid w:val="00D06CA4"/>
    <w:rsid w:val="00D07285"/>
    <w:rsid w:val="00D1094C"/>
    <w:rsid w:val="00D10E44"/>
    <w:rsid w:val="00D117B1"/>
    <w:rsid w:val="00D121A8"/>
    <w:rsid w:val="00D1403B"/>
    <w:rsid w:val="00D1438B"/>
    <w:rsid w:val="00D1521E"/>
    <w:rsid w:val="00D15D7D"/>
    <w:rsid w:val="00D15FEE"/>
    <w:rsid w:val="00D17464"/>
    <w:rsid w:val="00D179FC"/>
    <w:rsid w:val="00D17C5D"/>
    <w:rsid w:val="00D20934"/>
    <w:rsid w:val="00D228D7"/>
    <w:rsid w:val="00D22C05"/>
    <w:rsid w:val="00D243EF"/>
    <w:rsid w:val="00D2496A"/>
    <w:rsid w:val="00D24AB7"/>
    <w:rsid w:val="00D30D41"/>
    <w:rsid w:val="00D330B5"/>
    <w:rsid w:val="00D33D12"/>
    <w:rsid w:val="00D36EBC"/>
    <w:rsid w:val="00D40571"/>
    <w:rsid w:val="00D41EFE"/>
    <w:rsid w:val="00D423EA"/>
    <w:rsid w:val="00D43AD1"/>
    <w:rsid w:val="00D450F7"/>
    <w:rsid w:val="00D466AB"/>
    <w:rsid w:val="00D46D2D"/>
    <w:rsid w:val="00D473B1"/>
    <w:rsid w:val="00D51029"/>
    <w:rsid w:val="00D51AD2"/>
    <w:rsid w:val="00D5232E"/>
    <w:rsid w:val="00D523F7"/>
    <w:rsid w:val="00D52C99"/>
    <w:rsid w:val="00D52D61"/>
    <w:rsid w:val="00D53CC6"/>
    <w:rsid w:val="00D55DFC"/>
    <w:rsid w:val="00D56734"/>
    <w:rsid w:val="00D5676D"/>
    <w:rsid w:val="00D56CC5"/>
    <w:rsid w:val="00D60887"/>
    <w:rsid w:val="00D60ED4"/>
    <w:rsid w:val="00D62231"/>
    <w:rsid w:val="00D62F6F"/>
    <w:rsid w:val="00D6332F"/>
    <w:rsid w:val="00D65438"/>
    <w:rsid w:val="00D659ED"/>
    <w:rsid w:val="00D65DB5"/>
    <w:rsid w:val="00D66562"/>
    <w:rsid w:val="00D66F25"/>
    <w:rsid w:val="00D70954"/>
    <w:rsid w:val="00D71674"/>
    <w:rsid w:val="00D71B16"/>
    <w:rsid w:val="00D74A70"/>
    <w:rsid w:val="00D800FE"/>
    <w:rsid w:val="00D80EB1"/>
    <w:rsid w:val="00D815C3"/>
    <w:rsid w:val="00D817BE"/>
    <w:rsid w:val="00D819DB"/>
    <w:rsid w:val="00D82494"/>
    <w:rsid w:val="00D8295C"/>
    <w:rsid w:val="00D86863"/>
    <w:rsid w:val="00D877C0"/>
    <w:rsid w:val="00D91AAA"/>
    <w:rsid w:val="00D932E2"/>
    <w:rsid w:val="00D934C3"/>
    <w:rsid w:val="00D93588"/>
    <w:rsid w:val="00D9409A"/>
    <w:rsid w:val="00D946E3"/>
    <w:rsid w:val="00D951AD"/>
    <w:rsid w:val="00D96820"/>
    <w:rsid w:val="00D96C2E"/>
    <w:rsid w:val="00D97A95"/>
    <w:rsid w:val="00DA0DCB"/>
    <w:rsid w:val="00DA168A"/>
    <w:rsid w:val="00DA21C5"/>
    <w:rsid w:val="00DA350A"/>
    <w:rsid w:val="00DA4DA3"/>
    <w:rsid w:val="00DA4E2E"/>
    <w:rsid w:val="00DA5CFD"/>
    <w:rsid w:val="00DA7DC4"/>
    <w:rsid w:val="00DB0266"/>
    <w:rsid w:val="00DB03D3"/>
    <w:rsid w:val="00DB0B7E"/>
    <w:rsid w:val="00DB0C8D"/>
    <w:rsid w:val="00DB2072"/>
    <w:rsid w:val="00DB240A"/>
    <w:rsid w:val="00DB3193"/>
    <w:rsid w:val="00DB337C"/>
    <w:rsid w:val="00DB3A15"/>
    <w:rsid w:val="00DB454E"/>
    <w:rsid w:val="00DB65FA"/>
    <w:rsid w:val="00DB72DF"/>
    <w:rsid w:val="00DB7F28"/>
    <w:rsid w:val="00DC30D0"/>
    <w:rsid w:val="00DC434C"/>
    <w:rsid w:val="00DC53B9"/>
    <w:rsid w:val="00DC5A37"/>
    <w:rsid w:val="00DC5B0D"/>
    <w:rsid w:val="00DC7460"/>
    <w:rsid w:val="00DC75F5"/>
    <w:rsid w:val="00DC7868"/>
    <w:rsid w:val="00DC7A2A"/>
    <w:rsid w:val="00DC7ECA"/>
    <w:rsid w:val="00DD04B8"/>
    <w:rsid w:val="00DD2759"/>
    <w:rsid w:val="00DD3BFE"/>
    <w:rsid w:val="00DD3C34"/>
    <w:rsid w:val="00DD54D9"/>
    <w:rsid w:val="00DD582B"/>
    <w:rsid w:val="00DD5FB3"/>
    <w:rsid w:val="00DD7B9B"/>
    <w:rsid w:val="00DE09EE"/>
    <w:rsid w:val="00DE18B4"/>
    <w:rsid w:val="00DE1C0C"/>
    <w:rsid w:val="00DE3841"/>
    <w:rsid w:val="00DE41AF"/>
    <w:rsid w:val="00DE61D6"/>
    <w:rsid w:val="00DE6424"/>
    <w:rsid w:val="00DE67B8"/>
    <w:rsid w:val="00DE7A93"/>
    <w:rsid w:val="00DF04AC"/>
    <w:rsid w:val="00DF2547"/>
    <w:rsid w:val="00DF26E9"/>
    <w:rsid w:val="00DF35AA"/>
    <w:rsid w:val="00DF35B1"/>
    <w:rsid w:val="00DF3F23"/>
    <w:rsid w:val="00DF5140"/>
    <w:rsid w:val="00DF6A63"/>
    <w:rsid w:val="00DF75A1"/>
    <w:rsid w:val="00DF7A02"/>
    <w:rsid w:val="00E01295"/>
    <w:rsid w:val="00E01EF6"/>
    <w:rsid w:val="00E01FA7"/>
    <w:rsid w:val="00E0333A"/>
    <w:rsid w:val="00E04265"/>
    <w:rsid w:val="00E0557A"/>
    <w:rsid w:val="00E05A74"/>
    <w:rsid w:val="00E05E4F"/>
    <w:rsid w:val="00E0673A"/>
    <w:rsid w:val="00E07BBE"/>
    <w:rsid w:val="00E120AB"/>
    <w:rsid w:val="00E13895"/>
    <w:rsid w:val="00E13A5F"/>
    <w:rsid w:val="00E14DD0"/>
    <w:rsid w:val="00E16104"/>
    <w:rsid w:val="00E16421"/>
    <w:rsid w:val="00E16749"/>
    <w:rsid w:val="00E20608"/>
    <w:rsid w:val="00E21A9D"/>
    <w:rsid w:val="00E222D2"/>
    <w:rsid w:val="00E22F34"/>
    <w:rsid w:val="00E2382D"/>
    <w:rsid w:val="00E242BA"/>
    <w:rsid w:val="00E24DF1"/>
    <w:rsid w:val="00E250C0"/>
    <w:rsid w:val="00E27562"/>
    <w:rsid w:val="00E30A8F"/>
    <w:rsid w:val="00E30CBE"/>
    <w:rsid w:val="00E314C8"/>
    <w:rsid w:val="00E31E11"/>
    <w:rsid w:val="00E31FA9"/>
    <w:rsid w:val="00E323B7"/>
    <w:rsid w:val="00E324E5"/>
    <w:rsid w:val="00E33B9A"/>
    <w:rsid w:val="00E348EB"/>
    <w:rsid w:val="00E348F6"/>
    <w:rsid w:val="00E36290"/>
    <w:rsid w:val="00E3665B"/>
    <w:rsid w:val="00E3750B"/>
    <w:rsid w:val="00E3787C"/>
    <w:rsid w:val="00E40BE2"/>
    <w:rsid w:val="00E41C9C"/>
    <w:rsid w:val="00E42542"/>
    <w:rsid w:val="00E43484"/>
    <w:rsid w:val="00E438FC"/>
    <w:rsid w:val="00E43929"/>
    <w:rsid w:val="00E43FBA"/>
    <w:rsid w:val="00E44BC6"/>
    <w:rsid w:val="00E44BDE"/>
    <w:rsid w:val="00E45619"/>
    <w:rsid w:val="00E474CA"/>
    <w:rsid w:val="00E47C6B"/>
    <w:rsid w:val="00E5006F"/>
    <w:rsid w:val="00E50D0D"/>
    <w:rsid w:val="00E50EF3"/>
    <w:rsid w:val="00E51105"/>
    <w:rsid w:val="00E5196D"/>
    <w:rsid w:val="00E52865"/>
    <w:rsid w:val="00E53707"/>
    <w:rsid w:val="00E54254"/>
    <w:rsid w:val="00E57049"/>
    <w:rsid w:val="00E60AC3"/>
    <w:rsid w:val="00E6117B"/>
    <w:rsid w:val="00E61211"/>
    <w:rsid w:val="00E61290"/>
    <w:rsid w:val="00E62A52"/>
    <w:rsid w:val="00E62CDA"/>
    <w:rsid w:val="00E643C9"/>
    <w:rsid w:val="00E6441A"/>
    <w:rsid w:val="00E65439"/>
    <w:rsid w:val="00E65507"/>
    <w:rsid w:val="00E66D33"/>
    <w:rsid w:val="00E7009B"/>
    <w:rsid w:val="00E71609"/>
    <w:rsid w:val="00E725F0"/>
    <w:rsid w:val="00E7346C"/>
    <w:rsid w:val="00E73726"/>
    <w:rsid w:val="00E74315"/>
    <w:rsid w:val="00E763A7"/>
    <w:rsid w:val="00E7698C"/>
    <w:rsid w:val="00E77E1F"/>
    <w:rsid w:val="00E804A9"/>
    <w:rsid w:val="00E80694"/>
    <w:rsid w:val="00E808F2"/>
    <w:rsid w:val="00E8187F"/>
    <w:rsid w:val="00E81D6A"/>
    <w:rsid w:val="00E81E23"/>
    <w:rsid w:val="00E820FD"/>
    <w:rsid w:val="00E82262"/>
    <w:rsid w:val="00E82BB4"/>
    <w:rsid w:val="00E835EE"/>
    <w:rsid w:val="00E84489"/>
    <w:rsid w:val="00E86048"/>
    <w:rsid w:val="00E87F4C"/>
    <w:rsid w:val="00E920C4"/>
    <w:rsid w:val="00E92459"/>
    <w:rsid w:val="00E92F56"/>
    <w:rsid w:val="00E9374C"/>
    <w:rsid w:val="00E940E0"/>
    <w:rsid w:val="00E94254"/>
    <w:rsid w:val="00E95124"/>
    <w:rsid w:val="00E96563"/>
    <w:rsid w:val="00E96E27"/>
    <w:rsid w:val="00EA01CF"/>
    <w:rsid w:val="00EA344D"/>
    <w:rsid w:val="00EA37C9"/>
    <w:rsid w:val="00EA394C"/>
    <w:rsid w:val="00EA530D"/>
    <w:rsid w:val="00EA5CCA"/>
    <w:rsid w:val="00EA62EE"/>
    <w:rsid w:val="00EA6EFB"/>
    <w:rsid w:val="00EB0201"/>
    <w:rsid w:val="00EB07AD"/>
    <w:rsid w:val="00EB0A04"/>
    <w:rsid w:val="00EB0D36"/>
    <w:rsid w:val="00EB0DA6"/>
    <w:rsid w:val="00EB1156"/>
    <w:rsid w:val="00EB16B5"/>
    <w:rsid w:val="00EB24FA"/>
    <w:rsid w:val="00EB2B1F"/>
    <w:rsid w:val="00EB3731"/>
    <w:rsid w:val="00EB37B4"/>
    <w:rsid w:val="00EB42AC"/>
    <w:rsid w:val="00EB4B42"/>
    <w:rsid w:val="00EB4F55"/>
    <w:rsid w:val="00EB5E0D"/>
    <w:rsid w:val="00EB75B5"/>
    <w:rsid w:val="00EC0C9D"/>
    <w:rsid w:val="00EC1020"/>
    <w:rsid w:val="00EC248F"/>
    <w:rsid w:val="00EC282B"/>
    <w:rsid w:val="00EC36C8"/>
    <w:rsid w:val="00EC4FD9"/>
    <w:rsid w:val="00EC5D5B"/>
    <w:rsid w:val="00EC6ED0"/>
    <w:rsid w:val="00EC7533"/>
    <w:rsid w:val="00EC78E0"/>
    <w:rsid w:val="00EC78E6"/>
    <w:rsid w:val="00ED0EB7"/>
    <w:rsid w:val="00ED1ED3"/>
    <w:rsid w:val="00ED3079"/>
    <w:rsid w:val="00ED350C"/>
    <w:rsid w:val="00ED3799"/>
    <w:rsid w:val="00ED4805"/>
    <w:rsid w:val="00ED5186"/>
    <w:rsid w:val="00ED5F85"/>
    <w:rsid w:val="00ED630C"/>
    <w:rsid w:val="00ED64E5"/>
    <w:rsid w:val="00ED6FE3"/>
    <w:rsid w:val="00EE0ED3"/>
    <w:rsid w:val="00EE1F75"/>
    <w:rsid w:val="00EE232B"/>
    <w:rsid w:val="00EE339E"/>
    <w:rsid w:val="00EE44F6"/>
    <w:rsid w:val="00EE527A"/>
    <w:rsid w:val="00EE535E"/>
    <w:rsid w:val="00EE549B"/>
    <w:rsid w:val="00EE572C"/>
    <w:rsid w:val="00EE5DA7"/>
    <w:rsid w:val="00EE5DDE"/>
    <w:rsid w:val="00EE6091"/>
    <w:rsid w:val="00EE6380"/>
    <w:rsid w:val="00EE661B"/>
    <w:rsid w:val="00EE6D46"/>
    <w:rsid w:val="00EE7B32"/>
    <w:rsid w:val="00EF0FEB"/>
    <w:rsid w:val="00EF1A5D"/>
    <w:rsid w:val="00EF302F"/>
    <w:rsid w:val="00EF3C7E"/>
    <w:rsid w:val="00EF3D7C"/>
    <w:rsid w:val="00EF4171"/>
    <w:rsid w:val="00EF5E46"/>
    <w:rsid w:val="00EF5EF4"/>
    <w:rsid w:val="00F0018A"/>
    <w:rsid w:val="00F00719"/>
    <w:rsid w:val="00F00B02"/>
    <w:rsid w:val="00F01634"/>
    <w:rsid w:val="00F0333A"/>
    <w:rsid w:val="00F04B09"/>
    <w:rsid w:val="00F04E3A"/>
    <w:rsid w:val="00F06237"/>
    <w:rsid w:val="00F0657B"/>
    <w:rsid w:val="00F07413"/>
    <w:rsid w:val="00F1036B"/>
    <w:rsid w:val="00F11195"/>
    <w:rsid w:val="00F12CCF"/>
    <w:rsid w:val="00F12EEC"/>
    <w:rsid w:val="00F136DA"/>
    <w:rsid w:val="00F14606"/>
    <w:rsid w:val="00F153F2"/>
    <w:rsid w:val="00F16314"/>
    <w:rsid w:val="00F176FC"/>
    <w:rsid w:val="00F20F53"/>
    <w:rsid w:val="00F21ED7"/>
    <w:rsid w:val="00F221D4"/>
    <w:rsid w:val="00F221D6"/>
    <w:rsid w:val="00F22347"/>
    <w:rsid w:val="00F23093"/>
    <w:rsid w:val="00F237EA"/>
    <w:rsid w:val="00F252DC"/>
    <w:rsid w:val="00F25337"/>
    <w:rsid w:val="00F25FCE"/>
    <w:rsid w:val="00F2680A"/>
    <w:rsid w:val="00F269FE"/>
    <w:rsid w:val="00F26D13"/>
    <w:rsid w:val="00F27AB8"/>
    <w:rsid w:val="00F30331"/>
    <w:rsid w:val="00F30503"/>
    <w:rsid w:val="00F309D7"/>
    <w:rsid w:val="00F314A2"/>
    <w:rsid w:val="00F3239D"/>
    <w:rsid w:val="00F34D45"/>
    <w:rsid w:val="00F3530D"/>
    <w:rsid w:val="00F3568A"/>
    <w:rsid w:val="00F3716E"/>
    <w:rsid w:val="00F371BA"/>
    <w:rsid w:val="00F4004C"/>
    <w:rsid w:val="00F42103"/>
    <w:rsid w:val="00F42936"/>
    <w:rsid w:val="00F43203"/>
    <w:rsid w:val="00F45B50"/>
    <w:rsid w:val="00F45BB5"/>
    <w:rsid w:val="00F45DE5"/>
    <w:rsid w:val="00F468A2"/>
    <w:rsid w:val="00F4704E"/>
    <w:rsid w:val="00F50FEC"/>
    <w:rsid w:val="00F510B1"/>
    <w:rsid w:val="00F51864"/>
    <w:rsid w:val="00F51EBE"/>
    <w:rsid w:val="00F51EE1"/>
    <w:rsid w:val="00F5238D"/>
    <w:rsid w:val="00F54BBF"/>
    <w:rsid w:val="00F55285"/>
    <w:rsid w:val="00F5570B"/>
    <w:rsid w:val="00F57181"/>
    <w:rsid w:val="00F5722C"/>
    <w:rsid w:val="00F57E8A"/>
    <w:rsid w:val="00F60B85"/>
    <w:rsid w:val="00F611FE"/>
    <w:rsid w:val="00F6168A"/>
    <w:rsid w:val="00F633E8"/>
    <w:rsid w:val="00F636A6"/>
    <w:rsid w:val="00F639C7"/>
    <w:rsid w:val="00F65083"/>
    <w:rsid w:val="00F65696"/>
    <w:rsid w:val="00F65A2A"/>
    <w:rsid w:val="00F65F27"/>
    <w:rsid w:val="00F661D2"/>
    <w:rsid w:val="00F66AE3"/>
    <w:rsid w:val="00F66FA6"/>
    <w:rsid w:val="00F67573"/>
    <w:rsid w:val="00F67E5E"/>
    <w:rsid w:val="00F70834"/>
    <w:rsid w:val="00F71337"/>
    <w:rsid w:val="00F71424"/>
    <w:rsid w:val="00F71831"/>
    <w:rsid w:val="00F72B00"/>
    <w:rsid w:val="00F737C9"/>
    <w:rsid w:val="00F74BD3"/>
    <w:rsid w:val="00F75147"/>
    <w:rsid w:val="00F75E86"/>
    <w:rsid w:val="00F76094"/>
    <w:rsid w:val="00F76124"/>
    <w:rsid w:val="00F76507"/>
    <w:rsid w:val="00F76E0A"/>
    <w:rsid w:val="00F77722"/>
    <w:rsid w:val="00F824EE"/>
    <w:rsid w:val="00F825C1"/>
    <w:rsid w:val="00F82802"/>
    <w:rsid w:val="00F83B4F"/>
    <w:rsid w:val="00F840FA"/>
    <w:rsid w:val="00F847AF"/>
    <w:rsid w:val="00F84FC0"/>
    <w:rsid w:val="00F8550E"/>
    <w:rsid w:val="00F85E9F"/>
    <w:rsid w:val="00F90601"/>
    <w:rsid w:val="00F9060A"/>
    <w:rsid w:val="00F906C9"/>
    <w:rsid w:val="00F9166F"/>
    <w:rsid w:val="00F92849"/>
    <w:rsid w:val="00F92902"/>
    <w:rsid w:val="00F9374F"/>
    <w:rsid w:val="00F93A08"/>
    <w:rsid w:val="00F93FDD"/>
    <w:rsid w:val="00F94762"/>
    <w:rsid w:val="00F94FEB"/>
    <w:rsid w:val="00F951B9"/>
    <w:rsid w:val="00F95D23"/>
    <w:rsid w:val="00F9794C"/>
    <w:rsid w:val="00FA0008"/>
    <w:rsid w:val="00FA171C"/>
    <w:rsid w:val="00FA274A"/>
    <w:rsid w:val="00FA31D5"/>
    <w:rsid w:val="00FA4D37"/>
    <w:rsid w:val="00FA5EB6"/>
    <w:rsid w:val="00FA6392"/>
    <w:rsid w:val="00FA6ACA"/>
    <w:rsid w:val="00FA7616"/>
    <w:rsid w:val="00FB3CCF"/>
    <w:rsid w:val="00FB473D"/>
    <w:rsid w:val="00FB49BC"/>
    <w:rsid w:val="00FB4B46"/>
    <w:rsid w:val="00FB4DF3"/>
    <w:rsid w:val="00FB7136"/>
    <w:rsid w:val="00FB7DAF"/>
    <w:rsid w:val="00FC0124"/>
    <w:rsid w:val="00FC0F3D"/>
    <w:rsid w:val="00FC2542"/>
    <w:rsid w:val="00FC3612"/>
    <w:rsid w:val="00FC3701"/>
    <w:rsid w:val="00FC577F"/>
    <w:rsid w:val="00FC7033"/>
    <w:rsid w:val="00FC71DC"/>
    <w:rsid w:val="00FC7A5C"/>
    <w:rsid w:val="00FD061A"/>
    <w:rsid w:val="00FD0957"/>
    <w:rsid w:val="00FD0E9B"/>
    <w:rsid w:val="00FD11DE"/>
    <w:rsid w:val="00FD3EBA"/>
    <w:rsid w:val="00FD67C8"/>
    <w:rsid w:val="00FD784C"/>
    <w:rsid w:val="00FE0C2B"/>
    <w:rsid w:val="00FE165F"/>
    <w:rsid w:val="00FE2E33"/>
    <w:rsid w:val="00FE3088"/>
    <w:rsid w:val="00FE4F5E"/>
    <w:rsid w:val="00FE6720"/>
    <w:rsid w:val="00FE73B6"/>
    <w:rsid w:val="00FE7607"/>
    <w:rsid w:val="00FF039C"/>
    <w:rsid w:val="00FF1B0B"/>
    <w:rsid w:val="00FF244B"/>
    <w:rsid w:val="00FF2862"/>
    <w:rsid w:val="00FF33F3"/>
    <w:rsid w:val="00FF3A61"/>
    <w:rsid w:val="00FF3BE1"/>
    <w:rsid w:val="00FF44A4"/>
    <w:rsid w:val="00FF45C4"/>
    <w:rsid w:val="00FF6377"/>
    <w:rsid w:val="00FF6FE1"/>
    <w:rsid w:val="00FF7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3FAF22"/>
  <w15:chartTrackingRefBased/>
  <w15:docId w15:val="{A3199074-5C54-4819-838D-859C49BBD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73A"/>
    <w:rPr>
      <w:rFonts w:ascii="Times New Roman" w:eastAsia="Times New Roman" w:hAnsi="Times New Roman"/>
      <w:sz w:val="24"/>
      <w:szCs w:val="24"/>
      <w:lang w:val="en-GB" w:eastAsia="en-GB"/>
    </w:rPr>
  </w:style>
  <w:style w:type="paragraph" w:styleId="Heading1">
    <w:name w:val="heading 1"/>
    <w:basedOn w:val="Normal"/>
    <w:next w:val="Normal"/>
    <w:link w:val="Heading1Char"/>
    <w:uiPriority w:val="9"/>
    <w:qFormat/>
    <w:rsid w:val="004D57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D573A"/>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4D573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73A"/>
    <w:rPr>
      <w:rFonts w:asciiTheme="majorHAnsi" w:eastAsiaTheme="majorEastAsia" w:hAnsiTheme="majorHAnsi" w:cstheme="majorBidi"/>
      <w:color w:val="2F5496" w:themeColor="accent1" w:themeShade="BF"/>
      <w:sz w:val="32"/>
      <w:szCs w:val="32"/>
      <w:lang w:val="en-GB" w:eastAsia="en-GB"/>
    </w:rPr>
  </w:style>
  <w:style w:type="character" w:customStyle="1" w:styleId="Heading2Char">
    <w:name w:val="Heading 2 Char"/>
    <w:basedOn w:val="DefaultParagraphFont"/>
    <w:link w:val="Heading2"/>
    <w:uiPriority w:val="9"/>
    <w:rsid w:val="004D573A"/>
    <w:rPr>
      <w:rFonts w:ascii="Times New Roman" w:eastAsia="Times New Roman" w:hAnsi="Times New Roman"/>
      <w:b/>
      <w:bCs/>
      <w:sz w:val="36"/>
      <w:szCs w:val="36"/>
      <w:lang w:val="en-GB" w:eastAsia="en-GB"/>
    </w:rPr>
  </w:style>
  <w:style w:type="character" w:customStyle="1" w:styleId="Heading3Char">
    <w:name w:val="Heading 3 Char"/>
    <w:basedOn w:val="DefaultParagraphFont"/>
    <w:link w:val="Heading3"/>
    <w:uiPriority w:val="9"/>
    <w:rsid w:val="004D573A"/>
    <w:rPr>
      <w:rFonts w:asciiTheme="majorHAnsi" w:eastAsiaTheme="majorEastAsia" w:hAnsiTheme="majorHAnsi" w:cstheme="majorBidi"/>
      <w:color w:val="1F3763" w:themeColor="accent1" w:themeShade="7F"/>
      <w:sz w:val="24"/>
      <w:szCs w:val="24"/>
      <w:lang w:val="en-GB" w:eastAsia="en-GB"/>
    </w:rPr>
  </w:style>
  <w:style w:type="paragraph" w:customStyle="1" w:styleId="MDPI11articletype">
    <w:name w:val="MDPI_1.1_article_type"/>
    <w:basedOn w:val="MDPI31text"/>
    <w:next w:val="MDPI12title"/>
    <w:qFormat/>
    <w:rsid w:val="00FE3088"/>
    <w:pPr>
      <w:spacing w:before="240" w:line="240" w:lineRule="auto"/>
      <w:ind w:firstLine="0"/>
      <w:jc w:val="left"/>
    </w:pPr>
    <w:rPr>
      <w:i/>
    </w:rPr>
  </w:style>
  <w:style w:type="paragraph" w:customStyle="1" w:styleId="MDPI31text">
    <w:name w:val="MDPI_3.1_text"/>
    <w:qFormat/>
    <w:rsid w:val="00FE3088"/>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12title">
    <w:name w:val="MDPI_1.2_title"/>
    <w:next w:val="MDPI13authornames"/>
    <w:qFormat/>
    <w:rsid w:val="00FE3088"/>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FE3088"/>
    <w:pPr>
      <w:spacing w:after="120"/>
      <w:ind w:firstLine="0"/>
      <w:jc w:val="left"/>
    </w:pPr>
    <w:rPr>
      <w:b/>
      <w:snapToGrid/>
    </w:rPr>
  </w:style>
  <w:style w:type="paragraph" w:customStyle="1" w:styleId="MDPI14history">
    <w:name w:val="MDPI_1.4_history"/>
    <w:basedOn w:val="MDPI62Acknowledgments"/>
    <w:next w:val="Normal"/>
    <w:qFormat/>
    <w:rsid w:val="00FE3088"/>
    <w:pPr>
      <w:ind w:left="113"/>
      <w:jc w:val="left"/>
    </w:pPr>
    <w:rPr>
      <w:snapToGrid/>
    </w:rPr>
  </w:style>
  <w:style w:type="paragraph" w:customStyle="1" w:styleId="MDPI62Acknowledgments">
    <w:name w:val="MDPI_6.2_Acknowledgments"/>
    <w:qFormat/>
    <w:rsid w:val="00FE3088"/>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16affiliation">
    <w:name w:val="MDPI_1.6_affiliation"/>
    <w:basedOn w:val="MDPI62Acknowledgments"/>
    <w:qFormat/>
    <w:rsid w:val="00FE3088"/>
    <w:pPr>
      <w:spacing w:before="0"/>
      <w:ind w:left="311" w:hanging="198"/>
      <w:jc w:val="left"/>
    </w:pPr>
    <w:rPr>
      <w:snapToGrid/>
      <w:szCs w:val="18"/>
    </w:rPr>
  </w:style>
  <w:style w:type="paragraph" w:customStyle="1" w:styleId="MDPI17abstract">
    <w:name w:val="MDPI_1.7_abstract"/>
    <w:basedOn w:val="MDPI31text"/>
    <w:next w:val="MDPI18keywords"/>
    <w:qFormat/>
    <w:rsid w:val="00FE3088"/>
    <w:pPr>
      <w:spacing w:before="240"/>
      <w:ind w:left="113" w:firstLine="0"/>
    </w:pPr>
    <w:rPr>
      <w:snapToGrid/>
    </w:rPr>
  </w:style>
  <w:style w:type="paragraph" w:customStyle="1" w:styleId="MDPI18keywords">
    <w:name w:val="MDPI_1.8_keywords"/>
    <w:basedOn w:val="MDPI31text"/>
    <w:next w:val="Normal"/>
    <w:qFormat/>
    <w:rsid w:val="00FE3088"/>
    <w:pPr>
      <w:spacing w:before="240"/>
      <w:ind w:left="113" w:firstLine="0"/>
    </w:pPr>
  </w:style>
  <w:style w:type="paragraph" w:customStyle="1" w:styleId="MDPI19line">
    <w:name w:val="MDPI_1.9_line"/>
    <w:basedOn w:val="MDPI31text"/>
    <w:qFormat/>
    <w:rsid w:val="00FE3088"/>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FE308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FE308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E3088"/>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FE3088"/>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FE3088"/>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FE3088"/>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FE3088"/>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FE3088"/>
    <w:pPr>
      <w:ind w:firstLine="0"/>
    </w:pPr>
  </w:style>
  <w:style w:type="paragraph" w:customStyle="1" w:styleId="MDPI33textspaceafter">
    <w:name w:val="MDPI_3.3_text_space_after"/>
    <w:basedOn w:val="MDPI31text"/>
    <w:qFormat/>
    <w:rsid w:val="00FE3088"/>
    <w:pPr>
      <w:spacing w:after="240"/>
    </w:pPr>
  </w:style>
  <w:style w:type="paragraph" w:customStyle="1" w:styleId="MDPI34textspacebefore">
    <w:name w:val="MDPI_3.4_text_space_before"/>
    <w:basedOn w:val="MDPI31text"/>
    <w:qFormat/>
    <w:rsid w:val="00FE3088"/>
    <w:pPr>
      <w:spacing w:before="240"/>
    </w:pPr>
  </w:style>
  <w:style w:type="paragraph" w:customStyle="1" w:styleId="MDPI35textbeforelist">
    <w:name w:val="MDPI_3.5_text_before_list"/>
    <w:basedOn w:val="MDPI31text"/>
    <w:qFormat/>
    <w:rsid w:val="00FE3088"/>
    <w:pPr>
      <w:spacing w:after="120"/>
    </w:pPr>
  </w:style>
  <w:style w:type="paragraph" w:customStyle="1" w:styleId="MDPI36textafterlist">
    <w:name w:val="MDPI_3.6_text_after_list"/>
    <w:basedOn w:val="MDPI31text"/>
    <w:qFormat/>
    <w:rsid w:val="00FE3088"/>
    <w:pPr>
      <w:spacing w:before="120"/>
    </w:pPr>
  </w:style>
  <w:style w:type="paragraph" w:customStyle="1" w:styleId="MDPI37itemize">
    <w:name w:val="MDPI_3.7_itemize"/>
    <w:basedOn w:val="MDPI31text"/>
    <w:qFormat/>
    <w:rsid w:val="00FE3088"/>
    <w:pPr>
      <w:numPr>
        <w:numId w:val="1"/>
      </w:numPr>
      <w:ind w:left="425" w:hanging="425"/>
    </w:pPr>
  </w:style>
  <w:style w:type="paragraph" w:customStyle="1" w:styleId="MDPI38bullet">
    <w:name w:val="MDPI_3.8_bullet"/>
    <w:basedOn w:val="MDPI31text"/>
    <w:qFormat/>
    <w:rsid w:val="00FE3088"/>
    <w:pPr>
      <w:numPr>
        <w:numId w:val="2"/>
      </w:numPr>
      <w:ind w:left="425" w:hanging="425"/>
    </w:pPr>
  </w:style>
  <w:style w:type="paragraph" w:customStyle="1" w:styleId="MDPI39equation">
    <w:name w:val="MDPI_3.9_equation"/>
    <w:basedOn w:val="MDPI31text"/>
    <w:qFormat/>
    <w:rsid w:val="00FE3088"/>
    <w:pPr>
      <w:spacing w:before="120" w:after="120"/>
      <w:ind w:left="709" w:firstLine="0"/>
      <w:jc w:val="center"/>
    </w:pPr>
  </w:style>
  <w:style w:type="paragraph" w:customStyle="1" w:styleId="MDPI3aequationnumber">
    <w:name w:val="MDPI_3.a_equation_number"/>
    <w:basedOn w:val="MDPI31text"/>
    <w:qFormat/>
    <w:rsid w:val="00FE3088"/>
    <w:pPr>
      <w:spacing w:before="120" w:after="120" w:line="240" w:lineRule="auto"/>
      <w:ind w:firstLine="0"/>
      <w:jc w:val="right"/>
    </w:pPr>
  </w:style>
  <w:style w:type="paragraph" w:customStyle="1" w:styleId="MDPI41tablecaption">
    <w:name w:val="MDPI_4.1_table_caption"/>
    <w:basedOn w:val="MDPI62Acknowledgments"/>
    <w:qFormat/>
    <w:rsid w:val="00FE3088"/>
    <w:pPr>
      <w:spacing w:before="240" w:after="120" w:line="260" w:lineRule="atLeast"/>
      <w:ind w:left="425" w:right="425"/>
    </w:pPr>
    <w:rPr>
      <w:snapToGrid/>
      <w:szCs w:val="22"/>
    </w:rPr>
  </w:style>
  <w:style w:type="paragraph" w:customStyle="1" w:styleId="MDPI42tablebody">
    <w:name w:val="MDPI_4.2_table_body"/>
    <w:qFormat/>
    <w:rsid w:val="00F71337"/>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FE3088"/>
    <w:pPr>
      <w:spacing w:before="0"/>
      <w:ind w:left="0" w:right="0"/>
    </w:pPr>
  </w:style>
  <w:style w:type="paragraph" w:customStyle="1" w:styleId="MDPI51figurecaption">
    <w:name w:val="MDPI_5.1_figure_caption"/>
    <w:basedOn w:val="MDPI62Acknowledgments"/>
    <w:qFormat/>
    <w:rsid w:val="00FE3088"/>
    <w:pPr>
      <w:spacing w:after="240" w:line="260" w:lineRule="atLeast"/>
      <w:ind w:left="425" w:right="425"/>
    </w:pPr>
    <w:rPr>
      <w:snapToGrid/>
    </w:rPr>
  </w:style>
  <w:style w:type="paragraph" w:customStyle="1" w:styleId="MDPI52figure">
    <w:name w:val="MDPI_5.2_figure"/>
    <w:qFormat/>
    <w:rsid w:val="00FE3088"/>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FE3088"/>
    <w:pPr>
      <w:spacing w:before="240"/>
    </w:pPr>
    <w:rPr>
      <w:lang w:eastAsia="en-US"/>
    </w:rPr>
  </w:style>
  <w:style w:type="paragraph" w:customStyle="1" w:styleId="MDPI63AuthorContributions">
    <w:name w:val="MDPI_6.3_AuthorContributions"/>
    <w:basedOn w:val="MDPI62Acknowledgments"/>
    <w:qFormat/>
    <w:rsid w:val="00FE3088"/>
    <w:rPr>
      <w:rFonts w:eastAsia="SimSun"/>
      <w:color w:val="auto"/>
      <w:lang w:eastAsia="en-US"/>
    </w:rPr>
  </w:style>
  <w:style w:type="paragraph" w:customStyle="1" w:styleId="MDPI64CoI">
    <w:name w:val="MDPI_6.4_CoI"/>
    <w:basedOn w:val="MDPI62Acknowledgments"/>
    <w:qFormat/>
    <w:rsid w:val="00FE3088"/>
  </w:style>
  <w:style w:type="paragraph" w:customStyle="1" w:styleId="MDPI81theorem">
    <w:name w:val="MDPI_8.1_theorem"/>
    <w:basedOn w:val="MDPI32textnoindent"/>
    <w:qFormat/>
    <w:rsid w:val="00FE3088"/>
    <w:rPr>
      <w:i/>
    </w:rPr>
  </w:style>
  <w:style w:type="paragraph" w:customStyle="1" w:styleId="MDPI82proof">
    <w:name w:val="MDPI_8.2_proof"/>
    <w:basedOn w:val="MDPI32textnoindent"/>
    <w:qFormat/>
    <w:rsid w:val="00FE3088"/>
  </w:style>
  <w:style w:type="paragraph" w:customStyle="1" w:styleId="MDPI23heading3">
    <w:name w:val="MDPI_2.3_heading3"/>
    <w:basedOn w:val="MDPI31text"/>
    <w:qFormat/>
    <w:rsid w:val="00FE3088"/>
    <w:pPr>
      <w:spacing w:before="240" w:after="120"/>
      <w:ind w:firstLine="0"/>
      <w:jc w:val="left"/>
      <w:outlineLvl w:val="2"/>
    </w:pPr>
  </w:style>
  <w:style w:type="paragraph" w:customStyle="1" w:styleId="MDPI21heading1">
    <w:name w:val="MDPI_2.1_heading1"/>
    <w:basedOn w:val="MDPI23heading3"/>
    <w:qFormat/>
    <w:rsid w:val="00FE3088"/>
    <w:pPr>
      <w:outlineLvl w:val="0"/>
    </w:pPr>
    <w:rPr>
      <w:b/>
    </w:rPr>
  </w:style>
  <w:style w:type="paragraph" w:customStyle="1" w:styleId="MDPI22heading2">
    <w:name w:val="MDPI_2.2_heading2"/>
    <w:basedOn w:val="Normal"/>
    <w:qFormat/>
    <w:rsid w:val="00FE3088"/>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FE3088"/>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FE3088"/>
    <w:rPr>
      <w:sz w:val="18"/>
      <w:szCs w:val="18"/>
    </w:rPr>
  </w:style>
  <w:style w:type="character" w:customStyle="1" w:styleId="BalloonTextChar">
    <w:name w:val="Balloon Text Char"/>
    <w:link w:val="BalloonText"/>
    <w:uiPriority w:val="99"/>
    <w:semiHidden/>
    <w:rsid w:val="00FE3088"/>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FE3088"/>
  </w:style>
  <w:style w:type="table" w:customStyle="1" w:styleId="MDPI41threelinetable">
    <w:name w:val="MDPI_4.1_three_line_table"/>
    <w:basedOn w:val="TableNormal"/>
    <w:uiPriority w:val="99"/>
    <w:rsid w:val="00F71337"/>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685E3F"/>
    <w:rPr>
      <w:color w:val="0563C1"/>
      <w:u w:val="single"/>
    </w:rPr>
  </w:style>
  <w:style w:type="character" w:styleId="UnresolvedMention">
    <w:name w:val="Unresolved Mention"/>
    <w:uiPriority w:val="99"/>
    <w:semiHidden/>
    <w:unhideWhenUsed/>
    <w:rsid w:val="00871A76"/>
    <w:rPr>
      <w:color w:val="605E5C"/>
      <w:shd w:val="clear" w:color="auto" w:fill="E1DFDD"/>
    </w:rPr>
  </w:style>
  <w:style w:type="table" w:styleId="PlainTable4">
    <w:name w:val="Plain Table 4"/>
    <w:basedOn w:val="TableNormal"/>
    <w:uiPriority w:val="44"/>
    <w:rsid w:val="00FB3C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Paragraph">
    <w:name w:val="List Paragraph"/>
    <w:basedOn w:val="Normal"/>
    <w:uiPriority w:val="34"/>
    <w:qFormat/>
    <w:rsid w:val="004D573A"/>
    <w:pPr>
      <w:spacing w:after="200" w:line="276" w:lineRule="auto"/>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4D573A"/>
    <w:rPr>
      <w:sz w:val="16"/>
      <w:szCs w:val="16"/>
    </w:rPr>
  </w:style>
  <w:style w:type="paragraph" w:styleId="CommentText">
    <w:name w:val="annotation text"/>
    <w:basedOn w:val="Normal"/>
    <w:link w:val="CommentTextChar"/>
    <w:uiPriority w:val="99"/>
    <w:unhideWhenUsed/>
    <w:rsid w:val="004D573A"/>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4D573A"/>
    <w:rPr>
      <w:rFonts w:asciiTheme="minorHAnsi" w:eastAsiaTheme="minorHAnsi" w:hAnsiTheme="minorHAnsi" w:cstheme="minorBidi"/>
      <w:lang w:val="en-GB" w:eastAsia="en-US"/>
    </w:rPr>
  </w:style>
  <w:style w:type="character" w:customStyle="1" w:styleId="apple-converted-space">
    <w:name w:val="apple-converted-space"/>
    <w:basedOn w:val="DefaultParagraphFont"/>
    <w:rsid w:val="004D573A"/>
  </w:style>
  <w:style w:type="paragraph" w:styleId="CommentSubject">
    <w:name w:val="annotation subject"/>
    <w:basedOn w:val="CommentText"/>
    <w:next w:val="CommentText"/>
    <w:link w:val="CommentSubjectChar"/>
    <w:uiPriority w:val="99"/>
    <w:semiHidden/>
    <w:unhideWhenUsed/>
    <w:rsid w:val="004D573A"/>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4D573A"/>
    <w:rPr>
      <w:rFonts w:ascii="Times New Roman" w:eastAsia="Times New Roman" w:hAnsi="Times New Roman" w:cstheme="minorBidi"/>
      <w:b/>
      <w:bCs/>
      <w:lang w:val="en-GB" w:eastAsia="en-GB"/>
    </w:rPr>
  </w:style>
  <w:style w:type="character" w:customStyle="1" w:styleId="jp-italic">
    <w:name w:val="jp-italic"/>
    <w:basedOn w:val="DefaultParagraphFont"/>
    <w:rsid w:val="004D573A"/>
  </w:style>
  <w:style w:type="character" w:customStyle="1" w:styleId="frlabel">
    <w:name w:val="fr_label"/>
    <w:basedOn w:val="DefaultParagraphFont"/>
    <w:rsid w:val="004D573A"/>
  </w:style>
  <w:style w:type="character" w:customStyle="1" w:styleId="A0">
    <w:name w:val="A0"/>
    <w:uiPriority w:val="99"/>
    <w:rsid w:val="004D573A"/>
    <w:rPr>
      <w:rFonts w:cs="Times"/>
      <w:color w:val="000000"/>
      <w:sz w:val="16"/>
      <w:szCs w:val="16"/>
    </w:rPr>
  </w:style>
  <w:style w:type="character" w:styleId="Emphasis">
    <w:name w:val="Emphasis"/>
    <w:basedOn w:val="DefaultParagraphFont"/>
    <w:uiPriority w:val="20"/>
    <w:qFormat/>
    <w:rsid w:val="004D573A"/>
    <w:rPr>
      <w:i/>
      <w:iCs/>
    </w:rPr>
  </w:style>
  <w:style w:type="paragraph" w:styleId="Revision">
    <w:name w:val="Revision"/>
    <w:hidden/>
    <w:uiPriority w:val="99"/>
    <w:semiHidden/>
    <w:rsid w:val="00CF4825"/>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ussell.stothard@lstmed.ac.uk"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1.xml"/><Relationship Id="rId23" Type="http://schemas.microsoft.com/office/2018/08/relationships/commentsExtensible" Target="commentsExtensible.xml"/><Relationship Id="rId10" Type="http://schemas.microsoft.com/office/2011/relationships/commentsExtended" Target="commentsExtended.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emf"/><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tropicalmed-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88764-4C9D-459D-BB7A-0D4B381EB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tropicalmed-template</Template>
  <TotalTime>1</TotalTime>
  <Pages>3</Pages>
  <Words>94107</Words>
  <Characters>536410</Characters>
  <Application>Microsoft Office Word</Application>
  <DocSecurity>0</DocSecurity>
  <Lines>4470</Lines>
  <Paragraphs>1258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629259</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MDPI</dc:creator>
  <cp:keywords/>
  <dc:description/>
  <cp:lastModifiedBy>Russell Stothard</cp:lastModifiedBy>
  <cp:revision>2</cp:revision>
  <cp:lastPrinted>2020-07-07T11:41:00Z</cp:lastPrinted>
  <dcterms:created xsi:type="dcterms:W3CDTF">2020-08-20T07:52:00Z</dcterms:created>
  <dcterms:modified xsi:type="dcterms:W3CDTF">2020-08-20T07:52:00Z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http://www.zotero.org/styles/molecules</vt:lpwstr>
  </property>
  <property fmtid="{D5CDD505-2E9C-101B-9397-08002B2CF9AE}" pid="15" name="Mendeley Recent Style Name 6_1">
    <vt:lpwstr>Molecules</vt:lpwstr>
  </property>
  <property fmtid="{D5CDD505-2E9C-101B-9397-08002B2CF9AE}" pid="16" name="Mendeley Recent Style Id 7_1">
    <vt:lpwstr>http://www.zotero.org/styles/plos-neglected-tropical-diseases</vt:lpwstr>
  </property>
  <property fmtid="{D5CDD505-2E9C-101B-9397-08002B2CF9AE}" pid="17" name="Mendeley Recent Style Name 7_1">
    <vt:lpwstr>PLOS Neglected Tropical Diseases</vt:lpwstr>
  </property>
  <property fmtid="{D5CDD505-2E9C-101B-9397-08002B2CF9AE}" pid="18" name="Mendeley Recent Style Id 8_1">
    <vt:lpwstr>http://www.zotero.org/styles/parasitology</vt:lpwstr>
  </property>
  <property fmtid="{D5CDD505-2E9C-101B-9397-08002B2CF9AE}" pid="19" name="Mendeley Recent Style Name 8_1">
    <vt:lpwstr>Parasitology</vt:lpwstr>
  </property>
  <property fmtid="{D5CDD505-2E9C-101B-9397-08002B2CF9AE}" pid="20" name="Mendeley Recent Style Id 9_1">
    <vt:lpwstr>http://www.zotero.org/styles/tropical-medicine-and-infectious-disease</vt:lpwstr>
  </property>
  <property fmtid="{D5CDD505-2E9C-101B-9397-08002B2CF9AE}" pid="21" name="Mendeley Recent Style Name 9_1">
    <vt:lpwstr>Tropical Medicine and Infectious Disease</vt:lpwstr>
  </property>
  <property fmtid="{D5CDD505-2E9C-101B-9397-08002B2CF9AE}" pid="22" name="Mendeley Document_1">
    <vt:lpwstr>True</vt:lpwstr>
  </property>
  <property fmtid="{D5CDD505-2E9C-101B-9397-08002B2CF9AE}" pid="23" name="Mendeley Unique User Id_1">
    <vt:lpwstr>a183b641-ceba-361d-87f5-4ce2a933333f</vt:lpwstr>
  </property>
  <property fmtid="{D5CDD505-2E9C-101B-9397-08002B2CF9AE}" pid="24" name="Mendeley Citation Style_1">
    <vt:lpwstr>http://www.zotero.org/styles/tropical-medicine-and-infectious-disease</vt:lpwstr>
  </property>
</Properties>
</file>