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D8DD1A" w14:textId="4718E7ED" w:rsidR="00BF5696" w:rsidRPr="00CD231A" w:rsidRDefault="00BF5696" w:rsidP="00BF5696">
      <w:pPr>
        <w:spacing w:line="480" w:lineRule="auto"/>
        <w:rPr>
          <w:rFonts w:ascii="Times New Roman" w:hAnsi="Times New Roman" w:cs="Times New Roman"/>
          <w:b/>
        </w:rPr>
      </w:pPr>
      <w:bookmarkStart w:id="0" w:name="_Hlk34749692"/>
      <w:r w:rsidRPr="00CD231A">
        <w:rPr>
          <w:rFonts w:ascii="Times New Roman" w:hAnsi="Times New Roman" w:cs="Times New Roman"/>
          <w:b/>
        </w:rPr>
        <w:t xml:space="preserve">Investigating the molecular basis of multiple insecticide resistance in a major malaria vector </w:t>
      </w:r>
      <w:r w:rsidRPr="00CD231A">
        <w:rPr>
          <w:rFonts w:ascii="Times New Roman" w:hAnsi="Times New Roman" w:cs="Times New Roman"/>
          <w:b/>
          <w:i/>
          <w:iCs/>
        </w:rPr>
        <w:t xml:space="preserve">Anopheles funestus sensu stricto </w:t>
      </w:r>
      <w:r w:rsidRPr="00CD231A">
        <w:rPr>
          <w:rFonts w:ascii="Times New Roman" w:hAnsi="Times New Roman" w:cs="Times New Roman"/>
          <w:b/>
        </w:rPr>
        <w:t xml:space="preserve">from Akaka-Remo, Ogun </w:t>
      </w:r>
      <w:r w:rsidR="00E86493" w:rsidRPr="00CD231A">
        <w:rPr>
          <w:rFonts w:ascii="Times New Roman" w:hAnsi="Times New Roman" w:cs="Times New Roman"/>
          <w:b/>
        </w:rPr>
        <w:t>S</w:t>
      </w:r>
      <w:r w:rsidRPr="00CD231A">
        <w:rPr>
          <w:rFonts w:ascii="Times New Roman" w:hAnsi="Times New Roman" w:cs="Times New Roman"/>
          <w:b/>
        </w:rPr>
        <w:t>tate Nigeria</w:t>
      </w:r>
    </w:p>
    <w:bookmarkEnd w:id="0"/>
    <w:p w14:paraId="419CF257" w14:textId="77777777" w:rsidR="003E6A8F" w:rsidRPr="00CD231A" w:rsidRDefault="003E6A8F" w:rsidP="00BF5696">
      <w:pPr>
        <w:pStyle w:val="NormalWeb"/>
        <w:spacing w:before="0" w:beforeAutospacing="0" w:after="0" w:afterAutospacing="0" w:line="480" w:lineRule="auto"/>
        <w:jc w:val="both"/>
        <w:rPr>
          <w:rFonts w:ascii="Times New Roman" w:hAnsi="Times New Roman"/>
          <w:color w:val="1C1E29"/>
          <w:sz w:val="24"/>
          <w:szCs w:val="24"/>
        </w:rPr>
      </w:pPr>
    </w:p>
    <w:p w14:paraId="79A7255A" w14:textId="4085BA0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rPr>
        <w:t>Seun M. Atoyebi</w:t>
      </w:r>
      <w:r w:rsidRPr="00CD231A">
        <w:rPr>
          <w:rFonts w:ascii="Times New Roman" w:hAnsi="Times New Roman"/>
          <w:color w:val="1C1E29"/>
          <w:sz w:val="24"/>
          <w:szCs w:val="24"/>
          <w:vertAlign w:val="superscript"/>
        </w:rPr>
        <w:t>1,2</w:t>
      </w:r>
      <w:r w:rsidRPr="00CD231A">
        <w:rPr>
          <w:rFonts w:ascii="Times New Roman" w:hAnsi="Times New Roman"/>
          <w:color w:val="1C1E29"/>
          <w:sz w:val="24"/>
          <w:szCs w:val="24"/>
        </w:rPr>
        <w:t>, Genevieve M. Tchigossou</w:t>
      </w:r>
      <w:r w:rsidRPr="00CD231A">
        <w:rPr>
          <w:rFonts w:ascii="Times New Roman" w:hAnsi="Times New Roman"/>
          <w:color w:val="1C1E29"/>
          <w:sz w:val="24"/>
          <w:szCs w:val="24"/>
          <w:vertAlign w:val="superscript"/>
        </w:rPr>
        <w:t>1,3</w:t>
      </w:r>
      <w:r w:rsidRPr="00CD231A">
        <w:rPr>
          <w:rFonts w:ascii="Times New Roman" w:hAnsi="Times New Roman"/>
          <w:color w:val="1C1E29"/>
          <w:sz w:val="24"/>
          <w:szCs w:val="24"/>
        </w:rPr>
        <w:t>, Romaric Akoton</w:t>
      </w:r>
      <w:r w:rsidRPr="00CD231A">
        <w:rPr>
          <w:rFonts w:ascii="Times New Roman" w:hAnsi="Times New Roman"/>
          <w:color w:val="1C1E29"/>
          <w:sz w:val="24"/>
          <w:szCs w:val="24"/>
          <w:vertAlign w:val="superscript"/>
        </w:rPr>
        <w:t>1,3</w:t>
      </w:r>
      <w:r w:rsidRPr="00CD231A">
        <w:rPr>
          <w:rFonts w:ascii="Times New Roman" w:hAnsi="Times New Roman"/>
          <w:color w:val="1C1E29"/>
          <w:sz w:val="24"/>
          <w:szCs w:val="24"/>
        </w:rPr>
        <w:t>,</w:t>
      </w:r>
      <w:r w:rsidRPr="00CD231A">
        <w:rPr>
          <w:rFonts w:ascii="Times New Roman" w:hAnsi="Times New Roman"/>
          <w:color w:val="1C1E29"/>
          <w:sz w:val="24"/>
          <w:szCs w:val="24"/>
          <w:vertAlign w:val="superscript"/>
        </w:rPr>
        <w:t xml:space="preserve"> </w:t>
      </w:r>
      <w:r w:rsidRPr="00CD231A">
        <w:rPr>
          <w:rFonts w:ascii="Times New Roman" w:hAnsi="Times New Roman"/>
          <w:color w:val="1C1E29"/>
          <w:sz w:val="24"/>
          <w:szCs w:val="24"/>
        </w:rPr>
        <w:t>Jacob M. Riveron</w:t>
      </w:r>
      <w:r w:rsidRPr="00CD231A">
        <w:rPr>
          <w:rFonts w:ascii="Times New Roman" w:hAnsi="Times New Roman"/>
          <w:color w:val="1C1E29"/>
          <w:sz w:val="24"/>
          <w:szCs w:val="24"/>
          <w:vertAlign w:val="superscript"/>
        </w:rPr>
        <w:t>4,5</w:t>
      </w:r>
      <w:r w:rsidRPr="00CD231A">
        <w:rPr>
          <w:rFonts w:ascii="Times New Roman" w:hAnsi="Times New Roman"/>
          <w:color w:val="1C1E29"/>
          <w:sz w:val="24"/>
          <w:szCs w:val="24"/>
        </w:rPr>
        <w:t>, Helen Irving</w:t>
      </w:r>
      <w:r w:rsidRPr="00CD231A">
        <w:rPr>
          <w:rFonts w:ascii="Times New Roman" w:hAnsi="Times New Roman"/>
          <w:color w:val="1C1E29"/>
          <w:sz w:val="24"/>
          <w:szCs w:val="24"/>
          <w:vertAlign w:val="superscript"/>
        </w:rPr>
        <w:t>4</w:t>
      </w:r>
      <w:r w:rsidRPr="00CD231A">
        <w:rPr>
          <w:rFonts w:ascii="Times New Roman" w:hAnsi="Times New Roman"/>
          <w:color w:val="1C1E29"/>
          <w:sz w:val="24"/>
          <w:szCs w:val="24"/>
        </w:rPr>
        <w:t>, Gareth Weedall</w:t>
      </w:r>
      <w:r w:rsidRPr="00CD231A">
        <w:rPr>
          <w:rFonts w:ascii="Times New Roman" w:hAnsi="Times New Roman"/>
          <w:color w:val="1C1E29"/>
          <w:sz w:val="24"/>
          <w:szCs w:val="24"/>
          <w:vertAlign w:val="superscript"/>
        </w:rPr>
        <w:t>4,6</w:t>
      </w:r>
      <w:r w:rsidRPr="00CD231A">
        <w:rPr>
          <w:rFonts w:ascii="Times New Roman" w:hAnsi="Times New Roman"/>
          <w:color w:val="1C1E29"/>
          <w:sz w:val="24"/>
          <w:szCs w:val="24"/>
        </w:rPr>
        <w:t>, Eric Tossou</w:t>
      </w:r>
      <w:r w:rsidRPr="00CD231A">
        <w:rPr>
          <w:rFonts w:ascii="Times New Roman" w:hAnsi="Times New Roman"/>
          <w:color w:val="1C1E29"/>
          <w:sz w:val="24"/>
          <w:szCs w:val="24"/>
          <w:vertAlign w:val="superscript"/>
        </w:rPr>
        <w:t>1,3</w:t>
      </w:r>
      <w:r w:rsidRPr="00CD231A">
        <w:rPr>
          <w:rFonts w:ascii="Times New Roman" w:hAnsi="Times New Roman"/>
          <w:color w:val="1C1E29"/>
          <w:sz w:val="24"/>
          <w:szCs w:val="24"/>
        </w:rPr>
        <w:t>, Innocent Djegbe</w:t>
      </w:r>
      <w:r w:rsidRPr="00CD231A">
        <w:rPr>
          <w:rFonts w:ascii="Times New Roman" w:hAnsi="Times New Roman"/>
          <w:color w:val="1C1E29"/>
          <w:sz w:val="24"/>
          <w:szCs w:val="24"/>
          <w:vertAlign w:val="superscript"/>
        </w:rPr>
        <w:t>1,7</w:t>
      </w:r>
      <w:r w:rsidRPr="00CD231A">
        <w:rPr>
          <w:rFonts w:ascii="Times New Roman" w:hAnsi="Times New Roman"/>
          <w:color w:val="1C1E29"/>
          <w:sz w:val="24"/>
          <w:szCs w:val="24"/>
        </w:rPr>
        <w:t>, Isaac O. Oyewole</w:t>
      </w:r>
      <w:r w:rsidRPr="00CD231A">
        <w:rPr>
          <w:rFonts w:ascii="Times New Roman" w:hAnsi="Times New Roman"/>
          <w:color w:val="1C1E29"/>
          <w:sz w:val="24"/>
          <w:szCs w:val="24"/>
          <w:vertAlign w:val="superscript"/>
        </w:rPr>
        <w:t>8</w:t>
      </w:r>
      <w:r w:rsidRPr="00CD231A">
        <w:rPr>
          <w:rFonts w:ascii="Times New Roman" w:hAnsi="Times New Roman"/>
          <w:color w:val="1C1E29"/>
          <w:sz w:val="24"/>
          <w:szCs w:val="24"/>
        </w:rPr>
        <w:t>, Adekunle A. Bakare</w:t>
      </w:r>
      <w:r w:rsidRPr="00CD231A">
        <w:rPr>
          <w:rFonts w:ascii="Times New Roman" w:hAnsi="Times New Roman"/>
          <w:color w:val="1C1E29"/>
          <w:sz w:val="24"/>
          <w:szCs w:val="24"/>
          <w:vertAlign w:val="superscript"/>
        </w:rPr>
        <w:t>2</w:t>
      </w:r>
      <w:r w:rsidRPr="00CD231A">
        <w:rPr>
          <w:rFonts w:ascii="Times New Roman" w:hAnsi="Times New Roman"/>
          <w:color w:val="1C1E29"/>
          <w:sz w:val="24"/>
          <w:szCs w:val="24"/>
        </w:rPr>
        <w:t>, Charles S. Wondji</w:t>
      </w:r>
      <w:r w:rsidRPr="00CD231A">
        <w:rPr>
          <w:rFonts w:ascii="Times New Roman" w:hAnsi="Times New Roman"/>
          <w:color w:val="1C1E29"/>
          <w:sz w:val="24"/>
          <w:szCs w:val="24"/>
          <w:vertAlign w:val="superscript"/>
        </w:rPr>
        <w:t>4,9</w:t>
      </w:r>
      <w:r w:rsidRPr="00CD231A">
        <w:rPr>
          <w:rFonts w:ascii="Times New Roman" w:hAnsi="Times New Roman"/>
          <w:color w:val="1C1E29"/>
          <w:sz w:val="24"/>
          <w:szCs w:val="24"/>
        </w:rPr>
        <w:t xml:space="preserve"> and Rousseau Djouaka</w:t>
      </w:r>
      <w:r w:rsidRPr="00CD231A">
        <w:rPr>
          <w:rFonts w:ascii="Times New Roman" w:hAnsi="Times New Roman"/>
          <w:color w:val="1C1E29"/>
          <w:sz w:val="24"/>
          <w:szCs w:val="24"/>
          <w:vertAlign w:val="superscript"/>
        </w:rPr>
        <w:t>1*</w:t>
      </w:r>
    </w:p>
    <w:p w14:paraId="1C50F817"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p>
    <w:p w14:paraId="694A50B6"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p>
    <w:p w14:paraId="63074575"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1</w:t>
      </w:r>
      <w:r w:rsidRPr="00CD231A">
        <w:rPr>
          <w:rFonts w:ascii="Times New Roman" w:hAnsi="Times New Roman"/>
          <w:color w:val="1C1E29"/>
          <w:sz w:val="24"/>
          <w:szCs w:val="24"/>
        </w:rPr>
        <w:t>International Institute of Tropical Agriculture 08 BP 0932, Cotonou, Benin.</w:t>
      </w:r>
    </w:p>
    <w:p w14:paraId="29009690"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2</w:t>
      </w:r>
      <w:r w:rsidRPr="00CD231A">
        <w:rPr>
          <w:rFonts w:ascii="Times New Roman" w:hAnsi="Times New Roman"/>
          <w:color w:val="1C1E29"/>
          <w:sz w:val="24"/>
          <w:szCs w:val="24"/>
        </w:rPr>
        <w:t>Cell Biology &amp; Genetics Unit, Department of Zoology, University of Ibadan, Nigeria.</w:t>
      </w:r>
    </w:p>
    <w:p w14:paraId="169CCBDC"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3</w:t>
      </w:r>
      <w:r w:rsidRPr="00CD231A">
        <w:rPr>
          <w:rFonts w:ascii="Times New Roman" w:hAnsi="Times New Roman"/>
          <w:color w:val="1C1E29"/>
          <w:sz w:val="24"/>
          <w:szCs w:val="24"/>
        </w:rPr>
        <w:t>University of Abomey Calavi, BP 526, Cotonou, Benin.</w:t>
      </w:r>
    </w:p>
    <w:p w14:paraId="18457D95"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4</w:t>
      </w:r>
      <w:r w:rsidRPr="00CD231A">
        <w:rPr>
          <w:rFonts w:ascii="Times New Roman" w:hAnsi="Times New Roman"/>
          <w:color w:val="1C1E29"/>
          <w:sz w:val="24"/>
          <w:szCs w:val="24"/>
        </w:rPr>
        <w:t>Liverpool School of Tropical Medicine, Pembroke Place, Liverpool L3 5QA, UK.</w:t>
      </w:r>
    </w:p>
    <w:p w14:paraId="3CEF7B9F" w14:textId="34B30BC6"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5</w:t>
      </w:r>
      <w:r w:rsidRPr="00CD231A">
        <w:rPr>
          <w:rFonts w:ascii="Times New Roman" w:hAnsi="Times New Roman"/>
          <w:color w:val="1C1E29"/>
          <w:sz w:val="24"/>
          <w:szCs w:val="24"/>
        </w:rPr>
        <w:t>Insecticide Bioscience Department, Syngenta, Toulouse, UK.</w:t>
      </w:r>
    </w:p>
    <w:p w14:paraId="4A6648F8"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6</w:t>
      </w:r>
      <w:r w:rsidRPr="00CD231A">
        <w:rPr>
          <w:rFonts w:ascii="Times New Roman" w:hAnsi="Times New Roman"/>
          <w:color w:val="1C1E29"/>
          <w:sz w:val="24"/>
          <w:szCs w:val="24"/>
        </w:rPr>
        <w:t>Liverpool John Moores University, Liverpool L3 3AF, U.K.</w:t>
      </w:r>
    </w:p>
    <w:p w14:paraId="510A3380"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vertAlign w:val="superscript"/>
        </w:rPr>
      </w:pPr>
      <w:r w:rsidRPr="00CD231A">
        <w:rPr>
          <w:rFonts w:ascii="Times New Roman" w:hAnsi="Times New Roman"/>
          <w:color w:val="1C1E29"/>
          <w:sz w:val="24"/>
          <w:szCs w:val="24"/>
          <w:vertAlign w:val="superscript"/>
        </w:rPr>
        <w:t>7</w:t>
      </w:r>
      <w:r w:rsidRPr="00CD231A">
        <w:rPr>
          <w:rFonts w:ascii="Times New Roman" w:hAnsi="Times New Roman"/>
          <w:sz w:val="24"/>
          <w:szCs w:val="24"/>
        </w:rPr>
        <w:t>National University of Sciences, Technologies, Engineering and Mathematics, Ecole Normale Supérieure de Natitingou, Natitingou, BP 123, Benin.</w:t>
      </w:r>
    </w:p>
    <w:p w14:paraId="0F669470"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r w:rsidRPr="00CD231A">
        <w:rPr>
          <w:rFonts w:ascii="Times New Roman" w:hAnsi="Times New Roman"/>
          <w:color w:val="1C1E29"/>
          <w:sz w:val="24"/>
          <w:szCs w:val="24"/>
          <w:vertAlign w:val="superscript"/>
        </w:rPr>
        <w:t>8</w:t>
      </w:r>
      <w:r w:rsidRPr="00CD231A">
        <w:rPr>
          <w:rFonts w:ascii="Times New Roman" w:hAnsi="Times New Roman"/>
          <w:color w:val="1C1E29"/>
          <w:sz w:val="24"/>
          <w:szCs w:val="24"/>
        </w:rPr>
        <w:t>Biology Department, Babcock University, Ilisan Remo, Ogun State, Nigeria.</w:t>
      </w:r>
    </w:p>
    <w:p w14:paraId="6D59457B" w14:textId="77777777" w:rsidR="00BF5696" w:rsidRPr="00CD231A" w:rsidRDefault="00BF5696" w:rsidP="00BF5696">
      <w:pPr>
        <w:spacing w:line="360" w:lineRule="auto"/>
        <w:jc w:val="both"/>
        <w:rPr>
          <w:rFonts w:ascii="Times New Roman" w:hAnsi="Times New Roman" w:cs="Times New Roman"/>
          <w:shd w:val="clear" w:color="auto" w:fill="FFFFFF"/>
          <w:vertAlign w:val="superscript"/>
          <w:lang w:val="en-GB"/>
        </w:rPr>
      </w:pPr>
      <w:r w:rsidRPr="00CD231A">
        <w:rPr>
          <w:rFonts w:ascii="Times New Roman" w:hAnsi="Times New Roman" w:cs="Times New Roman"/>
          <w:shd w:val="clear" w:color="auto" w:fill="FFFFFF"/>
          <w:vertAlign w:val="superscript"/>
          <w:lang w:val="en-GB"/>
        </w:rPr>
        <w:t>9</w:t>
      </w:r>
      <w:r w:rsidRPr="00CD231A">
        <w:rPr>
          <w:rFonts w:ascii="Times New Roman" w:hAnsi="Times New Roman" w:cs="Times New Roman"/>
          <w:shd w:val="clear" w:color="auto" w:fill="FFFFFF"/>
          <w:lang w:val="en-GB"/>
        </w:rPr>
        <w:t>Centre for Research in Infectious Diseases (</w:t>
      </w:r>
      <w:r w:rsidRPr="00CD231A">
        <w:rPr>
          <w:rStyle w:val="Emphasis"/>
          <w:rFonts w:ascii="Times New Roman" w:hAnsi="Times New Roman" w:cs="Times New Roman"/>
          <w:bCs/>
          <w:i w:val="0"/>
          <w:iCs w:val="0"/>
          <w:shd w:val="clear" w:color="auto" w:fill="FFFFFF"/>
          <w:lang w:val="en-GB"/>
        </w:rPr>
        <w:t>CRID</w:t>
      </w:r>
      <w:r w:rsidRPr="00CD231A">
        <w:rPr>
          <w:rFonts w:ascii="Times New Roman" w:hAnsi="Times New Roman" w:cs="Times New Roman"/>
          <w:shd w:val="clear" w:color="auto" w:fill="FFFFFF"/>
          <w:lang w:val="en-GB"/>
        </w:rPr>
        <w:t xml:space="preserve">), </w:t>
      </w:r>
      <w:r w:rsidRPr="00CD231A">
        <w:rPr>
          <w:rStyle w:val="Emphasis"/>
          <w:rFonts w:ascii="Times New Roman" w:hAnsi="Times New Roman" w:cs="Times New Roman"/>
          <w:bCs/>
          <w:i w:val="0"/>
          <w:iCs w:val="0"/>
          <w:shd w:val="clear" w:color="auto" w:fill="FFFFFF"/>
          <w:lang w:val="en-GB"/>
        </w:rPr>
        <w:t>Cameroon.</w:t>
      </w:r>
      <w:r w:rsidRPr="00CD231A">
        <w:rPr>
          <w:rStyle w:val="Emphasis"/>
          <w:rFonts w:ascii="Times New Roman" w:hAnsi="Times New Roman" w:cs="Times New Roman"/>
          <w:bCs/>
          <w:shd w:val="clear" w:color="auto" w:fill="FFFFFF"/>
          <w:lang w:val="en-GB"/>
        </w:rPr>
        <w:t xml:space="preserve"> </w:t>
      </w:r>
    </w:p>
    <w:p w14:paraId="5C244E29" w14:textId="31FDBF68"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p>
    <w:p w14:paraId="6EA4C4FB" w14:textId="77777777" w:rsidR="00EB4B01" w:rsidRPr="00CD231A" w:rsidRDefault="00EB4B01" w:rsidP="00BF5696">
      <w:pPr>
        <w:pStyle w:val="NormalWeb"/>
        <w:spacing w:before="0" w:beforeAutospacing="0" w:after="0" w:afterAutospacing="0" w:line="480" w:lineRule="auto"/>
        <w:jc w:val="both"/>
        <w:rPr>
          <w:rFonts w:ascii="Times New Roman" w:hAnsi="Times New Roman"/>
          <w:color w:val="1C1E29"/>
          <w:sz w:val="24"/>
          <w:szCs w:val="24"/>
        </w:rPr>
      </w:pPr>
    </w:p>
    <w:p w14:paraId="77D76AAF" w14:textId="7F0B6F22" w:rsidR="00BF5696" w:rsidRPr="00CD231A" w:rsidRDefault="00BF5696" w:rsidP="00BF5696">
      <w:pPr>
        <w:spacing w:line="480" w:lineRule="auto"/>
        <w:rPr>
          <w:rFonts w:ascii="Times New Roman" w:hAnsi="Times New Roman" w:cs="Times New Roman"/>
          <w:bCs/>
          <w:lang w:val="en-GB"/>
        </w:rPr>
      </w:pPr>
      <w:r w:rsidRPr="00CD231A">
        <w:rPr>
          <w:rFonts w:ascii="Times New Roman" w:hAnsi="Times New Roman" w:cs="Times New Roman"/>
          <w:b/>
          <w:bCs/>
          <w:vertAlign w:val="superscript"/>
          <w:lang w:val="en-GB"/>
        </w:rPr>
        <w:t>*</w:t>
      </w:r>
      <w:r w:rsidRPr="00CD231A">
        <w:rPr>
          <w:rFonts w:ascii="Times New Roman" w:hAnsi="Times New Roman" w:cs="Times New Roman"/>
          <w:bCs/>
          <w:lang w:val="en-GB"/>
        </w:rPr>
        <w:t xml:space="preserve">Correspondence: </w:t>
      </w:r>
      <w:hyperlink r:id="rId6" w:history="1">
        <w:r w:rsidRPr="00CD231A">
          <w:rPr>
            <w:rStyle w:val="Hyperlink"/>
            <w:rFonts w:ascii="Times New Roman" w:hAnsi="Times New Roman"/>
            <w:lang w:val="fr-FR"/>
          </w:rPr>
          <w:t>r.djouaka@cgiar.org</w:t>
        </w:r>
      </w:hyperlink>
    </w:p>
    <w:p w14:paraId="02501287" w14:textId="2B352CA0"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p>
    <w:p w14:paraId="54E36E8D"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E-mails:</w:t>
      </w:r>
    </w:p>
    <w:p w14:paraId="34150931" w14:textId="432D4149" w:rsidR="00BF5696" w:rsidRPr="00CD231A" w:rsidRDefault="00DD1F7E"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SMA:</w:t>
      </w:r>
      <w:r w:rsidR="00BF5696" w:rsidRPr="00CD231A">
        <w:rPr>
          <w:rFonts w:ascii="Times New Roman" w:hAnsi="Times New Roman"/>
          <w:bCs/>
          <w:sz w:val="24"/>
          <w:szCs w:val="24"/>
          <w:lang w:val="fr-FR"/>
        </w:rPr>
        <w:t xml:space="preserve"> </w:t>
      </w:r>
      <w:hyperlink r:id="rId7" w:history="1">
        <w:r w:rsidR="00290E51" w:rsidRPr="00CD231A">
          <w:rPr>
            <w:rFonts w:ascii="Times New Roman" w:eastAsiaTheme="minorHAnsi" w:hAnsi="Times New Roman"/>
            <w:sz w:val="24"/>
            <w:szCs w:val="24"/>
          </w:rPr>
          <w:t>se</w:t>
        </w:r>
        <w:r w:rsidR="00BF5696" w:rsidRPr="00CD231A">
          <w:rPr>
            <w:rFonts w:ascii="Times New Roman" w:eastAsiaTheme="minorHAnsi" w:hAnsi="Times New Roman"/>
            <w:sz w:val="24"/>
            <w:szCs w:val="24"/>
          </w:rPr>
          <w:t>unatoyebi@gmail.com</w:t>
        </w:r>
      </w:hyperlink>
    </w:p>
    <w:p w14:paraId="260E71D9"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GMT: </w:t>
      </w:r>
      <w:r w:rsidRPr="00CD231A">
        <w:rPr>
          <w:rFonts w:ascii="Times New Roman" w:eastAsiaTheme="minorHAnsi" w:hAnsi="Times New Roman"/>
          <w:sz w:val="24"/>
          <w:szCs w:val="24"/>
        </w:rPr>
        <w:t>tchigossougenevieve@yahoo.fr</w:t>
      </w:r>
    </w:p>
    <w:p w14:paraId="13324B88"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lastRenderedPageBreak/>
        <w:t xml:space="preserve">RA: </w:t>
      </w:r>
      <w:r w:rsidRPr="00CD231A">
        <w:rPr>
          <w:rFonts w:ascii="Times New Roman" w:eastAsiaTheme="minorHAnsi" w:hAnsi="Times New Roman"/>
          <w:sz w:val="24"/>
          <w:szCs w:val="24"/>
        </w:rPr>
        <w:t>romuluscoulys01@yahoo.fr</w:t>
      </w:r>
    </w:p>
    <w:p w14:paraId="0B884EA4"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JMR: </w:t>
      </w:r>
      <w:r w:rsidRPr="00CD231A">
        <w:rPr>
          <w:rFonts w:ascii="Times New Roman" w:eastAsiaTheme="minorHAnsi" w:hAnsi="Times New Roman"/>
          <w:sz w:val="24"/>
          <w:szCs w:val="24"/>
        </w:rPr>
        <w:t>Jacob.Riveron_Miranda@syngenta.com</w:t>
      </w:r>
    </w:p>
    <w:p w14:paraId="073D9FD4"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HI: </w:t>
      </w:r>
      <w:r w:rsidRPr="00CD231A">
        <w:rPr>
          <w:rFonts w:ascii="Times New Roman" w:eastAsiaTheme="minorHAnsi" w:hAnsi="Times New Roman"/>
          <w:sz w:val="24"/>
          <w:szCs w:val="24"/>
        </w:rPr>
        <w:t>Helen.Irving@lstmed.ac.uk</w:t>
      </w:r>
    </w:p>
    <w:p w14:paraId="62294EF9"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GW: </w:t>
      </w:r>
      <w:r w:rsidRPr="00CD231A">
        <w:rPr>
          <w:rFonts w:ascii="Times New Roman" w:eastAsiaTheme="minorHAnsi" w:hAnsi="Times New Roman"/>
          <w:sz w:val="24"/>
          <w:szCs w:val="24"/>
        </w:rPr>
        <w:t>G.D.Weedall@ljmu.ac.uk</w:t>
      </w:r>
    </w:p>
    <w:p w14:paraId="65C780D2"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ET: </w:t>
      </w:r>
      <w:r w:rsidRPr="00CD231A">
        <w:rPr>
          <w:rFonts w:ascii="Times New Roman" w:eastAsiaTheme="minorHAnsi" w:hAnsi="Times New Roman"/>
          <w:sz w:val="24"/>
          <w:szCs w:val="24"/>
        </w:rPr>
        <w:t>eric.tossou82@gmail.com</w:t>
      </w:r>
    </w:p>
    <w:p w14:paraId="31A5D461"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ID: </w:t>
      </w:r>
      <w:r w:rsidRPr="00CD231A">
        <w:rPr>
          <w:rFonts w:ascii="Times New Roman" w:eastAsiaTheme="minorHAnsi" w:hAnsi="Times New Roman"/>
          <w:sz w:val="24"/>
          <w:szCs w:val="24"/>
        </w:rPr>
        <w:t>djegbe1@yahoo.fr</w:t>
      </w:r>
    </w:p>
    <w:p w14:paraId="41D149C8"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IOO: </w:t>
      </w:r>
      <w:r w:rsidRPr="00CD231A">
        <w:rPr>
          <w:rFonts w:ascii="Times New Roman" w:eastAsiaTheme="minorHAnsi" w:hAnsi="Times New Roman"/>
          <w:sz w:val="24"/>
          <w:szCs w:val="24"/>
        </w:rPr>
        <w:t>oyewoleio@gmail.com</w:t>
      </w:r>
    </w:p>
    <w:p w14:paraId="15084E82"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AAB: </w:t>
      </w:r>
      <w:r w:rsidRPr="00CD231A">
        <w:rPr>
          <w:rFonts w:ascii="Times New Roman" w:eastAsiaTheme="minorHAnsi" w:hAnsi="Times New Roman"/>
          <w:sz w:val="24"/>
          <w:szCs w:val="24"/>
        </w:rPr>
        <w:t>adebakar19@yahoo.com</w:t>
      </w:r>
    </w:p>
    <w:p w14:paraId="7AB88453" w14:textId="77777777" w:rsidR="00BF5696" w:rsidRPr="00CD231A" w:rsidRDefault="00BF5696" w:rsidP="00BF5696">
      <w:pPr>
        <w:pStyle w:val="NormalWeb"/>
        <w:spacing w:before="0" w:beforeAutospacing="0" w:after="0" w:afterAutospacing="0" w:line="480" w:lineRule="auto"/>
        <w:jc w:val="both"/>
        <w:rPr>
          <w:rFonts w:ascii="Times New Roman" w:hAnsi="Times New Roman"/>
          <w:bCs/>
          <w:sz w:val="24"/>
          <w:szCs w:val="24"/>
          <w:lang w:val="fr-FR"/>
        </w:rPr>
      </w:pPr>
      <w:r w:rsidRPr="00CD231A">
        <w:rPr>
          <w:rFonts w:ascii="Times New Roman" w:hAnsi="Times New Roman"/>
          <w:bCs/>
          <w:sz w:val="24"/>
          <w:szCs w:val="24"/>
          <w:lang w:val="fr-FR"/>
        </w:rPr>
        <w:t xml:space="preserve">CSW: </w:t>
      </w:r>
      <w:r w:rsidRPr="00CD231A">
        <w:rPr>
          <w:rFonts w:ascii="Times New Roman" w:eastAsiaTheme="minorHAnsi" w:hAnsi="Times New Roman"/>
          <w:sz w:val="24"/>
          <w:szCs w:val="24"/>
        </w:rPr>
        <w:t>charles.wondji@lstmed.ac.uk</w:t>
      </w:r>
    </w:p>
    <w:p w14:paraId="13B95FB6"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lang w:val="fr-FR"/>
        </w:rPr>
      </w:pPr>
      <w:r w:rsidRPr="00CD231A">
        <w:rPr>
          <w:rFonts w:ascii="Times New Roman" w:hAnsi="Times New Roman"/>
          <w:bCs/>
          <w:lang w:val="fr-FR"/>
        </w:rPr>
        <w:t xml:space="preserve">RD: </w:t>
      </w:r>
      <w:r w:rsidRPr="00CD231A">
        <w:rPr>
          <w:rFonts w:ascii="Times New Roman" w:eastAsiaTheme="minorHAnsi" w:hAnsi="Times New Roman"/>
          <w:sz w:val="24"/>
          <w:szCs w:val="24"/>
        </w:rPr>
        <w:t>r.djouaka@cgiar.org</w:t>
      </w:r>
    </w:p>
    <w:p w14:paraId="499990D3" w14:textId="77777777" w:rsidR="00BF5696" w:rsidRPr="00CD231A" w:rsidRDefault="00BF5696" w:rsidP="00BF5696">
      <w:pPr>
        <w:spacing w:line="480" w:lineRule="auto"/>
        <w:jc w:val="both"/>
        <w:rPr>
          <w:rFonts w:ascii="Times New Roman" w:hAnsi="Times New Roman" w:cs="Times New Roman"/>
          <w:b/>
        </w:rPr>
      </w:pPr>
    </w:p>
    <w:p w14:paraId="2355C1FA" w14:textId="77777777" w:rsidR="00BF5696" w:rsidRPr="00CD231A" w:rsidRDefault="00BF5696" w:rsidP="00083B43">
      <w:pPr>
        <w:spacing w:after="240" w:line="480" w:lineRule="auto"/>
        <w:jc w:val="both"/>
        <w:rPr>
          <w:rFonts w:ascii="Times New Roman" w:hAnsi="Times New Roman" w:cs="Times New Roman"/>
          <w:b/>
        </w:rPr>
      </w:pPr>
      <w:r w:rsidRPr="00CD231A">
        <w:rPr>
          <w:rFonts w:ascii="Times New Roman" w:hAnsi="Times New Roman" w:cs="Times New Roman"/>
          <w:b/>
        </w:rPr>
        <w:t>Abstract</w:t>
      </w:r>
    </w:p>
    <w:p w14:paraId="2BFF46B3" w14:textId="77777777" w:rsidR="00BF5696" w:rsidRPr="00CD231A" w:rsidRDefault="00BF5696" w:rsidP="00083B43">
      <w:pPr>
        <w:spacing w:after="120" w:line="480" w:lineRule="auto"/>
        <w:jc w:val="both"/>
        <w:rPr>
          <w:rFonts w:ascii="Times New Roman" w:hAnsi="Times New Roman" w:cs="Times New Roman"/>
        </w:rPr>
      </w:pPr>
      <w:r w:rsidRPr="00CD231A">
        <w:rPr>
          <w:rFonts w:ascii="Times New Roman" w:hAnsi="Times New Roman" w:cs="Times New Roman"/>
          <w:b/>
        </w:rPr>
        <w:t>Background:</w:t>
      </w:r>
      <w:r w:rsidRPr="00CD231A">
        <w:rPr>
          <w:rFonts w:ascii="Times New Roman" w:hAnsi="Times New Roman" w:cs="Times New Roman"/>
        </w:rPr>
        <w:t xml:space="preserve"> Understanding the mechanisms used by </w:t>
      </w:r>
      <w:r w:rsidRPr="00CD231A">
        <w:rPr>
          <w:rFonts w:ascii="Times New Roman" w:hAnsi="Times New Roman" w:cs="Times New Roman"/>
          <w:i/>
        </w:rPr>
        <w:t xml:space="preserve">Anopheles </w:t>
      </w:r>
      <w:r w:rsidRPr="00CD231A">
        <w:rPr>
          <w:rFonts w:ascii="Times New Roman" w:hAnsi="Times New Roman" w:cs="Times New Roman"/>
        </w:rPr>
        <w:t xml:space="preserve">mosquitoes to survive insecticide exposure is key to manage existing insecticide resistance and develop more suitable insecticide-based malaria vector control interventions as well as other alternative integrated tools. To this regard, the molecular basis of permethrin, DDT and dieldrin resistance in </w:t>
      </w:r>
      <w:r w:rsidRPr="00CD231A">
        <w:rPr>
          <w:rFonts w:ascii="Times New Roman" w:hAnsi="Times New Roman" w:cs="Times New Roman"/>
          <w:i/>
        </w:rPr>
        <w:t>Anopheles funestus sensu stricto</w:t>
      </w:r>
      <w:r w:rsidRPr="00CD231A">
        <w:rPr>
          <w:rFonts w:ascii="Times New Roman" w:hAnsi="Times New Roman" w:cs="Times New Roman"/>
        </w:rPr>
        <w:t xml:space="preserve"> at Akaka-Remo was investigated.</w:t>
      </w:r>
    </w:p>
    <w:p w14:paraId="7B480150" w14:textId="59A27952" w:rsidR="00BF5696" w:rsidRPr="00CD231A" w:rsidRDefault="00BF5696" w:rsidP="00083B43">
      <w:pPr>
        <w:spacing w:after="120" w:line="480" w:lineRule="auto"/>
        <w:jc w:val="both"/>
        <w:rPr>
          <w:rFonts w:ascii="Times New Roman" w:hAnsi="Times New Roman" w:cs="Times New Roman"/>
        </w:rPr>
      </w:pPr>
      <w:r w:rsidRPr="00CD231A">
        <w:rPr>
          <w:rFonts w:ascii="Times New Roman" w:hAnsi="Times New Roman" w:cs="Times New Roman"/>
          <w:b/>
        </w:rPr>
        <w:t>Methods:</w:t>
      </w:r>
      <w:r w:rsidRPr="00CD231A">
        <w:rPr>
          <w:rFonts w:ascii="Times New Roman" w:hAnsi="Times New Roman" w:cs="Times New Roman"/>
        </w:rPr>
        <w:t xml:space="preserve"> Bioassays were conducted on 3-5-day old adult </w:t>
      </w:r>
      <w:r w:rsidRPr="00CD231A">
        <w:rPr>
          <w:rFonts w:ascii="Times New Roman" w:hAnsi="Times New Roman" w:cs="Times New Roman"/>
          <w:i/>
          <w:iCs/>
        </w:rPr>
        <w:t xml:space="preserve">An. funestus s.s. </w:t>
      </w:r>
      <w:r w:rsidRPr="00CD231A">
        <w:rPr>
          <w:rFonts w:ascii="Times New Roman" w:hAnsi="Times New Roman" w:cs="Times New Roman"/>
        </w:rPr>
        <w:t>mosquitoes for permethrin, DDT and dieldrin susceptibility test. The molecular mechanisms of mosquito resistance to these insecticides were investigated using microarray and reverse transcriptase PCR techniques. The voltage-gated sodium channel region of mosquitoes was also screened for the presence of knockdown resistance mutations (</w:t>
      </w:r>
      <w:r w:rsidRPr="00CD231A">
        <w:rPr>
          <w:rFonts w:ascii="Times New Roman" w:hAnsi="Times New Roman" w:cs="Times New Roman"/>
          <w:i/>
          <w:iCs/>
        </w:rPr>
        <w:t>kdr</w:t>
      </w:r>
      <w:r w:rsidRPr="00CD231A">
        <w:rPr>
          <w:rFonts w:ascii="Times New Roman" w:hAnsi="Times New Roman" w:cs="Times New Roman"/>
        </w:rPr>
        <w:t xml:space="preserve"> west and east) by sequencing method. </w:t>
      </w:r>
    </w:p>
    <w:p w14:paraId="1467546C" w14:textId="1AA1BE74" w:rsidR="00BF5696" w:rsidRPr="00CD231A" w:rsidRDefault="00BF5696" w:rsidP="00083B43">
      <w:pPr>
        <w:spacing w:after="120" w:line="480" w:lineRule="auto"/>
        <w:jc w:val="both"/>
        <w:rPr>
          <w:rFonts w:ascii="Times New Roman" w:hAnsi="Times New Roman" w:cs="Times New Roman"/>
        </w:rPr>
      </w:pPr>
      <w:r w:rsidRPr="00CD231A">
        <w:rPr>
          <w:rFonts w:ascii="Times New Roman" w:hAnsi="Times New Roman" w:cs="Times New Roman"/>
          <w:b/>
        </w:rPr>
        <w:lastRenderedPageBreak/>
        <w:t xml:space="preserve">Results: </w:t>
      </w:r>
      <w:r w:rsidRPr="00CD231A">
        <w:rPr>
          <w:rFonts w:ascii="Times New Roman" w:hAnsi="Times New Roman" w:cs="Times New Roman"/>
          <w:i/>
          <w:iCs/>
        </w:rPr>
        <w:t xml:space="preserve">Anopheles funestus s.s. </w:t>
      </w:r>
      <w:r w:rsidRPr="00CD231A">
        <w:rPr>
          <w:rFonts w:ascii="Times New Roman" w:hAnsi="Times New Roman" w:cs="Times New Roman"/>
        </w:rPr>
        <w:t>population</w:t>
      </w:r>
      <w:r w:rsidRPr="00CD231A">
        <w:rPr>
          <w:rFonts w:ascii="Times New Roman" w:hAnsi="Times New Roman" w:cs="Times New Roman"/>
          <w:i/>
          <w:iCs/>
        </w:rPr>
        <w:t xml:space="preserve"> </w:t>
      </w:r>
      <w:r w:rsidRPr="00CD231A">
        <w:rPr>
          <w:rFonts w:ascii="Times New Roman" w:hAnsi="Times New Roman" w:cs="Times New Roman"/>
        </w:rPr>
        <w:t>was resistant to permethrin (mortality rate</w:t>
      </w:r>
      <w:r w:rsidR="00E86493" w:rsidRPr="00CD231A">
        <w:rPr>
          <w:rFonts w:ascii="Times New Roman" w:hAnsi="Times New Roman" w:cs="Times New Roman"/>
        </w:rPr>
        <w:t xml:space="preserve"> of </w:t>
      </w:r>
      <w:r w:rsidRPr="00CD231A">
        <w:rPr>
          <w:rFonts w:ascii="Times New Roman" w:hAnsi="Times New Roman" w:cs="Times New Roman"/>
        </w:rPr>
        <w:t>68%), DDT (mortality rate</w:t>
      </w:r>
      <w:r w:rsidR="00E86493" w:rsidRPr="00CD231A">
        <w:rPr>
          <w:rFonts w:ascii="Times New Roman" w:hAnsi="Times New Roman" w:cs="Times New Roman"/>
        </w:rPr>
        <w:t xml:space="preserve"> of </w:t>
      </w:r>
      <w:r w:rsidRPr="00CD231A">
        <w:rPr>
          <w:rFonts w:ascii="Times New Roman" w:hAnsi="Times New Roman" w:cs="Times New Roman"/>
        </w:rPr>
        <w:t>10%) and dieldrin (mortality rate</w:t>
      </w:r>
      <w:r w:rsidR="00E86493" w:rsidRPr="00CD231A">
        <w:rPr>
          <w:rFonts w:ascii="Times New Roman" w:hAnsi="Times New Roman" w:cs="Times New Roman"/>
        </w:rPr>
        <w:t xml:space="preserve"> of </w:t>
      </w:r>
      <w:r w:rsidRPr="00CD231A">
        <w:rPr>
          <w:rFonts w:ascii="Times New Roman" w:hAnsi="Times New Roman" w:cs="Times New Roman"/>
        </w:rPr>
        <w:t xml:space="preserve">8%) insecticides. </w:t>
      </w:r>
      <w:bookmarkStart w:id="1" w:name="_Hlk34751902"/>
      <w:r w:rsidRPr="00CD231A">
        <w:rPr>
          <w:rFonts w:ascii="Times New Roman" w:hAnsi="Times New Roman" w:cs="Times New Roman"/>
        </w:rPr>
        <w:t>Microarray and RT-PCR analyses revealed the overexpression of Glutathione-</w:t>
      </w:r>
      <w:r w:rsidR="00E86493" w:rsidRPr="00CD231A">
        <w:rPr>
          <w:rFonts w:ascii="Times New Roman" w:hAnsi="Times New Roman" w:cs="Times New Roman"/>
        </w:rPr>
        <w:t>S</w:t>
      </w:r>
      <w:r w:rsidRPr="00CD231A">
        <w:rPr>
          <w:rFonts w:ascii="Times New Roman" w:hAnsi="Times New Roman" w:cs="Times New Roman"/>
        </w:rPr>
        <w:t>-transferase genes</w:t>
      </w:r>
      <w:r w:rsidRPr="00CD231A">
        <w:rPr>
          <w:rFonts w:ascii="Times New Roman" w:hAnsi="Times New Roman" w:cs="Times New Roman"/>
          <w:i/>
          <w:iCs/>
        </w:rPr>
        <w:t xml:space="preserve">, </w:t>
      </w:r>
      <w:r w:rsidRPr="00CD231A">
        <w:rPr>
          <w:rFonts w:ascii="Times New Roman" w:hAnsi="Times New Roman" w:cs="Times New Roman"/>
        </w:rPr>
        <w:t xml:space="preserve">cytochrome P450s, esterase, trypsin and cuticle proteins in resistant mosquitoes compared to control. </w:t>
      </w:r>
      <w:bookmarkStart w:id="2" w:name="_Hlk34752036"/>
      <w:bookmarkEnd w:id="1"/>
      <w:r w:rsidRPr="00CD231A">
        <w:rPr>
          <w:rFonts w:ascii="Times New Roman" w:hAnsi="Times New Roman" w:cs="Times New Roman"/>
        </w:rPr>
        <w:t xml:space="preserve">The </w:t>
      </w:r>
      <w:r w:rsidRPr="00CD231A">
        <w:rPr>
          <w:rFonts w:ascii="Times New Roman" w:hAnsi="Times New Roman" w:cs="Times New Roman"/>
          <w:i/>
          <w:iCs/>
        </w:rPr>
        <w:t xml:space="preserve">GSTe2 </w:t>
      </w:r>
      <w:r w:rsidRPr="00CD231A">
        <w:rPr>
          <w:rFonts w:ascii="Times New Roman" w:hAnsi="Times New Roman" w:cs="Times New Roman"/>
        </w:rPr>
        <w:t>was the most upregulated detoxification gene in permethrin</w:t>
      </w:r>
      <w:r w:rsidR="00E86493" w:rsidRPr="00CD231A">
        <w:rPr>
          <w:rFonts w:ascii="Times New Roman" w:hAnsi="Times New Roman" w:cs="Times New Roman"/>
        </w:rPr>
        <w:t>-resistant</w:t>
      </w:r>
      <w:r w:rsidRPr="00CD231A">
        <w:rPr>
          <w:rFonts w:ascii="Times New Roman" w:hAnsi="Times New Roman" w:cs="Times New Roman"/>
        </w:rPr>
        <w:t xml:space="preserve"> </w:t>
      </w:r>
      <w:r w:rsidR="00E86493" w:rsidRPr="00CD231A">
        <w:rPr>
          <w:rFonts w:ascii="Times New Roman" w:hAnsi="Times New Roman" w:cs="Times New Roman"/>
        </w:rPr>
        <w:t>(</w:t>
      </w:r>
      <w:r w:rsidRPr="00CD231A">
        <w:rPr>
          <w:rFonts w:ascii="Times New Roman" w:hAnsi="Times New Roman" w:cs="Times New Roman"/>
        </w:rPr>
        <w:t>FC=44.89</w:t>
      </w:r>
      <w:r w:rsidR="00E86493" w:rsidRPr="00CD231A">
        <w:rPr>
          <w:rFonts w:ascii="Times New Roman" w:hAnsi="Times New Roman" w:cs="Times New Roman"/>
        </w:rPr>
        <w:t>),</w:t>
      </w:r>
      <w:r w:rsidRPr="00CD231A">
        <w:rPr>
          <w:rFonts w:ascii="Times New Roman" w:hAnsi="Times New Roman" w:cs="Times New Roman"/>
        </w:rPr>
        <w:t xml:space="preserve"> DDT</w:t>
      </w:r>
      <w:r w:rsidR="00E86493" w:rsidRPr="00CD231A">
        <w:rPr>
          <w:rFonts w:ascii="Times New Roman" w:hAnsi="Times New Roman" w:cs="Times New Roman"/>
        </w:rPr>
        <w:t>-resistant</w:t>
      </w:r>
      <w:r w:rsidRPr="00CD231A">
        <w:rPr>
          <w:rFonts w:ascii="Times New Roman" w:hAnsi="Times New Roman" w:cs="Times New Roman"/>
        </w:rPr>
        <w:t xml:space="preserve"> </w:t>
      </w:r>
      <w:r w:rsidR="00E86493" w:rsidRPr="00CD231A">
        <w:rPr>
          <w:rFonts w:ascii="Times New Roman" w:hAnsi="Times New Roman" w:cs="Times New Roman"/>
        </w:rPr>
        <w:t>(</w:t>
      </w:r>
      <w:r w:rsidRPr="00CD231A">
        <w:rPr>
          <w:rFonts w:ascii="Times New Roman" w:hAnsi="Times New Roman" w:cs="Times New Roman"/>
        </w:rPr>
        <w:t>FC=57.39</w:t>
      </w:r>
      <w:r w:rsidR="00E86493" w:rsidRPr="00CD231A">
        <w:rPr>
          <w:rFonts w:ascii="Times New Roman" w:hAnsi="Times New Roman" w:cs="Times New Roman"/>
        </w:rPr>
        <w:t>)</w:t>
      </w:r>
      <w:r w:rsidRPr="00CD231A">
        <w:rPr>
          <w:rFonts w:ascii="Times New Roman" w:hAnsi="Times New Roman" w:cs="Times New Roman"/>
        </w:rPr>
        <w:t xml:space="preserve"> and dieldrin</w:t>
      </w:r>
      <w:r w:rsidR="00E86493" w:rsidRPr="00CD231A">
        <w:rPr>
          <w:rFonts w:ascii="Times New Roman" w:hAnsi="Times New Roman" w:cs="Times New Roman"/>
        </w:rPr>
        <w:t>-resistant</w:t>
      </w:r>
      <w:r w:rsidRPr="00CD231A">
        <w:rPr>
          <w:rFonts w:ascii="Times New Roman" w:hAnsi="Times New Roman" w:cs="Times New Roman"/>
        </w:rPr>
        <w:t xml:space="preserve"> </w:t>
      </w:r>
      <w:r w:rsidR="00E86493" w:rsidRPr="00CD231A">
        <w:rPr>
          <w:rFonts w:ascii="Times New Roman" w:hAnsi="Times New Roman" w:cs="Times New Roman"/>
        </w:rPr>
        <w:t>(</w:t>
      </w:r>
      <w:r w:rsidRPr="00CD231A">
        <w:rPr>
          <w:rFonts w:ascii="Times New Roman" w:hAnsi="Times New Roman" w:cs="Times New Roman"/>
        </w:rPr>
        <w:t>FC=41.10</w:t>
      </w:r>
      <w:r w:rsidR="00E86493" w:rsidRPr="00CD231A">
        <w:rPr>
          <w:rFonts w:ascii="Times New Roman" w:hAnsi="Times New Roman" w:cs="Times New Roman"/>
        </w:rPr>
        <w:t>)</w:t>
      </w:r>
      <w:r w:rsidRPr="00CD231A">
        <w:rPr>
          <w:rFonts w:ascii="Times New Roman" w:hAnsi="Times New Roman" w:cs="Times New Roman"/>
        </w:rPr>
        <w:t xml:space="preserve"> mosquitoes compared to control</w:t>
      </w:r>
      <w:r w:rsidR="00E86493" w:rsidRPr="00CD231A">
        <w:rPr>
          <w:rFonts w:ascii="Times New Roman" w:hAnsi="Times New Roman" w:cs="Times New Roman"/>
        </w:rPr>
        <w:t xml:space="preserve"> population</w:t>
      </w:r>
      <w:r w:rsidRPr="00CD231A">
        <w:rPr>
          <w:rFonts w:ascii="Times New Roman" w:hAnsi="Times New Roman" w:cs="Times New Roman"/>
        </w:rPr>
        <w:t xml:space="preserve"> </w:t>
      </w:r>
      <w:r w:rsidR="00E86493" w:rsidRPr="00CD231A">
        <w:rPr>
          <w:rFonts w:ascii="Times New Roman" w:hAnsi="Times New Roman" w:cs="Times New Roman"/>
        </w:rPr>
        <w:t>(</w:t>
      </w:r>
      <w:r w:rsidRPr="00CD231A">
        <w:rPr>
          <w:rFonts w:ascii="Times New Roman" w:hAnsi="Times New Roman" w:cs="Times New Roman"/>
        </w:rPr>
        <w:t>FC=22.34</w:t>
      </w:r>
      <w:r w:rsidR="00E86493" w:rsidRPr="00CD231A">
        <w:rPr>
          <w:rFonts w:ascii="Times New Roman" w:hAnsi="Times New Roman" w:cs="Times New Roman"/>
        </w:rPr>
        <w:t>)</w:t>
      </w:r>
      <w:bookmarkEnd w:id="2"/>
      <w:r w:rsidRPr="00CD231A">
        <w:rPr>
          <w:rFonts w:ascii="Times New Roman" w:hAnsi="Times New Roman" w:cs="Times New Roman"/>
        </w:rPr>
        <w:t xml:space="preserve">. </w:t>
      </w:r>
      <w:bookmarkStart w:id="3" w:name="_Hlk34752050"/>
      <w:r w:rsidRPr="00CD231A">
        <w:rPr>
          <w:rFonts w:ascii="Times New Roman" w:hAnsi="Times New Roman" w:cs="Times New Roman"/>
        </w:rPr>
        <w:t xml:space="preserve">The cytochrome P450 gene, </w:t>
      </w:r>
      <w:r w:rsidRPr="00CD231A">
        <w:rPr>
          <w:rFonts w:ascii="Times New Roman" w:hAnsi="Times New Roman" w:cs="Times New Roman"/>
          <w:i/>
        </w:rPr>
        <w:t>CYP6P9b</w:t>
      </w:r>
      <w:r w:rsidRPr="00CD231A">
        <w:rPr>
          <w:rFonts w:ascii="Times New Roman" w:hAnsi="Times New Roman" w:cs="Times New Roman"/>
        </w:rPr>
        <w:t xml:space="preserve"> was also upregulated in both permethrin and DDT resistant mosquitoes.</w:t>
      </w:r>
      <w:bookmarkEnd w:id="3"/>
      <w:r w:rsidRPr="00CD231A">
        <w:rPr>
          <w:rFonts w:ascii="Times New Roman" w:hAnsi="Times New Roman" w:cs="Times New Roman"/>
        </w:rPr>
        <w:t xml:space="preserve"> </w:t>
      </w:r>
      <w:bookmarkStart w:id="4" w:name="_Hlk34752069"/>
      <w:r w:rsidRPr="00CD231A">
        <w:rPr>
          <w:rFonts w:ascii="Times New Roman" w:hAnsi="Times New Roman" w:cs="Times New Roman"/>
        </w:rPr>
        <w:t>The digestive enzyme, trypsin (hydrolytic processes) and the cuticle proteins (inducing cuticle thickening leading to reduced insecticides penetration) also showed high involvement in insecticide resistance, through their overexpression in resistant mosquitoes compared to control</w:t>
      </w:r>
      <w:bookmarkEnd w:id="4"/>
      <w:r w:rsidRPr="00CD231A">
        <w:rPr>
          <w:rFonts w:ascii="Times New Roman" w:hAnsi="Times New Roman" w:cs="Times New Roman"/>
        </w:rPr>
        <w:t xml:space="preserve">. </w:t>
      </w:r>
      <w:bookmarkStart w:id="5" w:name="_Hlk34752079"/>
      <w:r w:rsidRPr="00CD231A">
        <w:rPr>
          <w:rFonts w:ascii="Times New Roman" w:hAnsi="Times New Roman" w:cs="Times New Roman"/>
        </w:rPr>
        <w:t xml:space="preserve">The </w:t>
      </w:r>
      <w:r w:rsidR="00E86493" w:rsidRPr="00CD231A">
        <w:rPr>
          <w:rFonts w:ascii="Times New Roman" w:hAnsi="Times New Roman" w:cs="Times New Roman"/>
          <w:i/>
          <w:iCs/>
        </w:rPr>
        <w:t>k</w:t>
      </w:r>
      <w:r w:rsidRPr="00CD231A">
        <w:rPr>
          <w:rFonts w:ascii="Times New Roman" w:hAnsi="Times New Roman" w:cs="Times New Roman"/>
          <w:i/>
          <w:iCs/>
        </w:rPr>
        <w:t>dr</w:t>
      </w:r>
      <w:r w:rsidRPr="00CD231A">
        <w:rPr>
          <w:rFonts w:ascii="Times New Roman" w:hAnsi="Times New Roman" w:cs="Times New Roman"/>
        </w:rPr>
        <w:t xml:space="preserve"> east and west were absent in all mosquitoes analysed, suggesting their non-involvement in the observed mosquito resistance</w:t>
      </w:r>
      <w:bookmarkEnd w:id="5"/>
      <w:r w:rsidRPr="00CD231A">
        <w:rPr>
          <w:rFonts w:ascii="Times New Roman" w:hAnsi="Times New Roman" w:cs="Times New Roman"/>
        </w:rPr>
        <w:t>.</w:t>
      </w:r>
    </w:p>
    <w:p w14:paraId="5B1E7E89" w14:textId="18C0CA4D" w:rsidR="00BF5696" w:rsidRPr="00CD231A" w:rsidRDefault="00BF5696" w:rsidP="00083B43">
      <w:pPr>
        <w:spacing w:after="120" w:line="480" w:lineRule="auto"/>
        <w:jc w:val="both"/>
        <w:rPr>
          <w:rFonts w:ascii="Times New Roman" w:hAnsi="Times New Roman" w:cs="Times New Roman"/>
          <w:iCs/>
        </w:rPr>
      </w:pPr>
      <w:r w:rsidRPr="00CD231A">
        <w:rPr>
          <w:rFonts w:ascii="Times New Roman" w:hAnsi="Times New Roman" w:cs="Times New Roman"/>
          <w:b/>
        </w:rPr>
        <w:t>Conclusions:</w:t>
      </w:r>
      <w:r w:rsidRPr="00CD231A">
        <w:rPr>
          <w:rFonts w:ascii="Times New Roman" w:hAnsi="Times New Roman" w:cs="Times New Roman"/>
          <w:iCs/>
        </w:rPr>
        <w:t xml:space="preserve"> The upregulation of metabolic genes, especially the </w:t>
      </w:r>
      <w:r w:rsidRPr="00CD231A">
        <w:rPr>
          <w:rFonts w:ascii="Times New Roman" w:hAnsi="Times New Roman" w:cs="Times New Roman"/>
          <w:i/>
        </w:rPr>
        <w:t>GSTe2</w:t>
      </w:r>
      <w:r w:rsidRPr="00CD231A">
        <w:rPr>
          <w:rFonts w:ascii="Times New Roman" w:hAnsi="Times New Roman" w:cs="Times New Roman"/>
          <w:iCs/>
        </w:rPr>
        <w:t xml:space="preserve"> and trypsin, as well as the cuticle proteins is driving insecticide resistance of </w:t>
      </w:r>
      <w:r w:rsidRPr="00CD231A">
        <w:rPr>
          <w:rFonts w:ascii="Times New Roman" w:hAnsi="Times New Roman" w:cs="Times New Roman"/>
          <w:i/>
        </w:rPr>
        <w:t>An</w:t>
      </w:r>
      <w:r w:rsidR="00E86493" w:rsidRPr="00CD231A">
        <w:rPr>
          <w:rFonts w:ascii="Times New Roman" w:hAnsi="Times New Roman" w:cs="Times New Roman"/>
          <w:i/>
        </w:rPr>
        <w:t>.</w:t>
      </w:r>
      <w:r w:rsidRPr="00CD231A">
        <w:rPr>
          <w:rFonts w:ascii="Times New Roman" w:hAnsi="Times New Roman" w:cs="Times New Roman"/>
          <w:i/>
        </w:rPr>
        <w:t xml:space="preserve"> funestus s.s. </w:t>
      </w:r>
      <w:r w:rsidRPr="00CD231A">
        <w:rPr>
          <w:rFonts w:ascii="Times New Roman" w:hAnsi="Times New Roman" w:cs="Times New Roman"/>
          <w:iCs/>
        </w:rPr>
        <w:t>population.</w:t>
      </w:r>
      <w:r w:rsidRPr="00CD231A">
        <w:rPr>
          <w:rFonts w:ascii="Times New Roman" w:hAnsi="Times New Roman" w:cs="Times New Roman"/>
        </w:rPr>
        <w:t xml:space="preserve"> However,</w:t>
      </w:r>
      <w:r w:rsidR="00094F47" w:rsidRPr="00CD231A">
        <w:rPr>
          <w:rFonts w:ascii="Times New Roman" w:hAnsi="Times New Roman" w:cs="Times New Roman"/>
        </w:rPr>
        <w:t xml:space="preserve"> </w:t>
      </w:r>
      <w:r w:rsidRPr="00CD231A">
        <w:rPr>
          <w:rFonts w:ascii="Times New Roman" w:hAnsi="Times New Roman" w:cs="Times New Roman"/>
        </w:rPr>
        <w:t>additional molecular analyses, including functional metabolic assays of these genes as well as screening for a possible higher cuticular hydrocarbon and lipid contents, and increased procuticle thickness in resistant mosquitoes are needed to further describe their distinct roles in mosquito resistance.</w:t>
      </w:r>
    </w:p>
    <w:p w14:paraId="3BE93CAA" w14:textId="77777777"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 xml:space="preserve">Keywords: </w:t>
      </w:r>
      <w:r w:rsidRPr="00CD231A">
        <w:rPr>
          <w:rFonts w:ascii="Times New Roman" w:hAnsi="Times New Roman" w:cs="Times New Roman"/>
          <w:i/>
        </w:rPr>
        <w:t>Anopheles funestus</w:t>
      </w:r>
      <w:r w:rsidRPr="00CD231A">
        <w:rPr>
          <w:rFonts w:ascii="Times New Roman" w:hAnsi="Times New Roman" w:cs="Times New Roman"/>
        </w:rPr>
        <w:t>, Permethrin, DDT, Metabolic genes, Insecticide Resistance mechanisms, Nigeria</w:t>
      </w:r>
    </w:p>
    <w:p w14:paraId="7DC91900" w14:textId="77777777" w:rsidR="00BF5696" w:rsidRPr="00CD231A" w:rsidRDefault="00BF5696" w:rsidP="00BF5696">
      <w:pPr>
        <w:spacing w:line="480" w:lineRule="auto"/>
        <w:jc w:val="both"/>
        <w:rPr>
          <w:rFonts w:ascii="Times New Roman" w:hAnsi="Times New Roman" w:cs="Times New Roman"/>
          <w:b/>
        </w:rPr>
      </w:pPr>
    </w:p>
    <w:p w14:paraId="556F7EBD" w14:textId="77777777" w:rsidR="00DD1F7E" w:rsidRPr="00CD231A" w:rsidRDefault="00DD1F7E" w:rsidP="00BF5696">
      <w:pPr>
        <w:spacing w:line="480" w:lineRule="auto"/>
        <w:jc w:val="both"/>
        <w:rPr>
          <w:rFonts w:ascii="Times New Roman" w:hAnsi="Times New Roman" w:cs="Times New Roman"/>
          <w:b/>
        </w:rPr>
      </w:pPr>
    </w:p>
    <w:p w14:paraId="7ADF792C" w14:textId="77777777" w:rsidR="00DD1F7E" w:rsidRPr="00CD231A" w:rsidRDefault="00DD1F7E" w:rsidP="00BF5696">
      <w:pPr>
        <w:spacing w:line="480" w:lineRule="auto"/>
        <w:jc w:val="both"/>
        <w:rPr>
          <w:rFonts w:ascii="Times New Roman" w:hAnsi="Times New Roman" w:cs="Times New Roman"/>
          <w:b/>
        </w:rPr>
      </w:pPr>
    </w:p>
    <w:p w14:paraId="1362A0A8" w14:textId="77777777" w:rsidR="00DD1F7E" w:rsidRPr="00CD231A" w:rsidRDefault="00DD1F7E" w:rsidP="00BF5696">
      <w:pPr>
        <w:spacing w:line="480" w:lineRule="auto"/>
        <w:jc w:val="both"/>
        <w:rPr>
          <w:rFonts w:ascii="Times New Roman" w:hAnsi="Times New Roman" w:cs="Times New Roman"/>
          <w:b/>
        </w:rPr>
      </w:pPr>
    </w:p>
    <w:p w14:paraId="26D10DA3" w14:textId="39FC1887"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Background</w:t>
      </w:r>
    </w:p>
    <w:p w14:paraId="3D04EAC6" w14:textId="45BD2969"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iCs/>
        </w:rPr>
        <w:t xml:space="preserve">A population of </w:t>
      </w:r>
      <w:r w:rsidRPr="00CD231A">
        <w:rPr>
          <w:rFonts w:ascii="Times New Roman" w:hAnsi="Times New Roman" w:cs="Times New Roman"/>
          <w:i/>
        </w:rPr>
        <w:t>Anopheles funestus sensu stricto</w:t>
      </w:r>
      <w:r w:rsidRPr="00CD231A">
        <w:rPr>
          <w:rFonts w:ascii="Times New Roman" w:hAnsi="Times New Roman" w:cs="Times New Roman"/>
        </w:rPr>
        <w:t xml:space="preserve"> in Nigeria was recently shown to be resistant to different classes of public health insecticides commonly used for malaria vector control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xml:space="preserve">. There was a higher concern with permethrin resistance (68% mortality) at Akaka-Remo due to the over-reliance on pyrethroids for  Insecticide Treated Nets (ITNs) and a few </w:t>
      </w:r>
      <w:r w:rsidR="00617F96" w:rsidRPr="00CD231A">
        <w:rPr>
          <w:rFonts w:ascii="Times New Roman" w:hAnsi="Times New Roman" w:cs="Times New Roman"/>
        </w:rPr>
        <w:t>i</w:t>
      </w:r>
      <w:r w:rsidRPr="00CD231A">
        <w:rPr>
          <w:rFonts w:ascii="Times New Roman" w:hAnsi="Times New Roman" w:cs="Times New Roman"/>
        </w:rPr>
        <w:t xml:space="preserve">ndoor </w:t>
      </w:r>
      <w:r w:rsidR="00617F96" w:rsidRPr="00CD231A">
        <w:rPr>
          <w:rFonts w:ascii="Times New Roman" w:hAnsi="Times New Roman" w:cs="Times New Roman"/>
        </w:rPr>
        <w:t>r</w:t>
      </w:r>
      <w:r w:rsidRPr="00CD231A">
        <w:rPr>
          <w:rFonts w:ascii="Times New Roman" w:hAnsi="Times New Roman" w:cs="Times New Roman"/>
        </w:rPr>
        <w:t xml:space="preserve">esidual </w:t>
      </w:r>
      <w:r w:rsidR="00617F96" w:rsidRPr="00CD231A">
        <w:rPr>
          <w:rFonts w:ascii="Times New Roman" w:hAnsi="Times New Roman" w:cs="Times New Roman"/>
        </w:rPr>
        <w:t>s</w:t>
      </w:r>
      <w:r w:rsidRPr="00CD231A">
        <w:rPr>
          <w:rFonts w:ascii="Times New Roman" w:hAnsi="Times New Roman" w:cs="Times New Roman"/>
        </w:rPr>
        <w:t xml:space="preserve">prays (IRS)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{"citationItems":[{"id":"ITEM-1","itemData":{"author":[{"dropping-particle":"","family":"WHO","given":"","non-dropping-particle":"","parse-names":false,"suffix":""}],"id":"ITEM-1","issued":{"date-parts":[["2016"]]},"publisher-place":"Geneva, Switzerland","title":"World malaria report Geneva, Switzerland, World Health Organization","type":"report"},"uris":["http://www.mendeley.com/documents/?uuid=2cccc82a-09cd-4923-aeef-f81244136d87","http://www.mendeley.com/documents/?uuid=a456a3a7-8e39-40f8-88bc-976b3871c51e"]}],"mendeley":{"formattedCitation":"[2]","plainTextFormattedCitation":"[2]","previouslyFormattedCitation":"(2)"},"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[2]</w:t>
      </w:r>
      <w:r w:rsidRPr="00CD231A">
        <w:rPr>
          <w:rFonts w:ascii="Times New Roman" w:hAnsi="Times New Roman" w:cs="Times New Roman"/>
        </w:rPr>
        <w:fldChar w:fldCharType="end"/>
      </w:r>
      <w:r w:rsidRPr="00CD231A">
        <w:rPr>
          <w:rFonts w:ascii="Times New Roman" w:hAnsi="Times New Roman" w:cs="Times New Roman"/>
        </w:rPr>
        <w:t xml:space="preserve">. DDT (10% mortality) and dieldrin (8%) resistance reported is also delaying the re-introduction of these cheap insecticides as alternatives to pyrethroids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xml:space="preserve">. There is an increasing rate of insecticide resistance of </w:t>
      </w:r>
      <w:r w:rsidRPr="00CD231A">
        <w:rPr>
          <w:rFonts w:ascii="Times New Roman" w:hAnsi="Times New Roman" w:cs="Times New Roman"/>
          <w:i/>
        </w:rPr>
        <w:t>An. funestus</w:t>
      </w:r>
      <w:r w:rsidRPr="00CD231A">
        <w:rPr>
          <w:rFonts w:ascii="Times New Roman" w:hAnsi="Times New Roman" w:cs="Times New Roman"/>
        </w:rPr>
        <w:t xml:space="preserve"> </w:t>
      </w:r>
      <w:r w:rsidRPr="00CD231A">
        <w:rPr>
          <w:rFonts w:ascii="Times New Roman" w:hAnsi="Times New Roman" w:cs="Times New Roman"/>
          <w:i/>
          <w:iCs/>
        </w:rPr>
        <w:t>sensu lacto</w:t>
      </w:r>
      <w:r w:rsidRPr="00CD231A">
        <w:rPr>
          <w:rFonts w:ascii="Times New Roman" w:hAnsi="Times New Roman" w:cs="Times New Roman"/>
        </w:rPr>
        <w:t xml:space="preserve"> in Africa and resistance has been observed to have spread across different regions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{"citationItems":[{"id":"ITEM-1","itemData":{"DOI":"10.1186/s13071-016-1723-y","ISSN":"17563305","abstract":"© 2016 The Author(s). Background: Knowledge on the spread and distribution of insecticide resistance in major malaria vectors such as Anopheles funestus is key to implement successful resistance management strategies across Africa. Here, by assessing the susceptibility status of an inland population of An. funestus Giles (Kpome) and investigating molecular basis of resistance, we show that multiple resistance and consistent plasmodium infection rate are present in Anopheles funestus populations from Kpome. Methods: The insecticide susceptibility level of collected Anopheles funestus was assessed. Synergist (PBO) was used to screen resistance mechanisms. The TaqMan technique was used for genotyping of insecticide resistant alleles and detecting plasmodium infection levels. The nested PCR was used to further assess the plasmodium infection rate. Results: The TaqMan analysis of plasmodial infections revealed an infection rate (18.2 %) of An. funestus in this locality. The WHO bioassays revealed a multiple phenotypic resistance profile for An. funestus in Kpome. This population is highly resistant to pyrethroids (permethrin and deltamethrin), organochlorines (DDT), and carbamates (bendiocarb). A reduced susceptibility was observed with dieldrin. Mortalities did not vary after pre-exposure to PBO for DDT indicating that cytochrome P450s play little role in DDT resistance in Kpome. In contrast, we noticed, a significant increase in mortalities when PBO was combined to permethrin suggesting the direct involvement of P450s in pyrethroid resistance. A high frequency of the L119F-GSTe2 DDT resistance marker was observed in the wild DDT resistant population (9 %RS and 91 %RR) whereas the A296S mutation was detected at a low frequency (1 %RS and 99 %SS). Conclusion: The presence of multiple resistance in An. funestus populations in the inland locality of Kpome is established in this study as recently documented in the costal locality of Pahou. Data from both localities suggest that resistance could be widespread in Benin and this highlights the need for further studies to assess the geographical distribution of insecticide resistance across Benin and neighboring countries as well as a more comprehensive analysis of the resistance mechanisms involved.","author":[{"dropping-particle":"","family":"Djouaka","given":"Rousseau","non-dropping-particle":"","parse-names":false,"suffix":""},{"dropping-particle":"","family":"Riveron","given":"Jacob M.","non-dropping-particle":"","parse-names":false,"suffix":""},{"dropping-particle":"","family":"Yessoufou","given":"Akadiri","non-dropping-particle":"","parse-names":false,"suffix":""},{"dropping-particle":"","family":"Tchigossou","given":"Genevieve","non-dropping-particle":"","parse-names":false,"suffix":""},{"dropping-particle":"","family":"Akoton","given":"Romaric","non-dropping-particle":"","parse-names":false,"suffix":""},{"dropping-particle":"","family":"Irving","given":"Helen","non-dropping-particle":"","parse-names":false,"suffix":""},{"dropping-particle":"","family":"Djegbe","given":"Innocent","non-dropping-particle":"","parse-names":false,"suffix":""},{"dropping-particle":"","family":"Moutairou","given":"Kabirou","non-dropping-particle":"","parse-names":false,"suffix":""},{"dropping-particle":"","family":"Adeoti","given":"Razack","non-dropping-particle":"","parse-names":false,"suffix":""},{"dropping-particle":"","family":"Tamò","given":"Manuele","non-dropping-particle":"","parse-names":false,"suffix":""},{"dropping-particle":"","family":"Manyong","given":"Victor","non-dropping-particle":"","parse-names":false,"suffix":""},{"dropping-particle":"","family":"Wondji","given":"Charles S.","non-dropping-particle":"","parse-names":false,"suffix":""}],"container-title":"Parasites and Vectors","id":"ITEM-1","issue":"1","issued":{"date-parts":[["2016"]]},"page":"453","publisher":"Parasites &amp; Vectors","title":"Multiple insecticide resistance in an infected population of the malaria vector Anopheles funestus in Benin","type":"article-journal","volume":"9"},"uris":["http://www.mendeley.com/documents/?uuid=3c41c1fe-ad90-4c74-8eb6-cd5d1f7c9cb5"]},{"id":"ITEM-2","itemData":{"DOI":"10.1111/mec.13673","abstract":"Carbamates are increasingly used for vector control notably in areas with pyrethroid resistance. However, a cross-resistance between these insecticides in major malaria vec- tors such as Anopheles funestus could severely limit available resistance management options. Unfortunately, the molecular basis of such cross-resistance remains uncharac- terized in An. funestus, preventing effective resistance management. Here, using a gen- omewide transcription profiling, we revealed that metabolic resistance through upregulation of cytochrome P450 genes is driving carbamate resistance. The P450s CYP6P9a, CYP6P9b and CYP6Z1 were the most upregulated detoxification genes in the multiple resistant mosquitoes. However, in silico docking simulations predicted CYP6Z1 to metabolize both pyrethroids and carbamates, whereas CYP6P9a and CYP6P9b were predicted to metabolize only the pyrethroids. Using recombinant enzyme metabolism and inhibition assays, we demonstrated that CYP6Z1 metabolizes bendiocarb and pyrethroids, whereas CYP6P9a and CYP6P9b metabolize only the pyre- throids. Other upregulated gene families in resistant mosquitoes included several cuticular protein genes suggesting a possible reduced penetration resistance mecha- nism. Investigation of the target-site resistance in acetylcholinesterase 1 (ace-1) gene detected and established the association between the new N485I mutation and bendio- carb resistance (odds ratio 7.3; P &lt; 0.0001). The detection of multiple haplotypes in sin- gle mosquitoes after cloning suggested the duplication of ace-1. A TaqMan genotyping of the N485I in nine countries revealed that the mutation is located only in southern Africa with frequency of 10–15% suggesting its recent occurrence. These findings will help in monitoring the spread and evolution of carbamate resistance and improve the design of effective resistance management strategies to control this malaria vector.","author":[{"dropping-particle":"","family":"Ibrahim","given":"Sulaiman S","non-dropping-particle":"","parse-names":false,"suffix":""},{"dropping-particle":"","family":"Ndula","given":"Miranda","non-dropping-particle":"","parse-names":false,"suffix":""},{"dropping-particle":"","family":"Riveron","given":"Jacob M","non-dropping-particle":"","parse-names":false,"suffix":""},{"dropping-particle":"","family":"Irving","given":"Helen","non-dropping-particle":"","parse-names":false,"suffix":""},{"dropping-particle":"","family":"Wondji","given":"Charles S","non-dropping-particle":"","parse-names":false,"suffix":""}],"container-title":"Molecular Ecology","id":"ITEM-2","issued":{"date-parts":[["2016"]]},"page":"1-17","title":"The P450 CYP6Z1 confers carbamate / pyrethroid cross- resistance in a major African malaria vector beside a novel carbamate-insensitive N485I acetylcholinesterase-1 mutation","type":"article-journal"},"uris":["http://www.mendeley.com/documents/?uuid=975b92e0-8fab-4c1c-9e73-1b52e3d44e76","http://www.mendeley.com/documents/?uuid=6be7be0d-a1b1-4f52-962f-0a6cfb40245e"]},{"id":"ITEM-3","itemData":{"DOI":"10.1371/journal.pone.0163261","ISSN":"1932-6203","abstract":"Background Despite the recent progress in establishing the patterns of insecticide resistance in the major malaria vector Anopheles funestus, Central African populations of this species remain largely uncharacterised. To bridge this important gap and facilitate the implementa- tion of suitable control strategies against this vector, we characterised the resistance pat- terns of An. funestus population from northern Cameroon. Methods and Findings Collection of indoor-resting female mosquitoes in Gounougou (northern Cameroon) in 2012 and 2015 revealed a predominance of An. funestus during dry season.WHObioas- says performed using F1 An. funestus revealed that the population was multiple resistant to several insecticide classes including pyrethroids (permethrin, deltamethrin, lambda-cyhalo- thrin and etofenprox), carbamates (bendiocarb) and organochlorines (DDT and dieldrin). However, a full susceptibility was observed against the organophosphate malathion. Bioas- says performed with 2015 collection revealed that resistance against pyrethroids and DDT is increasing. PBO synergist assays revealed a significant recovery of susceptibility for all pyrethroids but less for DDT. Analysis of the polymorphismof a portion of the voltage-gated sodium channel gene (VGSC) revealed the absence of the L1014F/S kdr mutation but iden- tified 3 novel amino acid changes I877L, V881L and A1007S. However, no association was established between VGSC polymorphismand pyrethroid/DDT resistance. The DDT resis- tant 119F-GSTe2 allele (52%) and the dieldrin resistant 296S-RDL allele (45%) were detected in Gounougou. Temporal analysis between 2006, 2012 and 2015 collections revealed that the 119F-GSTe2 allele was relatively stable whereas a significant decrease is observed for 296S-RDL allele. Conclusion This multiple resistance coupled with the temporal increased in resistance intensity high- lights the need to take urgent measures to prolong the efficacy of current insecticide-based interventions against An. funestus in this African region.","author":[{"dropping-particle":"","family":"Menze","given":"Benjamin D","non-dropping-particle":"","parse-names":false,"suffix":""},{"dropping-particle":"","family":"Riveron","given":"Jacob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Antonio-Nkondjio","given":"Christophe","non-dropping-particle":"","parse-names":false,"suffix":""},{"dropping-particle":"","family":"Awono-Ambene","given":"Parfait H","non-dropping-particle":"","parse-names":false,"suffix":""},{"dropping-particle":"","family":"Wondji","given":"Charles S","non-dropping-particle":"","parse-names":false,"suffix":""}],"container-title":"PLoS ONE","id":"ITEM-3","issue":"10","issued":{"date-parts":[["2016"]]},"page":"1-14","title":"Multiple Insecticide Resistance in the Malaria Vector Anopheles funestus from Northern Cameroon Is Mediated by Metabolic Resistance Alongside Potential Target Site Insensitivity Mutations","type":"article-journal","volume":"11"},"uris":["http://www.mendeley.com/documents/?uuid=ee7998a1-4ce0-4738-ae2f-355c591e6d68","http://www.mendeley.com/documents/?uuid=39f9c38d-4162-4f2c-b94a-6af3028c10b4"]}],"mendeley":{"formattedCitation":"[3–5]","plainTextFormattedCitation":"[3–5]","previouslyFormattedCitation":"(3–5)"},"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[3–5]</w:t>
      </w:r>
      <w:r w:rsidRPr="00CD231A">
        <w:rPr>
          <w:rFonts w:ascii="Times New Roman" w:hAnsi="Times New Roman" w:cs="Times New Roman"/>
        </w:rPr>
        <w:fldChar w:fldCharType="end"/>
      </w:r>
      <w:r w:rsidRPr="00CD231A">
        <w:rPr>
          <w:rFonts w:ascii="Times New Roman" w:hAnsi="Times New Roman" w:cs="Times New Roman"/>
        </w:rPr>
        <w:t xml:space="preserve">. One of the main concerns from  existing reports is that each population displays its peculiar mechanisms to tolerate insecticides exposure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ONE","id":"ITEM-1","issue":"10","issued":{"date-parts":[["2014"]]},"page":"1-10","title":"Widespread pyrethroid and DDT resistance in the major malaria vector anopheles funestus in East Africa is driven by metabolic resistance mechanisms","type":"article-journal","volume":"9"},"uris":["http://www.mendeley.com/documents/?uuid=b7a90190-78fd-433b-ba9d-797f9b3dac6e"]},{"id":"ITEM-2","itemData":{"DOI":"10.1186/s12936-015-0877-y","ISSN":"1475-2875","PMID":"26370361","abstract":"BACKGROUND: Deciphering the dynamics and evolution of insecticide resistance in malaria vectors is crucial for successful vector control. This study reports an increase of resistance intensity and a rise of multiple insecticide resistance in Anopheles funestus in Malawi leading to reduced bed net efficacy.\\n\\nMETHODS: Anopheles funestus group mosquitoes were collected in southern Malawi and the species composition, Plasmodium infection rate, susceptibility to insecticides and molecular bases of the resistance were analysed.\\n\\nRESULTS: Mosquito collection revealed a predominance of An. funestus group mosquitoes with a high hybrid rate (12.2 %) suggesting extensive species hybridization. An. funestus sensu stricto was the main Plasmodium vector (4.8 % infection). Consistently high levels of resistance to pyrethroid and carbamate insecticides were recorded and had increased between 2009 and 2014. Furthermore, the 2014 collection exhibited multiple insecticide resistance, notably to DDT, contrary to 2009. Increased pyrethroid resistance correlates with reduced efficacy of bed nets (&lt;5 % mortality by Olyset(®) net), which can compromise control efforts. This change in resistance dynamics is mirrored by prevalent resistance mechanisms, firstly with increased over-expression of key pyrethroid resistance genes (CYP6Pa/b and CYP6M7) in 2014 and secondly, detection of the A296S-RDL dieldrin resistance mutation for the first time. However, the L119F-GSTe2 and kdr mutations were absent.\\n\\nCONCLUSIONS: Such increased resistance levels and rise of multiple resistance highlight the need to rapidly implement resistance management strategies to preserve the effectiveness of existing insecticide-based control interventions.","author":[{"dropping-particle":"","family":"Riveron","given":"Jacob M","non-dropping-particle":"","parse-names":false,"suffix":""},{"dropping-particle":"","family":"Chiumia","given":"Martin","non-dropping-particle":"","parse-names":false,"suffix":""},{"dropping-particle":"","family":"Menze","given":"Benjamin D","non-dropping-particle":"","parse-names":false,"suffix":""},{"dropping-particle":"","family":"Barnes","given":"Kayla G","non-dropping-particle":"","parse-names":false,"suffix":""},{"dropping-particle":"","family":"Irving","given":"Helen","non-dropping-particle":"","parse-names":false,"suffix":""},{"dropping-particle":"","family":"Ibrahim","given":"Sulaiman S","non-dropping-particle":"","parse-names":false,"suffix":""},{"dropping-particle":"","family":"Weedall","given":"Gareth D","non-dropping-particle":"","parse-names":false,"suffix":""},{"dropping-particle":"","family":"Mzilahowa","given":"Themba","non-dropping-particle":"","parse-names":false,"suffix":""},{"dropping-particle":"","family":"Wondji","given":"Charles S","non-dropping-particle":"","parse-names":false,"suffix":""}],"container-title":"Malaria journal","id":"ITEM-2","issued":{"date-parts":[["2015"]]},"page":"344","publisher":"BioMed Central","title":"Rise of multiple insecticide resistance in Anopheles funestus in Malawi: a major concern for malaria vector control.","type":"article-journal","volume":"14"},"uris":["http://www.mendeley.com/documents/?uuid=b398975d-b211-4f63-8e02-f7367531ca0d"]},{"id":"ITEM-3","itemData":{"DOI":"10.1186/s13071-016-1735-7","ISSN":"1756-3305","abstract":"Anopheles funestus is one of the major malaria vectors in tropical Africa, notably in Senegal. The highly anthropophilic and endophilic behaviours of this mosquito make it a good target for vector control operations through the use of insecticide treated nets, long-lasting insecticide nets and indoor residual spraying. However, little is known about patterns of resistance to insecticides and the underlying resistance mechanisms in field populations of this vector in Senegal. Here, we assessed the susceptibility status of An. funestus populations from Gankette Balla, located in northern Senegal and investigated the potential resistance mechanisms. WHO bioassays indicated that An. funestus is resistant to lambda-cyhalothrin 0.05 % (74.64 % mortality), DDT 4 % (83.36 % mortality) and deltamethrin 0.05 % (88.53 % mortality). Suspected resistance was observed to permethrin 0.75 % (91.19 % mortality), bendiocarb 0.1 % (94.13 % mortality) and dieldrin 4 % (96.41 % mortality). However, this population is fully susceptible to malathion 5 % (100 % mortality) and fenitrothion 1 % (100 % mortality). The microarray and qRT-PCR analysis indicated that the lambda-cyhalothrin resistance in Gankette Balla is conferred by metabolic resistance mechanisms under the probable control of cytochrome P450 genes among which CYP6M7 is the most overexpressed. The absence of overexpression of the P450 gene, CYP6P9a, indicates that the resistance mechanism in Senegal is different to that observed in southern Africa. This study represents the first report of pyrethroid and DDT resistance in An. funestus from Senegal and shows that resistance to insecticides is not only confined to An. gambiae as previously thought. Therefore, urgent action should be taken to manage the resistance in this species to ensure the continued effectiveness of malaria control.","author":[{"dropping-particle":"","family":"Samb","given":"Badara","non-dropping-particle":"","parse-names":false,"suffix":""},{"dropping-particle":"","family":"Konate","given":"Lassana","non-dropping-particle":"","parse-names":false,"suffix":""},{"dropping-particle":"","family":"Irving","given":"Helen","non-dropping-particle":"","parse-names":false,"suffix":""},{"dropping-particle":"","family":"Riveron","given":"Jacob M.","non-dropping-particle":"","parse-names":false,"suffix":""},{"dropping-particle":"","family":"Dia","given":"Ibrahima","non-dropping-particle":"","parse-names":false,"suffix":""},{"dropping-particle":"","family":"Faye","given":"Ousmane","non-dropping-particle":"","parse-names":false,"suffix":""},{"dropping-particle":"","family":"Wondji","given":"Charles S.","non-dropping-particle":"","parse-names":false,"suffix":""},{"dropping-particle":"","family":"Riveron","given":"JM","non-dropping-particle":"","parse-names":false,"suffix":""},{"dropping-particle":"","family":"Irving","given":"H","non-dropping-particle":"","parse-names":false,"suffix":""},{"dropping-particle":"","family":"Ndula","given":"M","non-dropping-particle":"","parse-names":false,"suffix":""},{"dropping-particle":"","family":"Barnes","given":"KG","non-dropping-particle":"","parse-names":false,"suffix":""},{"dropping-particle":"","family":"Ibrahim","given":"SS","non-dropping-particle":"","parse-names":false,"suffix":""},{"dropping-particle":"","family":"Paine","given":"MJ","non-dropping-particle":"","parse-names":false,"suffix":""},{"dropping-particle":"","family":"Wondji","given":"CS","non-dropping-particle":"","parse-names":false,"suffix":""},{"dropping-particle":"","family":"Riveron","given":"JM","non-dropping-particle":"","parse-names":false,"suffix":""},{"dropping-particle":"","family":"Yunta","given":"C","non-dropping-particle":"","parse-names":false,"suffix":""},{"dropping-particle":"","family":"Ibrahim","given":"SS","non-dropping-particle":"","parse-names":false,"suffix":""},{"dropping-particle":"","family":"Djouaka","given":"R","non-dropping-particle":"","parse-names":false,"suffix":""},{"dropping-particle":"","family":"Irving","given":"H","non-dropping-particle":"","parse-names":false,"suffix":""},{"dropping-particle":"","family":"Menze","given":"BD","non-dropping-particle":"","parse-names":false,"suffix":""},{"dropping-particle":"","family":"Ismail","given":"HM","non-dropping-particle":"","parse-names":false,"suffix":""},{"dropping-particle":"","family":"Hemingway","given":"J","non-dropping-particle":"","parse-names":false,"suffix":""},{"dropping-particle":"","family":"Ranson","given":"H","non-dropping-particle":"","parse-names":false,"suffix":""},{"dropping-particle":"","family":"Albert","given":"A","non-dropping-particle":"","parse-names":false,"suffix":""},{"dropping-particle":"","family":"Choi","given":"KS","non-dropping-particle":"","parse-names":false,"suffix":""},{"dropping-particle":"","family":"Christian","given":"R","non-dropping-particle":"","parse-names":false,"suffix":""},{"dropping-particle":"","family":"Nardini","given":"L","non-dropping-particle":"","parse-names":false,"suffix":""},{"dropping-particle":"","family":"Wood","given":"OR","non-dropping-particle":"","parse-names":false,"suffix":""},{"dropping-particle":"","family":"Agubuzo","given":"E","non-dropping-particle":"","parse-names":false,"suffix":""},{"dropping-particle":"","family":"Muleba","given":"M","non-dropping-particle":"","parse-names":false,"suffix":""},{"dropping-particle":"","family":"Munyati","given":"S","non-dropping-particle":"","parse-names":false,"suffix":""},{"dropping-particle":"","family":"Makuwaza","given":"A","non-dropping-particle":"","parse-names":false,"suffix":""},{"dropping-particle":"","family":"Koekemoer","given":"LL","non-dropping-particle":"","parse-names":false,"suffix":""},{"dropping-particle":"","family":"Brooke","given":"BD","non-dropping-particle":"","parse-names":false,"suffix":""},{"dropping-particle":"","family":"Thomsen","given":"EK","non-dropping-particle":"","parse-names":false,"suffix":""},{"dropping-particle":"","family":"Strode","given":"C","non-dropping-particle":"","parse-names":false,"suffix":""},{"dropping-particle":"","family":"Hemmings","given":"K","non-dropping-particle":"","parse-names":false,"suffix":""},{"dropping-particle":"","family":"Hughes","given":"AJ","non-dropping-particle":"","parse-names":false,"suffix":""},{"dropping-particle":"","family":"Chanda","given":"E","non-dropping-particle":"","parse-names":false,"suffix":""},{"dropping-particle":"","family":"Musapa","given":"M","non-dropping-particle":"","parse-names":false,"suffix":""},{"dropping-particle":"","family":"Kamuliwo","given":"M","non-dropping-particle":"","parse-names":false,"suffix":""},{"dropping-particle":"","family":"Phiri","given":"FN","non-dropping-particle":"","parse-names":false,"suffix":""},{"dropping-particle":"","family":"Muzia","given":"L","non-dropping-particle":"","parse-names":false,"suffix":""},{"dropping-particle":"","family":"Chanda","given":"J","non-dropping-particle":"","parse-names":false,"suffix":""},{"dropping-particle":"","family":"Wondji","given":"CS","non-dropping-particle":"","parse-names":false,"suffix":""},{"dropping-particle":"","family":"Dabire","given":"RK","non-dropping-particle":"","parse-names":false,"suffix":""},{"dropping-particle":"","family":"Tukur","given":"Z","non-dropping-particle":"","parse-names":false,"suffix":""},{"dropping-particle":"","family":"Irving","given":"H","non-dropping-particle":"","parse-names":false,"suffix":""},{"dropping-particle":"","family":"Djouaka","given":"R","non-dropping-particle":"","parse-names":false,"suffix":""},{"dropping-particle":"","family":"Morgan","given":"JC","non-dropping-particle":"","parse-names":false,"suffix":""},{"dropping-particle":"","family":"Kawada","given":"H","non-dropping-particle":"","parse-names":false,"suffix":""},{"dropping-particle":"","family":"Dida","given":"GO","non-dropping-particle":"","parse-names":false,"suffix":""},{"dropping-particle":"","family":"Ohashi","given":"K","non-dropping-particle":"","parse-names":false,"suffix":""},{"dropping-particle":"","family":"Komagata","given":"O","non-dropping-particle":"","parse-names":false,"suffix":""},{"dropping-particle":"","family":"Kasai","given":"S","non-dropping-particle":"","parse-names":false,"suffix":""},{"dropping-particle":"","family":"Tomita","given":"T","non-dropping-particle":"","parse-names":false,"suffix":""},{"dropping-particle":"","family":"Sonye","given":"G","non-dropping-particle":"","parse-names":false,"suffix":""},{"dropping-particle":"","family":"Maekawa","given":"Y","non-dropping-particle":"","parse-names":false,"suffix":""},{"dropping-particle":"","family":"Mwatele","given":"C","non-dropping-particle":"","parse-names":false,"suffix":""},{"dropping-particle":"","family":"Njenga","given":"SM","non-dropping-particle":"","parse-names":false,"suffix":""},{"dropping-particle":"","family":"Mulamba","given":"C","non-dropping-particle":"","parse-names":false,"suffix":""},{"dropping-particle":"","family":"Riveron","given":"JM","non-dropping-particle":"","parse-names":false,"suffix":""},{"dropping-particle":"","family":"Ibrahim","given":"SS","non-dropping-particle":"","parse-names":false,"suffix":""},{"dropping-particle":"","family":"Irving","given":"H","non-dropping-particle":"","parse-names":false,"suffix":""},{"dropping-particle":"","family":"Barnes","given":"KG","non-dropping-particle":"","parse-names":false,"suffix":""},{"dropping-particle":"","family":"Mukwaya","given":"LG","non-dropping-particle":"","parse-names":false,"suffix":""},{"dropping-particle":"","family":"Birungi","given":"J","non-dropping-particle":"","parse-names":false,"suffix":""},{"dropping-particle":"","family":"Wondji","given":"CS","non-dropping-particle":"","parse-names":false,"suffix":""},{"dropping-particle":"","family":"Okoye","given":"PN","non-dropping-particle":"","parse-names":false,"suffix":""},{"dropping-particle":"","family":"Brooke","given":"BD","non-dropping-particle":"","parse-names":false,"suffix":""},{"dropping-particle":"","family":"Koekemoer","given":"LL","non-dropping-particle":"","parse-names":false,"suffix":""},{"dropping-particle":"","family":"Hunt","given":"RH","non-dropping-particle":"","parse-names":false,"suffix":""},{"dropping-particle":"","family":"Coetzee","given":"M","non-dropping-particle":"","parse-names":false,"suffix":""},{"dropping-particle":"","family":"Djouaka","given":"R","non-dropping-particle":"","parse-names":false,"suffix":""},{"dropping-particle":"","family":"Irving","given":"H","non-dropping-particle":"","parse-names":false,"suffix":""},{"dropping-particle":"","family":"Tukur","given":"Z","non-dropping-particle":"","parse-names":false,"suffix":""},{"dropping-particle":"","family":"Wondji","given":"CS","non-dropping-particle":"","parse-names":false,"suffix":""},{"dropping-particle":"","family":"Ndiath","given":"MO","non-dropping-particle":"","parse-names":false,"suffix":""},{"dropping-particle":"","family":"Sougoufara","given":"S","non-dropping-particle":"","parse-names":false,"suffix":""},{"dropping-particle":"","family":"Gaye","given":"A","non-dropping-particle":"","parse-names":false,"suffix":""},{"dropping-particle":"","family":"Mazenot","given":"C","non-dropping-particle":"","parse-names":false,"suffix":""},{"dropping-particle":"","family":"Konate","given":"L","non-dropping-particle":"","parse-names":false,"suffix":""},{"dropping-particle":"","family":"Faye","given":"O","non-dropping-particle":"","parse-names":false,"suffix":""},{"dropping-particle":"","family":"Sokhna","given":"C","non-dropping-particle":"","parse-names":false,"suffix":""},{"dropping-particle":"","family":"Trape","given":"JF","non-dropping-particle":"","parse-names":false,"suffix":""},{"dropping-particle":"","family":"Ndiath","given":"MO","non-dropping-particle":"","parse-names":false,"suffix":""},{"dropping-particle":"","family":"Cailleau","given":"A","non-dropping-particle":"","parse-names":false,"suffix":""},{"dropping-particle":"","family":"Orlandi-Pradines","given":"E","non-dropping-particle":"","parse-names":false,"suffix":""},{"dropping-particle":"","family":"Bessell","given":"P","non-dropping-particle":"","parse-names":false,"suffix":""},{"dropping-particle":"","family":"Pages","given":"F","non-dropping-particle":"","parse-names":false,"suffix":""},{"dropping-particle":"","family":"Trape","given":"JF","non-dropping-particle":"","parse-names":false,"suffix":""},{"dropping-particle":"","family":"Rogier","given":"C","non-dropping-particle":"","parse-names":false,"suffix":""},{"dropping-particle":"","family":"Thwing","given":"JI","non-dropping-particle":"","parse-names":false,"suffix":""},{"dropping-particle":"","family":"Perry","given":"RT","non-dropping-particle":"","parse-names":false,"suffix":""},{"dropping-particle":"","family":"Townes","given":"DA","non-dropping-particle":"","parse-names":false,"suffix":""},{"dropping-particle":"","family":"Diouf","given":"MB","non-dropping-particle":"","parse-names":false,"suffix":""},{"dropping-particle":"","family":"Ndiaye","given":"S","non-dropping-particle":"","parse-names":false,"suffix":""},{"dropping-particle":"","family":"Thior","given":"M","non-dropping-particle":"","parse-names":false,"suffix":""},{"dropping-particle":"","family":"Morgan","given":"JC","non-dropping-particle":"","parse-names":false,"suffix":""},{"dropping-particle":"","family":"Irving","given":"H","non-dropping-particle":"","parse-names":false,"suffix":""},{"dropping-particle":"","family":"Okedi","given":"LM","non-dropping-particle":"","parse-names":false,"suffix":""},{"dropping-particle":"","family":"Steven","given":"A","non-dropping-particle":"","parse-names":false,"suffix":""},{"dropping-particle":"","family":"Wondji","given":"CS","non-dropping-particle":"","parse-names":false,"suffix":""},{"dropping-particle":"","family":"Gillies","given":"MT","non-dropping-particle":"","parse-names":false,"suffix":""},{"dropping-particle":"","family":"Coetzee","given":"M","non-dropping-particle":"","parse-names":false,"suffix":""},{"dropping-particle":"","family":"Livak","given":"KJ","non-dropping-particle":"","parse-names":false,"suffix":""},{"dropping-particle":"","family":"Koekemoer","given":"LL","non-dropping-particle":"","parse-names":false,"suffix":""},{"dropping-particle":"","family":"Kamau","given":"L","non-dropping-particle":"","parse-names":false,"suffix":""},{"dropping-particle":"","family":"Hunt","given":"RH","non-dropping-particle":"","parse-names":false,"suffix":""},{"dropping-particle":"","family":"Coetzee","given":"M","non-dropping-particle":"","parse-names":false,"suffix":""},{"dropping-particle":"","family":"Crawford","given":"JE","non-dropping-particle":"","parse-names":false,"suffix":""},{"dropping-particle":"","family":"Guelbeogo","given":"WM","non-dropping-particle":"","parse-names":false,"suffix":""},{"dropping-particle":"","family":"Sanou","given":"A","non-dropping-particle":"","parse-names":false,"suffix":""},{"dropping-particle":"","family":"Traore","given":"A","non-dropping-particle":"","parse-names":false,"suffix":""},{"dropping-particle":"","family":"Vernick","given":"KD","non-dropping-particle":"","parse-names":false,"suffix":""},{"dropping-particle":"","family":"Sagnon","given":"N","non-dropping-particle":"","parse-names":false,"suffix":""},{"dropping-particle":"","family":"Lazzaro","given":"BP","non-dropping-particle":"","parse-names":false,"suffix":""},{"dropping-particle":"","family":"Schmittgen","given":"TD","non-dropping-particle":"","parse-names":false,"suffix":""},{"dropping-particle":"","family":"Livak","given":"KJ","non-dropping-particle":"","parse-names":false,"suffix":""},{"dropping-particle":"","family":"Cuamba","given":"N","non-dropping-particle":"","parse-names":false,"suffix":""},{"dropping-particle":"","family":"Morgan","given":"JC","non-dropping-particle":"","parse-names":false,"suffix":""},{"dropping-particle":"","family":"Irving","given":"H","non-dropping-particle":"","parse-names":false,"suffix":""},{"dropping-particle":"","family":"Steven","given":"A","non-dropping-particle":"","parse-names":false,"suffix":""},{"dropping-particle":"","family":"Wondji","given":"CS","non-dropping-particle":"","parse-names":false,"suffix":""},{"dropping-particle":"","family":"Riveron","given":"JM","non-dropping-particle":"","parse-names":false,"suffix":""},{"dropping-particle":"","family":"Chiumia","given":"M","non-dropping-particle":"","parse-names":false,"suffix":""},{"dropping-particle":"","family":"Menze","given":"BD","non-dropping-particle":"","parse-names":false,"suffix":""},{"dropping-particle":"","family":"Barnes","given":"KG","non-dropping-particle":"","parse-names":false,"suffix":""},{"dropping-particle":"","family":"Irving","given":"H","non-dropping-particle":"","parse-names":false,"suffix":""},{"dropping-particle":"","family":"Ibrahim","given":"SS","non-dropping-particle":"","parse-names":false,"suffix":""},{"dropping-particle":"","family":"Weedall","given":"GD","non-dropping-particle":"","parse-names":false,"suffix":""},{"dropping-particle":"","family":"Mzilahowa","given":"T","non-dropping-particle":"","parse-names":false,"suffix":""},{"dropping-particle":"","family":"Wondji","given":"CS","non-dropping-particle":"","parse-names":false,"suffix":""},{"dropping-particle":"","family":"Coetzee","given":"M","non-dropping-particle":"","parse-names":false,"suffix":""},{"dropping-particle":"","family":"Wyk","given":"P","non-dropping-particle":"","parse-names":false,"suffix":""},{"dropping-particle":"","family":"Booman","given":"M","non-dropping-particle":"","parse-names":false,"suffix":""},{"dropping-particle":"","family":"Koekemoer","given":"LL","non-dropping-particle":"","parse-names":false,"suffix":""},{"dropping-particle":"","family":"Hunt","given":"RH","non-dropping-particle":"","parse-names":false,"suffix":""},{"dropping-particle":"","family":"Kloke","given":"RG","non-dropping-particle":"","parse-names":false,"suffix":""},{"dropping-particle":"","family":"Nhamahanga","given":"E","non-dropping-particle":"","parse-names":false,"suffix":""},{"dropping-particle":"","family":"Hunt","given":"RH","non-dropping-particle":"","parse-names":false,"suffix":""},{"dropping-particle":"","family":"Coetzee","given":"M","non-dropping-particle":"","parse-names":false,"suffix":""},{"dropping-particle":"","family":"Scollon","given":"EJ","non-dropping-particle":"","parse-names":false,"suffix":""},{"dropping-particle":"","family":"Starr","given":"JM","non-dropping-particle":"","parse-names":false,"suffix":""},{"dropping-particle":"","family":"Godin","given":"SJ","non-dropping-particle":"","parse-names":false,"suffix":""},{"dropping-particle":"","family":"DeVito","given":"MJ","non-dropping-particle":"","parse-names":false,"suffix":""},{"dropping-particle":"","family":"Hughes","given":"MF","non-dropping-particle":"","parse-names":false,"suffix":""},{"dropping-particle":"","family":"Ibrahim","given":"SS","non-dropping-particle":"","parse-names":false,"suffix":""},{"dropping-particle":"","family":"Riveron","given":"JM","non-dropping-particle":"","parse-names":false,"suffix":""},{"dropping-particle":"","family":"Stott","given":"R","non-dropping-particle":"","parse-names":false,"suffix":""},{"dropping-particle":"","family":"Irving","given":"H","non-dropping-particle":"","parse-names":false,"suffix":""},{"dropping-particle":"","family":"Wondji","given":"CS","non-dropping-particle":"","parse-names":false,"suffix":""},{"dropping-particle":"","family":"Hargreaves","given":"K","non-dropping-particle":"","parse-names":false,"suffix":""},{"dropping-particle":"","family":"Coetzee","given":"M","non-dropping-particle":"","parse-names":false,"suffix":""},{"dropping-particle":"","family":"Koekemoer","given":"LL","non-dropping-particle":"","parse-names":false,"suffix":""},{"dropping-particle":"","family":"Diabate","given":"A","non-dropping-particle":"","parse-names":false,"suffix":""},{"dropping-particle":"","family":"Baldet","given":"T","non-dropping-particle":"","parse-names":false,"suffix":""},{"dropping-particle":"","family":"Chandre","given":"F","non-dropping-particle":"","parse-names":false,"suffix":""},{"dropping-particle":"","family":"Akoo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Djegbe","given":"I","non-dropping-particle":"","parse-names":false,"suffix":""},{"dropping-particle":"","family":"Boussari","given":"O","non-dropping-particle":"","parse-names":false,"suffix":""},{"dropping-particle":"","family":"Sidick","given":"A","non-dropping-particle":"","parse-names":false,"suffix":""},{"dropping-particle":"","family":"Martin","given":"T","non-dropping-particle":"","parse-names":false,"suffix":""},{"dropping-particle":"","family":"Ranson","given":"H","non-dropping-particle":"","parse-names":false,"suffix":""},{"dropping-particle":"","family":"Chandre","given":"F","non-dropping-particle":"","parse-names":false,"suffix":""},{"dropping-particle":"","family":"Akogbeto","given":"M","non-dropping-particle":"","parse-names":false,"suffix":""},{"dropping-particle":"","family":"Corbel","given":"V","non-dropping-particle":"","parse-names":false,"suffix":""},{"dropping-particle":"","family":"Dabire","given":"RK","non-dropping-particle":"","parse-names":false,"suffix":""},{"dropping-particle":"","family":"Namountougou","given":"M","non-dropping-particle":"","parse-names":false,"suffix":""},{"dropping-particle":"","family":"Sawadogo","given":"SP","non-dropping-particle":"","parse-names":false,"suffix":""},{"dropping-particle":"","family":"Yaro","given":"LB","non-dropping-particle":"","parse-names":false,"suffix":""},{"dropping-particle":"","family":"Toe","given":"HK","non-dropping-particle":"","parse-names":false,"suffix":""},{"dropping-particle":"","family":"Ouari","given":"A","non-dropping-particle":"","parse-names":false,"suffix":""},{"dropping-particle":"","family":"Gouagna","given":"LC","non-dropping-particle":"","parse-names":false,"suffix":""},{"dropping-particle":"","family":"Simard","given":"F","non-dropping-particle":"","parse-names":false,"suffix":""},{"dropping-particle":"","family":"Chandre","given":"F","non-dropping-particle":"","parse-names":false,"suffix":""},{"dropping-particle":"","family":"Baldet","given":"T","non-dropping-particle":"","parse-names":false,"suffix":""},{"dropping-particle":"","family":"Samb","given":"B","non-dropping-particle":"","parse-names":false,"suffix":""},{"dropping-particle":"","family":"Dia","given":"I","non-dropping-particle":"","parse-names":false,"suffix":""},{"dropping-particle":"","family":"Konate","given":"L","non-dropping-particle":"","parse-names":false,"suffix":""},{"dropping-particle":"","family":"Ayala","given":"D","non-dropping-particle":"","parse-names":false,"suffix":""},{"dropping-particle":"","family":"Fontenille","given":"D","non-dropping-particle":"","parse-names":false,"suffix":""},{"dropping-particle":"","family":"Cohuet","given":"A","non-dropping-particle":"","parse-names":false,"suffix":""},{"dropping-particle":"","family":"Riveron","given":"JM","non-dropping-particle":"","parse-names":false,"suffix":""},{"dropping-particle":"","family":"Ibrahim","given":"SS","non-dropping-particle":"","parse-names":false,"suffix":""},{"dropping-particle":"","family":"Chanda","given":"E","non-dropping-particle":"","parse-names":false,"suffix":""},{"dropping-particle":"","family":"Mzilahowa","given":"T","non-dropping-particle":"","parse-names":false,"suffix":""},{"dropping-particle":"","family":"Cuamba","given":"N","non-dropping-particle":"","parse-names":false,"suffix":""},{"dropping-particle":"","family":"Irving","given":"H","non-dropping-particle":"","parse-names":false,"suffix":""},{"dropping-particle":"","family":"Barnes","given":"KG","non-dropping-particle":"","parse-names":false,"suffix":""},{"dropping-particle":"","family":"Ndula","given":"M","non-dropping-particle":"","parse-names":false,"suffix":""},{"dropping-particle":"","family":"Wondji","given":"CS","non-dropping-particle":"","parse-names":false,"suffix":""},{"dropping-particle":"","family":"Amenya","given":"DA","non-dropping-particle":"","parse-names":false,"suffix":""},{"dropping-particle":"","family":"Naguran","given":"R","non-dropping-particle":"","parse-names":false,"suffix":""},{"dropping-particle":"","family":"Lo","given":"TC","non-dropping-particle":"","parse-names":false,"suffix":""},{"dropping-particle":"","family":"Ranson","given":"H","non-dropping-particle":"","parse-names":false,"suffix":""},{"dropping-particle":"","family":"Spillings","given":"BL","non-dropping-particle":"","parse-names":false,"suffix":""},{"dropping-particle":"","family":"Wood","given":"OR","non-dropping-particle":"","parse-names":false,"suffix":""},{"dropping-particle":"","family":"Brooke","given":"BD","non-dropping-particle":"","parse-names":false,"suffix":""},{"dropping-particle":"","family":"Coetzee","given":"M","non-dropping-particle":"","parse-names":false,"suffix":""},{"dropping-particle":"","family":"Koekemoer","given":"LL","non-dropping-particle":"","parse-names":false,"suffix":""},{"dropping-particle":"","family":"Wondji","given":"CS","non-dropping-particle":"","parse-names":false,"suffix":""},{"dropping-particle":"","family":"Irving","given":"H","non-dropping-particle":"","parse-names":false,"suffix":""},{"dropping-particle":"","family":"Morgan","given":"J","non-dropping-particle":"","parse-names":false,"suffix":""},{"dropping-particle":"","family":"Lobo","given":"NF","non-dropping-particle":"","parse-names":false,"suffix":""},{"dropping-particle":"","family":"Collins","given":"FH","non-dropping-particle":"","parse-names":false,"suffix":""},{"dropping-particle":"","family":"Hunt","given":"RH","non-dropping-particle":"","parse-names":false,"suffix":""},{"dropping-particle":"","family":"Coetzee","given":"M","non-dropping-particle":"","parse-names":false,"suffix":""},{"dropping-particle":"","family":"Hemingway","given":"J","non-dropping-particle":"","parse-names":false,"suffix":""},{"dropping-particle":"","family":"Ranson","given":"H","non-dropping-particle":"","parse-names":false,"suffix":""},{"dropping-particle":"","family":"Mitchell","given":"SN","non-dropping-particle":"","parse-names":false,"suffix":""},{"dropping-particle":"","family":"Stevenson","given":"BJ","non-dropping-particle":"","parse-names":false,"suffix":""},{"dropping-particle":"","family":"Müller","given":"P","non-dropping-particle":"","parse-names":false,"suffix":""},{"dropping-particle":"","family":"Wilding","given":"CS","non-dropping-particle":"","parse-names":false,"suffix":""},{"dropping-particle":"","family":"Egyir-Yawson","given":"A","non-dropping-particle":"","parse-names":false,"suffix":""},{"dropping-particle":"","family":"Field","given":"SG","non-dropping-particle":"","parse-names":false,"suffix":""},{"dropping-particle":"","family":"Hemingway","given":"J","non-dropping-particle":"","parse-names":false,"suffix":""},{"dropping-particle":"","family":"Paine","given":"MJI","non-dropping-particle":"","parse-names":false,"suffix":""},{"dropping-particle":"","family":"Ranson","given":"H","non-dropping-particle":"","parse-names":false,"suffix":""},{"dropping-particle":"","family":"Donnelly","given":"MJ","non-dropping-particle":"","parse-names":false,"suffix":""},{"dropping-particle":"","family":"Rongnoparut","given":"P","non-dropping-particle":"","parse-names":false,"suffix":""},{"dropping-particle":"","family":"Boonsuepsakul","given":"S","non-dropping-particle":"","parse-names":false,"suffix":""},{"dropping-particle":"","family":"Chareonviriyaphap","given":"T","non-dropping-particle":"","parse-names":false,"suffix":""},{"dropping-particle":"","family":"Thanomsing","given":"N","non-dropping-particle":"","parse-names":false,"suffix":""},{"dropping-particle":"","family":"Rodpradit","given":"P","non-dropping-particle":"","parse-names":false,"suffix":""},{"dropping-particle":"","family":"Boonsuepsakul","given":"S","non-dropping-particle":"","parse-names":false,"suffix":""},{"dropping-particle":"","family":"Chareonviriyaphap","given":"T","non-dropping-particle":"","parse-names":false,"suffix":""},{"dropping-particle":"","family":"Bangs","given":"MJ","non-dropping-particle":"","parse-names":false,"suffix":""},{"dropping-particle":"","family":"Rongnoparut","given":"P","non-dropping-particle":"","parse-names":false,"suffix":""},{"dropping-particle":"","family":"Kasai","given":"S","non-dropping-particle":"","parse-names":false,"suffix":""},{"dropping-particle":"","family":"Scott","given":"JG","non-dropping-particle":"","parse-names":false,"suffix":""},{"dropping-particle":"","family":"Zhu","given":"F","non-dropping-particle":"","parse-names":false,"suffix":""},{"dropping-particle":"","family":"Parthasarathy","given":"R","non-dropping-particle":"","parse-names":false,"suffix":""},{"dropping-particle":"","family":"Bai","given":"H","non-dropping-particle":"","parse-names":false,"suffix":""},{"dropping-particle":"","family":"Woithe","given":"K","non-dropping-particle":"","parse-names":false,"suffix":""},{"dropping-particle":"","family":"Kaussmann","given":"M","non-dropping-particle":"","parse-names":false,"suffix":""},{"dropping-particle":"","family":"Nauen","given":"R","non-dropping-particle":"","parse-names":false,"suffix":""},{"dropping-particle":"","family":"Harrison","given":"DA","non-dropping-particle":"","parse-names":false,"suffix":""},{"dropping-particle":"","family":"Palli","given":"SR","non-dropping-particle":"","parse-names":false,"suffix":""},{"dropping-particle":"","family":"Feyereisen","given":"R","non-dropping-particle":"","parse-names":false,"suffix":""},{"dropping-particle":"","family":"Brooke","given":"BD","non-dropping-particle":"","parse-names":false,"suffix":""},{"dropping-particle":"","family":"Kloke","given":"G","non-dropping-particle":"","parse-names":false,"suffix":""},{"dropping-particle":"","family":"Hunt","given":"RH","non-dropping-particle":"","parse-names":false,"suffix":""},{"dropping-particle":"","family":"Koekemoer","given":"LL","non-dropping-particle":"","parse-names":false,"suffix":""},{"dropping-particle":"","family":"Temu","given":"EA","non-dropping-particle":"","parse-names":false,"suffix":""},{"dropping-particle":"","family":"Taylor","given":"ME","non-dropping-particle":"","parse-names":false,"suffix":""},{"dropping-particle":"","family":"Small","given":"G","non-dropping-particle":"","parse-names":false,"suffix":""},{"dropping-particle":"","family":"Hemingway","given":"J","non-dropping-particle":"","parse-names":false,"suffix":""},{"dropping-particle":"","family":"Coetzee","given":"M","non-dropping-particle":"","parse-names":false,"suffix":""},{"dropping-particle":"","family":"Casimiro","given":"SL","non-dropping-particle":"","parse-names":false,"suffix":""},{"dropping-particle":"","family":"Hemingway","given":"J","non-dropping-particle":"","parse-names":false,"suffix":""},{"dropping-particle":"","family":"Sharp","given":"BL","non-dropping-particle":"","parse-names":false,"suffix":""},{"dropping-particle":"","family":"Coleman","given":"M","non-dropping-particle":"","parse-names":false,"suffix":""},{"dropping-particle":"","family":"Hunt","given":"RH","non-dropping-particle":"","parse-names":false,"suffix":""},{"dropping-particle":"","family":"Brooke","given":"BD","non-dropping-particle":"","parse-names":false,"suffix":""},{"dropping-particle":"","family":"Pillay","given":"C","non-dropping-particle":"","parse-names":false,"suffix":""},{"dropping-particle":"","family":"Koekemoer","given":"LL","non-dropping-particle":"","parse-names":false,"suffix":""},{"dropping-particle":"","family":"Coetzee","given":"M","non-dropping-particle":"","parse-names":false,"suffix":""},{"dropping-particle":"","family":"Christian","given":"RN","non-dropping-particle":"","parse-names":false,"suffix":""},{"dropping-particle":"","family":"Matambo","given":"TS","non-dropping-particle":"","parse-names":false,"suffix":""},{"dropping-particle":"","family":"Spillings","given":"BL","non-dropping-particle":"","parse-names":false,"suffix":""},{"dropping-particle":"","family":"Brooke","given":"BD","non-dropping-particle":"","parse-names":false,"suffix":""},{"dropping-particle":"","family":"Coetzee","given":"M","non-dropping-particle":"","parse-names":false,"suffix":""},{"dropping-particle":"","family":"Koekemoer","given":"LL","non-dropping-particle":"","parse-names":false,"suffix":""}],"container-title":"Parasites &amp; Vectors","id":"ITEM-3","issue":"1","issued":{"date-parts":[["2016"]]},"page":"449","title":"Investigating molecular basis of lambda-cyhalothrin resistance in an Anopheles funestus population from Senegal","type":"article-journal","volume":"9"},"uris":["http://www.mendeley.com/documents/?uuid=426fa0e4-2f80-4218-8560-3f2443445d7e","http://www.mendeley.com/documents/?uuid=7acaa159-64c8-4eb6-8256-06a5e0a1a9ca"]}],"mendeley":{"formattedCitation":"[6–8]","plainTextFormattedCitation":"[6–8]","previouslyFormattedCitation":"(6–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[6–8]</w:t>
      </w:r>
      <w:r w:rsidRPr="00CD231A">
        <w:rPr>
          <w:rFonts w:ascii="Times New Roman" w:hAnsi="Times New Roman" w:cs="Times New Roman"/>
        </w:rPr>
        <w:fldChar w:fldCharType="end"/>
      </w:r>
      <w:r w:rsidRPr="00CD231A">
        <w:rPr>
          <w:rFonts w:ascii="Times New Roman" w:hAnsi="Times New Roman" w:cs="Times New Roman"/>
        </w:rPr>
        <w:t xml:space="preserve">. Nevertheless, populations within the same region may share similar resistance mechanisms, which might be a consequence of gene flow across these regions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ONE","id":"ITEM-1","issue":"10","issued":{"date-parts":[["2014"]]},"page":"1-10","title":"Widespread pyrethroid and DDT resistance in the major malaria vector anopheles funestus in East Africa is driven by metabolic resistance mechanisms","type":"article-journal","volume":"9"},"uris":["http://www.mendeley.com/documents/?uuid=b7a90190-78fd-433b-ba9d-797f9b3dac6e"]}],"mendeley":{"formattedCitation":"[6]","plainTextFormattedCitation":"[6]","previouslyFormattedCitation":"(6)"},"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[6]</w:t>
      </w:r>
      <w:r w:rsidRPr="00CD231A">
        <w:rPr>
          <w:rFonts w:ascii="Times New Roman" w:hAnsi="Times New Roman" w:cs="Times New Roman"/>
        </w:rPr>
        <w:fldChar w:fldCharType="end"/>
      </w:r>
      <w:r w:rsidRPr="00CD231A">
        <w:rPr>
          <w:rFonts w:ascii="Times New Roman" w:hAnsi="Times New Roman" w:cs="Times New Roman"/>
        </w:rPr>
        <w:t xml:space="preserve">. </w:t>
      </w:r>
    </w:p>
    <w:p w14:paraId="00AF8F7E" w14:textId="7AE21E05" w:rsidR="00BF5696" w:rsidRPr="00CD231A" w:rsidRDefault="00BF5696" w:rsidP="00BF5696">
      <w:pPr>
        <w:spacing w:line="480" w:lineRule="auto"/>
        <w:jc w:val="both"/>
        <w:rPr>
          <w:rFonts w:ascii="Times New Roman" w:hAnsi="Times New Roman" w:cs="Times New Roman"/>
          <w:lang w:val="fr-FR"/>
        </w:rPr>
      </w:pPr>
      <w:r w:rsidRPr="00CD231A">
        <w:rPr>
          <w:rFonts w:ascii="Times New Roman" w:hAnsi="Times New Roman" w:cs="Times New Roman"/>
        </w:rPr>
        <w:tab/>
        <w:t>T</w:t>
      </w:r>
      <w:r w:rsidR="00617F96" w:rsidRPr="00CD231A">
        <w:rPr>
          <w:rFonts w:ascii="Times New Roman" w:hAnsi="Times New Roman" w:cs="Times New Roman"/>
        </w:rPr>
        <w:t>o</w:t>
      </w:r>
      <w:r w:rsidRPr="00CD231A">
        <w:rPr>
          <w:rFonts w:ascii="Times New Roman" w:hAnsi="Times New Roman" w:cs="Times New Roman"/>
        </w:rPr>
        <w:t xml:space="preserve"> date, metabolic-based mechanisms have been the main driver of insecticide resistance in </w:t>
      </w:r>
      <w:r w:rsidRPr="00CD231A">
        <w:rPr>
          <w:rFonts w:ascii="Times New Roman" w:hAnsi="Times New Roman" w:cs="Times New Roman"/>
          <w:i/>
        </w:rPr>
        <w:t>An. funestus s.l.</w:t>
      </w:r>
      <w:r w:rsidRPr="00CD231A">
        <w:rPr>
          <w:rFonts w:ascii="Times New Roman" w:hAnsi="Times New Roman" w:cs="Times New Roman"/>
        </w:rPr>
        <w:t xml:space="preserv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ONE","id":"ITEM-1","issue":"10","issued":{"date-parts":[["2014"]]},"page":"1-10","title":"Widespread pyrethroid and DDT resistance in the major malaria vector anopheles funestus in East Africa is driven by metabolic resistance mechanisms","type":"article-journal","volume":"9"},"uris":["http://www.mendeley.com/documents/?uuid=b7a90190-78fd-433b-ba9d-797f9b3dac6e"]},{"id":"ITEM-2","itemData":{"DOI":"10.1186/s12936-015-0877-y","ISSN":"1475-2875","PMID":"26370361","abstract":"BACKGROUND: Deciphering the dynamics and evolution of insecticide resistance in malaria vectors is crucial for successful vector control. This study reports an increase of resistance intensity and a rise of multiple insecticide resistance in Anopheles funestus in Malawi leading to reduced bed net efficacy.\\n\\nMETHODS: Anopheles funestus group mosquitoes were collected in southern Malawi and the species composition, Plasmodium infection rate, susceptibility to insecticides and molecular bases of the resistance were analysed.\\n\\nRESULTS: Mosquito collection revealed a predominance of An. funestus group mosquitoes with a high hybrid rate (12.2 %) suggesting extensive species hybridization. An. funestus sensu stricto was the main Plasmodium vector (4.8 % infection). Consistently high levels of resistance to pyrethroid and carbamate insecticides were recorded and had increased between 2009 and 2014. Furthermore, the 2014 collection exhibited multiple insecticide resistance, notably to DDT, contrary to 2009. Increased pyrethroid resistance correlates with reduced efficacy of bed nets (&lt;5 % mortality by Olyset(®) net), which can compromise control efforts. This change in resistance dynamics is mirrored by prevalent resistance mechanisms, firstly with increased over-expression of key pyrethroid resistance genes (CYP6Pa/b and CYP6M7) in 2014 and secondly, detection of the A296S-RDL dieldrin resistance mutation for the first time. However, the L119F-GSTe2 and kdr mutations were absent.\\n\\nCONCLUSIONS: Such increased resistance levels and rise of multiple resistance highlight the need to rapidly implement resistance management strategies to preserve the effectiveness of existing insecticide-based control interventions.","author":[{"dropping-particle":"","family":"Riveron","given":"Jacob M","non-dropping-particle":"","parse-names":false,"suffix":""},{"dropping-particle":"","family":"Chiumia","given":"Martin","non-dropping-particle":"","parse-names":false,"suffix":""},{"dropping-particle":"","family":"Menze","given":"Benjamin D","non-dropping-particle":"","parse-names":false,"suffix":""},{"dropping-particle":"","family":"Barnes","given":"Kayla G","non-dropping-particle":"","parse-names":false,"suffix":""},{"dropping-particle":"","family":"Irving","given":"Helen","non-dropping-particle":"","parse-names":false,"suffix":""},{"dropping-particle":"","family":"Ibrahim","given":"Sulaiman S","non-dropping-particle":"","parse-names":false,"suffix":""},{"dropping-particle":"","family":"Weedall","given":"Gareth D","non-dropping-particle":"","parse-names":false,"suffix":""},{"dropping-particle":"","family":"Mzilahowa","given":"Themba","non-dropping-particle":"","parse-names":false,"suffix":""},{"dropping-particle":"","family":"Wondji","given":"Charles S","non-dropping-particle":"","parse-names":false,"suffix":""}],"container-title":"Malaria journal","id":"ITEM-2","issued":{"date-parts":[["2015"]]},"page":"344","publisher":"BioMed Central","title":"Rise of multiple insecticide resistance in Anopheles funestus in Malawi: a major concern for malaria vector control.","type":"article-journal","volume":"14"},"uris":["http://www.mendeley.com/documents/?uuid=b398975d-b211-4f63-8e02-f7367531ca0d"]},{"id":"ITEM-3","itemData":{"DOI":"10.1371/journal.pone.0163261","ISSN":"1932-6203","abstract":"Background Despite the recent progress in establishing the patterns of insecticide resistance in the major malaria vector Anopheles funestus, Central African populations of this species remain largely uncharacterised. To bridge this important gap and facilitate the implementa- tion of suitable control strategies against this vector, we characterised the resistance pat- terns of An. funestus population from northern Cameroon. Methods and Findings Collection of indoor-resting female mosquitoes in Gounougou (northern Cameroon) in 2012 and 2015 revealed a predominance of An. funestus during dry season.WHObioas- says performed using F1 An. funestus revealed that the population was multiple resistant to several insecticide classes including pyrethroids (permethrin, deltamethrin, lambda-cyhalo- thrin and etofenprox), carbamates (bendiocarb) and organochlorines (DDT and dieldrin). However, a full susceptibility was observed against the organophosphate malathion. Bioas- says performed with 2015 collection revealed that resistance against pyrethroids and DDT is increasing. PBO synergist assays revealed a significant recovery of susceptibility for all pyrethroids but less for DDT. Analysis of the polymorphismof a portion of the voltage-gated sodium channel gene (VGSC) revealed the absence of the L1014F/S kdr mutation but iden- tified 3 novel amino acid changes I877L, V881L and A1007S. However, no association was established between VGSC polymorphismand pyrethroid/DDT resistance. The DDT resis- tant 119F-GSTe2 allele (52%) and the dieldrin resistant 296S-RDL allele (45%) were detected in Gounougou. Temporal analysis between 2006, 2012 and 2015 collections revealed that the 119F-GSTe2 allele was relatively stable whereas a significant decrease is observed for 296S-RDL allele. Conclusion This multiple resistance coupled with the temporal increased in resistance intensity high- lights the need to take urgent measures to prolong the efficacy of current insecticide-based interventions against An. funestus in this African region.","author":[{"dropping-particle":"","family":"Menze","given":"Benjamin D","non-dropping-particle":"","parse-names":false,"suffix":""},{"dropping-particle":"","family":"Riveron","given":"Jacob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Antonio-Nkondjio","given":"Christophe","non-dropping-particle":"","parse-names":false,"suffix":""},{"dropping-particle":"","family":"Awono-Ambene","given":"Parfait H","non-dropping-particle":"","parse-names":false,"suffix":""},{"dropping-particle":"","family":"Wondji","given":"Charles S","non-dropping-particle":"","parse-names":false,"suffix":""}],"container-title":"PLoS ONE","id":"ITEM-3","issue":"10","issued":{"date-parts":[["2016"]]},"page":"1-14","title":"Multiple Insecticide Resistance in the Malaria Vector Anopheles funestus from Northern Cameroon Is Mediated by Metabolic Resistance Alongside Potential Target Site Insensitivity Mutations","type":"article-journal","volume":"11"},"uris":["http://www.mendeley.com/documents/?uuid=39f9c38d-4162-4f2c-b94a-6af3028c10b4","http://www.mendeley.com/documents/?uuid=ee7998a1-4ce0-4738-ae2f-355c591e6d68","http://www.mendeley.com/documents/?uuid=898d7907-72c6-461f-9351-d93bb4d5acfe"]},{"id":"ITEM-4","itemData":{"DOI":"10.1186/s13071-016-1735-7","ISSN":"1756-3305","abstract":"Anopheles funestus is one of the major malaria vectors in tropical Africa, notably in Senegal. The highly anthropophilic and endophilic behaviours of this mosquito make it a good target for vector control operations through the use of insecticide treated nets, long-lasting insecticide nets and indoor residual spraying. However, little is known about patterns of resistance to insecticides and the underlying resistance mechanisms in field populations of this vector in Senegal. Here, we assessed the susceptibility status of An. funestus populations from Gankette Balla, located in northern Senegal and investigated the potential resistance mechanisms. WHO bioassays indicated that An. funestus is resistant to lambda-cyhalothrin 0.05 % (74.64 % mortality), DDT 4 % (83.36 % mortality) and deltamethrin 0.05 % (88.53 % mortality). Suspected resistance was observed to permethrin 0.75 % (91.19 % mortality), bendiocarb 0.1 % (94.13 % mortality) and dieldrin 4 % (96.41 % mortality). However, this population is fully susceptible to malathion 5 % (100 % mortality) and fenitrothion 1 % (100 % mortality). The microarray and qRT-PCR analysis indicated that the lambda-cyhalothrin resistance in Gankette Balla is conferred by metabolic resistance mechanisms under the probable control of cytochrome P450 genes among which CYP6M7 is the most overexpressed. The absence of overexpression of the P450 gene, CYP6P9a, indicates that the resistance mechanism in Senegal is different to that observed in southern Africa. This study represents the first report of pyrethroid and DDT resistance in An. funestus from Senegal and shows that resistance to insecticides is not only confined to An. gambiae as previously thought. Therefore, urgent action should be taken to manage the resistance in this species to ensure the continued effectiveness of malaria control.","author":[{"dropping-particle":"","family":"Samb","given":"Badara","non-dropping-particle":"","parse-names":false,"suffix":""},{"dropping-particle":"","family":"Konate","given":"Lassana","non-dropping-particle":"","parse-names":false,"suffix":""},{"dropping-particle":"","family":"Irving","given":"Helen","non-dropping-particle":"","parse-names":false,"suffix":""},{"dropping-particle":"","family":"Riveron","given":"Jacob M.","non-dropping-particle":"","parse-names":false,"suffix":""},{"dropping-particle":"","family":"Dia","given":"Ibrahima","non-dropping-particle":"","parse-names":false,"suffix":""},{"dropping-particle":"","family":"Faye","given":"Ousmane","non-dropping-particle":"","parse-names":false,"suffix":""},{"dropping-particle":"","family":"Wondji","given":"Charles S.","non-dropping-particle":"","parse-names":false,"suffix":""},{"dropping-particle":"","family":"Riveron","given":"JM","non-dropping-particle":"","parse-names":false,"suffix":""},{"dropping-particle":"","family":"Irving","given":"H","non-dropping-particle":"","parse-names":false,"suffix":""},{"dropping-particle":"","family":"Ndula","given":"M","non-dropping-particle":"","parse-names":false,"suffix":""},{"dropping-particle":"","family":"Barnes","given":"KG","non-dropping-particle":"","parse-names":false,"suffix":""},{"dropping-particle":"","family":"Ibrahim","given":"SS","non-dropping-particle":"","parse-names":false,"suffix":""},{"dropping-particle":"","family":"Paine","given":"MJ","non-dropping-particle":"","parse-names":false,"suffix":""},{"dropping-particle":"","family":"Wondji","given":"CS","non-dropping-particle":"","parse-names":false,"suffix":""},{"dropping-particle":"","family":"Riveron","given":"JM","non-dropping-particle":"","parse-names":false,"suffix":""},{"dropping-particle":"","family":"Yunta","given":"C","non-dropping-particle":"","parse-names":false,"suffix":""},{"dropping-particle":"","family":"Ibrahim","given":"SS","non-dropping-particle":"","parse-names":false,"suffix":""},{"dropping-particle":"","family":"Djouaka","given":"R","non-dropping-particle":"","parse-names":false,"suffix":""},{"dropping-particle":"","family":"Irving","given":"H","non-dropping-particle":"","parse-names":false,"suffix":""},{"dropping-particle":"","family":"Menze","given":"BD","non-dropping-particle":"","parse-names":false,"suffix":""},{"dropping-particle":"","family":"Ismail","given":"HM","non-dropping-particle":"","parse-names":false,"suffix":""},{"dropping-particle":"","family":"Hemingway","given":"J","non-dropping-particle":"","parse-names":false,"suffix":""},{"dropping-particle":"","family":"Ranson","given":"H","non-dropping-particle":"","parse-names":false,"suffix":""},{"dropping-particle":"","family":"Albert","given":"A","non-dropping-particle":"","parse-names":false,"suffix":""},{"dropping-particle":"","family":"Choi","given":"KS","non-dropping-particle":"","parse-names":false,"suffix":""},{"dropping-particle":"","family":"Christian","given":"R","non-dropping-particle":"","parse-names":false,"suffix":""},{"dropping-particle":"","family":"Nardini","given":"L","non-dropping-particle":"","parse-names":false,"suffix":""},{"dropping-particle":"","family":"Wood","given":"OR","non-dropping-particle":"","parse-names":false,"suffix":""},{"dropping-particle":"","family":"Agubuzo","given":"E","non-dropping-particle":"","parse-names":false,"suffix":""},{"dropping-particle":"","family":"Muleba","given":"M","non-dropping-particle":"","parse-names":false,"suffix":""},{"dropping-particle":"","family":"Munyati","given":"S","non-dropping-particle":"","parse-names":false,"suffix":""},{"dropping-particle":"","family":"Makuwaza","given":"A","non-dropping-particle":"","parse-names":false,"suffix":""},{"dropping-particle":"","family":"Koekemoer","given":"LL","non-dropping-particle":"","parse-names":false,"suffix":""},{"dropping-particle":"","family":"Brooke","given":"BD","non-dropping-particle":"","parse-names":false,"suffix":""},{"dropping-particle":"","family":"Thomsen","given":"EK","non-dropping-particle":"","parse-names":false,"suffix":""},{"dropping-particle":"","family":"Strode","given":"C","non-dropping-particle":"","parse-names":false,"suffix":""},{"dropping-particle":"","family":"Hemmings","given":"K","non-dropping-particle":"","parse-names":false,"suffix":""},{"dropping-particle":"","family":"Hughes","given":"AJ","non-dropping-particle":"","parse-names":false,"suffix":""},{"dropping-particle":"","family":"Chanda","given":"E","non-dropping-particle":"","parse-names":false,"suffix":""},{"dropping-particle":"","family":"Musapa","given":"M","non-dropping-particle":"","parse-names":false,"suffix":""},{"dropping-particle":"","family":"Kamuliwo","given":"M","non-dropping-particle":"","parse-names":false,"suffix":""},{"dropping-particle":"","family":"Phiri","given":"FN","non-dropping-particle":"","parse-names":false,"suffix":""},{"dropping-particle":"","family":"Muzia","given":"L","non-dropping-particle":"","parse-names":false,"suffix":""},{"dropping-particle":"","family":"Chanda","given":"J","non-dropping-particle":"","parse-names":false,"suffix":""},{"dropping-particle":"","family":"Wondji","given":"CS","non-dropping-particle":"","parse-names":false,"suffix":""},{"dropping-particle":"","family":"Dabire","given":"RK","non-dropping-particle":"","parse-names":false,"suffix":""},{"dropping-particle":"","family":"Tukur","given":"Z","non-dropping-particle":"","parse-names":false,"suffix":""},{"dropping-particle":"","family":"Irving","given":"H","non-dropping-particle":"","parse-names":false,"suffix":""},{"dropping-particle":"","family":"Djouaka","given":"R","non-dropping-particle":"","parse-names":false,"suffix":""},{"dropping-particle":"","family":"Morgan","given":"JC","non-dropping-particle":"","parse-names":false,"suffix":""},{"dropping-particle":"","family":"Kawada","given":"H","non-dropping-particle":"","parse-names":false,"suffix":""},{"dropping-particle":"","family":"Dida","given":"GO","non-dropping-particle":"","parse-names":false,"suffix":""},{"dropping-particle":"","family":"Ohashi","given":"K","non-dropping-particle":"","parse-names":false,"suffix":""},{"dropping-particle":"","family":"Komagata","given":"O","non-dropping-particle":"","parse-names":false,"suffix":""},{"dropping-particle":"","family":"Kasai","given":"S","non-dropping-particle":"","parse-names":false,"suffix":""},{"dropping-particle":"","family":"Tomita","given":"T","non-dropping-particle":"","parse-names":false,"suffix":""},{"dropping-particle":"","family":"Sonye","given":"G","non-dropping-particle":"","parse-names":false,"suffix":""},{"dropping-particle":"","family":"Maekawa","given":"Y","non-dropping-particle":"","parse-names":false,"suffix":""},{"dropping-particle":"","family":"Mwatele","given":"C","non-dropping-particle":"","parse-names":false,"suffix":""},{"dropping-particle":"","family":"Njenga","given":"SM","non-dropping-particle":"","parse-names":false,"suffix":""},{"dropping-particle":"","family":"Mulamba","given":"C","non-dropping-particle":"","parse-names":false,"suffix":""},{"dropping-particle":"","family":"Riveron","given":"JM","non-dropping-particle":"","parse-names":false,"suffix":""},{"dropping-particle":"","family":"Ibrahim","given":"SS","non-dropping-particle":"","parse-names":false,"suffix":""},{"dropping-particle":"","family":"Irving","given":"H","non-dropping-particle":"","parse-names":false,"suffix":""},{"dropping-particle":"","family":"Barnes","given":"KG","non-dropping-particle":"","parse-names":false,"suffix":""},{"dropping-particle":"","family":"Mukwaya","given":"LG","non-dropping-particle":"","parse-names":false,"suffix":""},{"dropping-particle":"","family":"Birungi","given":"J","non-dropping-particle":"","parse-names":false,"suffix":""},{"dropping-particle":"","family":"Wondji","given":"CS","non-dropping-particle":"","parse-names":false,"suffix":""},{"dropping-particle":"","family":"Okoye","given":"PN","non-dropping-particle":"","parse-names":false,"suffix":""},{"dropping-particle":"","family":"Brooke","given":"BD","non-dropping-particle":"","parse-names":false,"suffix":""},{"dropping-particle":"","family":"Koekemoer","given":"LL","non-dropping-particle":"","parse-names":false,"suffix":""},{"dropping-particle":"","family":"Hunt","given":"RH","non-dropping-particle":"","parse-names":false,"suffix":""},{"dropping-particle":"","family":"Coetzee","given":"M","non-dropping-particle":"","parse-names":false,"suffix":""},{"dropping-particle":"","family":"Djouaka","given":"R","non-dropping-particle":"","parse-names":false,"suffix":""},{"dropping-particle":"","family":"Irving","given":"H","non-dropping-particle":"","parse-names":false,"suffix":""},{"dropping-particle":"","family":"Tukur","given":"Z","non-dropping-particle":"","parse-names":false,"suffix":""},{"dropping-particle":"","family":"Wondji","given":"CS","non-dropping-particle":"","parse-names":false,"suffix":""},{"dropping-particle":"","family":"Ndiath","given":"MO","non-dropping-particle":"","parse-names":false,"suffix":""},{"dropping-particle":"","family":"Sougoufara","given":"S","non-dropping-particle":"","parse-names":false,"suffix":""},{"dropping-particle":"","family":"Gaye","given":"A","non-dropping-particle":"","parse-names":false,"suffix":""},{"dropping-particle":"","family":"Mazenot","given":"C","non-dropping-particle":"","parse-names":false,"suffix":""},{"dropping-particle":"","family":"Konate","given":"L","non-dropping-particle":"","parse-names":false,"suffix":""},{"dropping-particle":"","family":"Faye","given":"O","non-dropping-particle":"","parse-names":false,"suffix":""},{"dropping-particle":"","family":"Sokhna","given":"C","non-dropping-particle":"","parse-names":false,"suffix":""},{"dropping-particle":"","family":"Trape","given":"JF","non-dropping-particle":"","parse-names":false,"suffix":""},{"dropping-particle":"","family":"Ndiath","given":"MO","non-dropping-particle":"","parse-names":false,"suffix":""},{"dropping-particle":"","family":"Cailleau","given":"A","non-dropping-particle":"","parse-names":false,"suffix":""},{"dropping-particle":"","family":"Orlandi-Pradines","given":"E","non-dropping-particle":"","parse-names":false,"suffix":""},{"dropping-particle":"","family":"Bessell","given":"P","non-dropping-particle":"","parse-names":false,"suffix":""},{"dropping-particle":"","family":"Pages","given":"F","non-dropping-particle":"","parse-names":false,"suffix":""},{"dropping-particle":"","family":"Trape","given":"JF","non-dropping-particle":"","parse-names":false,"suffix":""},{"dropping-particle":"","family":"Rogier","given":"C","non-dropping-particle":"","parse-names":false,"suffix":""},{"dropping-particle":"","family":"Thwing","given":"JI","non-dropping-particle":"","parse-names":false,"suffix":""},{"dropping-particle":"","family":"Perry","given":"RT","non-dropping-particle":"","parse-names":false,"suffix":""},{"dropping-particle":"","family":"Townes","given":"DA","non-dropping-particle":"","parse-names":false,"suffix":""},{"dropping-particle":"","family":"Diouf","given":"MB","non-dropping-particle":"","parse-names":false,"suffix":""},{"dropping-particle":"","family":"Ndiaye","given":"S","non-dropping-particle":"","parse-names":false,"suffix":""},{"dropping-particle":"","family":"Thior","given":"M","non-dropping-particle":"","parse-names":false,"suffix":""},{"dropping-particle":"","family":"Morgan","given":"JC","non-dropping-particle":"","parse-names":false,"suffix":""},{"dropping-particle":"","family":"Irving","given":"H","non-dropping-particle":"","parse-names":false,"suffix":""},{"dropping-particle":"","family":"Okedi","given":"LM","non-dropping-particle":"","parse-names":false,"suffix":""},{"dropping-particle":"","family":"Steven","given":"A","non-dropping-particle":"","parse-names":false,"suffix":""},{"dropping-particle":"","family":"Wondji","given":"CS","non-dropping-particle":"","parse-names":false,"suffix":""},{"dropping-particle":"","family":"Gillies","given":"MT","non-dropping-particle":"","parse-names":false,"suffix":""},{"dropping-particle":"","family":"Coetzee","given":"M","non-dropping-particle":"","parse-names":false,"suffix":""},{"dropping-particle":"","family":"Livak","given":"KJ","non-dropping-particle":"","parse-names":false,"suffix":""},{"dropping-particle":"","family":"Koekemoer","given":"LL","non-dropping-particle":"","parse-names":false,"suffix":""},{"dropping-particle":"","family":"Kamau","given":"L","non-dropping-particle":"","parse-names":false,"suffix":""},{"dropping-particle":"","family":"Hunt","given":"RH","non-dropping-particle":"","parse-names":false,"suffix":""},{"dropping-particle":"","family":"Coetzee","given":"M","non-dropping-particle":"","parse-names":false,"suffix":""},{"dropping-particle":"","family":"Crawford","given":"JE","non-dropping-particle":"","parse-names":false,"suffix":""},{"dropping-particle":"","family":"Guelbeogo","given":"WM","non-dropping-particle":"","parse-names":false,"suffix":""},{"dropping-particle":"","family":"Sanou","given":"A","non-dropping-particle":"","parse-names":false,"suffix":""},{"dropping-particle":"","family":"Traore","given":"A","non-dropping-particle":"","parse-names":false,"suffix":""},{"dropping-particle":"","family":"Vernick","given":"KD","non-dropping-particle":"","parse-names":false,"suffix":""},{"dropping-particle":"","family":"Sagnon","given":"N","non-dropping-particle":"","parse-names":false,"suffix":""},{"dropping-particle":"","family":"Lazzaro","given":"BP","non-dropping-particle":"","parse-names":false,"suffix":""},{"dropping-particle":"","family":"Schmittgen","given":"TD","non-dropping-particle":"","parse-names":false,"suffix":""},{"dropping-particle":"","family":"Livak","given":"KJ","non-dropping-particle":"","parse-names":false,"suffix":""},{"dropping-particle":"","family":"Cuamba","given":"N","non-dropping-particle":"","parse-names":false,"suffix":""},{"dropping-particle":"","family":"Morgan","given":"JC","non-dropping-particle":"","parse-names":false,"suffix":""},{"dropping-particle":"","family":"Irving","given":"H","non-dropping-particle":"","parse-names":false,"suffix":""},{"dropping-particle":"","family":"Steven","given":"A","non-dropping-particle":"","parse-names":false,"suffix":""},{"dropping-particle":"","family":"Wondji","given":"CS","non-dropping-particle":"","parse-names":false,"suffix":""},{"dropping-particle":"","family":"Riveron","given":"JM","non-dropping-particle":"","parse-names":false,"suffix":""},{"dropping-particle":"","family":"Chiumia","given":"M","non-dropping-particle":"","parse-names":false,"suffix":""},{"dropping-particle":"","family":"Menze","given":"BD","non-dropping-particle":"","parse-names":false,"suffix":""},{"dropping-particle":"","family":"Barnes","given":"KG","non-dropping-particle":"","parse-names":false,"suffix":""},{"dropping-particle":"","family":"Irving","given":"H","non-dropping-particle":"","parse-names":false,"suffix":""},{"dropping-particle":"","family":"Ibrahim","given":"SS","non-dropping-particle":"","parse-names":false,"suffix":""},{"dropping-particle":"","family":"Weedall","given":"GD","non-dropping-particle":"","parse-names":false,"suffix":""},{"dropping-particle":"","family":"Mzilahowa","given":"T","non-dropping-particle":"","parse-names":false,"suffix":""},{"dropping-particle":"","family":"Wondji","given":"CS","non-dropping-particle":"","parse-names":false,"suffix":""},{"dropping-particle":"","family":"Coetzee","given":"M","non-dropping-particle":"","parse-names":false,"suffix":""},{"dropping-particle":"","family":"Wyk","given":"P","non-dropping-particle":"","parse-names":false,"suffix":""},{"dropping-particle":"","family":"Booman","given":"M","non-dropping-particle":"","parse-names":false,"suffix":""},{"dropping-particle":"","family":"Koekemoer","given":"LL","non-dropping-particle":"","parse-names":false,"suffix":""},{"dropping-particle":"","family":"Hunt","given":"RH","non-dropping-particle":"","parse-names":false,"suffix":""},{"dropping-particle":"","family":"Kloke","given":"RG","non-dropping-particle":"","parse-names":false,"suffix":""},{"dropping-particle":"","family":"Nhamahanga","given":"E","non-dropping-particle":"","parse-names":false,"suffix":""},{"dropping-particle":"","family":"Hunt","given":"RH","non-dropping-particle":"","parse-names":false,"suffix":""},{"dropping-particle":"","family":"Coetzee","given":"M","non-dropping-particle":"","parse-names":false,"suffix":""},{"dropping-particle":"","family":"Scollon","given":"EJ","non-dropping-particle":"","parse-names":false,"suffix":""},{"dropping-particle":"","family":"Starr","given":"JM","non-dropping-particle":"","parse-names":false,"suffix":""},{"dropping-particle":"","family":"Godin","given":"SJ","non-dropping-particle":"","parse-names":false,"suffix":""},{"dropping-particle":"","family":"DeVito","given":"MJ","non-dropping-particle":"","parse-names":false,"suffix":""},{"dropping-particle":"","family":"Hughes","given":"MF","non-dropping-particle":"","parse-names":false,"suffix":""},{"dropping-particle":"","family":"Ibrahim","given":"SS","non-dropping-particle":"","parse-names":false,"suffix":""},{"dropping-particle":"","family":"Riveron","given":"JM","non-dropping-particle":"","parse-names":false,"suffix":""},{"dropping-particle":"","family":"Stott","given":"R","non-dropping-particle":"","parse-names":false,"suffix":""},{"dropping-particle":"","family":"Irving","given":"H","non-dropping-particle":"","parse-names":false,"suffix":""},{"dropping-particle":"","family":"Wondji","given":"CS","non-dropping-particle":"","parse-names":false,"suffix":""},{"dropping-particle":"","family":"Hargreaves","given":"K","non-dropping-particle":"","parse-names":false,"suffix":""},{"dropping-particle":"","family":"Coetzee","given":"M","non-dropping-particle":"","parse-names":false,"suffix":""},{"dropping-particle":"","family":"Koekemoer","given":"LL","non-dropping-particle":"","parse-names":false,"suffix":""},{"dropping-particle":"","family":"Diabate","given":"A","non-dropping-particle":"","parse-names":false,"suffix":""},{"dropping-particle":"","family":"Baldet","given":"T","non-dropping-particle":"","parse-names":false,"suffix":""},{"dropping-particle":"","family":"Chandre","given":"F","non-dropping-particle":"","parse-names":false,"suffix":""},{"dropping-particle":"","family":"Akoo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Djegbe","given":"I","non-dropping-particle":"","parse-names":false,"suffix":""},{"dropping-particle":"","family":"Boussari","given":"O","non-dropping-particle":"","parse-names":false,"suffix":""},{"dropping-particle":"","family":"Sidick","given":"A","non-dropping-particle":"","parse-names":false,"suffix":""},{"dropping-particle":"","family":"Martin","given":"T","non-dropping-particle":"","parse-names":false,"suffix":""},{"dropping-particle":"","family":"Ranson","given":"H","non-dropping-particle":"","parse-names":false,"suffix":""},{"dropping-particle":"","family":"Chandre","given":"F","non-dropping-particle":"","parse-names":false,"suffix":""},{"dropping-particle":"","family":"Akogbeto","given":"M","non-dropping-particle":"","parse-names":false,"suffix":""},{"dropping-particle":"","family":"Corbel","given":"V","non-dropping-particle":"","parse-names":false,"suffix":""},{"dropping-particle":"","family":"Dabire","given":"RK","non-dropping-particle":"","parse-names":false,"suffix":""},{"dropping-particle":"","family":"Namountougou","given":"M","non-dropping-particle":"","parse-names":false,"suffix":""},{"dropping-particle":"","family":"Sawadogo","given":"SP","non-dropping-particle":"","parse-names":false,"suffix":""},{"dropping-particle":"","family":"Yaro","given":"LB","non-dropping-particle":"","parse-names":false,"suffix":""},{"dropping-particle":"","family":"Toe","given":"HK","non-dropping-particle":"","parse-names":false,"suffix":""},{"dropping-particle":"","family":"Ouari","given":"A","non-dropping-particle":"","parse-names":false,"suffix":""},{"dropping-particle":"","family":"Gouagna","given":"LC","non-dropping-particle":"","parse-names":false,"suffix":""},{"dropping-particle":"","family":"Simard","given":"F","non-dropping-particle":"","parse-names":false,"suffix":""},{"dropping-particle":"","family":"Chandre","given":"F","non-dropping-particle":"","parse-names":false,"suffix":""},{"dropping-particle":"","family":"Baldet","given":"T","non-dropping-particle":"","parse-names":false,"suffix":""},{"dropping-particle":"","family":"Samb","given":"B","non-dropping-particle":"","parse-names":false,"suffix":""},{"dropping-particle":"","family":"Dia","given":"I","non-dropping-particle":"","parse-names":false,"suffix":""},{"dropping-particle":"","family":"Konate","given":"L","non-dropping-particle":"","parse-names":false,"suffix":""},{"dropping-particle":"","family":"Ayala","given":"D","non-dropping-particle":"","parse-names":false,"suffix":""},{"dropping-particle":"","family":"Fontenille","given":"D","non-dropping-particle":"","parse-names":false,"suffix":""},{"dropping-particle":"","family":"Cohuet","given":"A","non-dropping-particle":"","parse-names":false,"suffix":""},{"dropping-particle":"","family":"Riveron","given":"JM","non-dropping-particle":"","parse-names":false,"suffix":""},{"dropping-particle":"","family":"Ibrahim","given":"SS","non-dropping-particle":"","parse-names":false,"suffix":""},{"dropping-particle":"","family":"Chanda","given":"E","non-dropping-particle":"","parse-names":false,"suffix":""},{"dropping-particle":"","family":"Mzilahowa","given":"T","non-dropping-particle":"","parse-names":false,"suffix":""},{"dropping-particle":"","family":"Cuamba","given":"N","non-dropping-particle":"","parse-names":false,"suffix":""},{"dropping-particle":"","family":"Irving","given":"H","non-dropping-particle":"","parse-names":false,"suffix":""},{"dropping-particle":"","family":"Barnes","given":"KG","non-dropping-particle":"","parse-names":false,"suffix":""},{"dropping-particle":"","family":"Ndula","given":"M","non-dropping-particle":"","parse-names":false,"suffix":""},{"dropping-particle":"","family":"Wondji","given":"CS","non-dropping-particle":"","parse-names":false,"suffix":""},{"dropping-particle":"","family":"Amenya","given":"DA","non-dropping-particle":"","parse-names":false,"suffix":""},{"dropping-particle":"","family":"Naguran","given":"R","non-dropping-particle":"","parse-names":false,"suffix":""},{"dropping-particle":"","family":"Lo","given":"TC","non-dropping-particle":"","parse-names":false,"suffix":""},{"dropping-particle":"","family":"Ranson","given":"H","non-dropping-particle":"","parse-names":false,"suffix":""},{"dropping-particle":"","family":"Spillings","given":"BL","non-dropping-particle":"","parse-names":false,"suffix":""},{"dropping-particle":"","family":"Wood","given":"OR","non-dropping-particle":"","parse-names":false,"suffix":""},{"dropping-particle":"","family":"Brooke","given":"BD","non-dropping-particle":"","parse-names":false,"suffix":""},{"dropping-particle":"","family":"Coetzee","given":"M","non-dropping-particle":"","parse-names":false,"suffix":""},{"dropping-particle":"","family":"Koekemoer","given":"LL","non-dropping-particle":"","parse-names":false,"suffix":""},{"dropping-particle":"","family":"Wondji","given":"CS","non-dropping-particle":"","parse-names":false,"suffix":""},{"dropping-particle":"","family":"Irving","given":"H","non-dropping-particle":"","parse-names":false,"suffix":""},{"dropping-particle":"","family":"Morgan","given":"J","non-dropping-particle":"","parse-names":false,"suffix":""},{"dropping-particle":"","family":"Lobo","given":"NF","non-dropping-particle":"","parse-names":false,"suffix":""},{"dropping-particle":"","family":"Collins","given":"FH","non-dropping-particle":"","parse-names":false,"suffix":""},{"dropping-particle":"","family":"Hunt","given":"RH","non-dropping-particle":"","parse-names":false,"suffix":""},{"dropping-particle":"","family":"Coetzee","given":"M","non-dropping-particle":"","parse-names":false,"suffix":""},{"dropping-particle":"","family":"Hemingway","given":"J","non-dropping-particle":"","parse-names":false,"suffix":""},{"dropping-particle":"","family":"Ranson","given":"H","non-dropping-particle":"","parse-names":false,"suffix":""},{"dropping-particle":"","family":"Mitchell","given":"SN","non-dropping-particle":"","parse-names":false,"suffix":""},{"dropping-particle":"","family":"Stevenson","given":"BJ","non-dropping-particle":"","parse-names":false,"suffix":""},{"dropping-particle":"","family":"Müller","given":"P","non-dropping-particle":"","parse-names":false,"suffix":""},{"dropping-particle":"","family":"Wilding","given":"CS","non-dropping-particle":"","parse-names":false,"suffix":""},{"dropping-particle":"","family":"Egyir-Yawson","given":"A","non-dropping-particle":"","parse-names":false,"suffix":""},{"dropping-particle":"","family":"Field","given":"SG","non-dropping-particle":"","parse-names":false,"suffix":""},{"dropping-particle":"","family":"Hemingway","given":"J","non-dropping-particle":"","parse-names":false,"suffix":""},{"dropping-particle":"","family":"Paine","given":"MJI","non-dropping-particle":"","parse-names":false,"suffix":""},{"dropping-particle":"","family":"Ranson","given":"H","non-dropping-particle":"","parse-names":false,"suffix":""},{"dropping-particle":"","family":"Donnelly","given":"MJ","non-dropping-particle":"","parse-names":false,"suffix":""},{"dropping-particle":"","family":"Rongnoparut","given":"P","non-dropping-particle":"","parse-names":false,"suffix":""},{"dropping-particle":"","family":"Boonsuepsakul","given":"S","non-dropping-particle":"","parse-names":false,"suffix":""},{"dropping-particle":"","family":"Chareonviriyaphap","given":"T","non-dropping-particle":"","parse-names":false,"suffix":""},{"dropping-particle":"","family":"Thanomsing","given":"N","non-dropping-particle":"","parse-names":false,"suffix":""},{"dropping-particle":"","family":"Rodpradit","given":"P","non-dropping-particle":"","parse-names":false,"suffix":""},{"dropping-particle":"","family":"Boonsuepsakul","given":"S","non-dropping-particle":"","parse-names":false,"suffix":""},{"dropping-particle":"","family":"Chareonviriyaphap","given":"T","non-dropping-particle":"","parse-names":false,"suffix":""},{"dropping-particle":"","family":"Bangs","given":"MJ","non-dropping-particle":"","parse-names":false,"suffix":""},{"dropping-particle":"","family":"Rongnoparut","given":"P","non-dropping-particle":"","parse-names":false,"suffix":""},{"dropping-particle":"","family":"Kasai","given":"S","non-dropping-particle":"","parse-names":false,"suffix":""},{"dropping-particle":"","family":"Scott","given":"JG","non-dropping-particle":"","parse-names":false,"suffix":""},{"dropping-particle":"","family":"Zhu","given":"F","non-dropping-particle":"","parse-names":false,"suffix":""},{"dropping-particle":"","family":"Parthasarathy","given":"R","non-dropping-particle":"","parse-names":false,"suffix":""},{"dropping-particle":"","family":"Bai","given":"H","non-dropping-particle":"","parse-names":false,"suffix":""},{"dropping-particle":"","family":"Woithe","given":"K","non-dropping-particle":"","parse-names":false,"suffix":""},{"dropping-particle":"","family":"Kaussmann","given":"M","non-dropping-particle":"","parse-names":false,"suffix":""},{"dropping-particle":"","family":"Nauen","given":"R","non-dropping-particle":"","parse-names":false,"suffix":""},{"dropping-particle":"","family":"Harrison","given":"DA","non-dropping-particle":"","parse-names":false,"suffix":""},{"dropping-particle":"","family":"Palli","given":"SR","non-dropping-particle":"","parse-names":false,"suffix":""},{"dropping-particle":"","family":"Feyereisen","given":"R","non-dropping-particle":"","parse-names":false,"suffix":""},{"dropping-particle":"","family":"Brooke","given":"BD","non-dropping-particle":"","parse-names":false,"suffix":""},{"dropping-particle":"","family":"Kloke","given":"G","non-dropping-particle":"","parse-names":false,"suffix":""},{"dropping-particle":"","family":"Hunt","given":"RH","non-dropping-particle":"","parse-names":false,"suffix":""},{"dropping-particle":"","family":"Koekemoer","given":"LL","non-dropping-particle":"","parse-names":false,"suffix":""},{"dropping-particle":"","family":"Temu","given":"EA","non-dropping-particle":"","parse-names":false,"suffix":""},{"dropping-particle":"","family":"Taylor","given":"ME","non-dropping-particle":"","parse-names":false,"suffix":""},{"dropping-particle":"","family":"Small","given":"G","non-dropping-particle":"","parse-names":false,"suffix":""},{"dropping-particle":"","family":"Hemingway","given":"J","non-dropping-particle":"","parse-names":false,"suffix":""},{"dropping-particle":"","family":"Coetzee","given":"M","non-dropping-particle":"","parse-names":false,"suffix":""},{"dropping-particle":"","family":"Casimiro","given":"SL","non-dropping-particle":"","parse-names":false,"suffix":""},{"dropping-particle":"","family":"Hemingway","given":"J","non-dropping-particle":"","parse-names":false,"suffix":""},{"dropping-particle":"","family":"Sharp","given":"BL","non-dropping-particle":"","parse-names":false,"suffix":""},{"dropping-particle":"","family":"Coleman","given":"M","non-dropping-particle":"","parse-names":false,"suffix":""},{"dropping-particle":"","family":"Hunt","given":"RH","non-dropping-particle":"","parse-names":false,"suffix":""},{"dropping-particle":"","family":"Brooke","given":"BD","non-dropping-particle":"","parse-names":false,"suffix":""},{"dropping-particle":"","family":"Pillay","given":"C","non-dropping-particle":"","parse-names":false,"suffix":""},{"dropping-particle":"","family":"Koekemoer","given":"LL","non-dropping-particle":"","parse-names":false,"suffix":""},{"dropping-particle":"","family":"Coetzee","given":"M","non-dropping-particle":"","parse-names":false,"suffix":""},{"dropping-particle":"","family":"Christian","given":"RN","non-dropping-particle":"","parse-names":false,"suffix":""},{"dropping-particle":"","family":"Matambo","given":"TS","non-dropping-particle":"","parse-names":false,"suffix":""},{"dropping-particle":"","family":"Spillings","given":"BL","non-dropping-particle":"","parse-names":false,"suffix":""},{"dropping-particle":"","family":"Brooke","given":"BD","non-dropping-particle":"","parse-names":false,"suffix":""},{"dropping-particle":"","family":"Coetzee","given":"M","non-dropping-particle":"","parse-names":false,"suffix":""},{"dropping-particle":"","family":"Koekemoer","given":"LL","non-dropping-particle":"","parse-names":false,"suffix":""}],"container-title":"Parasites &amp; Vectors","id":"ITEM-4","issue":"1","issued":{"date-parts":[["2016"]]},"page":"449","title":"Investigating molecular basis of lambda-cyhalothrin resistance in an Anopheles funestus population from Senegal","type":"article-journal","volume":"9"},"uris":["http://www.mendeley.com/documents/?uuid=7acaa159-64c8-4eb6-8256-06a5e0a1a9ca","http://www.mendeley.com/documents/?uuid=426fa0e4-2f80-4218-8560-3f2443445d7e","http://www.mendeley.com/documents/?uuid=48ca2f66-f2db-4430-854e-cdce01c0bbaa"]}],"mendeley":{"formattedCitation":"[5–8]","plainTextFormattedCitation":"[5–8]","previouslyFormattedCitation":"(5–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[5–8]</w:t>
      </w:r>
      <w:r w:rsidRPr="00CD231A">
        <w:rPr>
          <w:rFonts w:ascii="Times New Roman" w:hAnsi="Times New Roman" w:cs="Times New Roman"/>
        </w:rPr>
        <w:fldChar w:fldCharType="end"/>
      </w:r>
      <w:r w:rsidRPr="00CD231A">
        <w:rPr>
          <w:rFonts w:ascii="Times New Roman" w:hAnsi="Times New Roman" w:cs="Times New Roman"/>
        </w:rPr>
        <w:t xml:space="preserve">. Cytochrome P450s (P450s) and glutathione-S-transferase (GSTs) are two gene families that are always associated with the mosquito resistance. The P450s such as </w:t>
      </w:r>
      <w:r w:rsidRPr="00CD231A">
        <w:rPr>
          <w:rFonts w:ascii="Times New Roman" w:hAnsi="Times New Roman" w:cs="Times New Roman"/>
          <w:i/>
        </w:rPr>
        <w:t xml:space="preserve">CYP6P9a/b, CYP6M7, CYP9K1 </w:t>
      </w:r>
      <w:r w:rsidRPr="00CD231A">
        <w:rPr>
          <w:rFonts w:ascii="Times New Roman" w:hAnsi="Times New Roman" w:cs="Times New Roman"/>
        </w:rPr>
        <w:t xml:space="preserve">and </w:t>
      </w:r>
      <w:r w:rsidRPr="00CD231A">
        <w:rPr>
          <w:rFonts w:ascii="Times New Roman" w:hAnsi="Times New Roman" w:cs="Times New Roman"/>
          <w:i/>
        </w:rPr>
        <w:t>CYP6Z1</w:t>
      </w:r>
      <w:r w:rsidRPr="00CD231A">
        <w:rPr>
          <w:rFonts w:ascii="Times New Roman" w:hAnsi="Times New Roman" w:cs="Times New Roman"/>
        </w:rPr>
        <w:t xml:space="preserve"> have various roles they play in pyrethroids resistance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{"citationItems":[{"id":"ITEM-1","itemData":{"DOI":"10.1111/mec.13673","abstract":"Carbamates are increasingly used for vector control notably in areas with pyrethroid resistance. However, a cross-resistance between these insecticides in major malaria vec- tors such as Anopheles funestus could severely limit available resistance management options. Unfortunately, the molecular basis of such cross-resistance remains uncharac- terized in An. funestus, preventing effective resistance management. Here, using a gen- omewide transcription profiling, we revealed that metabolic resistance through upregulation of cytochrome P450 genes is driving carbamate resistance. The P450s CYP6P9a, CYP6P9b and CYP6Z1 were the most upregulated detoxification genes in the multiple resistant mosquitoes. However, in silico docking simulations predicted CYP6Z1 to metabolize both pyrethroids and carbamates, whereas CYP6P9a and CYP6P9b were predicted to metabolize only the pyrethroids. Using recombinant enzyme metabolism and inhibition assays, we demonstrated that CYP6Z1 metabolizes bendiocarb and pyrethroids, whereas CYP6P9a and CYP6P9b metabolize only the pyre- throids. Other upregulated gene families in resistant mosquitoes included several cuticular protein genes suggesting a possible reduced penetration resistance mecha- nism. Investigation of the target-site resistance in acetylcholinesterase 1 (ace-1) gene detected and established the association between the new N485I mutation and bendio- carb resistance (odds ratio 7.3; P &lt; 0.0001). The detection of multiple haplotypes in sin- gle mosquitoes after cloning suggested the duplication of ace-1. A TaqMan genotyping of the N485I in nine countries revealed that the mutation is located only in southern Africa with frequency of 10–15% suggesting its recent occurrence. These findings will help in monitoring the spread and evolution of carbamate resistance and improve the design of effective resistance management strategies to control this malaria vector.","author":[{"dropping-particle":"","family":"Ibrahim","given":"Sulaiman S","non-dropping-particle":"","parse-names":false,"suffix":""},{"dropping-particle":"","family":"Ndula","given":"Miranda","non-dropping-particle":"","parse-names":false,"suffix":""},{"dropping-particle":"","family":"Riveron","given":"Jacob M","non-dropping-particle":"","parse-names":false,"suffix":""},{"dropping-particle":"","family":"Irving","given":"Helen","non-dropping-particle":"","parse-names":false,"suffix":""},{"dropping-particle":"","family":"Wondji","given":"Charles S","non-dropping-particle":"","parse-names":false,"suffix":""}],"container-title":"Molecular Ecology","id":"ITEM-1","issued":{"date-parts":[["2016"]]},"page":"1-17","title":"The P450 CYP6Z1 confers carbamate / pyrethroid cross- resistance in a major African malaria vector beside a novel carbamate-insensitive N485I acetylcholinesterase-1 mutation","type":"article-journal"},"uris":["http://www.mendeley.com/documents/?uuid=6be7be0d-a1b1-4f52-962f-0a6cfb40245e"]},{"id":"ITEM-2","itemData":{"DOI":"10.1534/g3.117.040147","ISSN":"21601836","abstract":"© 2017 Riveron et al. Pyrethroid resistance in malaria vector, An. funestus is increasingly reported across Africa, threatening the sustainability of pyrethroid-based control interventions, including long lasting insecticidal nets (LLINs). Managing this problem requires understanding of the molecular basis of the resistance from different regions of the continent, to establish whether it is being driven by a single or independent selective events. Here, using a genome-wide transcription profiling of pyrethroid resistant populations from southern (Malawi), East (Uganda), and West Africa (Benin), we investigated the molecular basis of resistance, revealing strong differences between the different African regions. The duplicated cytochrome P450 genes (CYP6P9a and CYP6P9b) which were highly overexpressed in southern Africa are not the most upregulated in other regions, where other genes aremore overexpressed, including GSTe2 in West (Benin) and CYP9K1 in East (Uganda). The lack of directional selection on both CYP6P9a and CYP6P9b in Uganda in contrast to southern Africa further supports the limited role of these genes outside southern Africa. However, other genes such as the P450 CYP9J11 are commonly overexpressed in all countries across Africa. Here, CYP9J11 is functionally characterized and shown to confer resistance to pyrethroids and moderate crossresistance to carbamates (bendiocarb). The consistent overexpression of GSTe2 in Benin is coupled with a role of allelic variation at this gene as GAL4-UAS transgenic expression in Drosophila flies showed that the resistant 119F allele is highly efficient in conferring both DDT and permethrin resistance than the L119. The heterogeneity in the molecular basis of resistance and cross-resistance to insecticides in An. funestus populations throughout sub-Saharan African should be taken into account in designing resistance management strategies.","author":[{"dropping-particle":"","family":"Riveron","given":"Jacob M.","non-dropping-particle":"","parse-names":false,"suffix":""},{"dropping-particle":"","family":"Ibrahim","given":"Sulaiman S.","non-dropping-particle":"","parse-names":false,"suffix":""},{"dropping-particle":"","family":"Mulamba","given":"Charles","non-dropping-particle":"","parse-names":false,"suffix":""},{"dropping-particle":"","family":"Djouaka","given":"Rousseau","non-dropping-particle":"","parse-names":false,"suffix":""},{"dropping-particle":"","family":"Irving","given":"Helen","non-dropping-particle":"","parse-names":false,"suffix":""},{"dropping-particle":"","family":"Wondji","given":"Murielle J.","non-dropping-particle":"","parse-names":false,"suffix":""},{"dropping-particle":"","family":"Ishak","given":"Intan H.","non-dropping-particle":"","parse-names":false,"suffix":""},{"dropping-particle":"","family":"Wondji","given":"Charles S.","non-dropping-particle":"","parse-names":false,"suffix":""}],"container-title":"G3: Genes, Genomes, Genetics","id":"ITEM-2","issue":"6","issued":{"date-parts":[["2017"]]},"page":"1819-1832","title":"Genome-wide transcription and functional analyses reveal heterogeneous molecular mechanisms driving pyrethroids resistance in the major malaria vector Anopheles funestus across Africa","type":"article-journal","volume":"7"},"uris":["http://www.mendeley.com/documents/?uuid=3e5f87bf-49b9-418a-a62c-b21a5f369bd5"]}],"mendeley":{"formattedCitation":"[4,9]","plainTextFormattedCitation":"[4,9]","previouslyFormattedCitation":"(4,9)"},"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[4,9]</w:t>
      </w:r>
      <w:r w:rsidRPr="00CD231A">
        <w:rPr>
          <w:rFonts w:ascii="Times New Roman" w:hAnsi="Times New Roman" w:cs="Times New Roman"/>
        </w:rPr>
        <w:fldChar w:fldCharType="end"/>
      </w:r>
      <w:r w:rsidRPr="00CD231A">
        <w:rPr>
          <w:rFonts w:ascii="Times New Roman" w:hAnsi="Times New Roman" w:cs="Times New Roman"/>
        </w:rPr>
        <w:t xml:space="preserve">. Interestingly, as resistance gets stronger, more P450 genes are evolving in resistant mosquitoes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{"citationItems":[{"id":"ITEM-1","itemData":{"DOI":"10.1111/mec.13673","abstract":"Carbamates are increasingly used for vector control notably in areas with pyrethroid resistance. However, a cross-resistance between these insecticides in major malaria vec- tors such as Anopheles funestus could severely limit available resistance management options. Unfortunately, the molecular basis of such cross-resistance remains uncharac- terized in An. funestus, preventing effective resistance management. Here, using a gen- omewide transcription profiling, we revealed that metabolic resistance through upregulation of cytochrome P450 genes is driving carbamate resistance. The P450s CYP6P9a, CYP6P9b and CYP6Z1 were the most upregulated detoxification genes in the multiple resistant mosquitoes. However, in silico docking simulations predicted CYP6Z1 to metabolize both pyrethroids and carbamates, whereas CYP6P9a and CYP6P9b were predicted to metabolize only the pyrethroids. Using recombinant enzyme metabolism and inhibition assays, we demonstrated that CYP6Z1 metabolizes bendiocarb and pyrethroids, whereas CYP6P9a and CYP6P9b metabolize only the pyre- throids. Other upregulated gene families in resistant mosquitoes included several cuticular protein genes suggesting a possible reduced penetration resistance mecha- nism. Investigation of the target-site resistance in acetylcholinesterase 1 (ace-1) gene detected and established the association between the new N485I mutation and bendio- carb resistance (odds ratio 7.3; P &lt; 0.0001). The detection of multiple haplotypes in sin- gle mosquitoes after cloning suggested the duplication of ace-1. A TaqMan genotyping of the N485I in nine countries revealed that the mutation is located only in southern Africa with frequency of 10–15% suggesting its recent occurrence. These findings will help in monitoring the spread and evolution of carbamate resistance and improve the design of effective resistance management strategies to control this malaria vector.","author":[{"dropping-particle":"","family":"Ibrahim","given":"Sulaiman S","non-dropping-particle":"","parse-names":false,"suffix":""},{"dropping-particle":"","family":"Ndula","given":"Miranda","non-dropping-particle":"","parse-names":false,"suffix":""},{"dropping-particle":"","family":"Riveron","given":"Jacob M","non-dropping-particle":"","parse-names":false,"suffix":""},{"dropping-particle":"","family":"Irving","given":"Helen","non-dropping-particle":"","parse-names":false,"suffix":""},{"dropping-particle":"","family":"Wondji","given":"Charles S","non-dropping-particle":"","parse-names":false,"suffix":""}],"container-title":"Molecular Ecology","id":"ITEM-1","issued":{"date-parts":[["2016"]]},"page":"1-17","title":"The P450 CYP6Z1 confers carbamate / pyrethroid cross- resistance in a major African malaria vector beside a novel carbamate-insensitive N485I acetylcholinesterase-1 mutation","type":"article-journal"},"uris":["http://www.mendeley.com/documents/?uuid=6be7be0d-a1b1-4f52-962f-0a6cfb40245e","http://www.mendeley.com/documents/?uuid=975b92e0-8fab-4c1c-9e73-1b52e3d44e76"]},{"id":"ITEM-2","itemData":{"DOI":"10.1186/s13071-016-1735-7","ISSN":"1756-3305","abstract":"Anopheles funestus is one of the major malaria vectors in tropical Africa, notably in Senegal. The highly anthropophilic and endophilic behaviours of this mosquito make it a good target for vector control operations through the use of insecticide treated nets, long-lasting insecticide nets and indoor residual spraying. However, little is known about patterns of resistance to insecticides and the underlying resistance mechanisms in field populations of this vector in Senegal. Here, we assessed the susceptibility status of An. funestus populations from Gankette Balla, located in northern Senegal and investigated the potential resistance mechanisms. WHO bioassays indicated that An. funestus is resistant to lambda-cyhalothrin 0.05 % (74.64 % mortality), DDT 4 % (83.36 % mortality) and deltamethrin 0.05 % (88.53 % mortality). Suspected resistance was observed to permethrin 0.75 % (91.19 % mortality), bendiocarb 0.1 % (94.13 % mortality) and dieldrin 4 % (96.41 % mortality). However, this population is fully susceptible to malathion 5 % (100 % mortality) and fenitrothion 1 % (100 % mortality). The microarray and qRT-PCR analysis indicated that the lambda-cyhalothrin resistance in Gankette Balla is conferred by metabolic resistance mechanisms under the probable control of cytochrome P450 genes among which CYP6M7 is the most overexpressed. The absence of overexpression of the P450 gene, CYP6P9a, indicates that the resistance mechanism in Senegal is different to that observed in southern Africa. This study represents the first report of pyrethroid and DDT resistance in An. funestus from Senegal and shows that resistance to insecticides is not only confined to An. gambiae as previously thought. Therefore, urgent action should be taken to manage the resistance in this species to ensure the continued effectiveness of malaria control.","author":[{"dropping-particle":"","family":"Samb","given":"Badara","non-dropping-particle":"","parse-names":false,"suffix":""},{"dropping-particle":"","family":"Konate","given":"Lassana","non-dropping-particle":"","parse-names":false,"suffix":""},{"dropping-particle":"","family":"Irving","given":"Helen","non-dropping-particle":"","parse-names":false,"suffix":""},{"dropping-particle":"","family":"Riveron","given":"Jacob M.","non-dropping-particle":"","parse-names":false,"suffix":""},{"dropping-particle":"","family":"Dia","given":"Ibrahima","non-dropping-particle":"","parse-names":false,"suffix":""},{"dropping-particle":"","family":"Faye","given":"Ousmane","non-dropping-particle":"","parse-names":false,"suffix":""},{"dropping-particle":"","family":"Wondji","given":"Charles S.","non-dropping-particle":"","parse-names":false,"suffix":""},{"dropping-particle":"","family":"Riveron","given":"JM","non-dropping-particle":"","parse-names":false,"suffix":""},{"dropping-particle":"","family":"Irving","given":"H","non-dropping-particle":"","parse-names":false,"suffix":""},{"dropping-particle":"","family":"Ndula","given":"M","non-dropping-particle":"","parse-names":false,"suffix":""},{"dropping-particle":"","family":"Barnes","given":"KG","non-dropping-particle":"","parse-names":false,"suffix":""},{"dropping-particle":"","family":"Ibrahim","given":"SS","non-dropping-particle":"","parse-names":false,"suffix":""},{"dropping-particle":"","family":"Paine","given":"MJ","non-dropping-particle":"","parse-names":false,"suffix":""},{"dropping-particle":"","family":"Wondji","given":"CS","non-dropping-particle":"","parse-names":false,"suffix":""},{"dropping-particle":"","family":"Riveron","given":"JM","non-dropping-particle":"","parse-names":false,"suffix":""},{"dropping-particle":"","family":"Yunta","given":"C","non-dropping-particle":"","parse-names":false,"suffix":""},{"dropping-particle":"","family":"Ibrahim","given":"SS","non-dropping-particle":"","parse-names":false,"suffix":""},{"dropping-particle":"","family":"Djouaka","given":"R","non-dropping-particle":"","parse-names":false,"suffix":""},{"dropping-particle":"","family":"Irving","given":"H","non-dropping-particle":"","parse-names":false,"suffix":""},{"dropping-particle":"","family":"Menze","given":"BD","non-dropping-particle":"","parse-names":false,"suffix":""},{"dropping-particle":"","family":"Ismail","given":"HM","non-dropping-particle":"","parse-names":false,"suffix":""},{"dropping-particle":"","family":"Hemingway","given":"J","non-dropping-particle":"","parse-names":false,"suffix":""},{"dropping-particle":"","family":"Ranson","given":"H","non-dropping-particle":"","parse-names":false,"suffix":""},{"dropping-particle":"","family":"Albert","given":"A","non-dropping-particle":"","parse-names":false,"suffix":""},{"dropping-particle":"","family":"Choi","given":"KS","non-dropping-particle":"","parse-names":false,"suffix":""},{"dropping-particle":"","family":"Christian","given":"R","non-dropping-particle":"","parse-names":false,"suffix":""},{"dropping-particle":"","family":"Nardini","given":"L","non-dropping-particle":"","parse-names":false,"suffix":""},{"dropping-particle":"","family":"Wood","given":"OR","non-dropping-particle":"","parse-names":false,"suffix":""},{"dropping-particle":"","family":"Agubuzo","given":"E","non-dropping-particle":"","parse-names":false,"suffix":""},{"dropping-particle":"","family":"Muleba","given":"M","non-dropping-particle":"","parse-names":false,"suffix":""},{"dropping-particle":"","family":"Munyati","given":"S","non-dropping-particle":"","parse-names":false,"suffix":""},{"dropping-particle":"","family":"Makuwaza","given":"A","non-dropping-particle":"","parse-names":false,"suffix":""},{"dropping-particle":"","family":"Koekemoer","given":"LL","non-dropping-particle":"","parse-names":false,"suffix":""},{"dropping-particle":"","family":"Brooke","given":"BD","non-dropping-particle":"","parse-names":false,"suffix":""},{"dropping-particle":"","family":"Thomsen","given":"EK","non-dropping-particle":"","parse-names":false,"suffix":""},{"dropping-particle":"","family":"Strode","given":"C","non-dropping-particle":"","parse-names":false,"suffix":""},{"dropping-particle":"","family":"Hemmings","given":"K","non-dropping-particle":"","parse-names":false,"suffix":""},{"dropping-particle":"","family":"Hughes","given":"AJ","non-dropping-particle":"","parse-names":false,"suffix":""},{"dropping-particle":"","family":"Chanda","given":"E","non-dropping-particle":"","parse-names":false,"suffix":""},{"dropping-particle":"","family":"Musapa","given":"M","non-dropping-particle":"","parse-names":false,"suffix":""},{"dropping-particle":"","family":"Kamuliwo","given":"M","non-dropping-particle":"","parse-names":false,"suffix":""},{"dropping-particle":"","family":"Phiri","given":"FN","non-dropping-particle":"","parse-names":false,"suffix":""},{"dropping-particle":"","family":"Muzia","given":"L","non-dropping-particle":"","parse-names":false,"suffix":""},{"dropping-particle":"","family":"Chanda","given":"J","non-dropping-particle":"","parse-names":false,"suffix":""},{"dropping-particle":"","family":"Wondji","given":"CS","non-dropping-particle":"","parse-names":false,"suffix":""},{"dropping-particle":"","family":"Dabire","given":"RK","non-dropping-particle":"","parse-names":false,"suffix":""},{"dropping-particle":"","family":"Tukur","given":"Z","non-dropping-particle":"","parse-names":false,"suffix":""},{"dropping-particle":"","family":"Irving","given":"H","non-dropping-particle":"","parse-names":false,"suffix":""},{"dropping-particle":"","family":"Djouaka","given":"R","non-dropping-particle":"","parse-names":false,"suffix":""},{"dropping-particle":"","family":"Morgan","given":"JC","non-dropping-particle":"","parse-names":false,"suffix":""},{"dropping-particle":"","family":"Kawada","given":"H","non-dropping-particle":"","parse-names":false,"suffix":""},{"dropping-particle":"","family":"Dida","given":"GO","non-dropping-particle":"","parse-names":false,"suffix":""},{"dropping-particle":"","family":"Ohashi","given":"K","non-dropping-particle":"","parse-names":false,"suffix":""},{"dropping-particle":"","family":"Komagata","given":"O","non-dropping-particle":"","parse-names":false,"suffix":""},{"dropping-particle":"","family":"Kasai","given":"S","non-dropping-particle":"","parse-names":false,"suffix":""},{"dropping-particle":"","family":"Tomita","given":"T","non-dropping-particle":"","parse-names":false,"suffix":""},{"dropping-particle":"","family":"Sonye","given":"G","non-dropping-particle":"","parse-names":false,"suffix":""},{"dropping-particle":"","family":"Maekawa","given":"Y","non-dropping-particle":"","parse-names":false,"suffix":""},{"dropping-particle":"","family":"Mwatele","given":"C","non-dropping-particle":"","parse-names":false,"suffix":""},{"dropping-particle":"","family":"Njenga","given":"SM","non-dropping-particle":"","parse-names":false,"suffix":""},{"dropping-particle":"","family":"Mulamba","given":"C","non-dropping-particle":"","parse-names":false,"suffix":""},{"dropping-particle":"","family":"Riveron","given":"JM","non-dropping-particle":"","parse-names":false,"suffix":""},{"dropping-particle":"","family":"Ibrahim","given":"SS","non-dropping-particle":"","parse-names":false,"suffix":""},{"dropping-particle":"","family":"Irving","given":"H","non-dropping-particle":"","parse-names":false,"suffix":""},{"dropping-particle":"","family":"Barnes","given":"KG","non-dropping-particle":"","parse-names":false,"suffix":""},{"dropping-particle":"","family":"Mukwaya","given":"LG","non-dropping-particle":"","parse-names":false,"suffix":""},{"dropping-particle":"","family":"Birungi","given":"J","non-dropping-particle":"","parse-names":false,"suffix":""},{"dropping-particle":"","family":"Wondji","given":"CS","non-dropping-particle":"","parse-names":false,"suffix":""},{"dropping-particle":"","family":"Okoye","given":"PN","non-dropping-particle":"","parse-names":false,"suffix":""},{"dropping-particle":"","family":"Brooke","given":"BD","non-dropping-particle":"","parse-names":false,"suffix":""},{"dropping-particle":"","family":"Koekemoer","given":"LL","non-dropping-particle":"","parse-names":false,"suffix":""},{"dropping-particle":"","family":"Hunt","given":"RH","non-dropping-particle":"","parse-names":false,"suffix":""},{"dropping-particle":"","family":"Coetzee","given":"M","non-dropping-particle":"","parse-names":false,"suffix":""},{"dropping-particle":"","family":"Djouaka","given":"R","non-dropping-particle":"","parse-names":false,"suffix":""},{"dropping-particle":"","family":"Irving","given":"H","non-dropping-particle":"","parse-names":false,"suffix":""},{"dropping-particle":"","family":"Tukur","given":"Z","non-dropping-particle":"","parse-names":false,"suffix":""},{"dropping-particle":"","family":"Wondji","given":"CS","non-dropping-particle":"","parse-names":false,"suffix":""},{"dropping-particle":"","family":"Ndiath","given":"MO","non-dropping-particle":"","parse-names":false,"suffix":""},{"dropping-particle":"","family":"Sougoufara","given":"S","non-dropping-particle":"","parse-names":false,"suffix":""},{"dropping-particle":"","family":"Gaye","given":"A","non-dropping-particle":"","parse-names":false,"suffix":""},{"dropping-particle":"","family":"Mazenot","given":"C","non-dropping-particle":"","parse-names":false,"suffix":""},{"dropping-particle":"","family":"Konate","given":"L","non-dropping-particle":"","parse-names":false,"suffix":""},{"dropping-particle":"","family":"Faye","given":"O","non-dropping-particle":"","parse-names":false,"suffix":""},{"dropping-particle":"","family":"Sokhna","given":"C","non-dropping-particle":"","parse-names":false,"suffix":""},{"dropping-particle":"","family":"Trape","given":"JF","non-dropping-particle":"","parse-names":false,"suffix":""},{"dropping-particle":"","family":"Ndiath","given":"MO","non-dropping-particle":"","parse-names":false,"suffix":""},{"dropping-particle":"","family":"Cailleau","given":"A","non-dropping-particle":"","parse-names":false,"suffix":""},{"dropping-particle":"","family":"Orlandi-Pradines","given":"E","non-dropping-particle":"","parse-names":false,"suffix":""},{"dropping-particle":"","family":"Bessell","given":"P","non-dropping-particle":"","parse-names":false,"suffix":""},{"dropping-particle":"","family":"Pages","given":"F","non-dropping-particle":"","parse-names":false,"suffix":""},{"dropping-particle":"","family":"Trape","given":"JF","non-dropping-particle":"","parse-names":false,"suffix":""},{"dropping-particle":"","family":"Rogier","given":"C","non-dropping-particle":"","parse-names":false,"suffix":""},{"dropping-particle":"","family":"Thwing","given":"JI","non-dropping-particle":"","parse-names":false,"suffix":""},{"dropping-particle":"","family":"Perry","given":"RT","non-dropping-particle":"","parse-names":false,"suffix":""},{"dropping-particle":"","family":"Townes","given":"DA","non-dropping-particle":"","parse-names":false,"suffix":""},{"dropping-particle":"","family":"Diouf","given":"MB","non-dropping-particle":"","parse-names":false,"suffix":""},{"dropping-particle":"","family":"Ndiaye","given":"S","non-dropping-particle":"","parse-names":false,"suffix":""},{"dropping-particle":"","family":"Thior","given":"M","non-dropping-particle":"","parse-names":false,"suffix":""},{"dropping-particle":"","family":"Morgan","given":"JC","non-dropping-particle":"","parse-names":false,"suffix":""},{"dropping-particle":"","family":"Irving","given":"H","non-dropping-particle":"","parse-names":false,"suffix":""},{"dropping-particle":"","family":"Okedi","given":"LM","non-dropping-particle":"","parse-names":false,"suffix":""},{"dropping-particle":"","family":"Steven","given":"A","non-dropping-particle":"","parse-names":false,"suffix":""},{"dropping-particle":"","family":"Wondji","given":"CS","non-dropping-particle":"","parse-names":false,"suffix":""},{"dropping-particle":"","family":"Gillies","given":"MT","non-dropping-particle":"","parse-names":false,"suffix":""},{"dropping-particle":"","family":"Coetzee","given":"M","non-dropping-particle":"","parse-names":false,"suffix":""},{"dropping-particle":"","family":"Livak","given":"KJ","non-dropping-particle":"","parse-names":false,"suffix":""},{"dropping-particle":"","family":"Koekemoer","given":"LL","non-dropping-particle":"","parse-names":false,"suffix":""},{"dropping-particle":"","family":"Kamau","given":"L","non-dropping-particle":"","parse-names":false,"suffix":""},{"dropping-particle":"","family":"Hunt","given":"RH","non-dropping-particle":"","parse-names":false,"suffix":""},{"dropping-particle":"","family":"Coetzee","given":"M","non-dropping-particle":"","parse-names":false,"suffix":""},{"dropping-particle":"","family":"Crawford","given":"JE","non-dropping-particle":"","parse-names":false,"suffix":""},{"dropping-particle":"","family":"Guelbeogo","given":"WM","non-dropping-particle":"","parse-names":false,"suffix":""},{"dropping-particle":"","family":"Sanou","given":"A","non-dropping-particle":"","parse-names":false,"suffix":""},{"dropping-particle":"","family":"Traore","given":"A","non-dropping-particle":"","parse-names":false,"suffix":""},{"dropping-particle":"","family":"Vernick","given":"KD","non-dropping-particle":"","parse-names":false,"suffix":""},{"dropping-particle":"","family":"Sagnon","given":"N","non-dropping-particle":"","parse-names":false,"suffix":""},{"dropping-particle":"","family":"Lazzaro","given":"BP","non-dropping-particle":"","parse-names":false,"suffix":""},{"dropping-particle":"","family":"Schmittgen","given":"TD","non-dropping-particle":"","parse-names":false,"suffix":""},{"dropping-particle":"","family":"Livak","given":"KJ","non-dropping-particle":"","parse-names":false,"suffix":""},{"dropping-particle":"","family":"Cuamba","given":"N","non-dropping-particle":"","parse-names":false,"suffix":""},{"dropping-particle":"","family":"Morgan","given":"JC","non-dropping-particle":"","parse-names":false,"suffix":""},{"dropping-particle":"","family":"Irving","given":"H","non-dropping-particle":"","parse-names":false,"suffix":""},{"dropping-particle":"","family":"Steven","given":"A","non-dropping-particle":"","parse-names":false,"suffix":""},{"dropping-particle":"","family":"Wondji","given":"CS","non-dropping-particle":"","parse-names":false,"suffix":""},{"dropping-particle":"","family":"Riveron","given":"JM","non-dropping-particle":"","parse-names":false,"suffix":""},{"dropping-particle":"","family":"Chiumia","given":"M","non-dropping-particle":"","parse-names":false,"suffix":""},{"dropping-particle":"","family":"Menze","given":"BD","non-dropping-particle":"","parse-names":false,"suffix":""},{"dropping-particle":"","family":"Barnes","given":"KG","non-dropping-particle":"","parse-names":false,"suffix":""},{"dropping-particle":"","family":"Irving","given":"H","non-dropping-particle":"","parse-names":false,"suffix":""},{"dropping-particle":"","family":"Ibrahim","given":"SS","non-dropping-particle":"","parse-names":false,"suffix":""},{"dropping-particle":"","family":"Weedall","given":"GD","non-dropping-particle":"","parse-names":false,"suffix":""},{"dropping-particle":"","family":"Mzilahowa","given":"T","non-dropping-particle":"","parse-names":false,"suffix":""},{"dropping-particle":"","family":"Wondji","given":"CS","non-dropping-particle":"","parse-names":false,"suffix":""},{"dropping-particle":"","family":"Coetzee","given":"M","non-dropping-particle":"","parse-names":false,"suffix":""},{"dropping-particle":"","family":"Wyk","given":"P","non-dropping-particle":"","parse-names":false,"suffix":""},{"dropping-particle":"","family":"Booman","given":"M","non-dropping-particle":"","parse-names":false,"suffix":""},{"dropping-particle":"","family":"Koekemoer","given":"LL","non-dropping-particle":"","parse-names":false,"suffix":""},{"dropping-particle":"","family":"Hunt","given":"RH","non-dropping-particle":"","parse-names":false,"suffix":""},{"dropping-particle":"","family":"Kloke","given":"RG","non-dropping-particle":"","parse-names":false,"suffix":""},{"dropping-particle":"","family":"Nhamahanga","given":"E","non-dropping-particle":"","parse-names":false,"suffix":""},{"dropping-particle":"","family":"Hunt","given":"RH","non-dropping-particle":"","parse-names":false,"suffix":""},{"dropping-particle":"","family":"Coetzee","given":"M","non-dropping-particle":"","parse-names":false,"suffix":""},{"dropping-particle":"","family":"Scollon","given":"EJ","non-dropping-particle":"","parse-names":false,"suffix":""},{"dropping-particle":"","family":"Starr","given":"JM","non-dropping-particle":"","parse-names":false,"suffix":""},{"dropping-particle":"","family":"Godin","given":"SJ","non-dropping-particle":"","parse-names":false,"suffix":""},{"dropping-particle":"","family":"DeVito","given":"MJ","non-dropping-particle":"","parse-names":false,"suffix":""},{"dropping-particle":"","family":"Hughes","given":"MF","non-dropping-particle":"","parse-names":false,"suffix":""},{"dropping-particle":"","family":"Ibrahim","given":"SS","non-dropping-particle":"","parse-names":false,"suffix":""},{"dropping-particle":"","family":"Riveron","given":"JM","non-dropping-particle":"","parse-names":false,"suffix":""},{"dropping-particle":"","family":"Stott","given":"R","non-dropping-particle":"","parse-names":false,"suffix":""},{"dropping-particle":"","family":"Irving","given":"H","non-dropping-particle":"","parse-names":false,"suffix":""},{"dropping-particle":"","family":"Wondji","given":"CS","non-dropping-particle":"","parse-names":false,"suffix":""},{"dropping-particle":"","family":"Hargreaves","given":"K","non-dropping-particle":"","parse-names":false,"suffix":""},{"dropping-particle":"","family":"Coetzee","given":"M","non-dropping-particle":"","parse-names":false,"suffix":""},{"dropping-particle":"","family":"Koekemoer","given":"LL","non-dropping-particle":"","parse-names":false,"suffix":""},{"dropping-particle":"","family":"Diabate","given":"A","non-dropping-particle":"","parse-names":false,"suffix":""},{"dropping-particle":"","family":"Baldet","given":"T","non-dropping-particle":"","parse-names":false,"suffix":""},{"dropping-particle":"","family":"Chandre","given":"F","non-dropping-particle":"","parse-names":false,"suffix":""},{"dropping-particle":"","family":"Akoo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Djegbe","given":"I","non-dropping-particle":"","parse-names":false,"suffix":""},{"dropping-particle":"","family":"Boussari","given":"O","non-dropping-particle":"","parse-names":false,"suffix":""},{"dropping-particle":"","family":"Sidick","given":"A","non-dropping-particle":"","parse-names":false,"suffix":""},{"dropping-particle":"","family":"Martin","given":"T","non-dropping-particle":"","parse-names":false,"suffix":""},{"dropping-particle":"","family":"Ranson","given":"H","non-dropping-particle":"","parse-names":false,"suffix":""},{"dropping-particle":"","family":"Chandre","given":"F","non-dropping-particle":"","parse-names":false,"suffix":""},{"dropping-particle":"","family":"Akogbeto","given":"M","non-dropping-particle":"","parse-names":false,"suffix":""},{"dropping-particle":"","family":"Corbel","given":"V","non-dropping-particle":"","parse-names":false,"suffix":""},{"dropping-particle":"","family":"Dabire","given":"RK","non-dropping-particle":"","parse-names":false,"suffix":""},{"dropping-particle":"","family":"Namountougou","given":"M","non-dropping-particle":"","parse-names":false,"suffix":""},{"dropping-particle":"","family":"Sawadogo","given":"SP","non-dropping-particle":"","parse-names":false,"suffix":""},{"dropping-particle":"","family":"Yaro","given":"LB","non-dropping-particle":"","parse-names":false,"suffix":""},{"dropping-particle":"","family":"Toe","given":"HK","non-dropping-particle":"","parse-names":false,"suffix":""},{"dropping-particle":"","family":"Ouari","given":"A","non-dropping-particle":"","parse-names":false,"suffix":""},{"dropping-particle":"","family":"Gouagna","given":"LC","non-dropping-particle":"","parse-names":false,"suffix":""},{"dropping-particle":"","family":"Simard","given":"F","non-dropping-particle":"","parse-names":false,"suffix":""},{"dropping-particle":"","family":"Chandre","given":"F","non-dropping-particle":"","parse-names":false,"suffix":""},{"dropping-particle":"","family":"Baldet","given":"T","non-dropping-particle":"","parse-names":false,"suffix":""},{"dropping-particle":"","family":"Samb","given":"B","non-dropping-particle":"","parse-names":false,"suffix":""},{"dropping-particle":"","family":"Dia","given":"I","non-dropping-particle":"","parse-names":false,"suffix":""},{"dropping-particle":"","family":"Konate","given":"L","non-dropping-particle":"","parse-names":false,"suffix":""},{"dropping-particle":"","family":"Ayala","given":"D","non-dropping-particle":"","parse-names":false,"suffix":""},{"dropping-particle":"","family":"Fontenille","given":"D","non-dropping-particle":"","parse-names":false,"suffix":""},{"dropping-particle":"","family":"Cohuet","given":"A","non-dropping-particle":"","parse-names":false,"suffix":""},{"dropping-particle":"","family":"Riveron","given":"JM","non-dropping-particle":"","parse-names":false,"suffix":""},{"dropping-particle":"","family":"Ibrahim","given":"SS","non-dropping-particle":"","parse-names":false,"suffix":""},{"dropping-particle":"","family":"Chanda","given":"E","non-dropping-particle":"","parse-names":false,"suffix":""},{"dropping-particle":"","family":"Mzilahowa","given":"T","non-dropping-particle":"","parse-names":false,"suffix":""},{"dropping-particle":"","family":"Cuamba","given":"N","non-dropping-particle":"","parse-names":false,"suffix":""},{"dropping-particle":"","family":"Irving","given":"H","non-dropping-particle":"","parse-names":false,"suffix":""},{"dropping-particle":"","family":"Barnes","given":"KG","non-dropping-particle":"","parse-names":false,"suffix":""},{"dropping-particle":"","family":"Ndula","given":"M","non-dropping-particle":"","parse-names":false,"suffix":""},{"dropping-particle":"","family":"Wondji","given":"CS","non-dropping-particle":"","parse-names":false,"suffix":""},{"dropping-particle":"","family":"Amenya","given":"DA","non-dropping-particle":"","parse-names":false,"suffix":""},{"dropping-particle":"","family":"Naguran","given":"R","non-dropping-particle":"","parse-names":false,"suffix":""},{"dropping-particle":"","family":"Lo","given":"TC","non-dropping-particle":"","parse-names":false,"suffix":""},{"dropping-particle":"","family":"Ranson","given":"H","non-dropping-particle":"","parse-names":false,"suffix":""},{"dropping-particle":"","family":"Spillings","given":"BL","non-dropping-particle":"","parse-names":false,"suffix":""},{"dropping-particle":"","family":"Wood","given":"OR","non-dropping-particle":"","parse-names":false,"suffix":""},{"dropping-particle":"","family":"Brooke","given":"BD","non-dropping-particle":"","parse-names":false,"suffix":""},{"dropping-particle":"","family":"Coetzee","given":"M","non-dropping-particle":"","parse-names":false,"suffix":""},{"dropping-particle":"","family":"Koekemoer","given":"LL","non-dropping-particle":"","parse-names":false,"suffix":""},{"dropping-particle":"","family":"Wondji","given":"CS","non-dropping-particle":"","parse-names":false,"suffix":""},{"dropping-particle":"","family":"Irving","given":"H","non-dropping-particle":"","parse-names":false,"suffix":""},{"dropping-particle":"","family":"Morgan","given":"J","non-dropping-particle":"","parse-names":false,"suffix":""},{"dropping-particle":"","family":"Lobo","given":"NF","non-dropping-particle":"","parse-names":false,"suffix":""},{"dropping-particle":"","family":"Collins","given":"FH","non-dropping-particle":"","parse-names":false,"suffix":""},{"dropping-particle":"","family":"Hunt","given":"RH","non-dropping-particle":"","parse-names":false,"suffix":""},{"dropping-particle":"","family":"Coetzee","given":"M","non-dropping-particle":"","parse-names":false,"suffix":""},{"dropping-particle":"","family":"Hemingway","given":"J","non-dropping-particle":"","parse-names":false,"suffix":""},{"dropping-particle":"","family":"Ranson","given":"H","non-dropping-particle":"","parse-names":false,"suffix":""},{"dropping-particle":"","family":"Mitchell","given":"SN","non-dropping-particle":"","parse-names":false,"suffix":""},{"dropping-particle":"","family":"Stevenson","given":"BJ","non-dropping-particle":"","parse-names":false,"suffix":""},{"dropping-particle":"","family":"Müller","given":"P","non-dropping-particle":"","parse-names":false,"suffix":""},{"dropping-particle":"","family":"Wilding","given":"CS","non-dropping-particle":"","parse-names":false,"suffix":""},{"dropping-particle":"","family":"Egyir-Yawson","given":"A","non-dropping-particle":"","parse-names":false,"suffix":""},{"dropping-particle":"","family":"Field","given":"SG","non-dropping-particle":"","parse-names":false,"suffix":""},{"dropping-particle":"","family":"Hemingway","given":"J","non-dropping-particle":"","parse-names":false,"suffix":""},{"dropping-particle":"","family":"Paine","given":"MJI","non-dropping-particle":"","parse-names":false,"suffix":""},{"dropping-particle":"","family":"Ranson","given":"H","non-dropping-particle":"","parse-names":false,"suffix":""},{"dropping-particle":"","family":"Donnelly","given":"MJ","non-dropping-particle":"","parse-names":false,"suffix":""},{"dropping-particle":"","family":"Rongnoparut","given":"P","non-dropping-particle":"","parse-names":false,"suffix":""},{"dropping-particle":"","family":"Boonsuepsakul","given":"S","non-dropping-particle":"","parse-names":false,"suffix":""},{"dropping-particle":"","family":"Chareonviriyaphap","given":"T","non-dropping-particle":"","parse-names":false,"suffix":""},{"dropping-particle":"","family":"Thanomsing","given":"N","non-dropping-particle":"","parse-names":false,"suffix":""},{"dropping-particle":"","family":"Rodpradit","given":"P","non-dropping-particle":"","parse-names":false,"suffix":""},{"dropping-particle":"","family":"Boonsuepsakul","given":"S","non-dropping-particle":"","parse-names":false,"suffix":""},{"dropping-particle":"","family":"Chareonviriyaphap","given":"T","non-dropping-particle":"","parse-names":false,"suffix":""},{"dropping-particle":"","family":"Bangs","given":"MJ","non-dropping-particle":"","parse-names":false,"suffix":""},{"dropping-particle":"","family":"Rongnoparut","given":"P","non-dropping-particle":"","parse-names":false,"suffix":""},{"dropping-particle":"","family":"Kasai","given":"S","non-dropping-particle":"","parse-names":false,"suffix":""},{"dropping-particle":"","family":"Scott","given":"JG","non-dropping-particle":"","parse-names":false,"suffix":""},{"dropping-particle":"","family":"Zhu","given":"F","non-dropping-particle":"","parse-names":false,"suffix":""},{"dropping-particle":"","family":"Parthasarathy","given":"R","non-dropping-particle":"","parse-names":false,"suffix":""},{"dropping-particle":"","family":"Bai","given":"H","non-dropping-particle":"","parse-names":false,"suffix":""},{"dropping-particle":"","family":"Woithe","given":"K","non-dropping-particle":"","parse-names":false,"suffix":""},{"dropping-particle":"","family":"Kaussmann","given":"M","non-dropping-particle":"","parse-names":false,"suffix":""},{"dropping-particle":"","family":"Nauen","given":"R","non-dropping-particle":"","parse-names":false,"suffix":""},{"dropping-particle":"","family":"Harrison","given":"DA","non-dropping-particle":"","parse-names":false,"suffix":""},{"dropping-particle":"","family":"Palli","given":"SR","non-dropping-particle":"","parse-names":false,"suffix":""},{"dropping-particle":"","family":"Feyereisen","given":"R","non-dropping-particle":"","parse-names":false,"suffix":""},{"dropping-particle":"","family":"Brooke","given":"BD","non-dropping-particle":"","parse-names":false,"suffix":""},{"dropping-particle":"","family":"Kloke","given":"G","non-dropping-particle":"","parse-names":false,"suffix":""},{"dropping-particle":"","family":"Hunt","given":"RH","non-dropping-particle":"","parse-names":false,"suffix":""},{"dropping-particle":"","family":"Koekemoer","given":"LL","non-dropping-particle":"","parse-names":false,"suffix":""},{"dropping-particle":"","family":"Temu","given":"EA","non-dropping-particle":"","parse-names":false,"suffix":""},{"dropping-particle":"","family":"Taylor","given":"ME","non-dropping-particle":"","parse-names":false,"suffix":""},{"dropping-particle":"","family":"Small","given":"G","non-dropping-particle":"","parse-names":false,"suffix":""},{"dropping-particle":"","family":"Hemingway","given":"J","non-dropping-particle":"","parse-names":false,"suffix":""},{"dropping-particle":"","family":"Coetzee","given":"M","non-dropping-particle":"","parse-names":false,"suffix":""},{"dropping-particle":"","family":"Casimiro","given":"SL","non-dropping-particle":"","parse-names":false,"suffix":""},{"dropping-particle":"","family":"Hemingway","given":"J","non-dropping-particle":"","parse-names":false,"suffix":""},{"dropping-particle":"","family":"Sharp","given":"BL","non-dropping-particle":"","parse-names":false,"suffix":""},{"dropping-particle":"","family":"Coleman","given":"M","non-dropping-particle":"","parse-names":false,"suffix":""},{"dropping-particle":"","family":"Hunt","given":"RH","non-dropping-particle":"","parse-names":false,"suffix":""},{"dropping-particle":"","family":"Brooke","given":"BD","non-dropping-particle":"","parse-names":false,"suffix":""},{"dropping-particle":"","family":"Pillay","given":"C","non-dropping-particle":"","parse-names":false,"suffix":""},{"dropping-particle":"","family":"Koekemoer","given":"LL","non-dropping-particle":"","parse-names":false,"suffix":""},{"dropping-particle":"","family":"Coetzee","given":"M","non-dropping-particle":"","parse-names":false,"suffix":""},{"dropping-particle":"","family":"Christian","given":"RN","non-dropping-particle":"","parse-names":false,"suffix":""},{"dropping-particle":"","family":"Matambo","given":"TS","non-dropping-particle":"","parse-names":false,"suffix":""},{"dropping-particle":"","family":"Spillings","given":"BL","non-dropping-particle":"","parse-names":false,"suffix":""},{"dropping-particle":"","family":"Brooke","given":"BD","non-dropping-particle":"","parse-names":false,"suffix":""},{"dropping-particle":"","family":"Coetzee","given":"M","non-dropping-particle":"","parse-names":false,"suffix":""},{"dropping-particle":"","family":"Koekemoer","given":"LL","non-dropping-particle":"","parse-names":false,"suffix":""}],"container-title":"Parasites &amp; Vectors","id":"ITEM-2","issue":"1","issued":{"date-parts":[["2016"]]},"page":"449","title":"Investigating molecular basis of lambda-cyhalothrin resistance in an Anopheles funestus population from Senegal","type":"article-journal","volume":"9"},"uris":["http://www.mendeley.com/documents/?uuid=7acaa159-64c8-4eb6-8256-06a5e0a1a9ca","http://www.mendeley.com/documents/?uuid=426fa0e4-2f80-4218-8560-3f2443445d7e","http://www.mendeley.com/documents/?uuid=40806cad-0839-44c1-90c8-6b12e6ab2ffb"]}],"mendeley":{"formattedCitation":"[4,8]","plainTextFormattedCitation":"[4,8]","previouslyFormattedCitation":"(4,8)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[4,8]</w:t>
      </w:r>
      <w:r w:rsidRPr="00CD231A">
        <w:rPr>
          <w:rFonts w:ascii="Times New Roman" w:hAnsi="Times New Roman" w:cs="Times New Roman"/>
        </w:rPr>
        <w:fldChar w:fldCharType="end"/>
      </w:r>
      <w:r w:rsidRPr="00CD231A">
        <w:rPr>
          <w:rFonts w:ascii="Times New Roman" w:hAnsi="Times New Roman" w:cs="Times New Roman"/>
        </w:rPr>
        <w:t xml:space="preserve">. Glutathione–S-transferases, a phase II detoxification gene family are known to be involved in both permethrin and DDT resistance of </w:t>
      </w:r>
      <w:r w:rsidRPr="00CD231A">
        <w:rPr>
          <w:rFonts w:ascii="Times New Roman" w:hAnsi="Times New Roman" w:cs="Times New Roman"/>
          <w:i/>
          <w:iCs/>
        </w:rPr>
        <w:t>An. funestus s.l</w:t>
      </w:r>
      <w:r w:rsidRPr="00CD231A">
        <w:rPr>
          <w:rFonts w:ascii="Times New Roman" w:hAnsi="Times New Roman" w:cs="Times New Roman"/>
        </w:rPr>
        <w:t xml:space="preserve">. Several reports have shown that the epsilon class, </w:t>
      </w:r>
      <w:r w:rsidRPr="00CD231A">
        <w:rPr>
          <w:rFonts w:ascii="Times New Roman" w:hAnsi="Times New Roman" w:cs="Times New Roman"/>
          <w:i/>
        </w:rPr>
        <w:t xml:space="preserve">GSTe2 </w:t>
      </w:r>
      <w:r w:rsidRPr="00CD231A">
        <w:rPr>
          <w:rFonts w:ascii="Times New Roman" w:hAnsi="Times New Roman" w:cs="Times New Roman"/>
        </w:rPr>
        <w:t xml:space="preserve">is a key detoxification gene, which is displayed by its overexpression in permethrin and DDT-resistant mosquitoes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funestus","type":"article-journal","volume":"110"},"uris":["http://www.mendeley.com/documents/?uuid=bf11bcd6-e10e-4d8e-9192-8404af232ba8"]},{"id":"ITEM-2","itemData":{"DOI":"10.1186/gb-2014-15-2-r27","ISBN":"1474-7596","ISSN":"1474-760X","PMID":"24565444","abstract":"BACKGROUND: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biology","id":"ITEM-2","issue":"2","issued":{"date-parts":[["2014"]]},"page":"R27","title":"A single mutation in the GSTe2 gene allows tracking of metabolically based insecticide resistance in a major malaria vector.","type":"article-journal","volume":"15"},"uris":["http://www.mendeley.com/documents/?uuid=ad61132f-8dd2-4ce7-b57d-8e71e12ce404"]}],"mendeley":{"formattedCitation":"[10,11]","plainTextFormattedCitation":"[10,11]","previouslyFormattedCitation":"(10,11)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[10,11]</w:t>
      </w:r>
      <w:r w:rsidRPr="00CD231A">
        <w:rPr>
          <w:rFonts w:ascii="Times New Roman" w:hAnsi="Times New Roman" w:cs="Times New Roman"/>
        </w:rPr>
        <w:fldChar w:fldCharType="end"/>
      </w:r>
      <w:r w:rsidRPr="00CD231A">
        <w:rPr>
          <w:rFonts w:ascii="Times New Roman" w:hAnsi="Times New Roman" w:cs="Times New Roman"/>
        </w:rPr>
        <w:t xml:space="preserve">. In addition to its </w:t>
      </w:r>
      <w:r w:rsidRPr="00CD231A">
        <w:rPr>
          <w:rFonts w:ascii="Times New Roman" w:hAnsi="Times New Roman" w:cs="Times New Roman"/>
        </w:rPr>
        <w:lastRenderedPageBreak/>
        <w:t xml:space="preserve">overexpression, the nucleotide substitution process on position 119 on the gene, thereby changing leucine to phenylalanine has given the </w:t>
      </w:r>
      <w:r w:rsidRPr="00CD231A">
        <w:rPr>
          <w:rFonts w:ascii="Times New Roman" w:hAnsi="Times New Roman" w:cs="Times New Roman"/>
          <w:i/>
        </w:rPr>
        <w:t>GSTe2</w:t>
      </w:r>
      <w:r w:rsidRPr="00CD231A">
        <w:rPr>
          <w:rFonts w:ascii="Times New Roman" w:hAnsi="Times New Roman" w:cs="Times New Roman"/>
        </w:rPr>
        <w:t xml:space="preserve"> a greater advantage to metabolise DDT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mendeley":{"formattedCitation":"[11]","plainTextFormattedCitation":"[11]","previouslyFormattedCitation":"(11)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lang w:val="fr-FR"/>
        </w:rPr>
        <w:t>[11]</w:t>
      </w:r>
      <w:r w:rsidRPr="00CD231A">
        <w:rPr>
          <w:rFonts w:ascii="Times New Roman" w:hAnsi="Times New Roman" w:cs="Times New Roman"/>
        </w:rPr>
        <w:fldChar w:fldCharType="end"/>
      </w:r>
      <w:r w:rsidRPr="00CD231A">
        <w:rPr>
          <w:rFonts w:ascii="Times New Roman" w:hAnsi="Times New Roman" w:cs="Times New Roman"/>
          <w:lang w:val="fr-FR"/>
        </w:rPr>
        <w:t xml:space="preserve">. </w:t>
      </w:r>
    </w:p>
    <w:p w14:paraId="6A2074EA" w14:textId="24EF0699"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lang w:val="fr-FR"/>
        </w:rPr>
        <w:tab/>
        <w:t xml:space="preserve">Djouaka </w:t>
      </w:r>
      <w:r w:rsidRPr="00CD231A">
        <w:rPr>
          <w:rFonts w:ascii="Times New Roman" w:hAnsi="Times New Roman" w:cs="Times New Roman"/>
          <w:i/>
          <w:iCs/>
          <w:lang w:val="fr-FR"/>
        </w:rPr>
        <w:t>et al</w:t>
      </w:r>
      <w:r w:rsidRPr="00CD231A">
        <w:rPr>
          <w:rFonts w:ascii="Times New Roman" w:hAnsi="Times New Roman" w:cs="Times New Roman"/>
          <w:lang w:val="fr-FR"/>
        </w:rPr>
        <w:t xml:space="preserve">. </w:t>
      </w:r>
      <w:r w:rsidRPr="00CD231A">
        <w:rPr>
          <w:rFonts w:ascii="Times New Roman" w:hAnsi="Times New Roman" w:cs="Times New Roman"/>
        </w:rPr>
        <w:fldChar w:fldCharType="begin" w:fldLock="1"/>
      </w:r>
      <w:r w:rsidRPr="00CD231A">
        <w:rPr>
          <w:rFonts w:ascii="Times New Roman" w:hAnsi="Times New Roman" w:cs="Times New Roman"/>
          <w:lang w:val="fr-FR"/>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lang w:val="fr-FR"/>
        </w:rPr>
        <w:t>[1]</w:t>
      </w:r>
      <w:r w:rsidRPr="00CD231A">
        <w:rPr>
          <w:rFonts w:ascii="Times New Roman" w:hAnsi="Times New Roman" w:cs="Times New Roman"/>
        </w:rPr>
        <w:fldChar w:fldCharType="end"/>
      </w:r>
      <w:r w:rsidRPr="00CD231A">
        <w:rPr>
          <w:rFonts w:ascii="Times New Roman" w:hAnsi="Times New Roman" w:cs="Times New Roman"/>
          <w:lang w:val="fr-FR"/>
        </w:rPr>
        <w:t xml:space="preserve"> have already reported the roles of oxidase and </w:t>
      </w:r>
      <w:r w:rsidRPr="00CD231A">
        <w:rPr>
          <w:rFonts w:ascii="Times New Roman" w:hAnsi="Times New Roman" w:cs="Times New Roman"/>
        </w:rPr>
        <w:t xml:space="preserve">high resistant allelic frequency, f(R)=77% of </w:t>
      </w:r>
      <w:r w:rsidRPr="00CD231A">
        <w:rPr>
          <w:rFonts w:ascii="Times New Roman" w:hAnsi="Times New Roman" w:cs="Times New Roman"/>
          <w:iCs/>
        </w:rPr>
        <w:t xml:space="preserve">the </w:t>
      </w:r>
      <w:r w:rsidRPr="00CD231A">
        <w:rPr>
          <w:rFonts w:ascii="Times New Roman" w:hAnsi="Times New Roman" w:cs="Times New Roman"/>
        </w:rPr>
        <w:t>L119F-GSTe2 mutation</w:t>
      </w:r>
      <w:r w:rsidRPr="00CD231A">
        <w:rPr>
          <w:rFonts w:ascii="Times New Roman" w:hAnsi="Times New Roman" w:cs="Times New Roman"/>
          <w:lang w:val="fr-FR"/>
        </w:rPr>
        <w:t xml:space="preserve"> in resistant </w:t>
      </w:r>
      <w:r w:rsidRPr="00CD231A">
        <w:rPr>
          <w:rFonts w:ascii="Times New Roman" w:hAnsi="Times New Roman" w:cs="Times New Roman"/>
          <w:i/>
          <w:lang w:val="fr-FR"/>
        </w:rPr>
        <w:t>An. funestus</w:t>
      </w:r>
      <w:r w:rsidRPr="00CD231A">
        <w:rPr>
          <w:rFonts w:ascii="Times New Roman" w:hAnsi="Times New Roman" w:cs="Times New Roman"/>
          <w:lang w:val="fr-FR"/>
        </w:rPr>
        <w:t xml:space="preserve"> at Akaka-Remo. </w:t>
      </w:r>
      <w:r w:rsidRPr="00CD231A">
        <w:rPr>
          <w:rFonts w:ascii="Times New Roman" w:hAnsi="Times New Roman" w:cs="Times New Roman"/>
        </w:rPr>
        <w:t xml:space="preserve">However, there is a need for thorough molecular-based analyses to further understand the various mechanisms developed by the </w:t>
      </w:r>
      <w:r w:rsidRPr="00CD231A">
        <w:rPr>
          <w:rFonts w:ascii="Times New Roman" w:hAnsi="Times New Roman" w:cs="Times New Roman"/>
          <w:i/>
        </w:rPr>
        <w:t>An. funestus s.s.</w:t>
      </w:r>
      <w:r w:rsidRPr="00CD231A">
        <w:rPr>
          <w:rFonts w:ascii="Times New Roman" w:hAnsi="Times New Roman" w:cs="Times New Roman"/>
        </w:rPr>
        <w:t xml:space="preserve"> population against insecticides. For these analyses, a genome-wide transcriptional analysis by microarray and the reverse transcriptase polymerase chain reaction (RT-PCR) were conducted to identify the set of detoxification genes associated with DDT and pyrethroid resistance in the mosquito population. Also, the voltage-gated sodium channel (VGSC) sequence (permethrin and DDT target site) was screened to investigate the presence of knockdown resistance (</w:t>
      </w:r>
      <w:r w:rsidRPr="00CD231A">
        <w:rPr>
          <w:rFonts w:ascii="Times New Roman" w:hAnsi="Times New Roman" w:cs="Times New Roman"/>
          <w:i/>
          <w:iCs/>
        </w:rPr>
        <w:t>kdr</w:t>
      </w:r>
      <w:r w:rsidRPr="00CD231A">
        <w:rPr>
          <w:rFonts w:ascii="Times New Roman" w:hAnsi="Times New Roman" w:cs="Times New Roman"/>
        </w:rPr>
        <w:t>) mutations (L1014F and L1014S) in wild (F</w:t>
      </w:r>
      <w:r w:rsidRPr="00CD231A">
        <w:rPr>
          <w:rFonts w:ascii="Times New Roman" w:hAnsi="Times New Roman" w:cs="Times New Roman"/>
          <w:vertAlign w:val="subscript"/>
        </w:rPr>
        <w:t>0</w:t>
      </w:r>
      <w:r w:rsidRPr="00CD231A">
        <w:rPr>
          <w:rFonts w:ascii="Times New Roman" w:hAnsi="Times New Roman" w:cs="Times New Roman"/>
        </w:rPr>
        <w:t>) mosquito species.</w:t>
      </w:r>
    </w:p>
    <w:p w14:paraId="7A323249" w14:textId="77777777" w:rsidR="00BF5696" w:rsidRPr="00CD231A" w:rsidRDefault="00BF5696" w:rsidP="00BF5696">
      <w:pPr>
        <w:spacing w:line="480" w:lineRule="auto"/>
        <w:jc w:val="both"/>
        <w:rPr>
          <w:rFonts w:ascii="Times New Roman" w:hAnsi="Times New Roman" w:cs="Times New Roman"/>
          <w:b/>
        </w:rPr>
      </w:pPr>
    </w:p>
    <w:p w14:paraId="72C01ACB" w14:textId="77777777" w:rsidR="00BF5696" w:rsidRPr="00CD231A" w:rsidRDefault="00BF5696" w:rsidP="00BF5696">
      <w:pPr>
        <w:spacing w:line="480" w:lineRule="auto"/>
        <w:jc w:val="both"/>
        <w:rPr>
          <w:rFonts w:ascii="Times New Roman" w:hAnsi="Times New Roman" w:cs="Times New Roman"/>
          <w:b/>
        </w:rPr>
      </w:pPr>
    </w:p>
    <w:p w14:paraId="4ED0DCC0" w14:textId="77777777"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Methods</w:t>
      </w:r>
    </w:p>
    <w:p w14:paraId="3DB18718" w14:textId="342B9976"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rPr>
        <w:t xml:space="preserve">This is a follow-up study from Djouaka </w:t>
      </w:r>
      <w:r w:rsidRPr="00CD231A">
        <w:rPr>
          <w:rFonts w:ascii="Times New Roman" w:hAnsi="Times New Roman" w:cs="Times New Roman"/>
          <w:i/>
          <w:iCs/>
        </w:rPr>
        <w:t>et al</w:t>
      </w:r>
      <w:r w:rsidRPr="00CD231A">
        <w:rPr>
          <w:rFonts w:ascii="Times New Roman" w:hAnsi="Times New Roman" w:cs="Times New Roman"/>
        </w:rPr>
        <w:t xml:space="preserv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xml:space="preserve">. From the previous study, </w:t>
      </w:r>
      <w:r w:rsidRPr="00CD231A">
        <w:rPr>
          <w:rFonts w:ascii="Times New Roman" w:hAnsi="Times New Roman" w:cs="Times New Roman"/>
          <w:i/>
          <w:iCs/>
        </w:rPr>
        <w:t xml:space="preserve">Anopheles funestus s.s </w:t>
      </w:r>
      <w:r w:rsidRPr="00CD231A">
        <w:rPr>
          <w:rFonts w:ascii="Times New Roman" w:hAnsi="Times New Roman" w:cs="Times New Roman"/>
        </w:rPr>
        <w:t xml:space="preserve">collected were exposed to permethrin, deltamethrin, DDT, dieldrin, bendiocarb and malathion, with bioassay test showing that mosquito population were resistant to all insecticides tested </w:t>
      </w:r>
      <w:r w:rsidR="00617F96" w:rsidRPr="00CD231A">
        <w:rPr>
          <w:rFonts w:ascii="Times New Roman" w:hAnsi="Times New Roman" w:cs="Times New Roman"/>
        </w:rPr>
        <w:t xml:space="preserve">except </w:t>
      </w:r>
      <w:r w:rsidRPr="00CD231A">
        <w:rPr>
          <w:rFonts w:ascii="Times New Roman" w:hAnsi="Times New Roman" w:cs="Times New Roman"/>
        </w:rPr>
        <w:t>malathion. The F</w:t>
      </w:r>
      <w:r w:rsidRPr="00CD231A">
        <w:rPr>
          <w:rFonts w:ascii="Times New Roman" w:hAnsi="Times New Roman" w:cs="Times New Roman"/>
          <w:vertAlign w:val="subscript"/>
        </w:rPr>
        <w:t>1</w:t>
      </w:r>
      <w:r w:rsidRPr="00CD231A">
        <w:rPr>
          <w:rFonts w:ascii="Times New Roman" w:hAnsi="Times New Roman" w:cs="Times New Roman"/>
        </w:rPr>
        <w:t xml:space="preserve"> mosquitoes generated from this previous study were further analysed for their molecular mechanisms of resistance in th</w:t>
      </w:r>
      <w:r w:rsidR="00617F96" w:rsidRPr="00CD231A">
        <w:rPr>
          <w:rFonts w:ascii="Times New Roman" w:hAnsi="Times New Roman" w:cs="Times New Roman"/>
        </w:rPr>
        <w:t>e present</w:t>
      </w:r>
      <w:r w:rsidRPr="00CD231A">
        <w:rPr>
          <w:rFonts w:ascii="Times New Roman" w:hAnsi="Times New Roman" w:cs="Times New Roman"/>
        </w:rPr>
        <w:t xml:space="preserve"> study. Below is a brief methodology on how mosquitoes were collected</w:t>
      </w:r>
      <w:r w:rsidRPr="00CD231A">
        <w:rPr>
          <w:rFonts w:ascii="Times New Roman" w:hAnsi="Times New Roman" w:cs="Times New Roman"/>
          <w:b/>
        </w:rPr>
        <w:t xml:space="preserve"> </w:t>
      </w:r>
      <w:r w:rsidRPr="00CD231A">
        <w:rPr>
          <w:rFonts w:ascii="Times New Roman" w:hAnsi="Times New Roman" w:cs="Times New Roman"/>
          <w:bCs/>
        </w:rPr>
        <w:t>and</w:t>
      </w:r>
      <w:r w:rsidRPr="00CD231A">
        <w:rPr>
          <w:rFonts w:ascii="Times New Roman" w:hAnsi="Times New Roman" w:cs="Times New Roman"/>
          <w:b/>
        </w:rPr>
        <w:t xml:space="preserve"> </w:t>
      </w:r>
      <w:r w:rsidRPr="00CD231A">
        <w:rPr>
          <w:rFonts w:ascii="Times New Roman" w:hAnsi="Times New Roman" w:cs="Times New Roman"/>
          <w:bCs/>
        </w:rPr>
        <w:t xml:space="preserve">bioassays were conducted, already documented in the previous paper </w:t>
      </w:r>
      <w:r w:rsidR="00617F96" w:rsidRPr="00CD231A">
        <w:rPr>
          <w:rFonts w:ascii="Times New Roman" w:hAnsi="Times New Roman" w:cs="Times New Roman"/>
          <w:bCs/>
        </w:rPr>
        <w:t>(for details, see</w:t>
      </w:r>
      <w:r w:rsidRPr="00CD231A">
        <w:rPr>
          <w:rFonts w:ascii="Times New Roman" w:hAnsi="Times New Roman" w:cs="Times New Roman"/>
          <w:bCs/>
        </w:rPr>
        <w:t xml:space="preserve"> Djouaka </w:t>
      </w:r>
      <w:r w:rsidRPr="00CD231A">
        <w:rPr>
          <w:rFonts w:ascii="Times New Roman" w:hAnsi="Times New Roman" w:cs="Times New Roman"/>
          <w:bCs/>
          <w:i/>
          <w:iCs/>
        </w:rPr>
        <w:t>et al</w:t>
      </w:r>
      <w:r w:rsidRPr="00CD231A">
        <w:rPr>
          <w:rFonts w:ascii="Times New Roman" w:hAnsi="Times New Roman" w:cs="Times New Roman"/>
          <w:bCs/>
        </w:rPr>
        <w:t xml:space="preserve">. </w:t>
      </w:r>
      <w:r w:rsidRPr="00CD231A">
        <w:rPr>
          <w:rFonts w:ascii="Times New Roman" w:hAnsi="Times New Roman" w:cs="Times New Roman"/>
          <w:bCs/>
        </w:rPr>
        <w:fldChar w:fldCharType="begin" w:fldLock="1"/>
      </w:r>
      <w:r w:rsidRPr="00CD231A">
        <w:rPr>
          <w:rFonts w:ascii="Times New Roman" w:hAnsi="Times New Roman" w:cs="Times New Roman"/>
          <w:bCs/>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bCs/>
        </w:rPr>
        <w:fldChar w:fldCharType="separate"/>
      </w:r>
      <w:r w:rsidRPr="00CD231A">
        <w:rPr>
          <w:rFonts w:ascii="Times New Roman" w:hAnsi="Times New Roman" w:cs="Times New Roman"/>
          <w:bCs/>
          <w:noProof/>
        </w:rPr>
        <w:t>[1]</w:t>
      </w:r>
      <w:r w:rsidRPr="00CD231A">
        <w:rPr>
          <w:rFonts w:ascii="Times New Roman" w:hAnsi="Times New Roman" w:cs="Times New Roman"/>
          <w:bCs/>
        </w:rPr>
        <w:fldChar w:fldCharType="end"/>
      </w:r>
      <w:r w:rsidR="00617F96" w:rsidRPr="00CD231A">
        <w:rPr>
          <w:rFonts w:ascii="Times New Roman" w:hAnsi="Times New Roman" w:cs="Times New Roman"/>
          <w:bCs/>
        </w:rPr>
        <w:t>)</w:t>
      </w:r>
      <w:r w:rsidRPr="00CD231A">
        <w:rPr>
          <w:rFonts w:ascii="Times New Roman" w:hAnsi="Times New Roman" w:cs="Times New Roman"/>
          <w:bCs/>
        </w:rPr>
        <w:t>.</w:t>
      </w:r>
    </w:p>
    <w:p w14:paraId="5E987949" w14:textId="77777777" w:rsidR="00BF5696" w:rsidRPr="00CD231A" w:rsidRDefault="00BF5696" w:rsidP="00BF5696">
      <w:pPr>
        <w:spacing w:before="120" w:line="480" w:lineRule="auto"/>
        <w:jc w:val="both"/>
        <w:rPr>
          <w:rFonts w:ascii="Times New Roman" w:hAnsi="Times New Roman" w:cs="Times New Roman"/>
          <w:b/>
        </w:rPr>
      </w:pPr>
    </w:p>
    <w:p w14:paraId="1A71CFFF" w14:textId="47F47A75" w:rsidR="00BF5696" w:rsidRPr="00CD231A" w:rsidRDefault="00BF5696" w:rsidP="00BF5696">
      <w:pPr>
        <w:spacing w:before="120" w:line="480" w:lineRule="auto"/>
        <w:jc w:val="both"/>
        <w:rPr>
          <w:rFonts w:ascii="Times New Roman" w:hAnsi="Times New Roman" w:cs="Times New Roman"/>
          <w:b/>
        </w:rPr>
      </w:pPr>
      <w:r w:rsidRPr="00CD231A">
        <w:rPr>
          <w:rFonts w:ascii="Times New Roman" w:hAnsi="Times New Roman" w:cs="Times New Roman"/>
          <w:b/>
        </w:rPr>
        <w:t>Description of field mosquitoes and the laboratory susceptible strain, FANG</w:t>
      </w:r>
    </w:p>
    <w:p w14:paraId="1B452163" w14:textId="2FDA0922" w:rsidR="00BF5696" w:rsidRPr="00CD231A" w:rsidRDefault="00BF5696" w:rsidP="00BF5696">
      <w:pPr>
        <w:autoSpaceDE w:val="0"/>
        <w:autoSpaceDN w:val="0"/>
        <w:adjustRightInd w:val="0"/>
        <w:spacing w:line="480" w:lineRule="auto"/>
        <w:jc w:val="both"/>
        <w:rPr>
          <w:rFonts w:ascii="Times New Roman" w:hAnsi="Times New Roman" w:cs="Times New Roman"/>
          <w:color w:val="000000"/>
        </w:rPr>
      </w:pPr>
      <w:r w:rsidRPr="00CD231A">
        <w:rPr>
          <w:rFonts w:ascii="Times New Roman" w:hAnsi="Times New Roman" w:cs="Times New Roman"/>
        </w:rPr>
        <w:t xml:space="preserve">Female blood-fed adult </w:t>
      </w:r>
      <w:r w:rsidRPr="00CD231A">
        <w:rPr>
          <w:rFonts w:ascii="Times New Roman" w:hAnsi="Times New Roman" w:cs="Times New Roman"/>
          <w:i/>
        </w:rPr>
        <w:t>An. funestus s.l.</w:t>
      </w:r>
      <w:r w:rsidRPr="00CD231A">
        <w:rPr>
          <w:rFonts w:ascii="Times New Roman" w:hAnsi="Times New Roman" w:cs="Times New Roman"/>
        </w:rPr>
        <w:t xml:space="preserve"> mosquitoes were collected indoors between 06.00 and 10.00. at Akaka-Remo (6°57′N, 3°43′E) using electric aspirators. Field mosquito samples were collected from October 2014 to April 2015. After collections, mosquitoes were sorted out by their species and the </w:t>
      </w:r>
      <w:r w:rsidRPr="00CD231A">
        <w:rPr>
          <w:rFonts w:ascii="Times New Roman" w:hAnsi="Times New Roman" w:cs="Times New Roman"/>
          <w:color w:val="000000"/>
        </w:rPr>
        <w:t xml:space="preserve">blood-fed were kept into cups until fully gravid. Thereafter, they were forced to lay eggs </w:t>
      </w:r>
      <w:r w:rsidRPr="00CD231A">
        <w:rPr>
          <w:rFonts w:ascii="Times New Roman" w:hAnsi="Times New Roman" w:cs="Times New Roman"/>
          <w:color w:val="000000"/>
        </w:rPr>
        <w:fldChar w:fldCharType="begin" w:fldLock="1"/>
      </w:r>
      <w:r w:rsidRPr="00CD231A">
        <w:rPr>
          <w:rFonts w:ascii="Times New Roman" w:hAnsi="Times New Roman" w:cs="Times New Roman"/>
          <w:color w:val="000000"/>
        </w:rPr>
        <w:instrText>ADDIN CSL_CITATION {"citationItems":[{"id":"ITEM-1","itemData":{"DOI":"10.1371/journal.pone.0011872","ISBN":"1932-6203 (Electronic)\\n1932-6203 (Linking)","ISSN":"19326203","PMID":"20686697","abstract":"BACKGROUND: The susceptibility status of Anopheles funestus to insecticides remains largely unknown in most parts of Africa because of the difficulty in rearing field-caught mosquitoes of this malaria vector. Here we report the susceptibility status of the An. funestus population from Tororo district in Uganda and a preliminary characterisation of the putative resistance mechanisms involved. METHODOLOGY/PRINCIPAL FINDINGS: A new forced egg laying technique used in this study significantly increased the numbers of field-caught females laying eggs and generated more than 4000 F1 adults. WHO bioassays indicated that An. funestus in Tororo is resistant to pyrethroids (62% mortality after 1 h exposure to 0.75% permethrin and 28% mortality to 0.05% deltamethrin). Suspected DDT resistance was also observed with 82% mortality. However this population is fully susceptible to bendiocarb (carbamate), malathion (organophosphate) and dieldrin with 100% mortality observed after exposure to each of these insecticides. Sequencing of a fragment of the sodium channel gene containing the 1014 codon conferring pyrethroid/DDT resistance in An. gambiae did not detect the L1014F kdr mutation but a correlation between haplotypes and resistance phenotype was observed indicating that mutations in other exons may be conferring the knockdown resistance in this species. Biochemical assays suggest that resistance in this population is mediated by metabolic resistance with elevated level of GSTs, P450s and pNPA compared to a susceptible strain of Anopheles gambiae. RT-PCR further confirmed the involvement of P450s with a 12-fold over-expression of CYP6P9b in the Tororo population compared to the fully susceptible laboratory colony FANG. CONCLUSION: This study represents the first report of pyrethroid/DDT resistance in An. funestus from East Africa. With resistance already reported in southern and West Africa, this indicates that resistance in An. funestus may be more widespread than previously assumed and therefore this should be taken into account for the implementation and management of vector control programs in Africa.","author":[{"dropping-particle":"","family":"Morgan","given":"John C.","non-dropping-particle":"","parse-names":false,"suffix":""},{"dropping-particle":"","family":"Irving","given":"Helen","non-dropping-particle":"","parse-names":false,"suffix":""},{"dropping-particle":"","family":"Okedi","given":"Loyce M.","non-dropping-particle":"","parse-names":false,"suffix":""},{"dropping-particle":"","family":"Steven","given":"Andrew","non-dropping-particle":"","parse-names":false,"suffix":""},{"dropping-particle":"","family":"Wondji","given":"Charles S.","non-dropping-particle":"","parse-names":false,"suffix":""}],"container-title":"PLoS ONE","id":"ITEM-1","issue":"7","issued":{"date-parts":[["2010"]]},"page":"1-8","title":"Pyrethroid resistance in an anopheles funestus population from uganda","type":"article-journal","volume":"5"},"uris":["http://www.mendeley.com/documents/?uuid=ea8437c9-eec2-46c6-ad80-b6f10bf4c542"]}],"mendeley":{"formattedCitation":"[12]","plainTextFormattedCitation":"[12]","previouslyFormattedCitation":"(12)"},"properties":{"noteIndex":0},"schema":"https://github.com/citation-style-language/schema/raw/master/csl-citation.json"}</w:instrText>
      </w:r>
      <w:r w:rsidRPr="00CD231A">
        <w:rPr>
          <w:rFonts w:ascii="Times New Roman" w:hAnsi="Times New Roman" w:cs="Times New Roman"/>
          <w:color w:val="000000"/>
        </w:rPr>
        <w:fldChar w:fldCharType="separate"/>
      </w:r>
      <w:r w:rsidRPr="00CD231A">
        <w:rPr>
          <w:rFonts w:ascii="Times New Roman" w:hAnsi="Times New Roman" w:cs="Times New Roman"/>
          <w:noProof/>
          <w:color w:val="000000"/>
        </w:rPr>
        <w:t>[12]</w:t>
      </w:r>
      <w:r w:rsidRPr="00CD231A">
        <w:rPr>
          <w:rFonts w:ascii="Times New Roman" w:hAnsi="Times New Roman" w:cs="Times New Roman"/>
          <w:color w:val="000000"/>
        </w:rPr>
        <w:fldChar w:fldCharType="end"/>
      </w:r>
      <w:r w:rsidRPr="00CD231A">
        <w:rPr>
          <w:rFonts w:ascii="Times New Roman" w:hAnsi="Times New Roman" w:cs="Times New Roman"/>
          <w:color w:val="000000"/>
        </w:rPr>
        <w:t xml:space="preserve"> that were  sent via courier to the Liverpool School of Tropical Medicine (LSTM) for rearing into F</w:t>
      </w:r>
      <w:r w:rsidRPr="00CD231A">
        <w:rPr>
          <w:rFonts w:ascii="Times New Roman" w:hAnsi="Times New Roman" w:cs="Times New Roman"/>
          <w:color w:val="000000"/>
          <w:vertAlign w:val="subscript"/>
        </w:rPr>
        <w:t>1,</w:t>
      </w:r>
      <w:r w:rsidRPr="00CD231A">
        <w:rPr>
          <w:rFonts w:ascii="Times New Roman" w:hAnsi="Times New Roman" w:cs="Times New Roman"/>
          <w:color w:val="000000"/>
        </w:rPr>
        <w:t xml:space="preserve"> insecticide susceptibility tests </w:t>
      </w:r>
      <w:r w:rsidRPr="00CD231A">
        <w:rPr>
          <w:rFonts w:ascii="Times New Roman" w:hAnsi="Times New Roman" w:cs="Times New Roman"/>
          <w:color w:val="000000"/>
        </w:rPr>
        <w:fldChar w:fldCharType="begin" w:fldLock="1"/>
      </w:r>
      <w:r w:rsidRPr="00CD231A">
        <w:rPr>
          <w:rFonts w:ascii="Times New Roman" w:hAnsi="Times New Roman" w:cs="Times New Roman"/>
          <w:color w:val="000000"/>
        </w:rPr>
        <w:instrText>ADDIN CSL_CITATION {"citationItems":[{"id":"ITEM-1","itemData":{"DOI":"10.1007/978-3-642-10565-4","ISBN":"978 92 4 151157 5","ISSN":"924150515X","abstract":"This second edition provides an overview of two new methods for measuring insecticide resistance (IR): the intensity bioassay and the synergist bioassay. These new methods use the current WHO susceptibility test to measure the intensity of insecticide resistance and to determine one of the main underlying metabolic mechanisms. Data generated by these tests will enable countries to track the evolution of insecticide resistance, inform the development of national insecticide resistance management strategies, and ensure the effective use of available tools.","author":[{"dropping-particle":"","family":"World Health Organization","given":"","non-dropping-particle":"","parse-names":false,"suffix":""}],"container-title":"Global Malaria Programme","id":"ITEM-1","issued":{"date-parts":[["2016"]]},"number-of-pages":"1-48","title":"Test procedures for insecticide resistance monitoring in malaria vector mosquitoes: second edition","type":"report"},"uris":["http://www.mendeley.com/documents/?uuid=f3b80ae7-53c6-4792-8099-0d4d8c0e7650"]}],"mendeley":{"formattedCitation":"[13]","plainTextFormattedCitation":"[13]","previouslyFormattedCitation":"(13)"},"properties":{"noteIndex":0},"schema":"https://github.com/citation-style-language/schema/raw/master/csl-citation.json"}</w:instrText>
      </w:r>
      <w:r w:rsidRPr="00CD231A">
        <w:rPr>
          <w:rFonts w:ascii="Times New Roman" w:hAnsi="Times New Roman" w:cs="Times New Roman"/>
          <w:color w:val="000000"/>
        </w:rPr>
        <w:fldChar w:fldCharType="separate"/>
      </w:r>
      <w:r w:rsidRPr="00CD231A">
        <w:rPr>
          <w:rFonts w:ascii="Times New Roman" w:hAnsi="Times New Roman" w:cs="Times New Roman"/>
          <w:noProof/>
          <w:color w:val="000000"/>
        </w:rPr>
        <w:t>[13]</w:t>
      </w:r>
      <w:r w:rsidRPr="00CD231A">
        <w:rPr>
          <w:rFonts w:ascii="Times New Roman" w:hAnsi="Times New Roman" w:cs="Times New Roman"/>
          <w:color w:val="000000"/>
        </w:rPr>
        <w:fldChar w:fldCharType="end"/>
      </w:r>
      <w:r w:rsidRPr="00CD231A">
        <w:rPr>
          <w:rFonts w:ascii="Times New Roman" w:hAnsi="Times New Roman" w:cs="Times New Roman"/>
          <w:color w:val="000000"/>
        </w:rPr>
        <w:t xml:space="preserve"> and molecular analysis. </w:t>
      </w:r>
      <w:r w:rsidRPr="00CD231A">
        <w:rPr>
          <w:rFonts w:ascii="Times New Roman" w:hAnsi="Times New Roman" w:cs="Times New Roman"/>
          <w:i/>
        </w:rPr>
        <w:t xml:space="preserve">Anopheles funestus s.l. </w:t>
      </w:r>
      <w:r w:rsidRPr="00CD231A">
        <w:rPr>
          <w:rFonts w:ascii="Times New Roman" w:hAnsi="Times New Roman" w:cs="Times New Roman"/>
        </w:rPr>
        <w:t xml:space="preserve">were first identified morphologically using standard keys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{"citationItems":[{"id":"ITEM-1","itemData":{"ISBN":"0 620 10321 3","PMID":"19880590772","author":[{"dropping-particle":"","family":"Gillies","given":"M.T.","non-dropping-particle":"","parse-names":false,"suffix":""},{"dropping-particle":"","family":"Coetzee","given":"Maureen","non-dropping-particle":"","parse-names":false,"suffix":""}],"container-title":"Publications of the South African Institute for medical research","id":"ITEM-1","issue":"55","issued":{"date-parts":[["1987"]]},"number-of-pages":"63","publisher-place":"South Africa","title":"A Supplement to the Anophelinae of Africa South of the Sahara","type":"book","volume":"55"},"uris":["http://www.mendeley.com/documents/?uuid=8b4a92cb-c02f-4095-856f-4aff178c71cf","http://www.mendeley.com/documents/?uuid=a00fb563-a144-49d0-8042-d1077cec6cc9"]}],"mendeley":{"formattedCitation":"[14]","plainTextFormattedCitation":"[14]","previouslyFormattedCitation":"(14)"},"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[14]</w:t>
      </w:r>
      <w:r w:rsidRPr="00CD231A">
        <w:rPr>
          <w:rFonts w:ascii="Times New Roman" w:hAnsi="Times New Roman" w:cs="Times New Roman"/>
        </w:rPr>
        <w:fldChar w:fldCharType="end"/>
      </w:r>
      <w:r w:rsidRPr="00CD231A">
        <w:rPr>
          <w:rFonts w:ascii="Times New Roman" w:hAnsi="Times New Roman" w:cs="Times New Roman"/>
        </w:rPr>
        <w:t xml:space="preserve"> and later identified molecularly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{"citationItems":[{"id":"ITEM-1","itemData":{"DOI":"10.4269/ajtmh.2002.66.804","ISSN":"0002-9637","author":[{"dropping-particle":"","family":"Koekemoer","given":"L L","non-dropping-particle":"","parse-names":false,"suffix":""},{"dropping-particle":"","family":"Kamau","given":"L","non-dropping-particle":"","parse-names":false,"suffix":""},{"dropping-particle":"","family":"Hunt","given":"R H","non-dropping-particle":"","parse-names":false,"suffix":""},{"dropping-particle":"","family":"Coetzee","given":"M","non-dropping-particle":"","parse-names":false,"suffix":""}],"container-title":"The American Journal of Tropical Medicine and Hygiene","id":"ITEM-1","issue":"6","issued":{"date-parts":[["2002"]]},"page":"804-811","title":"A cocktail polymerase chain reaction assay to identify members of the Anopheles funestus (Diptera: Culicidae) group.","type":"article-journal","volume":"66"},"uris":["http://www.mendeley.com/documents/?uuid=75893aed-30af-4af7-897b-573529f6dbaa"]}],"mendeley":{"formattedCitation":"[15]","plainTextFormattedCitation":"[15]","previouslyFormattedCitation":"(15)"},"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[15]</w:t>
      </w:r>
      <w:r w:rsidRPr="00CD231A">
        <w:rPr>
          <w:rFonts w:ascii="Times New Roman" w:hAnsi="Times New Roman" w:cs="Times New Roman"/>
        </w:rPr>
        <w:fldChar w:fldCharType="end"/>
      </w:r>
      <w:r w:rsidRPr="00CD231A">
        <w:rPr>
          <w:rFonts w:ascii="Times New Roman" w:hAnsi="Times New Roman" w:cs="Times New Roman"/>
        </w:rPr>
        <w:t xml:space="preserve"> to their sub-species level. </w:t>
      </w:r>
      <w:r w:rsidRPr="00CD231A">
        <w:rPr>
          <w:rFonts w:ascii="Times New Roman" w:hAnsi="Times New Roman" w:cs="Times New Roman"/>
          <w:color w:val="000000"/>
        </w:rPr>
        <w:t>Hatched eggs were pooled and reared together (temperature of 25–28 °C and relative humidity of 80%) in mineral water, which was renewed every two days to reduce mortality, and the resulting larvae were daily fed with Tetramin™ baby fish.</w:t>
      </w:r>
    </w:p>
    <w:p w14:paraId="461E8BD6" w14:textId="77777777" w:rsidR="00BF5696" w:rsidRPr="00CD231A" w:rsidRDefault="00BF5696" w:rsidP="00BF5696">
      <w:pPr>
        <w:autoSpaceDE w:val="0"/>
        <w:autoSpaceDN w:val="0"/>
        <w:adjustRightInd w:val="0"/>
        <w:spacing w:line="480" w:lineRule="auto"/>
        <w:jc w:val="both"/>
        <w:rPr>
          <w:rFonts w:ascii="Times New Roman" w:hAnsi="Times New Roman" w:cs="Times New Roman"/>
          <w:shd w:val="clear" w:color="auto" w:fill="FFFFFF"/>
          <w:lang w:val="en-GB"/>
        </w:rPr>
      </w:pPr>
      <w:r w:rsidRPr="00CD231A">
        <w:rPr>
          <w:rFonts w:ascii="Times New Roman" w:hAnsi="Times New Roman" w:cs="Times New Roman"/>
          <w:shd w:val="clear" w:color="auto" w:fill="FFFFFF"/>
          <w:lang w:val="en-GB"/>
        </w:rPr>
        <w:t xml:space="preserve">For laboratory experiments, mosquito populations used were defined as: </w:t>
      </w:r>
    </w:p>
    <w:p w14:paraId="1CE7656A" w14:textId="39A708E4" w:rsidR="00BF5696" w:rsidRPr="00CD231A" w:rsidRDefault="00BF5696" w:rsidP="00BF5696">
      <w:pPr>
        <w:autoSpaceDE w:val="0"/>
        <w:autoSpaceDN w:val="0"/>
        <w:adjustRightInd w:val="0"/>
        <w:spacing w:line="480" w:lineRule="auto"/>
        <w:jc w:val="both"/>
        <w:rPr>
          <w:rFonts w:ascii="Times New Roman" w:hAnsi="Times New Roman" w:cs="Times New Roman"/>
          <w:shd w:val="clear" w:color="auto" w:fill="FFFFFF"/>
          <w:lang w:val="en-GB"/>
        </w:rPr>
      </w:pPr>
      <w:r w:rsidRPr="00CD231A">
        <w:rPr>
          <w:rFonts w:ascii="Times New Roman" w:hAnsi="Times New Roman" w:cs="Times New Roman"/>
          <w:shd w:val="clear" w:color="auto" w:fill="FFFFFF"/>
          <w:lang w:val="en-GB"/>
        </w:rPr>
        <w:t>(</w:t>
      </w:r>
      <w:r w:rsidR="00617F96" w:rsidRPr="00CD231A">
        <w:rPr>
          <w:rFonts w:ascii="Times New Roman" w:hAnsi="Times New Roman" w:cs="Times New Roman"/>
          <w:shd w:val="clear" w:color="auto" w:fill="FFFFFF"/>
          <w:lang w:val="en-GB"/>
        </w:rPr>
        <w:t>i</w:t>
      </w:r>
      <w:r w:rsidRPr="00CD231A">
        <w:rPr>
          <w:rFonts w:ascii="Times New Roman" w:hAnsi="Times New Roman" w:cs="Times New Roman"/>
          <w:shd w:val="clear" w:color="auto" w:fill="FFFFFF"/>
          <w:lang w:val="en-GB"/>
        </w:rPr>
        <w:t>). Permethrin resistant, also referred to as R</w:t>
      </w:r>
      <w:r w:rsidRPr="00CD231A">
        <w:rPr>
          <w:rFonts w:ascii="Times New Roman" w:hAnsi="Times New Roman" w:cs="Times New Roman"/>
          <w:sz w:val="16"/>
          <w:szCs w:val="16"/>
          <w:shd w:val="clear" w:color="auto" w:fill="FFFFFF"/>
          <w:lang w:val="en-GB"/>
        </w:rPr>
        <w:t>perm</w:t>
      </w:r>
      <w:r w:rsidRPr="00CD231A">
        <w:rPr>
          <w:rFonts w:ascii="Times New Roman" w:hAnsi="Times New Roman" w:cs="Times New Roman"/>
          <w:shd w:val="clear" w:color="auto" w:fill="FFFFFF"/>
          <w:lang w:val="en-GB"/>
        </w:rPr>
        <w:t xml:space="preserve">: </w:t>
      </w:r>
      <w:r w:rsidRPr="00CD231A">
        <w:rPr>
          <w:rFonts w:ascii="Times New Roman" w:hAnsi="Times New Roman" w:cs="Times New Roman"/>
          <w:i/>
          <w:iCs/>
          <w:shd w:val="clear" w:color="auto" w:fill="FFFFFF"/>
          <w:lang w:val="en-GB"/>
        </w:rPr>
        <w:t>An</w:t>
      </w:r>
      <w:r w:rsidR="00AF3D37" w:rsidRPr="00CD231A">
        <w:rPr>
          <w:rFonts w:ascii="Times New Roman" w:hAnsi="Times New Roman" w:cs="Times New Roman"/>
          <w:i/>
          <w:iCs/>
          <w:shd w:val="clear" w:color="auto" w:fill="FFFFFF"/>
          <w:lang w:val="en-GB"/>
        </w:rPr>
        <w:t>.</w:t>
      </w:r>
      <w:r w:rsidRPr="00CD231A">
        <w:rPr>
          <w:rFonts w:ascii="Times New Roman" w:hAnsi="Times New Roman" w:cs="Times New Roman"/>
          <w:i/>
          <w:iCs/>
          <w:shd w:val="clear" w:color="auto" w:fill="FFFFFF"/>
          <w:lang w:val="en-GB"/>
        </w:rPr>
        <w:t xml:space="preserve"> funestus</w:t>
      </w:r>
      <w:r w:rsidRPr="00CD231A">
        <w:rPr>
          <w:rFonts w:ascii="Times New Roman" w:hAnsi="Times New Roman" w:cs="Times New Roman"/>
          <w:shd w:val="clear" w:color="auto" w:fill="FFFFFF"/>
          <w:lang w:val="en-GB"/>
        </w:rPr>
        <w:t xml:space="preserve"> that were resistant after exposure to 0.75% permethrin </w:t>
      </w:r>
    </w:p>
    <w:p w14:paraId="742A50B9" w14:textId="7F17795F" w:rsidR="00BF5696" w:rsidRPr="00CD231A" w:rsidRDefault="00BF5696" w:rsidP="00BF5696">
      <w:pPr>
        <w:autoSpaceDE w:val="0"/>
        <w:autoSpaceDN w:val="0"/>
        <w:adjustRightInd w:val="0"/>
        <w:spacing w:line="480" w:lineRule="auto"/>
        <w:jc w:val="both"/>
        <w:rPr>
          <w:rFonts w:ascii="Times New Roman" w:hAnsi="Times New Roman" w:cs="Times New Roman"/>
          <w:shd w:val="clear" w:color="auto" w:fill="FFFFFF"/>
          <w:lang w:val="en-GB"/>
        </w:rPr>
      </w:pPr>
      <w:r w:rsidRPr="00CD231A">
        <w:rPr>
          <w:rFonts w:ascii="Times New Roman" w:hAnsi="Times New Roman" w:cs="Times New Roman"/>
          <w:shd w:val="clear" w:color="auto" w:fill="FFFFFF"/>
          <w:lang w:val="en-GB"/>
        </w:rPr>
        <w:t>(</w:t>
      </w:r>
      <w:r w:rsidR="00617F96" w:rsidRPr="00CD231A">
        <w:rPr>
          <w:rFonts w:ascii="Times New Roman" w:hAnsi="Times New Roman" w:cs="Times New Roman"/>
          <w:shd w:val="clear" w:color="auto" w:fill="FFFFFF"/>
          <w:lang w:val="en-GB"/>
        </w:rPr>
        <w:t>ii</w:t>
      </w:r>
      <w:r w:rsidRPr="00CD231A">
        <w:rPr>
          <w:rFonts w:ascii="Times New Roman" w:hAnsi="Times New Roman" w:cs="Times New Roman"/>
          <w:shd w:val="clear" w:color="auto" w:fill="FFFFFF"/>
          <w:lang w:val="en-GB"/>
        </w:rPr>
        <w:t>). DDT resistant, also referred to as R</w:t>
      </w:r>
      <w:r w:rsidRPr="00CD231A">
        <w:rPr>
          <w:rFonts w:ascii="Times New Roman" w:hAnsi="Times New Roman" w:cs="Times New Roman"/>
          <w:sz w:val="16"/>
          <w:szCs w:val="16"/>
          <w:shd w:val="clear" w:color="auto" w:fill="FFFFFF"/>
          <w:lang w:val="en-GB"/>
        </w:rPr>
        <w:t>DDT</w:t>
      </w:r>
      <w:r w:rsidRPr="00CD231A">
        <w:rPr>
          <w:rFonts w:ascii="Times New Roman" w:hAnsi="Times New Roman" w:cs="Times New Roman"/>
          <w:shd w:val="clear" w:color="auto" w:fill="FFFFFF"/>
          <w:lang w:val="en-GB"/>
        </w:rPr>
        <w:t xml:space="preserve">: </w:t>
      </w:r>
      <w:r w:rsidRPr="00CD231A">
        <w:rPr>
          <w:rFonts w:ascii="Times New Roman" w:hAnsi="Times New Roman" w:cs="Times New Roman"/>
          <w:i/>
          <w:iCs/>
          <w:shd w:val="clear" w:color="auto" w:fill="FFFFFF"/>
          <w:lang w:val="en-GB"/>
        </w:rPr>
        <w:t>An</w:t>
      </w:r>
      <w:r w:rsidR="00AF3D37" w:rsidRPr="00CD231A">
        <w:rPr>
          <w:rFonts w:ascii="Times New Roman" w:hAnsi="Times New Roman" w:cs="Times New Roman"/>
          <w:i/>
          <w:iCs/>
          <w:shd w:val="clear" w:color="auto" w:fill="FFFFFF"/>
          <w:lang w:val="en-GB"/>
        </w:rPr>
        <w:t>.</w:t>
      </w:r>
      <w:r w:rsidRPr="00CD231A">
        <w:rPr>
          <w:rFonts w:ascii="Times New Roman" w:hAnsi="Times New Roman" w:cs="Times New Roman"/>
          <w:i/>
          <w:iCs/>
          <w:shd w:val="clear" w:color="auto" w:fill="FFFFFF"/>
          <w:lang w:val="en-GB"/>
        </w:rPr>
        <w:t xml:space="preserve"> funestus</w:t>
      </w:r>
      <w:r w:rsidRPr="00CD231A">
        <w:rPr>
          <w:rFonts w:ascii="Times New Roman" w:hAnsi="Times New Roman" w:cs="Times New Roman"/>
          <w:shd w:val="clear" w:color="auto" w:fill="FFFFFF"/>
          <w:lang w:val="en-GB"/>
        </w:rPr>
        <w:t xml:space="preserve"> that were resistant after exposure to 4% DDT </w:t>
      </w:r>
    </w:p>
    <w:p w14:paraId="1667B269" w14:textId="57BC8FD7" w:rsidR="00BF5696" w:rsidRPr="00CD231A" w:rsidRDefault="00BF5696" w:rsidP="00BF5696">
      <w:pPr>
        <w:autoSpaceDE w:val="0"/>
        <w:autoSpaceDN w:val="0"/>
        <w:adjustRightInd w:val="0"/>
        <w:spacing w:line="480" w:lineRule="auto"/>
        <w:jc w:val="both"/>
        <w:rPr>
          <w:rFonts w:ascii="Times New Roman" w:hAnsi="Times New Roman" w:cs="Times New Roman"/>
          <w:shd w:val="clear" w:color="auto" w:fill="FFFFFF"/>
          <w:lang w:val="en-GB"/>
        </w:rPr>
      </w:pPr>
      <w:r w:rsidRPr="00CD231A">
        <w:rPr>
          <w:rFonts w:ascii="Times New Roman" w:hAnsi="Times New Roman" w:cs="Times New Roman"/>
          <w:shd w:val="clear" w:color="auto" w:fill="FFFFFF"/>
          <w:lang w:val="en-GB"/>
        </w:rPr>
        <w:t>(</w:t>
      </w:r>
      <w:r w:rsidR="00617F96" w:rsidRPr="00CD231A">
        <w:rPr>
          <w:rFonts w:ascii="Times New Roman" w:hAnsi="Times New Roman" w:cs="Times New Roman"/>
          <w:shd w:val="clear" w:color="auto" w:fill="FFFFFF"/>
          <w:lang w:val="en-GB"/>
        </w:rPr>
        <w:t>iii</w:t>
      </w:r>
      <w:r w:rsidRPr="00CD231A">
        <w:rPr>
          <w:rFonts w:ascii="Times New Roman" w:hAnsi="Times New Roman" w:cs="Times New Roman"/>
          <w:shd w:val="clear" w:color="auto" w:fill="FFFFFF"/>
          <w:lang w:val="en-GB"/>
        </w:rPr>
        <w:t xml:space="preserve">). Unexposed mosquitoes, also referred to as Control and represented with the symbol C: </w:t>
      </w:r>
      <w:r w:rsidRPr="00CD231A">
        <w:rPr>
          <w:rFonts w:ascii="Times New Roman" w:hAnsi="Times New Roman" w:cs="Times New Roman"/>
          <w:i/>
          <w:iCs/>
          <w:shd w:val="clear" w:color="auto" w:fill="FFFFFF"/>
          <w:lang w:val="en-GB"/>
        </w:rPr>
        <w:t>An</w:t>
      </w:r>
      <w:r w:rsidR="00AF3D37" w:rsidRPr="00CD231A">
        <w:rPr>
          <w:rFonts w:ascii="Times New Roman" w:hAnsi="Times New Roman" w:cs="Times New Roman"/>
          <w:i/>
          <w:iCs/>
          <w:shd w:val="clear" w:color="auto" w:fill="FFFFFF"/>
          <w:lang w:val="en-GB"/>
        </w:rPr>
        <w:t>.</w:t>
      </w:r>
      <w:r w:rsidRPr="00CD231A">
        <w:rPr>
          <w:rFonts w:ascii="Times New Roman" w:hAnsi="Times New Roman" w:cs="Times New Roman"/>
          <w:i/>
          <w:iCs/>
          <w:shd w:val="clear" w:color="auto" w:fill="FFFFFF"/>
          <w:lang w:val="en-GB"/>
        </w:rPr>
        <w:t xml:space="preserve"> funestus</w:t>
      </w:r>
      <w:r w:rsidRPr="00CD231A">
        <w:rPr>
          <w:rFonts w:ascii="Times New Roman" w:hAnsi="Times New Roman" w:cs="Times New Roman"/>
          <w:shd w:val="clear" w:color="auto" w:fill="FFFFFF"/>
          <w:lang w:val="en-GB"/>
        </w:rPr>
        <w:t xml:space="preserve"> that were not exposed to any insecticide and used as control samples during bioassay and other analysis.</w:t>
      </w:r>
    </w:p>
    <w:p w14:paraId="23341A86" w14:textId="0E4ACBFE" w:rsidR="00BF5696" w:rsidRPr="00CD231A" w:rsidRDefault="00BF5696" w:rsidP="00BF5696">
      <w:pPr>
        <w:autoSpaceDE w:val="0"/>
        <w:autoSpaceDN w:val="0"/>
        <w:adjustRightInd w:val="0"/>
        <w:spacing w:line="480" w:lineRule="auto"/>
        <w:jc w:val="both"/>
        <w:rPr>
          <w:rFonts w:ascii="Times New Roman" w:hAnsi="Times New Roman" w:cs="Times New Roman"/>
          <w:shd w:val="clear" w:color="auto" w:fill="FFFFFF"/>
          <w:lang w:val="en-GB"/>
        </w:rPr>
      </w:pPr>
      <w:r w:rsidRPr="00CD231A">
        <w:rPr>
          <w:rFonts w:ascii="Times New Roman" w:hAnsi="Times New Roman" w:cs="Times New Roman"/>
          <w:shd w:val="clear" w:color="auto" w:fill="FFFFFF"/>
          <w:lang w:val="en-GB"/>
        </w:rPr>
        <w:t>(</w:t>
      </w:r>
      <w:r w:rsidR="00617F96" w:rsidRPr="00CD231A">
        <w:rPr>
          <w:rFonts w:ascii="Times New Roman" w:hAnsi="Times New Roman" w:cs="Times New Roman"/>
          <w:shd w:val="clear" w:color="auto" w:fill="FFFFFF"/>
          <w:lang w:val="en-GB"/>
        </w:rPr>
        <w:t>iv</w:t>
      </w:r>
      <w:r w:rsidRPr="00CD231A">
        <w:rPr>
          <w:rFonts w:ascii="Times New Roman" w:hAnsi="Times New Roman" w:cs="Times New Roman"/>
          <w:shd w:val="clear" w:color="auto" w:fill="FFFFFF"/>
          <w:lang w:val="en-GB"/>
        </w:rPr>
        <w:t xml:space="preserve">). Fully susceptible </w:t>
      </w:r>
      <w:r w:rsidRPr="00CD231A">
        <w:rPr>
          <w:rFonts w:ascii="Times New Roman" w:hAnsi="Times New Roman" w:cs="Times New Roman"/>
          <w:i/>
          <w:iCs/>
          <w:shd w:val="clear" w:color="auto" w:fill="FFFFFF"/>
          <w:lang w:val="en-GB"/>
        </w:rPr>
        <w:t>An</w:t>
      </w:r>
      <w:r w:rsidR="00AF3D37" w:rsidRPr="00CD231A">
        <w:rPr>
          <w:rFonts w:ascii="Times New Roman" w:hAnsi="Times New Roman" w:cs="Times New Roman"/>
          <w:i/>
          <w:iCs/>
          <w:shd w:val="clear" w:color="auto" w:fill="FFFFFF"/>
          <w:lang w:val="en-GB"/>
        </w:rPr>
        <w:t>.</w:t>
      </w:r>
      <w:r w:rsidRPr="00CD231A">
        <w:rPr>
          <w:rFonts w:ascii="Times New Roman" w:hAnsi="Times New Roman" w:cs="Times New Roman"/>
          <w:i/>
          <w:iCs/>
          <w:shd w:val="clear" w:color="auto" w:fill="FFFFFF"/>
          <w:lang w:val="en-GB"/>
        </w:rPr>
        <w:t xml:space="preserve"> funestus </w:t>
      </w:r>
      <w:r w:rsidRPr="00CD231A">
        <w:rPr>
          <w:rFonts w:ascii="Times New Roman" w:hAnsi="Times New Roman" w:cs="Times New Roman"/>
          <w:shd w:val="clear" w:color="auto" w:fill="FFFFFF"/>
          <w:lang w:val="en-GB"/>
        </w:rPr>
        <w:t xml:space="preserve">strain, also referred to as FANG or Susceptible mosquitoes and represented with the symbol S: FANG mosquitoes are insecticide </w:t>
      </w:r>
      <w:r w:rsidRPr="00CD231A">
        <w:rPr>
          <w:rFonts w:ascii="Times New Roman" w:hAnsi="Times New Roman" w:cs="Times New Roman"/>
          <w:shd w:val="clear" w:color="auto" w:fill="FFFFFF"/>
          <w:lang w:val="en-GB"/>
        </w:rPr>
        <w:lastRenderedPageBreak/>
        <w:t xml:space="preserve">susceptible strain of </w:t>
      </w:r>
      <w:r w:rsidRPr="00CD231A">
        <w:rPr>
          <w:rFonts w:ascii="Times New Roman" w:hAnsi="Times New Roman" w:cs="Times New Roman"/>
          <w:i/>
          <w:iCs/>
          <w:shd w:val="clear" w:color="auto" w:fill="FFFFFF"/>
          <w:lang w:val="en-GB"/>
        </w:rPr>
        <w:t>An. funestus,</w:t>
      </w:r>
      <w:r w:rsidRPr="00CD231A">
        <w:rPr>
          <w:rFonts w:ascii="Times New Roman" w:hAnsi="Times New Roman" w:cs="Times New Roman"/>
          <w:shd w:val="clear" w:color="auto" w:fill="FFFFFF"/>
          <w:lang w:val="en-GB"/>
        </w:rPr>
        <w:t xml:space="preserve"> that originated from southern Angola and have been maintained in the laboratory since January 2003 </w:t>
      </w:r>
      <w:r w:rsidRPr="00CD231A">
        <w:rPr>
          <w:rFonts w:ascii="Times New Roman" w:hAnsi="Times New Roman" w:cs="Times New Roman"/>
          <w:shd w:val="clear" w:color="auto" w:fill="FFFFFF"/>
          <w:lang w:val="en-GB"/>
        </w:rPr>
        <w:fldChar w:fldCharType="begin" w:fldLock="1"/>
      </w:r>
      <w:r w:rsidRPr="00CD231A">
        <w:rPr>
          <w:rFonts w:ascii="Times New Roman" w:hAnsi="Times New Roman" w:cs="Times New Roman"/>
          <w:shd w:val="clear" w:color="auto" w:fill="FFFFFF"/>
          <w:lang w:val="en-GB"/>
        </w:rPr>
        <w:instrText>ADDIN CSL_CITATION {"citationItems":[{"id":"ITEM-1","itemData":{"DOI":"10.1111/j.1365-3156.2009.02416.x","ISSN":"13602276","abstract":"Objective To evaluate the pyrrole insecticide chlorfenapyr, which has a novel non-neurotoxic mode of action and is a promising alternative to conventional adulticides, against Anopheles funestus. Method The toxicity of a range of concentrations of chlorfenapyr against pyrethroid resistant and susceptible laboratory reared southern African An. funestus was assessed using standard WHO protocols and analysed using probit analysis. Results The pyrethroid resistant strain showed consistently higher LD50 and LD95 values compared to the susceptible strain, but these differences were not statistically significant and the magnitude was twofold at most. The LD50 values recorded for An. funestus are approximately three-fold higher than those reported elsewhere for other species of anopheline. Conclusions Monooxygenase based pyrethroid resistance in An. funestus does not influence the toxic effect of chlorfenapyr. It is unlikely that such a small decrease in susceptibility of An. funestus to chlorfenapyr relative to other anophelines would have any operational implications. Chlorfenapyr is an important addition to insecticides available for malaria vector control, and could be used as a resistance management tool to either circumvent or slow the development of resistance. © 2009 Blackwell Publishing Ltd.","author":[{"dropping-particle":"V.","family":"Oliver","given":"S.","non-dropping-particle":"","parse-names":false,"suffix":""},{"dropping-particle":"","family":"Kaiser","given":"M. L.","non-dropping-particle":"","parse-names":false,"suffix":""},{"dropping-particle":"","family":"Wood","given":"O. R.","non-dropping-particle":"","parse-names":false,"suffix":""},{"dropping-particle":"","family":"Coetzee","given":"M.","non-dropping-particle":"","parse-names":false,"suffix":""},{"dropping-particle":"","family":"Rowland","given":"M.","non-dropping-particle":"","parse-names":false,"suffix":""},{"dropping-particle":"","family":"Brooke","given":"B. D.","non-dropping-particle":"","parse-names":false,"suffix":""}],"container-title":"Tropical Medicine and International Health","id":"ITEM-1","issue":"1","issued":{"date-parts":[["2010"]]},"page":"127-131","title":"Evaluation of the pyrrole insecticide chlorfenapyr against pyrethroid resistant and susceptible Anopheles funestus (Diptera: Culicidae)","type":"article-journal","volume":"15"},"uris":["http://www.mendeley.com/documents/?uuid=e896bfe4-01df-4341-a3af-ca338f14ae70"]},{"id":"ITEM-2","itemData":{"DOI":"10.1186/1756-3305-6-184","ISSN":"17563305","abstract":"Background: Anopheles funestus is one of the major malaria vectors in Africa but research on this species has been restricted due to the lack of viable laboratory colonies. The vectorial capacity of natural populations of An. funestus is well known but its ability to host Plasmodium in the laboratory and the development cycle of the parasite within this mosquito species was, until very recently, unknown. In this study we compared laboratory strains of An. funestus that were resistant and susceptible to pyrethroid insecticides, for their receptiveness to infection with Plasmodium berghei and compared development times with other vector species available in our laboratory. Methods. The murine parasite P. berghei was used to infect two base An. funestus colonies (FANG and FUMOZ) and two selected sub-colonies with different degrees of pyrethroid resistance (FUMOZ-BS susceptible and FUMOZ-R resistant). Results were compared with the G3 strain of An. gambiae. Results: While all colonies were able to support the parasite, the development time in An. funestus was generally longer than that recorded in the laboratory strain of An. gambiae. Infected females were able to initiate new rounds of infection when feeding on healthy mice. The pyrethroid resistant strain FUMOZ-R supported the lowest numbers of oocysts and sporozoites while the insecticide susceptible strain FUMOZ-BS produced one of the highest sporozoite indices ever documented in P. berghei research. The FUMOZ base colony, exhibiting partial insecticide resistance was the median in terms of infection intensity. The oocyst number in all colonies did not fully correlate with the sporozoite index, indicating possible factors influencing the sporozoites' transit from the midgut to the salivary glands. Conclusions: The presence of both insecticide resistance and limited parasite infection phenotypes in the same individuals suggests there may be association between the two mechanisms, but further elucidation is required. © 2013 Lo and Coetzee; licensee BioMed Central Ltd.","author":[{"dropping-particle":"","family":"Lo","given":"T. Mike","non-dropping-particle":"","parse-names":false,"suffix":""},{"dropping-particle":"","family":"Coetzee","given":"Maureen","non-dropping-particle":"","parse-names":false,"suffix":""}],"container-title":"Parasites and Vectors","id":"ITEM-2","issue":"1","issued":{"date-parts":[["2013"]]},"page":"1","publisher":"Parasites &amp; Vectors","title":"Marked biological differences between insecticide resistant and susceptible strains of Anopheles funestus infected with the murine parasite Plasmodium berghei","type":"article-journal","volume":"6"},"uris":["http://www.mendeley.com/documents/?uuid=fe125da7-c204-495b-a836-febde61fd502"]}],"mendeley":{"formattedCitation":"[16,17]","plainTextFormattedCitation":"[16,17]","previouslyFormattedCitation":"(16,17)"},"properties":{"noteIndex":0},"schema":"https://github.com/citation-style-language/schema/raw/master/csl-citation.json"}</w:instrText>
      </w:r>
      <w:r w:rsidRPr="00CD231A">
        <w:rPr>
          <w:rFonts w:ascii="Times New Roman" w:hAnsi="Times New Roman" w:cs="Times New Roman"/>
          <w:shd w:val="clear" w:color="auto" w:fill="FFFFFF"/>
          <w:lang w:val="en-GB"/>
        </w:rPr>
        <w:fldChar w:fldCharType="separate"/>
      </w:r>
      <w:r w:rsidRPr="00CD231A">
        <w:rPr>
          <w:rFonts w:ascii="Times New Roman" w:hAnsi="Times New Roman" w:cs="Times New Roman"/>
          <w:noProof/>
          <w:shd w:val="clear" w:color="auto" w:fill="FFFFFF"/>
          <w:lang w:val="en-GB"/>
        </w:rPr>
        <w:t>[16, 17]</w:t>
      </w:r>
      <w:r w:rsidRPr="00CD231A">
        <w:rPr>
          <w:rFonts w:ascii="Times New Roman" w:hAnsi="Times New Roman" w:cs="Times New Roman"/>
          <w:shd w:val="clear" w:color="auto" w:fill="FFFFFF"/>
          <w:lang w:val="en-GB"/>
        </w:rPr>
        <w:fldChar w:fldCharType="end"/>
      </w:r>
      <w:r w:rsidRPr="00CD231A">
        <w:rPr>
          <w:rFonts w:ascii="Times New Roman" w:hAnsi="Times New Roman" w:cs="Times New Roman"/>
          <w:shd w:val="clear" w:color="auto" w:fill="FFFFFF"/>
          <w:lang w:val="en-GB"/>
        </w:rPr>
        <w:t>.</w:t>
      </w:r>
    </w:p>
    <w:p w14:paraId="54950467" w14:textId="6D2A3A24" w:rsidR="00BF5696" w:rsidRPr="00CD231A" w:rsidRDefault="00BF5696" w:rsidP="00BF5696">
      <w:pPr>
        <w:spacing w:before="120" w:line="480" w:lineRule="auto"/>
        <w:jc w:val="both"/>
        <w:rPr>
          <w:rFonts w:ascii="Times New Roman" w:hAnsi="Times New Roman" w:cs="Times New Roman"/>
          <w:b/>
        </w:rPr>
      </w:pPr>
      <w:r w:rsidRPr="00CD231A">
        <w:rPr>
          <w:rFonts w:ascii="Times New Roman" w:hAnsi="Times New Roman" w:cs="Times New Roman"/>
          <w:b/>
        </w:rPr>
        <w:t xml:space="preserve">Bioassays and </w:t>
      </w:r>
      <w:r w:rsidR="00617F96" w:rsidRPr="00CD231A">
        <w:rPr>
          <w:rFonts w:ascii="Times New Roman" w:hAnsi="Times New Roman" w:cs="Times New Roman"/>
          <w:b/>
        </w:rPr>
        <w:t>s</w:t>
      </w:r>
      <w:r w:rsidRPr="00CD231A">
        <w:rPr>
          <w:rFonts w:ascii="Times New Roman" w:hAnsi="Times New Roman" w:cs="Times New Roman"/>
          <w:b/>
        </w:rPr>
        <w:t>ynergist test with DEM and DEF</w:t>
      </w:r>
    </w:p>
    <w:p w14:paraId="73D6B623" w14:textId="170775CF" w:rsidR="00BF5696" w:rsidRPr="00CD231A" w:rsidRDefault="00BF5696" w:rsidP="00BF5696">
      <w:pPr>
        <w:spacing w:after="120" w:line="480" w:lineRule="auto"/>
        <w:jc w:val="both"/>
        <w:rPr>
          <w:rFonts w:ascii="Times New Roman" w:hAnsi="Times New Roman" w:cs="Times New Roman"/>
        </w:rPr>
      </w:pPr>
      <w:r w:rsidRPr="00CD231A">
        <w:rPr>
          <w:rFonts w:ascii="Times New Roman" w:hAnsi="Times New Roman" w:cs="Times New Roman"/>
        </w:rPr>
        <w:t>The 3-5</w:t>
      </w:r>
      <w:r w:rsidR="00AF3D37" w:rsidRPr="00CD231A">
        <w:rPr>
          <w:rFonts w:ascii="Times New Roman" w:hAnsi="Times New Roman" w:cs="Times New Roman"/>
        </w:rPr>
        <w:t>-</w:t>
      </w:r>
      <w:r w:rsidRPr="00CD231A">
        <w:rPr>
          <w:rFonts w:ascii="Times New Roman" w:hAnsi="Times New Roman" w:cs="Times New Roman"/>
        </w:rPr>
        <w:t>day old F</w:t>
      </w:r>
      <w:r w:rsidRPr="00CD231A">
        <w:rPr>
          <w:rFonts w:ascii="Times New Roman" w:hAnsi="Times New Roman" w:cs="Times New Roman"/>
          <w:vertAlign w:val="subscript"/>
        </w:rPr>
        <w:t>1</w:t>
      </w:r>
      <w:r w:rsidRPr="00CD231A">
        <w:rPr>
          <w:rFonts w:ascii="Times New Roman" w:hAnsi="Times New Roman" w:cs="Times New Roman"/>
        </w:rPr>
        <w:t xml:space="preserve"> adult samples obtained from pooled mosquitoes were exposed to permethrin (0.75%), DDT (4%) and dieldrin (4%) to assess the insecticide susceptibility status of </w:t>
      </w:r>
      <w:r w:rsidRPr="00CD231A">
        <w:rPr>
          <w:rFonts w:ascii="Times New Roman" w:hAnsi="Times New Roman" w:cs="Times New Roman"/>
          <w:i/>
          <w:iCs/>
        </w:rPr>
        <w:t xml:space="preserve">An. funestus s.s. </w:t>
      </w:r>
      <w:r w:rsidRPr="00CD231A">
        <w:rPr>
          <w:rFonts w:ascii="Times New Roman" w:hAnsi="Times New Roman" w:cs="Times New Roman"/>
        </w:rPr>
        <w:t>population. A minimum of 100 F</w:t>
      </w:r>
      <w:r w:rsidRPr="00CD231A">
        <w:rPr>
          <w:rFonts w:ascii="Times New Roman" w:hAnsi="Times New Roman" w:cs="Times New Roman"/>
          <w:vertAlign w:val="subscript"/>
        </w:rPr>
        <w:t xml:space="preserve">1 </w:t>
      </w:r>
      <w:r w:rsidRPr="00CD231A">
        <w:rPr>
          <w:rFonts w:ascii="Times New Roman" w:hAnsi="Times New Roman" w:cs="Times New Roman"/>
        </w:rPr>
        <w:t>mosquito samples were tested for each insecticide according to</w:t>
      </w:r>
      <w:r w:rsidR="00617F96" w:rsidRPr="00CD231A">
        <w:rPr>
          <w:rFonts w:ascii="Times New Roman" w:hAnsi="Times New Roman" w:cs="Times New Roman"/>
        </w:rPr>
        <w:t xml:space="preserve"> the</w:t>
      </w:r>
      <w:r w:rsidRPr="00CD231A">
        <w:rPr>
          <w:rFonts w:ascii="Times New Roman" w:hAnsi="Times New Roman" w:cs="Times New Roman"/>
        </w:rPr>
        <w:t xml:space="preserve"> WHO guidelines</w:t>
      </w:r>
      <w:r w:rsidRPr="00CD231A">
        <w:rPr>
          <w:rFonts w:ascii="Times New Roman" w:eastAsiaTheme="minorHAnsi" w:hAnsi="Times New Roman" w:cs="Times New Roman"/>
        </w:rPr>
        <w:t xml:space="preserve"> </w:t>
      </w:r>
      <w:r w:rsidRPr="00CD231A">
        <w:rPr>
          <w:rFonts w:ascii="Times New Roman" w:eastAsiaTheme="minorHAnsi" w:hAnsi="Times New Roman" w:cs="Times New Roman"/>
        </w:rPr>
        <w:fldChar w:fldCharType="begin" w:fldLock="1"/>
      </w:r>
      <w:r w:rsidRPr="00CD231A">
        <w:rPr>
          <w:rFonts w:ascii="Times New Roman" w:eastAsiaTheme="minorHAnsi" w:hAnsi="Times New Roman" w:cs="Times New Roman"/>
        </w:rPr>
        <w:instrText>ADDIN CSL_CITATION {"citationItems":[{"id":"ITEM-1","itemData":{"DOI":"10.1007/978-3-642-10565-4","ISBN":"978 92 4 151157 5","ISSN":"924150515X","abstract":"This second edition provides an overview of two new methods for measuring insecticide resistance (IR): the intensity bioassay and the synergist bioassay. These new methods use the current WHO susceptibility test to measure the intensity of insecticide resistance and to determine one of the main underlying metabolic mechanisms. Data generated by these tests will enable countries to track the evolution of insecticide resistance, inform the development of national insecticide resistance management strategies, and ensure the effective use of available tools.","author":[{"dropping-particle":"","family":"World Health Organization","given":"","non-dropping-particle":"","parse-names":false,"suffix":""}],"container-title":"Global Malaria Programme","id":"ITEM-1","issued":{"date-parts":[["2016"]]},"number-of-pages":"1-48","title":"Test procedures for insecticide resistance monitoring in malaria vector mosquitoes: second edition","type":"report"},"uris":["http://www.mendeley.com/documents/?uuid=f3b80ae7-53c6-4792-8099-0d4d8c0e7650"]}],"mendeley":{"formattedCitation":"[13]","plainTextFormattedCitation":"[13]","previouslyFormattedCitation":"(13)"},"properties":{"noteIndex":0},"schema":"https://github.com/citation-style-language/schema/raw/master/csl-citation.json"}</w:instrText>
      </w:r>
      <w:r w:rsidRPr="00CD231A">
        <w:rPr>
          <w:rFonts w:ascii="Times New Roman" w:eastAsiaTheme="minorHAnsi" w:hAnsi="Times New Roman" w:cs="Times New Roman"/>
        </w:rPr>
        <w:fldChar w:fldCharType="separate"/>
      </w:r>
      <w:r w:rsidRPr="00CD231A">
        <w:rPr>
          <w:rFonts w:ascii="Times New Roman" w:eastAsiaTheme="minorHAnsi" w:hAnsi="Times New Roman" w:cs="Times New Roman"/>
          <w:noProof/>
        </w:rPr>
        <w:t>[13]</w:t>
      </w:r>
      <w:r w:rsidRPr="00CD231A">
        <w:rPr>
          <w:rFonts w:ascii="Times New Roman" w:eastAsiaTheme="minorHAnsi" w:hAnsi="Times New Roman" w:cs="Times New Roman"/>
        </w:rPr>
        <w:fldChar w:fldCharType="end"/>
      </w:r>
      <w:r w:rsidRPr="00CD231A">
        <w:rPr>
          <w:rFonts w:ascii="Times New Roman" w:hAnsi="Times New Roman" w:cs="Times New Roman"/>
        </w:rPr>
        <w:t xml:space="preserve">. At least 4 replicates of </w:t>
      </w:r>
      <w:r w:rsidRPr="00CD231A">
        <w:rPr>
          <w:rFonts w:ascii="Times New Roman" w:eastAsiaTheme="minorHAnsi" w:hAnsi="Times New Roman" w:cs="Times New Roman"/>
        </w:rPr>
        <w:t>25 mosquitoes per tube were exposed to insecticide impregnated papers (with 2 replicates of 25 mosquitoes exposed to untreated papers as control) for 1h and were immediately transferred into clean holding tube with 10% sugar solution</w:t>
      </w:r>
      <w:r w:rsidRPr="00CD231A">
        <w:rPr>
          <w:rFonts w:ascii="Times New Roman" w:hAnsi="Times New Roman" w:cs="Times New Roman"/>
        </w:rPr>
        <w:t xml:space="preserve">. Mortality records were taken after 24hr post exposure as described by WHO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{"citationItems":[{"id":"ITEM-1","itemData":{"DOI":"10.1007/978-3-642-10565-4","ISBN":"978 92 4 151157 5","ISSN":"924150515X","abstract":"This second edition provides an overview of two new methods for measuring insecticide resistance (IR): the intensity bioassay and the synergist bioassay. These new methods use the current WHO susceptibility test to measure the intensity of insecticide resistance and to determine one of the main underlying metabolic mechanisms. Data generated by these tests will enable countries to track the evolution of insecticide resistance, inform the development of national insecticide resistance management strategies, and ensure the effective use of available tools.","author":[{"dropping-particle":"","family":"World Health Organization","given":"","non-dropping-particle":"","parse-names":false,"suffix":""}],"container-title":"Global Malaria Programme","id":"ITEM-1","issued":{"date-parts":[["2016"]]},"number-of-pages":"1-48","title":"Test procedures for insecticide resistance monitoring in malaria vector mosquitoes: second edition","type":"report"},"uris":["http://www.mendeley.com/documents/?uuid=f3b80ae7-53c6-4792-8099-0d4d8c0e7650","http://www.mendeley.com/documents/?uuid=e06535b8-4fcb-4cdc-b107-1ef9ec737025"]}],"mendeley":{"formattedCitation":"[13]","plainTextFormattedCitation":"[13]","previouslyFormattedCitation":"(13)"},"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[13]</w:t>
      </w:r>
      <w:r w:rsidRPr="00CD231A">
        <w:rPr>
          <w:rFonts w:ascii="Times New Roman" w:hAnsi="Times New Roman" w:cs="Times New Roman"/>
        </w:rPr>
        <w:fldChar w:fldCharType="end"/>
      </w:r>
      <w:r w:rsidRPr="00CD231A">
        <w:rPr>
          <w:rFonts w:ascii="Times New Roman" w:hAnsi="Times New Roman" w:cs="Times New Roman"/>
        </w:rPr>
        <w:t>. Resistant and susceptible mosquitoes generated from bioassays were stored in pools of 10 and 5, respectively at -80</w:t>
      </w:r>
      <w:r w:rsidRPr="00CD231A">
        <w:rPr>
          <w:rFonts w:ascii="Times New Roman" w:hAnsi="Times New Roman" w:cs="Times New Roman"/>
          <w:vertAlign w:val="superscript"/>
        </w:rPr>
        <w:t>0</w:t>
      </w:r>
      <w:r w:rsidRPr="00CD231A">
        <w:rPr>
          <w:rFonts w:ascii="Times New Roman" w:hAnsi="Times New Roman" w:cs="Times New Roman"/>
        </w:rPr>
        <w:t>C</w:t>
      </w:r>
      <w:r w:rsidRPr="00CD231A">
        <w:rPr>
          <w:rFonts w:ascii="Times New Roman" w:hAnsi="Times New Roman" w:cs="Times New Roman"/>
          <w:color w:val="3B3B3B"/>
        </w:rPr>
        <w:t xml:space="preserve"> </w:t>
      </w:r>
      <w:r w:rsidRPr="00CD231A">
        <w:rPr>
          <w:rFonts w:ascii="Times New Roman" w:hAnsi="Times New Roman" w:cs="Times New Roman"/>
        </w:rPr>
        <w:t xml:space="preserve">for molecular analysis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{"citationItems":[{"id":"ITEM-1","itemData":{"DOI":"10.1371/journal.pone.0011010","ISBN":"1932-6203 (Electronic)\\n1932-6203 (Linking)","ISSN":"19326203","PMID":"20544036","abstract":"BACKGROUND: Although Anopheles funestus is difficult to rear, it is crucial to analyse field populations of this malaria vector in order to successfully characterise mechanisms of insecticide resistance observed in this species in Africa. In this study we carried out a large-scale field collection and rearing of An. funestus from Mozambique in order to analyse its susceptibility status to insecticides and to broadly characterise the main resistance mechanisms involved in natural populations. METHODOLOGY/PRINCIPAL FINDINGS: 3,000 F(1) adults were obtained through larval rearing. WHO susceptibility assays indicated a very high resistance to pyrethroids with no mortality recorded after 1 h 30 min exposure and less than 50% mortality at 3 h 30 min. Resistance to the carbamate, bendiocarb was also noted, with 70% mortality after 1h exposure. In contrast, no DDT resistance was observed, indicating that no kdr-type resistance was involved. The sequencing of the acetylcholinesterase gene indicated the absence of the G119S and F455W mutations associated with carbamate and organophosphate resistance. This could explain the absence of malathion resistance in this population. Both biochemical assays and quantitative PCR implicated up-regulated P450 genes in pyrethroid resistance, with GSTs playing a secondary role. The carbamate resistance observed in this population is probably conferred by the observed altered AChE with esterases also involved. CONCLUSION/SIGNIFICANCE: The high level of pyrethroid resistance in this population despite the cessation of pyrethroid use for IRS in 1999 is a serious concern for resistance management strategies such as rotational use of insecticides. As DDT has now been re-introduced for IRS, susceptibility to DDT needs to be closely monitored to prevent the appearance and spread of resistance to this insecticide.","author":[{"dropping-particle":"","family":"Cuamba","given":"Nelson","non-dropping-particle":"","parse-names":false,"suffix":""},{"dropping-particle":"","family":"Morgan","given":"John C.","non-dropping-particle":"","parse-names":false,"suffix":""},{"dropping-particle":"","family":"Irving","given":"Helen","non-dropping-particle":"","parse-names":false,"suffix":""},{"dropping-particle":"","family":"Steven","given":"Andrew","non-dropping-particle":"","parse-names":false,"suffix":""},{"dropping-particle":"","family":"Wondji","given":"Charles S.","non-dropping-particle":"","parse-names":false,"suffix":""}],"container-title":"PLoS ONE","id":"ITEM-1","issue":"6","issued":{"date-parts":[["2010"]]},"page":"1-7","title":"High level of pyrethroid resistance in an Anopheles funestus population of the chokwe district in mozambique","type":"article-journal","volume":"5"},"uris":["http://www.mendeley.com/documents/?uuid=742e0f9f-7fb5-4d42-9028-2e2e57049ea0"]}],"mendeley":{"formattedCitation":"[18]","plainTextFormattedCitation":"[18]","previouslyFormattedCitation":"(18)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[18]</w:t>
      </w:r>
      <w:r w:rsidRPr="00CD231A">
        <w:rPr>
          <w:rFonts w:ascii="Times New Roman" w:hAnsi="Times New Roman" w:cs="Times New Roman"/>
        </w:rPr>
        <w:fldChar w:fldCharType="end"/>
      </w:r>
      <w:r w:rsidRPr="00CD231A">
        <w:rPr>
          <w:rFonts w:ascii="Times New Roman" w:hAnsi="Times New Roman" w:cs="Times New Roman"/>
        </w:rPr>
        <w:t>.</w:t>
      </w:r>
    </w:p>
    <w:p w14:paraId="0F164AF0" w14:textId="7248E2A3" w:rsidR="00BF5696" w:rsidRPr="00CD231A" w:rsidRDefault="00DD1F7E" w:rsidP="00BF5696">
      <w:pPr>
        <w:spacing w:after="120" w:line="480" w:lineRule="auto"/>
        <w:jc w:val="both"/>
        <w:rPr>
          <w:rFonts w:ascii="Times New Roman" w:hAnsi="Times New Roman" w:cs="Times New Roman"/>
          <w:b/>
        </w:rPr>
      </w:pPr>
      <w:r w:rsidRPr="00CD231A">
        <w:rPr>
          <w:rFonts w:ascii="Times New Roman" w:hAnsi="Times New Roman" w:cs="Times New Roman"/>
        </w:rPr>
        <w:tab/>
      </w:r>
      <w:r w:rsidR="00BF5696" w:rsidRPr="00CD231A">
        <w:rPr>
          <w:rFonts w:ascii="Times New Roman" w:hAnsi="Times New Roman" w:cs="Times New Roman"/>
        </w:rPr>
        <w:t>Furthermore, another set of mosquitoes were used for the synergist test to analyse the roles of GSTs and esterase in the observed resistance. Mosquitoes were first exposed  to</w:t>
      </w:r>
      <w:r w:rsidR="00BF5696" w:rsidRPr="00CD231A">
        <w:rPr>
          <w:rFonts w:ascii="Times New Roman" w:hAnsi="Times New Roman" w:cs="Times New Roman"/>
          <w:color w:val="262626"/>
        </w:rPr>
        <w:t xml:space="preserve"> </w:t>
      </w:r>
      <w:r w:rsidR="00617F96" w:rsidRPr="00CD231A">
        <w:rPr>
          <w:rFonts w:ascii="Times New Roman" w:hAnsi="Times New Roman" w:cs="Times New Roman"/>
          <w:color w:val="262626"/>
        </w:rPr>
        <w:t>d</w:t>
      </w:r>
      <w:r w:rsidR="00BF5696" w:rsidRPr="00CD231A">
        <w:rPr>
          <w:rFonts w:ascii="Times New Roman" w:hAnsi="Times New Roman" w:cs="Times New Roman"/>
          <w:color w:val="262626"/>
        </w:rPr>
        <w:t xml:space="preserve">iethyl </w:t>
      </w:r>
      <w:r w:rsidR="00617F96" w:rsidRPr="00CD231A">
        <w:rPr>
          <w:rFonts w:ascii="Times New Roman" w:hAnsi="Times New Roman" w:cs="Times New Roman"/>
          <w:color w:val="262626"/>
        </w:rPr>
        <w:t>m</w:t>
      </w:r>
      <w:r w:rsidR="00BF5696" w:rsidRPr="00CD231A">
        <w:rPr>
          <w:rFonts w:ascii="Times New Roman" w:hAnsi="Times New Roman" w:cs="Times New Roman"/>
          <w:color w:val="262626"/>
        </w:rPr>
        <w:t>aleate</w:t>
      </w:r>
      <w:r w:rsidR="00BF5696" w:rsidRPr="00CD231A">
        <w:rPr>
          <w:rFonts w:ascii="Times New Roman" w:hAnsi="Times New Roman" w:cs="Times New Roman"/>
        </w:rPr>
        <w:t xml:space="preserve"> (DEM) and </w:t>
      </w:r>
      <w:r w:rsidR="00BF5696" w:rsidRPr="00CD231A">
        <w:rPr>
          <w:rFonts w:ascii="Times New Roman" w:hAnsi="Times New Roman" w:cs="Times New Roman"/>
          <w:color w:val="262626"/>
        </w:rPr>
        <w:t>S,S,S-tributyl phosphorotrithioate</w:t>
      </w:r>
      <w:r w:rsidR="00BF5696" w:rsidRPr="00CD231A">
        <w:rPr>
          <w:rFonts w:ascii="Times New Roman" w:hAnsi="Times New Roman" w:cs="Times New Roman"/>
        </w:rPr>
        <w:t xml:space="preserve"> (DEF) for 1h each and were immediately exposed to either permethrin or DDT for another 1hr according to the WHO guidelines </w:t>
      </w:r>
      <w:r w:rsidR="00BF5696" w:rsidRPr="00CD231A">
        <w:rPr>
          <w:rFonts w:ascii="Times New Roman" w:hAnsi="Times New Roman" w:cs="Times New Roman"/>
        </w:rPr>
        <w:fldChar w:fldCharType="begin" w:fldLock="1"/>
      </w:r>
      <w:r w:rsidR="00BF5696" w:rsidRPr="00CD231A">
        <w:rPr>
          <w:rFonts w:ascii="Times New Roman" w:hAnsi="Times New Roman" w:cs="Times New Roman"/>
        </w:rPr>
        <w:instrText>ADDIN CSL_CITATION {"citationItems":[{"id":"ITEM-1","itemData":{"DOI":"10.1007/978-3-642-10565-4","ISBN":"978 92 4 151157 5","ISSN":"924150515X","abstract":"This second edition provides an overview of two new methods for measuring insecticide resistance (IR): the intensity bioassay and the synergist bioassay. These new methods use the current WHO susceptibility test to measure the intensity of insecticide resistance and to determine one of the main underlying metabolic mechanisms. Data generated by these tests will enable countries to track the evolution of insecticide resistance, inform the development of national insecticide resistance management strategies, and ensure the effective use of available tools.","author":[{"dropping-particle":"","family":"World Health Organization","given":"","non-dropping-particle":"","parse-names":false,"suffix":""}],"container-title":"Global Malaria Programme","id":"ITEM-1","issued":{"date-parts":[["2016"]]},"number-of-pages":"1-48","title":"Test procedures for insecticide resistance monitoring in malaria vector mosquitoes: second edition","type":"report"},"uris":["http://www.mendeley.com/documents/?uuid=f3b80ae7-53c6-4792-8099-0d4d8c0e7650"]}],"mendeley":{"formattedCitation":"[13]","plainTextFormattedCitation":"[13]","previouslyFormattedCitation":"(13)"},"properties":{"noteIndex":0},"schema":"https://github.com/citation-style-language/schema/raw/master/csl-citation.json"}</w:instrText>
      </w:r>
      <w:r w:rsidR="00BF5696" w:rsidRPr="00CD231A">
        <w:rPr>
          <w:rFonts w:ascii="Times New Roman" w:hAnsi="Times New Roman" w:cs="Times New Roman"/>
        </w:rPr>
        <w:fldChar w:fldCharType="separate"/>
      </w:r>
      <w:r w:rsidR="00BF5696" w:rsidRPr="00CD231A">
        <w:rPr>
          <w:rFonts w:ascii="Times New Roman" w:hAnsi="Times New Roman" w:cs="Times New Roman"/>
          <w:noProof/>
        </w:rPr>
        <w:t>[13]</w:t>
      </w:r>
      <w:r w:rsidR="00BF5696" w:rsidRPr="00CD231A">
        <w:rPr>
          <w:rFonts w:ascii="Times New Roman" w:hAnsi="Times New Roman" w:cs="Times New Roman"/>
        </w:rPr>
        <w:fldChar w:fldCharType="end"/>
      </w:r>
      <w:r w:rsidR="00BF5696" w:rsidRPr="00CD231A">
        <w:rPr>
          <w:rFonts w:ascii="Times New Roman" w:hAnsi="Times New Roman" w:cs="Times New Roman"/>
        </w:rPr>
        <w:t xml:space="preserve"> to evaluate the roles of glutathione-</w:t>
      </w:r>
      <w:r w:rsidR="00617F96" w:rsidRPr="00CD231A">
        <w:rPr>
          <w:rFonts w:ascii="Times New Roman" w:hAnsi="Times New Roman" w:cs="Times New Roman"/>
        </w:rPr>
        <w:t>S</w:t>
      </w:r>
      <w:r w:rsidR="00BF5696" w:rsidRPr="00CD231A">
        <w:rPr>
          <w:rFonts w:ascii="Times New Roman" w:hAnsi="Times New Roman" w:cs="Times New Roman"/>
        </w:rPr>
        <w:t xml:space="preserve">-transferase (DEM) and esterase (DEF) in the observed phenotypic resistance. This mosquito population has been previously exposed to PBO to evaluate the role of oxidase and results are available in Djouaka </w:t>
      </w:r>
      <w:r w:rsidR="00BF5696" w:rsidRPr="00CD231A">
        <w:rPr>
          <w:rFonts w:ascii="Times New Roman" w:hAnsi="Times New Roman" w:cs="Times New Roman"/>
          <w:i/>
          <w:iCs/>
        </w:rPr>
        <w:t>et al</w:t>
      </w:r>
      <w:r w:rsidR="00BF5696" w:rsidRPr="00CD231A">
        <w:rPr>
          <w:rFonts w:ascii="Times New Roman" w:hAnsi="Times New Roman" w:cs="Times New Roman"/>
        </w:rPr>
        <w:t xml:space="preserve">. </w:t>
      </w:r>
      <w:r w:rsidR="00BF5696" w:rsidRPr="00CD231A">
        <w:rPr>
          <w:rFonts w:ascii="Times New Roman" w:hAnsi="Times New Roman" w:cs="Times New Roman"/>
        </w:rPr>
        <w:fldChar w:fldCharType="begin" w:fldLock="1"/>
      </w:r>
      <w:r w:rsidR="00BF5696"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00BF5696" w:rsidRPr="00CD231A">
        <w:rPr>
          <w:rFonts w:ascii="Times New Roman" w:hAnsi="Times New Roman" w:cs="Times New Roman"/>
        </w:rPr>
        <w:fldChar w:fldCharType="separate"/>
      </w:r>
      <w:r w:rsidR="00BF5696" w:rsidRPr="00CD231A">
        <w:rPr>
          <w:rFonts w:ascii="Times New Roman" w:hAnsi="Times New Roman" w:cs="Times New Roman"/>
          <w:noProof/>
        </w:rPr>
        <w:t>[1]</w:t>
      </w:r>
      <w:r w:rsidR="00BF5696" w:rsidRPr="00CD231A">
        <w:rPr>
          <w:rFonts w:ascii="Times New Roman" w:hAnsi="Times New Roman" w:cs="Times New Roman"/>
        </w:rPr>
        <w:fldChar w:fldCharType="end"/>
      </w:r>
      <w:r w:rsidR="00BF5696" w:rsidRPr="00CD231A">
        <w:rPr>
          <w:rFonts w:ascii="Times New Roman" w:hAnsi="Times New Roman" w:cs="Times New Roman"/>
        </w:rPr>
        <w:t xml:space="preserve">  At least 50 mosquitoes were tested and mortality was recorded 24 hrs post-exposure </w:t>
      </w:r>
      <w:r w:rsidR="00BF5696" w:rsidRPr="00CD231A">
        <w:rPr>
          <w:rFonts w:ascii="Times New Roman" w:hAnsi="Times New Roman" w:cs="Times New Roman"/>
        </w:rPr>
        <w:fldChar w:fldCharType="begin" w:fldLock="1"/>
      </w:r>
      <w:r w:rsidR="00BF5696" w:rsidRPr="00CD231A">
        <w:rPr>
          <w:rFonts w:ascii="Times New Roman" w:hAnsi="Times New Roman" w:cs="Times New Roman"/>
        </w:rPr>
        <w:instrText>ADDIN CSL_CITATION {"citationItems":[{"id":"ITEM-1","itemData":{"DOI":"10.1007/978-3-642-10565-4","ISBN":"978 92 4 151157 5","ISSN":"924150515X","abstract":"This second edition provides an overview of two new methods for measuring insecticide resistance (IR): the intensity bioassay and the synergist bioassay. These new methods use the current WHO susceptibility test to measure the intensity of insecticide resistance and to determine one of the main underlying metabolic mechanisms. Data generated by these tests will enable countries to track the evolution of insecticide resistance, inform the development of national insecticide resistance management strategies, and ensure the effective use of available tools.","author":[{"dropping-particle":"","family":"World Health Organization","given":"","non-dropping-particle":"","parse-names":false,"suffix":""}],"container-title":"Global Malaria Programme","id":"ITEM-1","issued":{"date-parts":[["2016"]]},"number-of-pages":"1-48","title":"Test procedures for insecticide resistance monitoring in malaria vector mosquitoes: second edition","type":"report"},"uris":["http://www.mendeley.com/documents/?uuid=f3b80ae7-53c6-4792-8099-0d4d8c0e7650","http://www.mendeley.com/documents/?uuid=e06535b8-4fcb-4cdc-b107-1ef9ec737025"]}],"mendeley":{"formattedCitation":"[13]","plainTextFormattedCitation":"[13]","previouslyFormattedCitation":"(13)"},"properties":{"noteIndex":0},"schema":"https://github.com/citation-style-language/schema/raw/master/csl-citation.json"}</w:instrText>
      </w:r>
      <w:r w:rsidR="00BF5696" w:rsidRPr="00CD231A">
        <w:rPr>
          <w:rFonts w:ascii="Times New Roman" w:hAnsi="Times New Roman" w:cs="Times New Roman"/>
        </w:rPr>
        <w:fldChar w:fldCharType="separate"/>
      </w:r>
      <w:r w:rsidR="00BF5696" w:rsidRPr="00CD231A">
        <w:rPr>
          <w:rFonts w:ascii="Times New Roman" w:hAnsi="Times New Roman" w:cs="Times New Roman"/>
          <w:noProof/>
        </w:rPr>
        <w:t>[13]</w:t>
      </w:r>
      <w:r w:rsidR="00BF5696" w:rsidRPr="00CD231A">
        <w:rPr>
          <w:rFonts w:ascii="Times New Roman" w:hAnsi="Times New Roman" w:cs="Times New Roman"/>
        </w:rPr>
        <w:fldChar w:fldCharType="end"/>
      </w:r>
      <w:r w:rsidR="00BF5696" w:rsidRPr="00CD231A">
        <w:rPr>
          <w:rFonts w:ascii="Times New Roman" w:hAnsi="Times New Roman" w:cs="Times New Roman"/>
        </w:rPr>
        <w:t xml:space="preserve">. </w:t>
      </w:r>
    </w:p>
    <w:p w14:paraId="2887CA8D" w14:textId="77777777" w:rsidR="00DD1F7E" w:rsidRPr="00CD231A" w:rsidRDefault="00DD1F7E" w:rsidP="00BF5696">
      <w:pPr>
        <w:spacing w:line="480" w:lineRule="auto"/>
        <w:jc w:val="both"/>
        <w:rPr>
          <w:rFonts w:ascii="Times New Roman" w:hAnsi="Times New Roman" w:cs="Times New Roman"/>
          <w:b/>
        </w:rPr>
      </w:pPr>
    </w:p>
    <w:p w14:paraId="65459427" w14:textId="7C724D19"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 xml:space="preserve">Microarray </w:t>
      </w:r>
    </w:p>
    <w:p w14:paraId="39519A7F" w14:textId="2DF9C56A" w:rsidR="00BF5696" w:rsidRPr="00CD231A" w:rsidRDefault="00BF5696" w:rsidP="00BF5696">
      <w:pPr>
        <w:spacing w:line="480" w:lineRule="auto"/>
        <w:jc w:val="both"/>
        <w:rPr>
          <w:rFonts w:ascii="Times New Roman" w:hAnsi="Times New Roman" w:cs="Times New Roman"/>
          <w:color w:val="333333"/>
          <w:shd w:val="clear" w:color="auto" w:fill="FFFFFF"/>
          <w:lang w:val="en-GB"/>
        </w:rPr>
      </w:pPr>
      <w:r w:rsidRPr="00CD231A">
        <w:rPr>
          <w:rFonts w:ascii="Times New Roman" w:hAnsi="Times New Roman" w:cs="Times New Roman"/>
        </w:rPr>
        <w:lastRenderedPageBreak/>
        <w:t xml:space="preserve">The genome-wide transcriptional screening was done to identify gene sets that were differentially overexpressed in resistant </w:t>
      </w:r>
      <w:r w:rsidRPr="00CD231A">
        <w:rPr>
          <w:rFonts w:ascii="Times New Roman" w:hAnsi="Times New Roman" w:cs="Times New Roman"/>
          <w:i/>
        </w:rPr>
        <w:t xml:space="preserve">An. funestus </w:t>
      </w:r>
      <w:r w:rsidRPr="00CD231A">
        <w:rPr>
          <w:rFonts w:ascii="Times New Roman" w:hAnsi="Times New Roman" w:cs="Times New Roman"/>
        </w:rPr>
        <w:t xml:space="preserve">mosquitoes at Akaka-Remo, as a possible mechanism for the observed phenotypic resistance. The Agilent </w:t>
      </w:r>
      <w:r w:rsidRPr="00CD231A">
        <w:rPr>
          <w:rFonts w:ascii="Times New Roman" w:hAnsi="Times New Roman" w:cs="Times New Roman"/>
          <w:i/>
        </w:rPr>
        <w:t xml:space="preserve">Anopheles funestus </w:t>
      </w:r>
      <w:r w:rsidRPr="00CD231A">
        <w:rPr>
          <w:rFonts w:ascii="Times New Roman" w:hAnsi="Times New Roman" w:cs="Times New Roman"/>
        </w:rPr>
        <w:t>chip, 8 x 60k (60mer) designed using the eArray program (Agilent: A-MEXP-2374) was used for the microarray hybridization analysis. This chip contains the 4 x 44 array (</w:t>
      </w:r>
      <w:r w:rsidRPr="00CD231A">
        <w:rPr>
          <w:rFonts w:ascii="Times New Roman" w:hAnsi="Times New Roman" w:cs="Times New Roman"/>
          <w:shd w:val="clear" w:color="auto" w:fill="FFFFFF"/>
          <w:lang w:val="en-GB"/>
        </w:rPr>
        <w:t>A-MEXP-2374</w:t>
      </w:r>
      <w:r w:rsidRPr="00CD231A">
        <w:rPr>
          <w:rFonts w:ascii="Times New Roman" w:hAnsi="Times New Roman" w:cs="Times New Roman"/>
        </w:rPr>
        <w:t xml:space="preserv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mendeley":{"formattedCitation":"[10]","plainTextFormattedCitation":"[10]","previouslyFormattedCitation":"(10)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w:t>
      </w:r>
      <w:r w:rsidRPr="00CD231A">
        <w:rPr>
          <w:rFonts w:ascii="Times New Roman" w:hAnsi="Times New Roman" w:cs="Times New Roman"/>
        </w:rPr>
        <w:fldChar w:fldCharType="end"/>
      </w:r>
      <w:r w:rsidRPr="00CD231A">
        <w:rPr>
          <w:rFonts w:ascii="Times New Roman" w:hAnsi="Times New Roman" w:cs="Times New Roman"/>
        </w:rPr>
        <w:t xml:space="preserve"> plus an additional 15,527 </w:t>
      </w:r>
      <w:r w:rsidR="00617F96" w:rsidRPr="00CD231A">
        <w:rPr>
          <w:rFonts w:ascii="Times New Roman" w:hAnsi="Times New Roman" w:cs="Times New Roman"/>
        </w:rPr>
        <w:t>e</w:t>
      </w:r>
      <w:r w:rsidRPr="00CD231A">
        <w:rPr>
          <w:rFonts w:ascii="Times New Roman" w:hAnsi="Times New Roman" w:cs="Times New Roman"/>
        </w:rPr>
        <w:t xml:space="preserve">xpressed Sequence Tags (ESTs) generated from a transcriptome sequence analysis of </w:t>
      </w:r>
      <w:r w:rsidRPr="00CD231A">
        <w:rPr>
          <w:rFonts w:ascii="Times New Roman" w:hAnsi="Times New Roman" w:cs="Times New Roman"/>
          <w:i/>
        </w:rPr>
        <w:t xml:space="preserve">An. funestus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{"citationItems":[{"id":"ITEM-1","itemData":{"DOI":"10.1371/journal.pone.0014202","ISBN":"1932-6203 (Electronic)$\\$r1932-6203 (Linking)","ISSN":"19326203","PMID":"21151993","abstract":"Background: Anopheles funestus is one of the primary vectors of human malaria, which causes a million deaths each year in sub-Saharan Africa. Few scientific resources are available to facilitate studies of this mosquito species and relatively little is known about its basic biology and evolution, making development and implementation of novel disease control efforts Methodology/Principal more difficult. The An. funestus genome has not been sequenced, so in order to facilitate genome-scale experimental biology, we have sequenced the adult female transcriptome of An. funestus from a newly founded colony in Burkina Faso, West Africa, using the Illumina GAIIx next generation sequencing platform. We assembled short Illumina reads de novo using a novel approach involving iterative de novo assemblies and ‘‘target-based’’ contig clustering. We then selected a conservative set of 15,527 contigs through comparisons to four Dipteran transcriptomes as well as multiple functional and conserved protein domain databases. Findings: Comparison to the Anopheles gambiae immune system identified 339 contigs as putative immune genes, thus identifying a large portion of the immune system that can form the basis for subsequent studies of this important malaria vector. We identified 5,434 1:1 orthologues between An. funestus and An. gambiae and found that among these 1:1 orthologues, the Conclusions/Significance: protein sequence of those with putative immune function were significantly more diverged than the transcriptome as a whole. Short read alignments to the contig set revealed almost 367,000 genetic polymorphisms segregating in the An. funestus colony and demonstrated the utility of the assembled transcriptome for use in RNA-seq based measurements of gene expression. We developed a pipeline that makes de novo transcriptome sequencing possible in virtually any organism at a very reasonable cost ($6,300 in sequencing costs in our case). We anticipate that our approach could be used to develop genomic resources in a diversity of systems for which full genome sequence is currently unavailable. Our An. funestus contig set and analytical results provide a valuable resource for future studies in this non-model, but epidemiologically critical, vector insect.","author":[{"dropping-particle":"","family":"Crawford","given":"Jacob E.","non-dropping-particle":"","parse-names":false,"suffix":""},{"dropping-particle":"","family":"Guelbeogo","given":"Wamdaogo M.","non-dropping-particle":"","parse-names":false,"suffix":""},{"dropping-particle":"","family":"Sanou","given":"Antoine","non-dropping-particle":"","parse-names":false,"suffix":""},{"dropping-particle":"","family":"Traoré","given":"Alphonse","non-dropping-particle":"","parse-names":false,"suffix":""},{"dropping-particle":"","family":"Vernick","given":"Kenneth D.","non-dropping-particle":"","parse-names":false,"suffix":""},{"dropping-particle":"","family":"Sagnon","given":"N'Fale","non-dropping-particle":"","parse-names":false,"suffix":""},{"dropping-particle":"","family":"Lazzaro","given":"Brian P.","non-dropping-particle":"","parse-names":false,"suffix":""}],"container-title":"PLoS ONE","id":"ITEM-1","issue":"12","issued":{"date-parts":[["2010"]]},"title":"De novo transcriptome sequencing in anopheles funestus using illumina RNA-seq technology","type":"article-journal","volume":"5"},"uris":["http://www.mendeley.com/documents/?uuid=1d8a875c-42a7-45e5-ba80-7455eccfe91c","http://www.mendeley.com/documents/?uuid=1756e1de-5453-4cfd-8345-1987ed1763e0"]}],"mendeley":{"formattedCitation":"[19]","plainTextFormattedCitation":"[19]","previouslyFormattedCitation":"(19)"},"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[19]</w:t>
      </w:r>
      <w:r w:rsidRPr="00CD231A">
        <w:rPr>
          <w:rFonts w:ascii="Times New Roman" w:hAnsi="Times New Roman" w:cs="Times New Roman"/>
        </w:rPr>
        <w:fldChar w:fldCharType="end"/>
      </w:r>
      <w:r w:rsidRPr="00CD231A">
        <w:rPr>
          <w:rFonts w:ascii="Times New Roman" w:hAnsi="Times New Roman" w:cs="Times New Roman"/>
        </w:rPr>
        <w:t xml:space="preserve">. Overall, each array is incorporated with 60mer probes designed from </w:t>
      </w:r>
      <w:r w:rsidRPr="00CD231A">
        <w:rPr>
          <w:rFonts w:ascii="Times New Roman" w:hAnsi="Times New Roman" w:cs="Times New Roman"/>
          <w:shd w:val="clear" w:color="auto" w:fill="FFFFFF"/>
          <w:lang w:val="en-GB"/>
        </w:rPr>
        <w:t xml:space="preserve">8,540 ESTs (2 probes for each EST) generated from </w:t>
      </w:r>
      <w:r w:rsidRPr="00CD231A">
        <w:rPr>
          <w:rStyle w:val="Emphasis"/>
          <w:rFonts w:ascii="Times New Roman" w:hAnsi="Times New Roman" w:cs="Times New Roman"/>
          <w:shd w:val="clear" w:color="auto" w:fill="FFFFFF"/>
          <w:lang w:val="en-GB"/>
        </w:rPr>
        <w:t>An. funestus</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 xml:space="preserve">transcriptome 454 sequencing </w:t>
      </w:r>
      <w:r w:rsidRPr="00CD231A">
        <w:rPr>
          <w:rFonts w:ascii="Times New Roman" w:hAnsi="Times New Roman" w:cs="Times New Roman"/>
          <w:shd w:val="clear" w:color="auto" w:fill="FFFFFF"/>
          <w:lang w:val="en-GB"/>
        </w:rPr>
        <w:fldChar w:fldCharType="begin" w:fldLock="1"/>
      </w:r>
      <w:r w:rsidRPr="00CD231A">
        <w:rPr>
          <w:rFonts w:ascii="Times New Roman" w:hAnsi="Times New Roman" w:cs="Times New Roman"/>
          <w:shd w:val="clear" w:color="auto" w:fill="FFFFFF"/>
          <w:lang w:val="en-GB"/>
        </w:rPr>
        <w:instrText>ADDIN CSL_CITATION {"citationItems":[{"id":"ITEM-1","itemData":{"DOI":"10.1371/journal.pone.0017418","ISBN":"1932-6203 (Electronic)\\n1932-6203 (Linking)","ISSN":"19326203","PMID":"21364769","abstract":"BACKGROUND: Anopheles funestus is one of the major malaria vectors in Africa and yet there are few genomic tools available for this species compared to An. gambiae. To start to close this knowledge gap, we sequenced the An. funestus transcriptome using cDNA libraries developed from a pyrethroid resistant laboratory strain and a pyrethroid susceptible field strain from Mali.RESULTS: Using a pool of life stages (pupae, larvae, adults: females and males) for each strain, 454 sequencing generated 375,619 reads (average length of 182 bp). De novo assembly generated 18,103 contigs with average length of 253 bp. The average depth of coverage of these contigs was 8.3. In total 20.8% of all reads were novel when compared to reference databases. The sequencing of the field strain generated 204,758 reads compared to 170,861 from the insecticide resistant laboratory strain. The contigs most differentially represented in the resistant strain belong to the P450 gene family and cuticular genes which correlates with previous studies implicating both of these gene families in pyrethroid resistance. qPCR carried out on six contigs indicates that these ESTs could be suitable for gene expression studies such as microarray. 31,000 sites were estimated to contain Single Nucleotide Polymorphisms (SNPs) and analysis of SNPs from 20 contigs suggested that most of these SNPs are likely to be true SNPs. Gene conservation analysis confirmed the close phylogenetic relationship between An. funestus and An. gambiae. CONCLUSION: This study represents a significant advance for the genetics and genomics of An. funestus since it provides an extensive set of both Expressed Sequence Tags (ESTs) and SNPs which can be readily adopted for the design of new genomic tools such as microarray or SNP platforms.","author":[{"dropping-particle":"","family":"Gregory","given":"Richard","non-dropping-particle":"","parse-names":false,"suffix":""},{"dropping-particle":"","family":"Darby","given":"Alistair C.","non-dropping-particle":"","parse-names":false,"suffix":""},{"dropping-particle":"","family":"Irving","given":"Helen","non-dropping-particle":"","parse-names":false,"suffix":""},{"dropping-particle":"","family":"Coulibaly","given":"Mamadou B.","non-dropping-particle":"","parse-names":false,"suffix":""},{"dropping-particle":"","family":"Hughes","given":"Margaret","non-dropping-particle":"","parse-names":false,"suffix":""},{"dropping-particle":"","family":"Koekemoer","given":"Lizette L.","non-dropping-particle":"","parse-names":false,"suffix":""},{"dropping-particle":"","family":"Coetzee","given":"Maureen","non-dropping-particle":"","parse-names":false,"suffix":""},{"dropping-particle":"","family":"Ranson","given":"Hilary","non-dropping-particle":"","parse-names":false,"suffix":""},{"dropping-particle":"","family":"Hemingway","given":"Janet","non-dropping-particle":"","parse-names":false,"suffix":""},{"dropping-particle":"","family":"Hall","given":"Neil","non-dropping-particle":"","parse-names":false,"suffix":""},{"dropping-particle":"","family":"Wondji","given":"Charles S.","non-dropping-particle":"","parse-names":false,"suffix":""}],"container-title":"PLoS ONE","id":"ITEM-1","issue":"2","issued":{"date-parts":[["2011"]]},"title":"A De Novo expression profiling of Anopheles funestus, malaria vector in Africa, using 454 pyrosequencing","type":"article-journal","volume":"6"},"uris":["http://www.mendeley.com/documents/?uuid=efebf3fa-884f-43f8-9013-c1ca275d069e","http://www.mendeley.com/documents/?uuid=b496ac75-d495-4209-bf4a-6e380af40cda"]}],"mendeley":{"formattedCitation":"[20]","plainTextFormattedCitation":"[20]","previouslyFormattedCitation":"(20)"},"properties":{"noteIndex":0},"schema":"https://github.com/citation-style-language/schema/raw/master/csl-citation.json"}</w:instrText>
      </w:r>
      <w:r w:rsidRPr="00CD231A">
        <w:rPr>
          <w:rFonts w:ascii="Times New Roman" w:hAnsi="Times New Roman" w:cs="Times New Roman"/>
          <w:shd w:val="clear" w:color="auto" w:fill="FFFFFF"/>
          <w:lang w:val="en-GB"/>
        </w:rPr>
        <w:fldChar w:fldCharType="separate"/>
      </w:r>
      <w:r w:rsidRPr="00CD231A">
        <w:rPr>
          <w:rFonts w:ascii="Times New Roman" w:hAnsi="Times New Roman" w:cs="Times New Roman"/>
          <w:noProof/>
          <w:shd w:val="clear" w:color="auto" w:fill="FFFFFF"/>
          <w:lang w:val="en-GB"/>
        </w:rPr>
        <w:t>[20]</w:t>
      </w:r>
      <w:r w:rsidRPr="00CD231A">
        <w:rPr>
          <w:rFonts w:ascii="Times New Roman" w:hAnsi="Times New Roman" w:cs="Times New Roman"/>
          <w:shd w:val="clear" w:color="auto" w:fill="FFFFFF"/>
          <w:lang w:val="en-GB"/>
        </w:rPr>
        <w:fldChar w:fldCharType="end"/>
      </w:r>
      <w:r w:rsidRPr="00CD231A">
        <w:rPr>
          <w:rFonts w:ascii="Times New Roman" w:hAnsi="Times New Roman" w:cs="Times New Roman"/>
          <w:shd w:val="clear" w:color="auto" w:fill="FFFFFF"/>
          <w:lang w:val="en-GB"/>
        </w:rPr>
        <w:t>, a set of 2850</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An. funestus</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cDNAs from GenBank (2 probes for each EST), a set of P450 genes (3 probes for each gene) from the</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rp1</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and</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rp2</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 xml:space="preserve">QTL BAC sequence </w:t>
      </w:r>
      <w:r w:rsidRPr="00CD231A">
        <w:rPr>
          <w:rFonts w:ascii="Times New Roman" w:hAnsi="Times New Roman" w:cs="Times New Roman"/>
          <w:shd w:val="clear" w:color="auto" w:fill="FFFFFF"/>
          <w:lang w:val="en-GB"/>
        </w:rPr>
        <w:fldChar w:fldCharType="begin" w:fldLock="1"/>
      </w:r>
      <w:r w:rsidRPr="00CD231A">
        <w:rPr>
          <w:rFonts w:ascii="Times New Roman" w:hAnsi="Times New Roman" w:cs="Times New Roman"/>
          <w:shd w:val="clear" w:color="auto" w:fill="FFFFFF"/>
          <w:lang w:val="en-GB"/>
        </w:rPr>
        <w:instrText>ADDIN CSL_CITATION {"citationItems":[{"id":"ITEM-1","itemData":{"DOI":"10.1101/gr.087916.108","ISBN":"1088-9051 (Print)\\n1088-9051 (Linking)","ISSN":"10889051","PMID":"19196725","abstract":"Pyrethroid resistance in Anopheles funestus is a potential obstacle to malaria control in Africa. Tools are needed to detect resistance in field populations. We have been using a positional cloning approach to identify the major genes conferring pyrethroid resistance in this vector. A quantitative trait locus (QTL) named rp1 explains 87% of the genetic variance in pyrethroid susceptibility in two families from reciprocal crosses between susceptible and resistant strains. Two additional QTLs of minor effect, rp2 and rp3, were also detected. We sequenced a 120-kb BAC clone spanning the rp1 QTL and identified 14 protein-coding genes and one putative pseudogene. Ten of the 14 genes encoded cytochrome P450s, and expression analysis indicated that four of these P450s were differentially expressed between susceptible and resistant strains. Furthermore, two of these genes, CYP6P9 and CYP6P4, which are 25 and 51 times overexpressed in resistant females, are tandemly duplicated in the BAC clone as well as in laboratory and field samples, suggesting that P450 gene duplication could contribute to pyrethroid resistance in An. funestus. Single nucleotide polymorphisms (SNPs) were identified within CYP6P9 and CYP6P4, and genotyping of the progeny of the genetic crosses revealed a maximum penetrance value f(2) = 1, confirming that these SNPs are valid resistance markers in the laboratory strains. This serves as proof of principle that a DNA-based diagnostic test could be designed to trace metabolic resistance in field populations. This will be a major advance for insecticide resistance management in malaria vectors, which requires the early detection of resistance alleles.","author":[{"dropping-particle":"","family":"Wondji","given":"Charles S.","non-dropping-particle":"","parse-names":false,"suffix":""},{"dropping-particle":"","family":"Irving","given":"Helen","non-dropping-particle":"","parse-names":false,"suffix":""},{"dropping-particle":"","family":"Morgan","given":"John","non-dropping-particle":"","parse-names":false,"suffix":""},{"dropping-particle":"","family":"Lobo","given":"Neil F.","non-dropping-particle":"","parse-names":false,"suffix":""},{"dropping-particle":"","family":"Collins","given":"Frank H.","non-dropping-particle":"","parse-names":false,"suffix":""},{"dropping-particle":"","family":"Hunt","given":"Richard H.","non-dropping-particle":"","parse-names":false,"suffix":""},{"dropping-particle":"","family":"Coetzee","given":"Maureen","non-dropping-particle":"","parse-names":false,"suffix":""},{"dropping-particle":"","family":"Hemingway","given":"Janet","non-dropping-particle":"","parse-names":false,"suffix":""},{"dropping-particle":"","family":"Ranson","given":"Hilary","non-dropping-particle":"","parse-names":false,"suffix":""}],"container-title":"Genome Research","id":"ITEM-1","issue":"3","issued":{"date-parts":[["2009"]]},"page":"452-459","title":"Two duplicated P450 genes are associated with pyrethroid resistance in Anopheles funestus, a major malaria vector","type":"article-journal","volume":"19"},"uris":["http://www.mendeley.com/documents/?uuid=494ef1ca-db1a-49cc-a85a-13b431d8d2f0","http://www.mendeley.com/documents/?uuid=2fb61acd-b9d7-4dfb-bb94-17448dec4826"]},{"id":"ITEM-2","itemData":{"DOI":"10.1038/hdy.2012.53","ISBN":"1365-2540 (Electronic)\\r0018-067X (Linking)","ISSN":"1365-2540","PMID":"22948188","abstract":"Pyrethroid resistance in Anopheles funestus is threatening malaria control in Africa. Elucidation of underlying resistance mechanisms is crucial to improve the success of future control programs. A positional cloning approach was used to identify genes conferring resistance in the uncharacterised rp2 quantitative trait locus (QTL) previously detected in this vector using F6 advanced intercross lines (AIL). A 113 kb BAC clone spanning rp2 was identified and sequenced revealing a cluster of 15 P450 genes and one salivary protein gene (SG7-2). Contrary to A. gambiae, AfCYP6M1 is triplicated in A. funestus, while AgCYP6Z2 orthologue is absent. Five hundred and sixty-five new single nucleotide polymorphisms (SNPs) were identified for genetic mapping from rp2 P450s and other genes revealing high genetic polymorphisms with one SNP every 36 bp. A significant genotype/phenotype association was detected for rp2 P450s but not for a cluster of cuticular protein genes previously associated with resistance in A. gambiae. QTL mapping using F6 AIL confirms the rp2 QTL with an increase logarithm of odds score of 5. Multiplex gene expression profiling of 15 P450s and other genes around rp2 followed by individual validation using qRT-PCR indicated a significant overexpression in the resistant FUMOZ-R strain of the P450s AfCYP6Z1, AfCYP6Z3, AfCYP6M7 and the glutathione-s-transferase GSTe2 with respective fold change of 11.2, 6.3, 5.5 and 2.8. Polymorphisms analysis of AfCYP6Z1 and AfCYP6Z3 identified amino acid changes potentially associated with resistance further indicating that these genes are controlling the pyrethroid resistance explained by the rp2 QTL. The characterisation of this rp2 QTL significantly improves our understanding of resistance mechanisms in A. funestus.","author":[{"dropping-particle":"","family":"Irving","given":"H","non-dropping-particle":"","parse-names":false,"suffix":""},{"dropping-particle":"","family":"Riveron","given":"J M","non-dropping-particle":"","parse-names":false,"suffix":""},{"dropping-particle":"","family":"Inbrahim","given":"S","non-dropping-particle":"","parse-names":false,"suffix":""},{"dropping-particle":"","family":"Lobo","given":"N F","non-dropping-particle":"","parse-names":false,"suffix":""},{"dropping-particle":"","family":"Wondji","given":"C S","non-dropping-particle":"","parse-names":false,"suffix":""},{"dropping-particle":"","family":"Ibrahim","given":"S S","non-dropping-particle":"","parse-names":false,"suffix":""},{"dropping-particle":"","family":"Lobo","given":"N F","non-dropping-particle":"","parse-names":false,"suffix":""},{"dropping-particle":"","family":"Wondji","given":"C S","non-dropping-particle":"","parse-names":false,"suffix":""}],"container-title":"BMC Genomics","id":"ITEM-2","issue":"6","issued":{"date-parts":[["2012"]]},"page":"383-92","title":"Positional cloning of rpl2 QTL associates the P450 genes CYP6Z1, CYP6Z3 and CYP6M7 with pyrethroid resistance in the malaria vector Anopheles funestus","type":"article-journal","volume":"Submitted"},"uris":["http://www.mendeley.com/documents/?uuid=7e751f59-a889-4fc7-ae63-c0c51db78c62","http://www.mendeley.com/documents/?uuid=68ba56a3-43f3-44a2-b275-c79e91dda554"]}],"mendeley":{"formattedCitation":"[21,22]","manualFormatting":"[21, 22]","plainTextFormattedCitation":"[21,22]","previouslyFormattedCitation":"(21,22)"},"properties":{"noteIndex":0},"schema":"https://github.com/citation-style-language/schema/raw/master/csl-citation.json"}</w:instrText>
      </w:r>
      <w:r w:rsidRPr="00CD231A">
        <w:rPr>
          <w:rFonts w:ascii="Times New Roman" w:hAnsi="Times New Roman" w:cs="Times New Roman"/>
          <w:shd w:val="clear" w:color="auto" w:fill="FFFFFF"/>
          <w:lang w:val="en-GB"/>
        </w:rPr>
        <w:fldChar w:fldCharType="separate"/>
      </w:r>
      <w:r w:rsidRPr="00CD231A">
        <w:rPr>
          <w:rFonts w:ascii="Times New Roman" w:hAnsi="Times New Roman" w:cs="Times New Roman"/>
          <w:noProof/>
          <w:shd w:val="clear" w:color="auto" w:fill="FFFFFF"/>
          <w:lang w:val="en-GB"/>
        </w:rPr>
        <w:t>[21, 22]</w:t>
      </w:r>
      <w:r w:rsidRPr="00CD231A">
        <w:rPr>
          <w:rFonts w:ascii="Times New Roman" w:hAnsi="Times New Roman" w:cs="Times New Roman"/>
          <w:shd w:val="clear" w:color="auto" w:fill="FFFFFF"/>
          <w:lang w:val="en-GB"/>
        </w:rPr>
        <w:fldChar w:fldCharType="end"/>
      </w:r>
      <w:r w:rsidRPr="00CD231A">
        <w:rPr>
          <w:rFonts w:ascii="Times New Roman" w:hAnsi="Times New Roman" w:cs="Times New Roman"/>
          <w:shd w:val="clear" w:color="auto" w:fill="FFFFFF"/>
          <w:lang w:val="en-GB"/>
        </w:rPr>
        <w:t>, and the 13,000 transcripts of the complete</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An. gambiae</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genome. Also, all of the</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 xml:space="preserve">An. gambiae </w:t>
      </w:r>
      <w:r w:rsidRPr="00CD231A">
        <w:rPr>
          <w:rFonts w:ascii="Times New Roman" w:hAnsi="Times New Roman" w:cs="Times New Roman"/>
          <w:shd w:val="clear" w:color="auto" w:fill="FFFFFF"/>
          <w:lang w:val="en-GB"/>
        </w:rPr>
        <w:t>detoxification genes present on the</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An. gambiae</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 xml:space="preserve">detox chip </w:t>
      </w:r>
      <w:r w:rsidRPr="00CD231A">
        <w:rPr>
          <w:rFonts w:ascii="Times New Roman" w:hAnsi="Times New Roman" w:cs="Times New Roman"/>
          <w:shd w:val="clear" w:color="auto" w:fill="FFFFFF"/>
          <w:lang w:val="en-GB"/>
        </w:rPr>
        <w:fldChar w:fldCharType="begin" w:fldLock="1"/>
      </w:r>
      <w:r w:rsidRPr="00CD231A">
        <w:rPr>
          <w:rFonts w:ascii="Times New Roman" w:hAnsi="Times New Roman" w:cs="Times New Roman"/>
          <w:shd w:val="clear" w:color="auto" w:fill="FFFFFF"/>
          <w:lang w:val="en-GB"/>
        </w:rPr>
        <w:instrText>ADDIN CSL_CITATION {"citationItems":[{"id":"ITEM-1","itemData":{"DOI":"10.1073/pnas.0409348102","ISBN":"0027-8424 (Print)\\n0027-8424 (Linking)","ISSN":"0027-8424","PMID":"15753317","abstract":"Metabolic pathways play an important role in insecticide resistance, but the full spectra of the genes involved in resistance has not been established. We constructed a microarray containing unique fragments from 230 Anopheles gambiae genes putatively involved in insecticide metabolism [cytochrome P450s (P450s), GSTs, and carboxylesterases and redox genes, partners of the P450 oxidative metabolic complex, and various controls]. We used this detox chip to monitor the expression of the detoxifying genes in insecticide resistant and susceptible An. gambiae laboratory strains. Five genes were strongly up-regulated in the dichlorodiphenyltrichloroethane-resistant strain ZAN/U. These genes included the GST GSTE2, which has previously been implicated in dichlorodiphenyltrichloroethane resistance, two P450s, and two peroxidase genes. GSTE2 was also elevated in the pyrethroid-resistant RSP strain. In addition, the P450 CYP325A3, belonging to a class not previously associated with insecticide resistance, was expressed at statistically higher levels in this strain. The applications of this detox chip and its potential contribution to malaria vector insecticide resistance management programs are discussed.","author":[{"dropping-particle":"","family":"David","given":"Jean-Philippe","non-dropping-particle":"","parse-names":false,"suffix":""},{"dropping-particle":"","family":"Strode","given":"Clare","non-dropping-particle":"","parse-names":false,"suffix":""},{"dropping-particle":"","family":"Vontas","given":"John","non-dropping-particle":"","parse-names":false,"suffix":""},{"dropping-particle":"","family":"Nikou","given":"Dimitra","non-dropping-particle":"","parse-names":false,"suffix":""},{"dropping-particle":"","family":"Vaughan","given":"Ashley","non-dropping-particle":"","parse-names":false,"suffix":""},{"dropping-particle":"","family":"Pignatelli","given":"Patricia M","non-dropping-particle":"","parse-names":false,"suffix":""},{"dropping-particle":"","family":"Louis","given":"Christos","non-dropping-particle":"","parse-names":false,"suffix":""},{"dropping-particle":"","family":"Hemingway","given":"Janet","non-dropping-particle":"","parse-names":false,"suffix":""},{"dropping-particle":"","family":"Ranson","given":"Hilary","non-dropping-particle":"","parse-names":false,"suffix":""}],"container-title":"Proceedings of the National Academy of Sciences of the United States of America","id":"ITEM-1","issue":"11","issued":{"date-parts":[["2005"]]},"page":"4080-4084","title":"The Anopheles gambiae detoxification chip: a highly specific microarray to study metabolic-based insecticide resistance in malaria vectors.","type":"article-journal","volume":"102"},"uris":["http://www.mendeley.com/documents/?uuid=7611dfd9-7780-4676-8a81-2e75004f0e26","http://www.mendeley.com/documents/?uuid=0d8d0141-7193-4f5d-8fa3-9c4aa7da0dee"]}],"mendeley":{"formattedCitation":"[23]","plainTextFormattedCitation":"[23]","previouslyFormattedCitation":"(23)"},"properties":{"noteIndex":0},"schema":"https://github.com/citation-style-language/schema/raw/master/csl-citation.json"}</w:instrText>
      </w:r>
      <w:r w:rsidRPr="00CD231A">
        <w:rPr>
          <w:rFonts w:ascii="Times New Roman" w:hAnsi="Times New Roman" w:cs="Times New Roman"/>
          <w:shd w:val="clear" w:color="auto" w:fill="FFFFFF"/>
          <w:lang w:val="en-GB"/>
        </w:rPr>
        <w:fldChar w:fldCharType="separate"/>
      </w:r>
      <w:r w:rsidRPr="00CD231A">
        <w:rPr>
          <w:rFonts w:ascii="Times New Roman" w:hAnsi="Times New Roman" w:cs="Times New Roman"/>
          <w:noProof/>
          <w:shd w:val="clear" w:color="auto" w:fill="FFFFFF"/>
          <w:lang w:val="en-GB"/>
        </w:rPr>
        <w:t>[23]</w:t>
      </w:r>
      <w:r w:rsidRPr="00CD231A">
        <w:rPr>
          <w:rFonts w:ascii="Times New Roman" w:hAnsi="Times New Roman" w:cs="Times New Roman"/>
          <w:shd w:val="clear" w:color="auto" w:fill="FFFFFF"/>
          <w:lang w:val="en-GB"/>
        </w:rPr>
        <w:fldChar w:fldCharType="end"/>
      </w:r>
      <w:r w:rsidRPr="00CD231A">
        <w:rPr>
          <w:rFonts w:ascii="Times New Roman" w:hAnsi="Times New Roman" w:cs="Times New Roman"/>
          <w:shd w:val="clear" w:color="auto" w:fill="FFFFFF"/>
          <w:lang w:val="en-GB"/>
        </w:rPr>
        <w:t xml:space="preserve"> were added to this chip with 3 probes for each gene to explore all possible gene sequences conserved between</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An. gambiae</w:t>
      </w:r>
      <w:r w:rsidRPr="00CD231A">
        <w:rPr>
          <w:rStyle w:val="apple-converted-space"/>
          <w:rFonts w:ascii="Times New Roman" w:hAnsi="Times New Roman" w:cs="Times New Roman"/>
          <w:shd w:val="clear" w:color="auto" w:fill="FFFFFF"/>
          <w:lang w:val="en-GB"/>
        </w:rPr>
        <w:t> </w:t>
      </w:r>
      <w:r w:rsidRPr="00CD231A">
        <w:rPr>
          <w:rFonts w:ascii="Times New Roman" w:hAnsi="Times New Roman" w:cs="Times New Roman"/>
          <w:shd w:val="clear" w:color="auto" w:fill="FFFFFF"/>
          <w:lang w:val="en-GB"/>
        </w:rPr>
        <w:t>and</w:t>
      </w:r>
      <w:r w:rsidRPr="00CD231A">
        <w:rPr>
          <w:rStyle w:val="apple-converted-space"/>
          <w:rFonts w:ascii="Times New Roman" w:hAnsi="Times New Roman" w:cs="Times New Roman"/>
          <w:shd w:val="clear" w:color="auto" w:fill="FFFFFF"/>
          <w:lang w:val="en-GB"/>
        </w:rPr>
        <w:t> </w:t>
      </w:r>
      <w:r w:rsidRPr="00CD231A">
        <w:rPr>
          <w:rStyle w:val="Emphasis"/>
          <w:rFonts w:ascii="Times New Roman" w:hAnsi="Times New Roman" w:cs="Times New Roman"/>
          <w:shd w:val="clear" w:color="auto" w:fill="FFFFFF"/>
          <w:lang w:val="en-GB"/>
        </w:rPr>
        <w:t>An. funestus</w:t>
      </w:r>
      <w:r w:rsidRPr="00CD231A">
        <w:rPr>
          <w:rFonts w:ascii="Times New Roman" w:hAnsi="Times New Roman" w:cs="Times New Roman"/>
          <w:color w:val="333333"/>
          <w:shd w:val="clear" w:color="auto" w:fill="FFFFFF"/>
          <w:lang w:val="en-GB"/>
        </w:rPr>
        <w:t>.</w:t>
      </w:r>
    </w:p>
    <w:p w14:paraId="0AA0DD6C" w14:textId="29706833"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color w:val="333333"/>
          <w:shd w:val="clear" w:color="auto" w:fill="FFFFFF"/>
          <w:lang w:val="en-GB"/>
        </w:rPr>
        <w:tab/>
      </w:r>
      <w:r w:rsidRPr="00CD231A">
        <w:rPr>
          <w:rFonts w:ascii="Times New Roman" w:hAnsi="Times New Roman" w:cs="Times New Roman"/>
          <w:shd w:val="clear" w:color="auto" w:fill="FFFFFF"/>
          <w:lang w:val="en-GB"/>
        </w:rPr>
        <w:t xml:space="preserve">Total RNA was extracted from three batches of a pool of 10 </w:t>
      </w:r>
      <w:r w:rsidRPr="00CD231A">
        <w:rPr>
          <w:rFonts w:ascii="Times New Roman" w:hAnsi="Times New Roman" w:cs="Times New Roman"/>
          <w:i/>
          <w:shd w:val="clear" w:color="auto" w:fill="FFFFFF"/>
          <w:lang w:val="en-GB"/>
        </w:rPr>
        <w:t xml:space="preserve">An. funestus s.s. </w:t>
      </w:r>
      <w:r w:rsidRPr="00CD231A">
        <w:rPr>
          <w:rFonts w:ascii="Times New Roman" w:hAnsi="Times New Roman" w:cs="Times New Roman"/>
          <w:shd w:val="clear" w:color="auto" w:fill="FFFFFF"/>
          <w:lang w:val="en-GB"/>
        </w:rPr>
        <w:t>mosquitoes</w:t>
      </w:r>
      <w:r w:rsidRPr="00CD231A">
        <w:rPr>
          <w:rFonts w:ascii="Times New Roman" w:hAnsi="Times New Roman" w:cs="Times New Roman"/>
          <w:i/>
          <w:shd w:val="clear" w:color="auto" w:fill="FFFFFF"/>
          <w:lang w:val="en-GB"/>
        </w:rPr>
        <w:t xml:space="preserve"> </w:t>
      </w:r>
      <w:r w:rsidRPr="00CD231A">
        <w:rPr>
          <w:rFonts w:ascii="Times New Roman" w:hAnsi="Times New Roman" w:cs="Times New Roman"/>
          <w:shd w:val="clear" w:color="auto" w:fill="FFFFFF"/>
          <w:lang w:val="en-GB"/>
        </w:rPr>
        <w:t xml:space="preserve">in the different populations using </w:t>
      </w:r>
      <w:r w:rsidRPr="00CD231A">
        <w:rPr>
          <w:rFonts w:ascii="Times New Roman" w:hAnsi="Times New Roman" w:cs="Times New Roman"/>
        </w:rPr>
        <w:t>Picopure RNA Isolation Kit (Arcturus</w:t>
      </w:r>
      <w:r w:rsidR="00ED6D27" w:rsidRPr="00CD231A">
        <w:rPr>
          <w:rFonts w:ascii="Times New Roman" w:hAnsi="Times New Roman" w:cs="Times New Roman"/>
        </w:rPr>
        <w:t>, Waltham, USA</w:t>
      </w:r>
      <w:r w:rsidRPr="00CD231A">
        <w:rPr>
          <w:rFonts w:ascii="Times New Roman" w:hAnsi="Times New Roman" w:cs="Times New Roman"/>
        </w:rPr>
        <w:t>)</w:t>
      </w:r>
      <w:r w:rsidRPr="00CD231A">
        <w:rPr>
          <w:rFonts w:ascii="Times New Roman" w:hAnsi="Times New Roman" w:cs="Times New Roman"/>
          <w:shd w:val="clear" w:color="auto" w:fill="FFFFFF"/>
          <w:lang w:val="en-GB"/>
        </w:rPr>
        <w:t xml:space="preserve">. The quantity and quality of RNA were assessed using </w:t>
      </w:r>
      <w:r w:rsidRPr="00CD231A">
        <w:rPr>
          <w:rFonts w:ascii="Times New Roman" w:hAnsi="Times New Roman" w:cs="Times New Roman"/>
        </w:rPr>
        <w:t xml:space="preserve">NanoDrop ND1000 spectrophotometer (Thermo Fisher </w:t>
      </w:r>
      <w:r w:rsidRPr="00CD231A">
        <w:rPr>
          <w:rFonts w:ascii="Times New Roman" w:hAnsi="Times New Roman" w:cs="Times New Roman"/>
          <w:lang w:val="en-GB"/>
        </w:rPr>
        <w:t>Scientific, Waltham, MA, USA</w:t>
      </w:r>
      <w:r w:rsidRPr="00CD231A">
        <w:rPr>
          <w:rFonts w:ascii="Times New Roman" w:hAnsi="Times New Roman" w:cs="Times New Roman"/>
        </w:rPr>
        <w:t>) and Bioanalyzer (Agilent, Santa Clara, CA, USA), respectively. The complementary RNA (cRNA) was then amplified from each extracted RNA by labelling resistant samples (R) with cy5 dye and susceptible strain FANG samples (S) with cy3 dye using the Agilent Quick Amp Labeling Kit (two-color) following the manufacturer</w:t>
      </w:r>
      <w:r w:rsidRPr="00CD231A">
        <w:rPr>
          <w:rFonts w:ascii="Times New Roman" w:eastAsia="AdvTT86d47313+20" w:hAnsi="Times New Roman" w:cs="Times New Roman"/>
        </w:rPr>
        <w:t>’</w:t>
      </w:r>
      <w:r w:rsidRPr="00CD231A">
        <w:rPr>
          <w:rFonts w:ascii="Times New Roman" w:hAnsi="Times New Roman" w:cs="Times New Roman"/>
        </w:rPr>
        <w:t xml:space="preserve">s protocol. The quality and quantity of the labelled cRNA samples were further assessed as described above before hybridization on the array at 65°C for 17 hours. In total, five </w:t>
      </w:r>
      <w:r w:rsidRPr="00CD231A">
        <w:rPr>
          <w:rFonts w:ascii="Times New Roman" w:hAnsi="Times New Roman" w:cs="Times New Roman"/>
        </w:rPr>
        <w:lastRenderedPageBreak/>
        <w:t>and four hybridizations were done for permethrin and DDT comparisons, respectively, which consist of three (permethrin) and two (DDT) biological replicates, as well as two dye swaps each.</w:t>
      </w:r>
    </w:p>
    <w:p w14:paraId="585B1F32" w14:textId="77777777" w:rsidR="00BF5696" w:rsidRPr="00CD231A" w:rsidRDefault="00BF5696" w:rsidP="00BF5696">
      <w:pPr>
        <w:spacing w:line="480" w:lineRule="auto"/>
        <w:jc w:val="both"/>
        <w:rPr>
          <w:rFonts w:ascii="Times New Roman" w:hAnsi="Times New Roman" w:cs="Times New Roman"/>
          <w:b/>
        </w:rPr>
      </w:pPr>
    </w:p>
    <w:p w14:paraId="3AC8AC63" w14:textId="77777777"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Reverse transcriptase PCR analysis</w:t>
      </w:r>
    </w:p>
    <w:p w14:paraId="3F8A2908" w14:textId="30172026" w:rsidR="00BF5696" w:rsidRPr="00CD231A" w:rsidRDefault="00BF5696" w:rsidP="00BF5696">
      <w:pPr>
        <w:spacing w:line="480" w:lineRule="auto"/>
        <w:jc w:val="both"/>
        <w:rPr>
          <w:rFonts w:ascii="Times New Roman" w:hAnsi="Times New Roman" w:cs="Times New Roman"/>
          <w:b/>
          <w:lang w:val="en-GB"/>
        </w:rPr>
      </w:pPr>
      <w:r w:rsidRPr="00CD231A">
        <w:rPr>
          <w:rFonts w:ascii="Times New Roman" w:hAnsi="Times New Roman" w:cs="Times New Roman"/>
        </w:rPr>
        <w:t xml:space="preserve">The expression pattern of known resistant-associated genes was evaluated in resistant samples compared to the unexposed control using the RT-PCR. This analysis was </w:t>
      </w:r>
      <w:r w:rsidR="00ED6D27" w:rsidRPr="00CD231A">
        <w:rPr>
          <w:rFonts w:ascii="Times New Roman" w:hAnsi="Times New Roman" w:cs="Times New Roman"/>
        </w:rPr>
        <w:t>performed</w:t>
      </w:r>
      <w:r w:rsidRPr="00CD231A">
        <w:rPr>
          <w:rFonts w:ascii="Times New Roman" w:hAnsi="Times New Roman" w:cs="Times New Roman"/>
        </w:rPr>
        <w:t xml:space="preserve"> for some selected metabolic genes that were either identified in the microarray analysis or previously associated with permethrin and DDT resistance in </w:t>
      </w:r>
      <w:r w:rsidRPr="00CD231A">
        <w:rPr>
          <w:rFonts w:ascii="Times New Roman" w:hAnsi="Times New Roman" w:cs="Times New Roman"/>
          <w:i/>
        </w:rPr>
        <w:t>An. funestus</w:t>
      </w:r>
      <w:r w:rsidRPr="00CD231A">
        <w:rPr>
          <w:rFonts w:ascii="Times New Roman" w:hAnsi="Times New Roman" w:cs="Times New Roman"/>
        </w:rPr>
        <w:t xml:space="preserve"> mosquitoes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{"citationItems":[{"id":"ITEM-1","itemData":{"DOI":"10.1101/gr.087916.108","ISBN":"1088-9051 (Print)\\n1088-9051 (Linking)","ISSN":"10889051","PMID":"19196725","abstract":"Pyrethroid resistance in Anopheles funestus is a potential obstacle to malaria control in Africa. Tools are needed to detect resistance in field populations. We have been using a positional cloning approach to identify the major genes conferring pyrethroid resistance in this vector. A quantitative trait locus (QTL) named rp1 explains 87% of the genetic variance in pyrethroid susceptibility in two families from reciprocal crosses between susceptible and resistant strains. Two additional QTLs of minor effect, rp2 and rp3, were also detected. We sequenced a 120-kb BAC clone spanning the rp1 QTL and identified 14 protein-coding genes and one putative pseudogene. Ten of the 14 genes encoded cytochrome P450s, and expression analysis indicated that four of these P450s were differentially expressed between susceptible and resistant strains. Furthermore, two of these genes, CYP6P9 and CYP6P4, which are 25 and 51 times overexpressed in resistant females, are tandemly duplicated in the BAC clone as well as in laboratory and field samples, suggesting that P450 gene duplication could contribute to pyrethroid resistance in An. funestus. Single nucleotide polymorphisms (SNPs) were identified within CYP6P9 and CYP6P4, and genotyping of the progeny of the genetic crosses revealed a maximum penetrance value f(2) = 1, confirming that these SNPs are valid resistance markers in the laboratory strains. This serves as proof of principle that a DNA-based diagnostic test could be designed to trace metabolic resistance in field populations. This will be a major advance for insecticide resistance management in malaria vectors, which requires the early detection of resistance alleles.","author":[{"dropping-particle":"","family":"Wondji","given":"Charles S.","non-dropping-particle":"","parse-names":false,"suffix":""},{"dropping-particle":"","family":"Irving","given":"Helen","non-dropping-particle":"","parse-names":false,"suffix":""},{"dropping-particle":"","family":"Morgan","given":"John","non-dropping-particle":"","parse-names":false,"suffix":""},{"dropping-particle":"","family":"Lobo","given":"Neil F.","non-dropping-particle":"","parse-names":false,"suffix":""},{"dropping-particle":"","family":"Collins","given":"Frank H.","non-dropping-particle":"","parse-names":false,"suffix":""},{"dropping-particle":"","family":"Hunt","given":"Richard H.","non-dropping-particle":"","parse-names":false,"suffix":""},{"dropping-particle":"","family":"Coetzee","given":"Maureen","non-dropping-particle":"","parse-names":false,"suffix":""},{"dropping-particle":"","family":"Hemingway","given":"Janet","non-dropping-particle":"","parse-names":false,"suffix":""},{"dropping-particle":"","family":"Ranson","given":"Hilary","non-dropping-particle":"","parse-names":false,"suffix":""}],"container-title":"Genome Research","id":"ITEM-1","issue":"3","issued":{"date-parts":[["2009"]]},"page":"452-459","title":"Two duplicated P450 genes are associated with pyrethroid resistance in Anopheles funestus, a major malaria vector","type":"article-journal","volume":"19"},"uris":["http://www.mendeley.com/documents/?uuid=2fb61acd-b9d7-4dfb-bb94-17448dec4826","http://www.mendeley.com/documents/?uuid=494ef1ca-db1a-49cc-a85a-13b431d8d2f0"]},{"id":"ITEM-2","itemData":{"DOI":"10.1371/journal.pone.0017418","ISBN":"1932-6203 (Electronic)\\n1932-6203 (Linking)","ISSN":"19326203","PMID":"21364769","abstract":"BACKGROUND: Anopheles funestus is one of the major malaria vectors in Africa and yet there are few genomic tools available for this species compared to An. gambiae. To start to close this knowledge gap, we sequenced the An. funestus transcriptome using cDNA libraries developed from a pyrethroid resistant laboratory strain and a pyrethroid susceptible field strain from Mali.RESULTS: Using a pool of life stages (pupae, larvae, adults: females and males) for each strain, 454 sequencing generated 375,619 reads (average length of 182 bp). De novo assembly generated 18,103 contigs with average length of 253 bp. The average depth of coverage of these contigs was 8.3. In total 20.8% of all reads were novel when compared to reference databases. The sequencing of the field strain generated 204,758 reads compared to 170,861 from the insecticide resistant laboratory strain. The contigs most differentially represented in the resistant strain belong to the P450 gene family and cuticular genes which correlates with previous studies implicating both of these gene families in pyrethroid resistance. qPCR carried out on six contigs indicates that these ESTs could be suitable for gene expression studies such as microarray. 31,000 sites were estimated to contain Single Nucleotide Polymorphisms (SNPs) and analysis of SNPs from 20 contigs suggested that most of these SNPs are likely to be true SNPs. Gene conservation analysis confirmed the close phylogenetic relationship between An. funestus and An. gambiae. CONCLUSION: This study represents a significant advance for the genetics and genomics of An. funestus since it provides an extensive set of both Expressed Sequence Tags (ESTs) and SNPs which can be readily adopted for the design of new genomic tools such as microarray or SNP platforms.","author":[{"dropping-particle":"","family":"Gregory","given":"Richard","non-dropping-particle":"","parse-names":false,"suffix":""},{"dropping-particle":"","family":"Darby","given":"Alistair C.","non-dropping-particle":"","parse-names":false,"suffix":""},{"dropping-particle":"","family":"Irving","given":"Helen","non-dropping-particle":"","parse-names":false,"suffix":""},{"dropping-particle":"","family":"Coulibaly","given":"Mamadou B.","non-dropping-particle":"","parse-names":false,"suffix":""},{"dropping-particle":"","family":"Hughes","given":"Margaret","non-dropping-particle":"","parse-names":false,"suffix":""},{"dropping-particle":"","family":"Koekemoer","given":"Lizette L.","non-dropping-particle":"","parse-names":false,"suffix":""},{"dropping-particle":"","family":"Coetzee","given":"Maureen","non-dropping-particle":"","parse-names":false,"suffix":""},{"dropping-particle":"","family":"Ranson","given":"Hilary","non-dropping-particle":"","parse-names":false,"suffix":""},{"dropping-particle":"","family":"Hemingway","given":"Janet","non-dropping-particle":"","parse-names":false,"suffix":""},{"dropping-particle":"","family":"Hall","given":"Neil","non-dropping-particle":"","parse-names":false,"suffix":""},{"dropping-particle":"","family":"Wondji","given":"Charles S.","non-dropping-particle":"","parse-names":false,"suffix":""}],"container-title":"PLoS ONE","id":"ITEM-2","issue":"2","issued":{"date-parts":[["2011"]]},"title":"A De Novo expression profiling of Anopheles funestus, malaria vector in Africa, using 454 pyrosequencing","type":"article-journal","volume":"6"},"uris":["http://www.mendeley.com/documents/?uuid=b496ac75-d495-4209-bf4a-6e380af40cda","http://www.mendeley.com/documents/?uuid=efebf3fa-884f-43f8-9013-c1ca275d069e","http://www.mendeley.com/documents/?uuid=4dd0f645-30ad-44c5-97c4-ceed724500e5"]},{"id":"ITEM-3","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biology","id":"ITEM-3","issue":"2","issued":{"date-parts":[["2014"]]},"page":"R27","title":"A single mutation in the GSTe2 gene allows tracking of metabolically based insecticide resistance in a major malaria vector.","type":"article-journal","volume":"15"},"uris":["http://www.mendeley.com/documents/?uuid=ad61132f-8dd2-4ce7-b57d-8e71e12ce404"]},{"id":"ITEM-4","itemData":{"DOI":"10.1186/s13071-016-1735-7","ISSN":"1756-3305","abstract":"Anopheles funestus is one of the major malaria vectors in tropical Africa, notably in Senegal. The highly anthropophilic and endophilic behaviours of this mosquito make it a good target for vector control operations through the use of insecticide treated nets, long-lasting insecticide nets and indoor residual spraying. However, little is known about patterns of resistance to insecticides and the underlying resistance mechanisms in field populations of this vector in Senegal. Here, we assessed the susceptibility status of An. funestus populations from Gankette Balla, located in northern Senegal and investigated the potential resistance mechanisms. WHO bioassays indicated that An. funestus is resistant to lambda-cyhalothrin 0.05 % (74.64 % mortality), DDT 4 % (83.36 % mortality) and deltamethrin 0.05 % (88.53 % mortality). Suspected resistance was observed to permethrin 0.75 % (91.19 % mortality), bendiocarb 0.1 % (94.13 % mortality) and dieldrin 4 % (96.41 % mortality). However, this population is fully susceptible to malathion 5 % (100 % mortality) and fenitrothion 1 % (100 % mortality). The microarray and qRT-PCR analysis indicated that the lambda-cyhalothrin resistance in Gankette Balla is conferred by metabolic resistance mechanisms under the probable control of cytochrome P450 genes among which CYP6M7 is the most overexpressed. The absence of overexpression of the P450 gene, CYP6P9a, indicates that the resistance mechanism in Senegal is different to that observed in southern Africa. This study represents the first report of pyrethroid and DDT resistance in An. funestus from Senegal and shows that resistance to insecticides is not only confined to An. gambiae as previously thought. Therefore, urgent action should be taken to manage the resistance in this species to ensure the continued effectiveness of malaria control.","author":[{"dropping-particle":"","family":"Samb","given":"Badara","non-dropping-particle":"","parse-names":false,"suffix":""},{"dropping-particle":"","family":"Konate","given":"Lassana","non-dropping-particle":"","parse-names":false,"suffix":""},{"dropping-particle":"","family":"Irving","given":"Helen","non-dropping-particle":"","parse-names":false,"suffix":""},{"dropping-particle":"","family":"Riveron","given":"Jacob M.","non-dropping-particle":"","parse-names":false,"suffix":""},{"dropping-particle":"","family":"Dia","given":"Ibrahima","non-dropping-particle":"","parse-names":false,"suffix":""},{"dropping-particle":"","family":"Faye","given":"Ousmane","non-dropping-particle":"","parse-names":false,"suffix":""},{"dropping-particle":"","family":"Wondji","given":"Charles S.","non-dropping-particle":"","parse-names":false,"suffix":""},{"dropping-particle":"","family":"Riveron","given":"JM","non-dropping-particle":"","parse-names":false,"suffix":""},{"dropping-particle":"","family":"Irving","given":"H","non-dropping-particle":"","parse-names":false,"suffix":""},{"dropping-particle":"","family":"Ndula","given":"M","non-dropping-particle":"","parse-names":false,"suffix":""},{"dropping-particle":"","family":"Barnes","given":"KG","non-dropping-particle":"","parse-names":false,"suffix":""},{"dropping-particle":"","family":"Ibrahim","given":"SS","non-dropping-particle":"","parse-names":false,"suffix":""},{"dropping-particle":"","family":"Paine","given":"MJ","non-dropping-particle":"","parse-names":false,"suffix":""},{"dropping-particle":"","family":"Wondji","given":"CS","non-dropping-particle":"","parse-names":false,"suffix":""},{"dropping-particle":"","family":"Riveron","given":"JM","non-dropping-particle":"","parse-names":false,"suffix":""},{"dropping-particle":"","family":"Yunta","given":"C","non-dropping-particle":"","parse-names":false,"suffix":""},{"dropping-particle":"","family":"Ibrahim","given":"SS","non-dropping-particle":"","parse-names":false,"suffix":""},{"dropping-particle":"","family":"Djouaka","given":"R","non-dropping-particle":"","parse-names":false,"suffix":""},{"dropping-particle":"","family":"Irving","given":"H","non-dropping-particle":"","parse-names":false,"suffix":""},{"dropping-particle":"","family":"Menze","given":"BD","non-dropping-particle":"","parse-names":false,"suffix":""},{"dropping-particle":"","family":"Ismail","given":"HM","non-dropping-particle":"","parse-names":false,"suffix":""},{"dropping-particle":"","family":"Hemingway","given":"J","non-dropping-particle":"","parse-names":false,"suffix":""},{"dropping-particle":"","family":"Ranson","given":"H","non-dropping-particle":"","parse-names":false,"suffix":""},{"dropping-particle":"","family":"Albert","given":"A","non-dropping-particle":"","parse-names":false,"suffix":""},{"dropping-particle":"","family":"Choi","given":"KS","non-dropping-particle":"","parse-names":false,"suffix":""},{"dropping-particle":"","family":"Christian","given":"R","non-dropping-particle":"","parse-names":false,"suffix":""},{"dropping-particle":"","family":"Nardini","given":"L","non-dropping-particle":"","parse-names":false,"suffix":""},{"dropping-particle":"","family":"Wood","given":"OR","non-dropping-particle":"","parse-names":false,"suffix":""},{"dropping-particle":"","family":"Agubuzo","given":"E","non-dropping-particle":"","parse-names":false,"suffix":""},{"dropping-particle":"","family":"Muleba","given":"M","non-dropping-particle":"","parse-names":false,"suffix":""},{"dropping-particle":"","family":"Munyati","given":"S","non-dropping-particle":"","parse-names":false,"suffix":""},{"dropping-particle":"","family":"Makuwaza","given":"A","non-dropping-particle":"","parse-names":false,"suffix":""},{"dropping-particle":"","family":"Koekemoer","given":"LL","non-dropping-particle":"","parse-names":false,"suffix":""},{"dropping-particle":"","family":"Brooke","given":"BD","non-dropping-particle":"","parse-names":false,"suffix":""},{"dropping-particle":"","family":"Thomsen","given":"EK","non-dropping-particle":"","parse-names":false,"suffix":""},{"dropping-particle":"","family":"Strode","given":"C","non-dropping-particle":"","parse-names":false,"suffix":""},{"dropping-particle":"","family":"Hemmings","given":"K","non-dropping-particle":"","parse-names":false,"suffix":""},{"dropping-particle":"","family":"Hughes","given":"AJ","non-dropping-particle":"","parse-names":false,"suffix":""},{"dropping-particle":"","family":"Chanda","given":"E","non-dropping-particle":"","parse-names":false,"suffix":""},{"dropping-particle":"","family":"Musapa","given":"M","non-dropping-particle":"","parse-names":false,"suffix":""},{"dropping-particle":"","family":"Kamuliwo","given":"M","non-dropping-particle":"","parse-names":false,"suffix":""},{"dropping-particle":"","family":"Phiri","given":"FN","non-dropping-particle":"","parse-names":false,"suffix":""},{"dropping-particle":"","family":"Muzia","given":"L","non-dropping-particle":"","parse-names":false,"suffix":""},{"dropping-particle":"","family":"Chanda","given":"J","non-dropping-particle":"","parse-names":false,"suffix":""},{"dropping-particle":"","family":"Wondji","given":"CS","non-dropping-particle":"","parse-names":false,"suffix":""},{"dropping-particle":"","family":"Dabire","given":"RK","non-dropping-particle":"","parse-names":false,"suffix":""},{"dropping-particle":"","family":"Tukur","given":"Z","non-dropping-particle":"","parse-names":false,"suffix":""},{"dropping-particle":"","family":"Irving","given":"H","non-dropping-particle":"","parse-names":false,"suffix":""},{"dropping-particle":"","family":"Djouaka","given":"R","non-dropping-particle":"","parse-names":false,"suffix":""},{"dropping-particle":"","family":"Morgan","given":"JC","non-dropping-particle":"","parse-names":false,"suffix":""},{"dropping-particle":"","family":"Kawada","given":"H","non-dropping-particle":"","parse-names":false,"suffix":""},{"dropping-particle":"","family":"Dida","given":"GO","non-dropping-particle":"","parse-names":false,"suffix":""},{"dropping-particle":"","family":"Ohashi","given":"K","non-dropping-particle":"","parse-names":false,"suffix":""},{"dropping-particle":"","family":"Komagata","given":"O","non-dropping-particle":"","parse-names":false,"suffix":""},{"dropping-particle":"","family":"Kasai","given":"S","non-dropping-particle":"","parse-names":false,"suffix":""},{"dropping-particle":"","family":"Tomita","given":"T","non-dropping-particle":"","parse-names":false,"suffix":""},{"dropping-particle":"","family":"Sonye","given":"G","non-dropping-particle":"","parse-names":false,"suffix":""},{"dropping-particle":"","family":"Maekawa","given":"Y","non-dropping-particle":"","parse-names":false,"suffix":""},{"dropping-particle":"","family":"Mwatele","given":"C","non-dropping-particle":"","parse-names":false,"suffix":""},{"dropping-particle":"","family":"Njenga","given":"SM","non-dropping-particle":"","parse-names":false,"suffix":""},{"dropping-particle":"","family":"Mulamba","given":"C","non-dropping-particle":"","parse-names":false,"suffix":""},{"dropping-particle":"","family":"Riveron","given":"JM","non-dropping-particle":"","parse-names":false,"suffix":""},{"dropping-particle":"","family":"Ibrahim","given":"SS","non-dropping-particle":"","parse-names":false,"suffix":""},{"dropping-particle":"","family":"Irving","given":"H","non-dropping-particle":"","parse-names":false,"suffix":""},{"dropping-particle":"","family":"Barnes","given":"KG","non-dropping-particle":"","parse-names":false,"suffix":""},{"dropping-particle":"","family":"Mukwaya","given":"LG","non-dropping-particle":"","parse-names":false,"suffix":""},{"dropping-particle":"","family":"Birungi","given":"J","non-dropping-particle":"","parse-names":false,"suffix":""},{"dropping-particle":"","family":"Wondji","given":"CS","non-dropping-particle":"","parse-names":false,"suffix":""},{"dropping-particle":"","family":"Okoye","given":"PN","non-dropping-particle":"","parse-names":false,"suffix":""},{"dropping-particle":"","family":"Brooke","given":"BD","non-dropping-particle":"","parse-names":false,"suffix":""},{"dropping-particle":"","family":"Koekemoer","given":"LL","non-dropping-particle":"","parse-names":false,"suffix":""},{"dropping-particle":"","family":"Hunt","given":"RH","non-dropping-particle":"","parse-names":false,"suffix":""},{"dropping-particle":"","family":"Coetzee","given":"M","non-dropping-particle":"","parse-names":false,"suffix":""},{"dropping-particle":"","family":"Djouaka","given":"R","non-dropping-particle":"","parse-names":false,"suffix":""},{"dropping-particle":"","family":"Irving","given":"H","non-dropping-particle":"","parse-names":false,"suffix":""},{"dropping-particle":"","family":"Tukur","given":"Z","non-dropping-particle":"","parse-names":false,"suffix":""},{"dropping-particle":"","family":"Wondji","given":"CS","non-dropping-particle":"","parse-names":false,"suffix":""},{"dropping-particle":"","family":"Ndiath","given":"MO","non-dropping-particle":"","parse-names":false,"suffix":""},{"dropping-particle":"","family":"Sougoufara","given":"S","non-dropping-particle":"","parse-names":false,"suffix":""},{"dropping-particle":"","family":"Gaye","given":"A","non-dropping-particle":"","parse-names":false,"suffix":""},{"dropping-particle":"","family":"Mazenot","given":"C","non-dropping-particle":"","parse-names":false,"suffix":""},{"dropping-particle":"","family":"Konate","given":"L","non-dropping-particle":"","parse-names":false,"suffix":""},{"dropping-particle":"","family":"Faye","given":"O","non-dropping-particle":"","parse-names":false,"suffix":""},{"dropping-particle":"","family":"Sokhna","given":"C","non-dropping-particle":"","parse-names":false,"suffix":""},{"dropping-particle":"","family":"Trape","given":"JF","non-dropping-particle":"","parse-names":false,"suffix":""},{"dropping-particle":"","family":"Ndiath","given":"MO","non-dropping-particle":"","parse-names":false,"suffix":""},{"dropping-particle":"","family":"Cailleau","given":"A","non-dropping-particle":"","parse-names":false,"suffix":""},{"dropping-particle":"","family":"Orlandi-Pradines","given":"E","non-dropping-particle":"","parse-names":false,"suffix":""},{"dropping-particle":"","family":"Bessell","given":"P","non-dropping-particle":"","parse-names":false,"suffix":""},{"dropping-particle":"","family":"Pages","given":"F","non-dropping-particle":"","parse-names":false,"suffix":""},{"dropping-particle":"","family":"Trape","given":"JF","non-dropping-particle":"","parse-names":false,"suffix":""},{"dropping-particle":"","family":"Rogier","given":"C","non-dropping-particle":"","parse-names":false,"suffix":""},{"dropping-particle":"","family":"Thwing","given":"JI","non-dropping-particle":"","parse-names":false,"suffix":""},{"dropping-particle":"","family":"Perry","given":"RT","non-dropping-particle":"","parse-names":false,"suffix":""},{"dropping-particle":"","family":"Townes","given":"DA","non-dropping-particle":"","parse-names":false,"suffix":""},{"dropping-particle":"","family":"Diouf","given":"MB","non-dropping-particle":"","parse-names":false,"suffix":""},{"dropping-particle":"","family":"Ndiaye","given":"S","non-dropping-particle":"","parse-names":false,"suffix":""},{"dropping-particle":"","family":"Thior","given":"M","non-dropping-particle":"","parse-names":false,"suffix":""},{"dropping-particle":"","family":"Morgan","given":"JC","non-dropping-particle":"","parse-names":false,"suffix":""},{"dropping-particle":"","family":"Irving","given":"H","non-dropping-particle":"","parse-names":false,"suffix":""},{"dropping-particle":"","family":"Okedi","given":"LM","non-dropping-particle":"","parse-names":false,"suffix":""},{"dropping-particle":"","family":"Steven","given":"A","non-dropping-particle":"","parse-names":false,"suffix":""},{"dropping-particle":"","family":"Wondji","given":"CS","non-dropping-particle":"","parse-names":false,"suffix":""},{"dropping-particle":"","family":"Gillies","given":"MT","non-dropping-particle":"","parse-names":false,"suffix":""},{"dropping-particle":"","family":"Coetzee","given":"M","non-dropping-particle":"","parse-names":false,"suffix":""},{"dropping-particle":"","family":"Livak","given":"KJ","non-dropping-particle":"","parse-names":false,"suffix":""},{"dropping-particle":"","family":"Koekemoer","given":"LL","non-dropping-particle":"","parse-names":false,"suffix":""},{"dropping-particle":"","family":"Kamau","given":"L","non-dropping-particle":"","parse-names":false,"suffix":""},{"dropping-particle":"","family":"Hunt","given":"RH","non-dropping-particle":"","parse-names":false,"suffix":""},{"dropping-particle":"","family":"Coetzee","given":"M","non-dropping-particle":"","parse-names":false,"suffix":""},{"dropping-particle":"","family":"Crawford","given":"JE","non-dropping-particle":"","parse-names":false,"suffix":""},{"dropping-particle":"","family":"Guelbeogo","given":"WM","non-dropping-particle":"","parse-names":false,"suffix":""},{"dropping-particle":"","family":"Sanou","given":"A","non-dropping-particle":"","parse-names":false,"suffix":""},{"dropping-particle":"","family":"Traore","given":"A","non-dropping-particle":"","parse-names":false,"suffix":""},{"dropping-particle":"","family":"Vernick","given":"KD","non-dropping-particle":"","parse-names":false,"suffix":""},{"dropping-particle":"","family":"Sagnon","given":"N","non-dropping-particle":"","parse-names":false,"suffix":""},{"dropping-particle":"","family":"Lazzaro","given":"BP","non-dropping-particle":"","parse-names":false,"suffix":""},{"dropping-particle":"","family":"Schmittgen","given":"TD","non-dropping-particle":"","parse-names":false,"suffix":""},{"dropping-particle":"","family":"Livak","given":"KJ","non-dropping-particle":"","parse-names":false,"suffix":""},{"dropping-particle":"","family":"Cuamba","given":"N","non-dropping-particle":"","parse-names":false,"suffix":""},{"dropping-particle":"","family":"Morgan","given":"JC","non-dropping-particle":"","parse-names":false,"suffix":""},{"dropping-particle":"","family":"Irving","given":"H","non-dropping-particle":"","parse-names":false,"suffix":""},{"dropping-particle":"","family":"Steven","given":"A","non-dropping-particle":"","parse-names":false,"suffix":""},{"dropping-particle":"","family":"Wondji","given":"CS","non-dropping-particle":"","parse-names":false,"suffix":""},{"dropping-particle":"","family":"Riveron","given":"JM","non-dropping-particle":"","parse-names":false,"suffix":""},{"dropping-particle":"","family":"Chiumia","given":"M","non-dropping-particle":"","parse-names":false,"suffix":""},{"dropping-particle":"","family":"Menze","given":"BD","non-dropping-particle":"","parse-names":false,"suffix":""},{"dropping-particle":"","family":"Barnes","given":"KG","non-dropping-particle":"","parse-names":false,"suffix":""},{"dropping-particle":"","family":"Irving","given":"H","non-dropping-particle":"","parse-names":false,"suffix":""},{"dropping-particle":"","family":"Ibrahim","given":"SS","non-dropping-particle":"","parse-names":false,"suffix":""},{"dropping-particle":"","family":"Weedall","given":"GD","non-dropping-particle":"","parse-names":false,"suffix":""},{"dropping-particle":"","family":"Mzilahowa","given":"T","non-dropping-particle":"","parse-names":false,"suffix":""},{"dropping-particle":"","family":"Wondji","given":"CS","non-dropping-particle":"","parse-names":false,"suffix":""},{"dropping-particle":"","family":"Coetzee","given":"M","non-dropping-particle":"","parse-names":false,"suffix":""},{"dropping-particle":"","family":"Wyk","given":"P","non-dropping-particle":"","parse-names":false,"suffix":""},{"dropping-particle":"","family":"Booman","given":"M","non-dropping-particle":"","parse-names":false,"suffix":""},{"dropping-particle":"","family":"Koekemoer","given":"LL","non-dropping-particle":"","parse-names":false,"suffix":""},{"dropping-particle":"","family":"Hunt","given":"RH","non-dropping-particle":"","parse-names":false,"suffix":""},{"dropping-particle":"","family":"Kloke","given":"RG","non-dropping-particle":"","parse-names":false,"suffix":""},{"dropping-particle":"","family":"Nhamahanga","given":"E","non-dropping-particle":"","parse-names":false,"suffix":""},{"dropping-particle":"","family":"Hunt","given":"RH","non-dropping-particle":"","parse-names":false,"suffix":""},{"dropping-particle":"","family":"Coetzee","given":"M","non-dropping-particle":"","parse-names":false,"suffix":""},{"dropping-particle":"","family":"Scollon","given":"EJ","non-dropping-particle":"","parse-names":false,"suffix":""},{"dropping-particle":"","family":"Starr","given":"JM","non-dropping-particle":"","parse-names":false,"suffix":""},{"dropping-particle":"","family":"Godin","given":"SJ","non-dropping-particle":"","parse-names":false,"suffix":""},{"dropping-particle":"","family":"DeVito","given":"MJ","non-dropping-particle":"","parse-names":false,"suffix":""},{"dropping-particle":"","family":"Hughes","given":"MF","non-dropping-particle":"","parse-names":false,"suffix":""},{"dropping-particle":"","family":"Ibrahim","given":"SS","non-dropping-particle":"","parse-names":false,"suffix":""},{"dropping-particle":"","family":"Riveron","given":"JM","non-dropping-particle":"","parse-names":false,"suffix":""},{"dropping-particle":"","family":"Stott","given":"R","non-dropping-particle":"","parse-names":false,"suffix":""},{"dropping-particle":"","family":"Irving","given":"H","non-dropping-particle":"","parse-names":false,"suffix":""},{"dropping-particle":"","family":"Wondji","given":"CS","non-dropping-particle":"","parse-names":false,"suffix":""},{"dropping-particle":"","family":"Hargreaves","given":"K","non-dropping-particle":"","parse-names":false,"suffix":""},{"dropping-particle":"","family":"Coetzee","given":"M","non-dropping-particle":"","parse-names":false,"suffix":""},{"dropping-particle":"","family":"Koekemoer","given":"LL","non-dropping-particle":"","parse-names":false,"suffix":""},{"dropping-particle":"","family":"Diabate","given":"A","non-dropping-particle":"","parse-names":false,"suffix":""},{"dropping-particle":"","family":"Baldet","given":"T","non-dropping-particle":"","parse-names":false,"suffix":""},{"dropping-particle":"","family":"Chandre","given":"F","non-dropping-particle":"","parse-names":false,"suffix":""},{"dropping-particle":"","family":"Akoo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Djegbe","given":"I","non-dropping-particle":"","parse-names":false,"suffix":""},{"dropping-particle":"","family":"Boussari","given":"O","non-dropping-particle":"","parse-names":false,"suffix":""},{"dropping-particle":"","family":"Sidick","given":"A","non-dropping-particle":"","parse-names":false,"suffix":""},{"dropping-particle":"","family":"Martin","given":"T","non-dropping-particle":"","parse-names":false,"suffix":""},{"dropping-particle":"","family":"Ranson","given":"H","non-dropping-particle":"","parse-names":false,"suffix":""},{"dropping-particle":"","family":"Chandre","given":"F","non-dropping-particle":"","parse-names":false,"suffix":""},{"dropping-particle":"","family":"Akogbeto","given":"M","non-dropping-particle":"","parse-names":false,"suffix":""},{"dropping-particle":"","family":"Corbel","given":"V","non-dropping-particle":"","parse-names":false,"suffix":""},{"dropping-particle":"","family":"Dabire","given":"RK","non-dropping-particle":"","parse-names":false,"suffix":""},{"dropping-particle":"","family":"Namountougou","given":"M","non-dropping-particle":"","parse-names":false,"suffix":""},{"dropping-particle":"","family":"Sawadogo","given":"SP","non-dropping-particle":"","parse-names":false,"suffix":""},{"dropping-particle":"","family":"Yaro","given":"LB","non-dropping-particle":"","parse-names":false,"suffix":""},{"dropping-particle":"","family":"Toe","given":"HK","non-dropping-particle":"","parse-names":false,"suffix":""},{"dropping-particle":"","family":"Ouari","given":"A","non-dropping-particle":"","parse-names":false,"suffix":""},{"dropping-particle":"","family":"Gouagna","given":"LC","non-dropping-particle":"","parse-names":false,"suffix":""},{"dropping-particle":"","family":"Simard","given":"F","non-dropping-particle":"","parse-names":false,"suffix":""},{"dropping-particle":"","family":"Chandre","given":"F","non-dropping-particle":"","parse-names":false,"suffix":""},{"dropping-particle":"","family":"Baldet","given":"T","non-dropping-particle":"","parse-names":false,"suffix":""},{"dropping-particle":"","family":"Samb","given":"B","non-dropping-particle":"","parse-names":false,"suffix":""},{"dropping-particle":"","family":"Dia","given":"I","non-dropping-particle":"","parse-names":false,"suffix":""},{"dropping-particle":"","family":"Konate","given":"L","non-dropping-particle":"","parse-names":false,"suffix":""},{"dropping-particle":"","family":"Ayala","given":"D","non-dropping-particle":"","parse-names":false,"suffix":""},{"dropping-particle":"","family":"Fontenille","given":"D","non-dropping-particle":"","parse-names":false,"suffix":""},{"dropping-particle":"","family":"Cohuet","given":"A","non-dropping-particle":"","parse-names":false,"suffix":""},{"dropping-particle":"","family":"Riveron","given":"JM","non-dropping-particle":"","parse-names":false,"suffix":""},{"dropping-particle":"","family":"Ibrahim","given":"SS","non-dropping-particle":"","parse-names":false,"suffix":""},{"dropping-particle":"","family":"Chanda","given":"E","non-dropping-particle":"","parse-names":false,"suffix":""},{"dropping-particle":"","family":"Mzilahowa","given":"T","non-dropping-particle":"","parse-names":false,"suffix":""},{"dropping-particle":"","family":"Cuamba","given":"N","non-dropping-particle":"","parse-names":false,"suffix":""},{"dropping-particle":"","family":"Irving","given":"H","non-dropping-particle":"","parse-names":false,"suffix":""},{"dropping-particle":"","family":"Barnes","given":"KG","non-dropping-particle":"","parse-names":false,"suffix":""},{"dropping-particle":"","family":"Ndula","given":"M","non-dropping-particle":"","parse-names":false,"suffix":""},{"dropping-particle":"","family":"Wondji","given":"CS","non-dropping-particle":"","parse-names":false,"suffix":""},{"dropping-particle":"","family":"Amenya","given":"DA","non-dropping-particle":"","parse-names":false,"suffix":""},{"dropping-particle":"","family":"Naguran","given":"R","non-dropping-particle":"","parse-names":false,"suffix":""},{"dropping-particle":"","family":"Lo","given":"TC","non-dropping-particle":"","parse-names":false,"suffix":""},{"dropping-particle":"","family":"Ranson","given":"H","non-dropping-particle":"","parse-names":false,"suffix":""},{"dropping-particle":"","family":"Spillings","given":"BL","non-dropping-particle":"","parse-names":false,"suffix":""},{"dropping-particle":"","family":"Wood","given":"OR","non-dropping-particle":"","parse-names":false,"suffix":""},{"dropping-particle":"","family":"Brooke","given":"BD","non-dropping-particle":"","parse-names":false,"suffix":""},{"dropping-particle":"","family":"Coetzee","given":"M","non-dropping-particle":"","parse-names":false,"suffix":""},{"dropping-particle":"","family":"Koekemoer","given":"LL","non-dropping-particle":"","parse-names":false,"suffix":""},{"dropping-particle":"","family":"Wondji","given":"CS","non-dropping-particle":"","parse-names":false,"suffix":""},{"dropping-particle":"","family":"Irving","given":"H","non-dropping-particle":"","parse-names":false,"suffix":""},{"dropping-particle":"","family":"Morgan","given":"J","non-dropping-particle":"","parse-names":false,"suffix":""},{"dropping-particle":"","family":"Lobo","given":"NF","non-dropping-particle":"","parse-names":false,"suffix":""},{"dropping-particle":"","family":"Collins","given":"FH","non-dropping-particle":"","parse-names":false,"suffix":""},{"dropping-particle":"","family":"Hunt","given":"RH","non-dropping-particle":"","parse-names":false,"suffix":""},{"dropping-particle":"","family":"Coetzee","given":"M","non-dropping-particle":"","parse-names":false,"suffix":""},{"dropping-particle":"","family":"Hemingway","given":"J","non-dropping-particle":"","parse-names":false,"suffix":""},{"dropping-particle":"","family":"Ranson","given":"H","non-dropping-particle":"","parse-names":false,"suffix":""},{"dropping-particle":"","family":"Mitchell","given":"SN","non-dropping-particle":"","parse-names":false,"suffix":""},{"dropping-particle":"","family":"Stevenson","given":"BJ","non-dropping-particle":"","parse-names":false,"suffix":""},{"dropping-particle":"","family":"Müller","given":"P","non-dropping-particle":"","parse-names":false,"suffix":""},{"dropping-particle":"","family":"Wilding","given":"CS","non-dropping-particle":"","parse-names":false,"suffix":""},{"dropping-particle":"","family":"Egyir-Yawson","given":"A","non-dropping-particle":"","parse-names":false,"suffix":""},{"dropping-particle":"","family":"Field","given":"SG","non-dropping-particle":"","parse-names":false,"suffix":""},{"dropping-particle":"","family":"Hemingway","given":"J","non-dropping-particle":"","parse-names":false,"suffix":""},{"dropping-particle":"","family":"Paine","given":"MJI","non-dropping-particle":"","parse-names":false,"suffix":""},{"dropping-particle":"","family":"Ranson","given":"H","non-dropping-particle":"","parse-names":false,"suffix":""},{"dropping-particle":"","family":"Donnelly","given":"MJ","non-dropping-particle":"","parse-names":false,"suffix":""},{"dropping-particle":"","family":"Rongnoparut","given":"P","non-dropping-particle":"","parse-names":false,"suffix":""},{"dropping-particle":"","family":"Boonsuepsakul","given":"S","non-dropping-particle":"","parse-names":false,"suffix":""},{"dropping-particle":"","family":"Chareonviriyaphap","given":"T","non-dropping-particle":"","parse-names":false,"suffix":""},{"dropping-particle":"","family":"Thanomsing","given":"N","non-dropping-particle":"","parse-names":false,"suffix":""},{"dropping-particle":"","family":"Rodpradit","given":"P","non-dropping-particle":"","parse-names":false,"suffix":""},{"dropping-particle":"","family":"Boonsuepsakul","given":"S","non-dropping-particle":"","parse-names":false,"suffix":""},{"dropping-particle":"","family":"Chareonviriyaphap","given":"T","non-dropping-particle":"","parse-names":false,"suffix":""},{"dropping-particle":"","family":"Bangs","given":"MJ","non-dropping-particle":"","parse-names":false,"suffix":""},{"dropping-particle":"","family":"Rongnoparut","given":"P","non-dropping-particle":"","parse-names":false,"suffix":""},{"dropping-particle":"","family":"Kasai","given":"S","non-dropping-particle":"","parse-names":false,"suffix":""},{"dropping-particle":"","family":"Scott","given":"JG","non-dropping-particle":"","parse-names":false,"suffix":""},{"dropping-particle":"","family":"Zhu","given":"F","non-dropping-particle":"","parse-names":false,"suffix":""},{"dropping-particle":"","family":"Parthasarathy","given":"R","non-dropping-particle":"","parse-names":false,"suffix":""},{"dropping-particle":"","family":"Bai","given":"H","non-dropping-particle":"","parse-names":false,"suffix":""},{"dropping-particle":"","family":"Woithe","given":"K","non-dropping-particle":"","parse-names":false,"suffix":""},{"dropping-particle":"","family":"Kaussmann","given":"M","non-dropping-particle":"","parse-names":false,"suffix":""},{"dropping-particle":"","family":"Nauen","given":"R","non-dropping-particle":"","parse-names":false,"suffix":""},{"dropping-particle":"","family":"Harrison","given":"DA","non-dropping-particle":"","parse-names":false,"suffix":""},{"dropping-particle":"","family":"Palli","given":"SR","non-dropping-particle":"","parse-names":false,"suffix":""},{"dropping-particle":"","family":"Feyereisen","given":"R","non-dropping-particle":"","parse-names":false,"suffix":""},{"dropping-particle":"","family":"Brooke","given":"BD","non-dropping-particle":"","parse-names":false,"suffix":""},{"dropping-particle":"","family":"Kloke","given":"G","non-dropping-particle":"","parse-names":false,"suffix":""},{"dropping-particle":"","family":"Hunt","given":"RH","non-dropping-particle":"","parse-names":false,"suffix":""},{"dropping-particle":"","family":"Koekemoer","given":"LL","non-dropping-particle":"","parse-names":false,"suffix":""},{"dropping-particle":"","family":"Temu","given":"EA","non-dropping-particle":"","parse-names":false,"suffix":""},{"dropping-particle":"","family":"Taylor","given":"ME","non-dropping-particle":"","parse-names":false,"suffix":""},{"dropping-particle":"","family":"Small","given":"G","non-dropping-particle":"","parse-names":false,"suffix":""},{"dropping-particle":"","family":"Hemingway","given":"J","non-dropping-particle":"","parse-names":false,"suffix":""},{"dropping-particle":"","family":"Coetzee","given":"M","non-dropping-particle":"","parse-names":false,"suffix":""},{"dropping-particle":"","family":"Casimiro","given":"SL","non-dropping-particle":"","parse-names":false,"suffix":""},{"dropping-particle":"","family":"Hemingway","given":"J","non-dropping-particle":"","parse-names":false,"suffix":""},{"dropping-particle":"","family":"Sharp","given":"BL","non-dropping-particle":"","parse-names":false,"suffix":""},{"dropping-particle":"","family":"Coleman","given":"M","non-dropping-particle":"","parse-names":false,"suffix":""},{"dropping-particle":"","family":"Hunt","given":"RH","non-dropping-particle":"","parse-names":false,"suffix":""},{"dropping-particle":"","family":"Brooke","given":"BD","non-dropping-particle":"","parse-names":false,"suffix":""},{"dropping-particle":"","family":"Pillay","given":"C","non-dropping-particle":"","parse-names":false,"suffix":""},{"dropping-particle":"","family":"Koekemoer","given":"LL","non-dropping-particle":"","parse-names":false,"suffix":""},{"dropping-particle":"","family":"Coetzee","given":"M","non-dropping-particle":"","parse-names":false,"suffix":""},{"dropping-particle":"","family":"Christian","given":"RN","non-dropping-particle":"","parse-names":false,"suffix":""},{"dropping-particle":"","family":"Matambo","given":"TS","non-dropping-particle":"","parse-names":false,"suffix":""},{"dropping-particle":"","family":"Spillings","given":"BL","non-dropping-particle":"","parse-names":false,"suffix":""},{"dropping-particle":"","family":"Brooke","given":"BD","non-dropping-particle":"","parse-names":false,"suffix":""},{"dropping-particle":"","family":"Coetzee","given":"M","non-dropping-particle":"","parse-names":false,"suffix":""},{"dropping-particle":"","family":"Koekemoer","given":"LL","non-dropping-particle":"","parse-names":false,"suffix":""}],"container-title":"Parasites &amp; Vectors","id":"ITEM-4","issue":"1","issued":{"date-parts":[["2016"]]},"page":"449","title":"Investigating molecular basis of lambda-cyhalothrin resistance in an Anopheles funestus population from Senegal","type":"article-journal","volume":"9"},"uris":["http://www.mendeley.com/documents/?uuid=7acaa159-64c8-4eb6-8256-06a5e0a1a9ca","http://www.mendeley.com/documents/?uuid=426fa0e4-2f80-4218-8560-3f2443445d7e","http://www.mendeley.com/documents/?uuid=49d7b427-390b-4ac7-8915-dd0f395ac951"]}],"mendeley":{"formattedCitation":"[8,11,20,21]","plainTextFormattedCitation":"[8,11,20,21]","previouslyFormattedCitation":"(8,11,20,21)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[8, 11, 20, 21]</w:t>
      </w:r>
      <w:r w:rsidRPr="00CD231A">
        <w:rPr>
          <w:rFonts w:ascii="Times New Roman" w:hAnsi="Times New Roman" w:cs="Times New Roman"/>
        </w:rPr>
        <w:fldChar w:fldCharType="end"/>
      </w:r>
      <w:r w:rsidRPr="00CD231A">
        <w:rPr>
          <w:rFonts w:ascii="Times New Roman" w:hAnsi="Times New Roman" w:cs="Times New Roman"/>
        </w:rPr>
        <w:t xml:space="preserve">. Metabolic genes analysed are </w:t>
      </w:r>
      <w:r w:rsidR="00ED6D27" w:rsidRPr="00CD231A">
        <w:rPr>
          <w:rFonts w:ascii="Times New Roman" w:hAnsi="Times New Roman" w:cs="Times New Roman"/>
        </w:rPr>
        <w:t>g</w:t>
      </w:r>
      <w:r w:rsidRPr="00CD231A">
        <w:rPr>
          <w:rFonts w:ascii="Times New Roman" w:hAnsi="Times New Roman" w:cs="Times New Roman"/>
        </w:rPr>
        <w:t>lutathione-S-transferase family (</w:t>
      </w:r>
      <w:r w:rsidRPr="00CD231A">
        <w:rPr>
          <w:rFonts w:ascii="Times New Roman" w:hAnsi="Times New Roman" w:cs="Times New Roman"/>
          <w:i/>
        </w:rPr>
        <w:t>GSTe2, GSTd3, GSTd1-5</w:t>
      </w:r>
      <w:r w:rsidRPr="00CD231A">
        <w:rPr>
          <w:rFonts w:ascii="Times New Roman" w:hAnsi="Times New Roman" w:cs="Times New Roman"/>
        </w:rPr>
        <w:t>); Cytochrome P450 genes (</w:t>
      </w:r>
      <w:r w:rsidRPr="00CD231A">
        <w:rPr>
          <w:rFonts w:ascii="Times New Roman" w:hAnsi="Times New Roman" w:cs="Times New Roman"/>
          <w:i/>
        </w:rPr>
        <w:t>CYP6P9a, CYP6P9b, CYP6P4a, CYP6P4b, CYP6M7, CYP6AA1, CYP4C27, CYP9K1</w:t>
      </w:r>
      <w:r w:rsidRPr="00CD231A">
        <w:rPr>
          <w:rFonts w:ascii="Times New Roman" w:hAnsi="Times New Roman" w:cs="Times New Roman"/>
        </w:rPr>
        <w:t>); Aldehyde oxidase (</w:t>
      </w:r>
      <w:r w:rsidRPr="00CD231A">
        <w:rPr>
          <w:rFonts w:ascii="Times New Roman" w:hAnsi="Times New Roman" w:cs="Times New Roman"/>
          <w:i/>
        </w:rPr>
        <w:t>Ald oxi</w:t>
      </w:r>
      <w:r w:rsidRPr="00CD231A">
        <w:rPr>
          <w:rFonts w:ascii="Times New Roman" w:hAnsi="Times New Roman" w:cs="Times New Roman"/>
        </w:rPr>
        <w:t xml:space="preserve">) and trypsin. This experiment was conducted using three batches of a pool of 10 resistant </w:t>
      </w:r>
      <w:r w:rsidRPr="00CD231A">
        <w:rPr>
          <w:rFonts w:ascii="Times New Roman" w:eastAsia="Times New Roman" w:hAnsi="Times New Roman" w:cs="Times New Roman"/>
          <w:lang w:val="en-GB" w:eastAsia="fr-FR"/>
        </w:rPr>
        <w:t>R</w:t>
      </w:r>
      <w:r w:rsidRPr="00CD231A">
        <w:rPr>
          <w:rFonts w:ascii="Times New Roman" w:eastAsia="Times New Roman" w:hAnsi="Times New Roman" w:cs="Times New Roman"/>
          <w:vertAlign w:val="subscript"/>
          <w:lang w:val="en-GB" w:eastAsia="fr-FR"/>
        </w:rPr>
        <w:t>perm</w:t>
      </w:r>
      <w:r w:rsidRPr="00CD231A">
        <w:rPr>
          <w:rFonts w:ascii="Times New Roman" w:hAnsi="Times New Roman" w:cs="Times New Roman"/>
        </w:rPr>
        <w:t xml:space="preserve"> and </w:t>
      </w:r>
      <w:r w:rsidRPr="00CD231A">
        <w:rPr>
          <w:rFonts w:ascii="Times New Roman" w:eastAsia="Times New Roman" w:hAnsi="Times New Roman" w:cs="Times New Roman"/>
          <w:lang w:val="en-GB" w:eastAsia="fr-FR"/>
        </w:rPr>
        <w:t>R</w:t>
      </w:r>
      <w:r w:rsidRPr="00CD231A">
        <w:rPr>
          <w:rFonts w:ascii="Times New Roman" w:eastAsia="Times New Roman" w:hAnsi="Times New Roman" w:cs="Times New Roman"/>
          <w:vertAlign w:val="subscript"/>
          <w:lang w:val="en-GB" w:eastAsia="fr-FR"/>
        </w:rPr>
        <w:t>DDT</w:t>
      </w:r>
      <w:r w:rsidRPr="00CD231A">
        <w:rPr>
          <w:rFonts w:ascii="Times New Roman" w:hAnsi="Times New Roman" w:cs="Times New Roman"/>
        </w:rPr>
        <w:t xml:space="preserve">, unexposed control and FANG mosquitoes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mendeley":{"formattedCitation":"[10]","plainTextFormattedCitation":"[10]","previouslyFormattedCitation":"(10)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w:t>
      </w:r>
      <w:r w:rsidRPr="00CD231A">
        <w:rPr>
          <w:rFonts w:ascii="Times New Roman" w:hAnsi="Times New Roman" w:cs="Times New Roman"/>
        </w:rPr>
        <w:fldChar w:fldCharType="end"/>
      </w:r>
      <w:r w:rsidRPr="00CD231A">
        <w:rPr>
          <w:rFonts w:ascii="Times New Roman" w:hAnsi="Times New Roman" w:cs="Times New Roman"/>
        </w:rPr>
        <w:t>. Briefly, RNA extracted from each pool was used to synthesize cDNA using</w:t>
      </w:r>
      <w:r w:rsidRPr="00CD231A">
        <w:rPr>
          <w:rFonts w:ascii="Times New Roman" w:hAnsi="Times New Roman" w:cs="Times New Roman"/>
          <w:b/>
        </w:rPr>
        <w:t xml:space="preserve"> </w:t>
      </w:r>
      <w:r w:rsidRPr="00CD231A">
        <w:rPr>
          <w:rFonts w:ascii="Times New Roman" w:hAnsi="Times New Roman" w:cs="Times New Roman"/>
          <w:lang w:val="en-GB"/>
        </w:rPr>
        <w:t>Superscript III (Invitrogen</w:t>
      </w:r>
      <w:r w:rsidR="00ED6D27" w:rsidRPr="00CD231A">
        <w:rPr>
          <w:rFonts w:ascii="Times New Roman" w:hAnsi="Times New Roman" w:cs="Times New Roman"/>
          <w:lang w:val="en-GB"/>
        </w:rPr>
        <w:t xml:space="preserve">, </w:t>
      </w:r>
      <w:r w:rsidR="00ED6D27" w:rsidRPr="00CD231A">
        <w:rPr>
          <w:rFonts w:ascii="Times New Roman" w:hAnsi="Times New Roman" w:cs="Times New Roman"/>
        </w:rPr>
        <w:t>Waltham, USA</w:t>
      </w:r>
      <w:r w:rsidRPr="00CD231A">
        <w:rPr>
          <w:rFonts w:ascii="Times New Roman" w:hAnsi="Times New Roman" w:cs="Times New Roman"/>
          <w:lang w:val="en-GB"/>
        </w:rPr>
        <w:t>) with oligodT20 and RNase H according to the manufacturer</w:t>
      </w:r>
      <w:r w:rsidRPr="00CD231A">
        <w:rPr>
          <w:rFonts w:ascii="Times New Roman" w:eastAsia="AdvTT86d47313+20" w:hAnsi="Times New Roman" w:cs="Times New Roman"/>
          <w:lang w:val="en-GB"/>
        </w:rPr>
        <w:t>’</w:t>
      </w:r>
      <w:r w:rsidRPr="00CD231A">
        <w:rPr>
          <w:rFonts w:ascii="Times New Roman" w:hAnsi="Times New Roman" w:cs="Times New Roman"/>
          <w:lang w:val="en-GB"/>
        </w:rPr>
        <w:t>s instructions.</w:t>
      </w:r>
      <w:r w:rsidRPr="00CD231A">
        <w:rPr>
          <w:rFonts w:ascii="Times New Roman" w:hAnsi="Times New Roman" w:cs="Times New Roman"/>
          <w:b/>
        </w:rPr>
        <w:t xml:space="preserve"> </w:t>
      </w:r>
      <w:r w:rsidRPr="00CD231A">
        <w:rPr>
          <w:rFonts w:ascii="Times New Roman" w:hAnsi="Times New Roman" w:cs="Times New Roman"/>
          <w:bCs/>
        </w:rPr>
        <w:t>The</w:t>
      </w:r>
      <w:r w:rsidRPr="00CD231A">
        <w:rPr>
          <w:rFonts w:ascii="Times New Roman" w:hAnsi="Times New Roman" w:cs="Times New Roman"/>
          <w:b/>
        </w:rPr>
        <w:t xml:space="preserve"> </w:t>
      </w:r>
      <w:r w:rsidRPr="00CD231A">
        <w:rPr>
          <w:rFonts w:ascii="Times New Roman" w:hAnsi="Times New Roman" w:cs="Times New Roman"/>
        </w:rPr>
        <w:t>RT-PCR amplification was performed using the MX 3005P (Agilent</w:t>
      </w:r>
      <w:r w:rsidR="00ED6D27" w:rsidRPr="00CD231A">
        <w:rPr>
          <w:rFonts w:ascii="Times New Roman" w:hAnsi="Times New Roman" w:cs="Times New Roman"/>
        </w:rPr>
        <w:t>, California, USA</w:t>
      </w:r>
      <w:r w:rsidRPr="00CD231A">
        <w:rPr>
          <w:rFonts w:ascii="Times New Roman" w:hAnsi="Times New Roman" w:cs="Times New Roman"/>
        </w:rPr>
        <w:t>) system: first, five-serial dilutions of the synthesize cDNA samples were done and analysed to generate PCR efficiency and quantitative differences between samples, where a standard curve was generated for each gene. The following PCR mix was used for a single reaction in this experiment: 10μl SyBr Green; 0.6μl of both the forward and reverse 10mM primers (Table 1); 7.8μl dH</w:t>
      </w:r>
      <w:r w:rsidRPr="00CD231A">
        <w:rPr>
          <w:rFonts w:ascii="Times New Roman" w:hAnsi="Times New Roman" w:cs="Times New Roman"/>
          <w:vertAlign w:val="subscript"/>
        </w:rPr>
        <w:t>2</w:t>
      </w:r>
      <w:r w:rsidR="00ED6D27" w:rsidRPr="00CD231A">
        <w:rPr>
          <w:rFonts w:ascii="Times New Roman" w:hAnsi="Times New Roman" w:cs="Times New Roman"/>
        </w:rPr>
        <w:t>O</w:t>
      </w:r>
      <w:r w:rsidRPr="00CD231A">
        <w:rPr>
          <w:rFonts w:ascii="Times New Roman" w:hAnsi="Times New Roman" w:cs="Times New Roman"/>
        </w:rPr>
        <w:t xml:space="preserve">; 1μl cDNA template. Also, thermal condition parameters used are: 1 cycle </w:t>
      </w:r>
      <w:r w:rsidR="00ED6D27" w:rsidRPr="00CD231A">
        <w:rPr>
          <w:rFonts w:ascii="Times New Roman" w:hAnsi="Times New Roman" w:cs="Times New Roman"/>
        </w:rPr>
        <w:t>at</w:t>
      </w:r>
      <w:r w:rsidRPr="00CD231A">
        <w:rPr>
          <w:rFonts w:ascii="Times New Roman" w:hAnsi="Times New Roman" w:cs="Times New Roman"/>
        </w:rPr>
        <w:t xml:space="preserve"> 90</w:t>
      </w:r>
      <w:r w:rsidR="00ED6D27" w:rsidRPr="00CD231A">
        <w:rPr>
          <w:rFonts w:ascii="Times New Roman" w:hAnsi="Times New Roman" w:cs="Times New Roman"/>
        </w:rPr>
        <w:t xml:space="preserve"> </w:t>
      </w:r>
      <w:r w:rsidRPr="00CD231A">
        <w:rPr>
          <w:rFonts w:ascii="Times New Roman" w:hAnsi="Times New Roman" w:cs="Times New Roman"/>
          <w:vertAlign w:val="superscript"/>
        </w:rPr>
        <w:t>0</w:t>
      </w:r>
      <w:r w:rsidRPr="00CD231A">
        <w:rPr>
          <w:rFonts w:ascii="Times New Roman" w:hAnsi="Times New Roman" w:cs="Times New Roman"/>
        </w:rPr>
        <w:t>C for 3 mins for initial denaturation, 40 cycles of 95</w:t>
      </w:r>
      <w:r w:rsidR="00ED6D27" w:rsidRPr="00CD231A">
        <w:rPr>
          <w:rFonts w:ascii="Times New Roman" w:hAnsi="Times New Roman" w:cs="Times New Roman"/>
        </w:rPr>
        <w:t xml:space="preserve"> </w:t>
      </w:r>
      <w:r w:rsidRPr="00CD231A">
        <w:rPr>
          <w:rFonts w:ascii="Times New Roman" w:hAnsi="Times New Roman" w:cs="Times New Roman"/>
          <w:vertAlign w:val="superscript"/>
        </w:rPr>
        <w:t>0</w:t>
      </w:r>
      <w:r w:rsidRPr="00CD231A">
        <w:rPr>
          <w:rFonts w:ascii="Times New Roman" w:hAnsi="Times New Roman" w:cs="Times New Roman"/>
        </w:rPr>
        <w:t>C for 10</w:t>
      </w:r>
      <w:r w:rsidR="00ED6D27" w:rsidRPr="00CD231A">
        <w:rPr>
          <w:rFonts w:ascii="Times New Roman" w:hAnsi="Times New Roman" w:cs="Times New Roman"/>
        </w:rPr>
        <w:t xml:space="preserve"> </w:t>
      </w:r>
      <w:r w:rsidRPr="00CD231A">
        <w:rPr>
          <w:rFonts w:ascii="Times New Roman" w:hAnsi="Times New Roman" w:cs="Times New Roman"/>
        </w:rPr>
        <w:t>s and 60</w:t>
      </w:r>
      <w:r w:rsidRPr="00CD231A">
        <w:rPr>
          <w:rFonts w:ascii="Times New Roman" w:hAnsi="Times New Roman" w:cs="Times New Roman"/>
          <w:vertAlign w:val="superscript"/>
        </w:rPr>
        <w:t>0</w:t>
      </w:r>
      <w:r w:rsidRPr="00CD231A">
        <w:rPr>
          <w:rFonts w:ascii="Times New Roman" w:hAnsi="Times New Roman" w:cs="Times New Roman"/>
        </w:rPr>
        <w:t>C for 10</w:t>
      </w:r>
      <w:r w:rsidR="00ED6D27" w:rsidRPr="00CD231A">
        <w:rPr>
          <w:rFonts w:ascii="Times New Roman" w:hAnsi="Times New Roman" w:cs="Times New Roman"/>
        </w:rPr>
        <w:t xml:space="preserve"> </w:t>
      </w:r>
      <w:r w:rsidRPr="00CD231A">
        <w:rPr>
          <w:rFonts w:ascii="Times New Roman" w:hAnsi="Times New Roman" w:cs="Times New Roman"/>
        </w:rPr>
        <w:t>s for the amplification (final denaturation, annealing, extension and fluorescence read), and 1 cycle of 95</w:t>
      </w:r>
      <w:r w:rsidRPr="00CD231A">
        <w:rPr>
          <w:rFonts w:ascii="Times New Roman" w:hAnsi="Times New Roman" w:cs="Times New Roman"/>
          <w:vertAlign w:val="superscript"/>
        </w:rPr>
        <w:t>0</w:t>
      </w:r>
      <w:r w:rsidRPr="00CD231A">
        <w:rPr>
          <w:rFonts w:ascii="Times New Roman" w:hAnsi="Times New Roman" w:cs="Times New Roman"/>
        </w:rPr>
        <w:t xml:space="preserve">C </w:t>
      </w:r>
      <w:r w:rsidRPr="00CD231A">
        <w:rPr>
          <w:rFonts w:ascii="Times New Roman" w:hAnsi="Times New Roman" w:cs="Times New Roman"/>
        </w:rPr>
        <w:lastRenderedPageBreak/>
        <w:t>for 1min, 55</w:t>
      </w:r>
      <w:r w:rsidRPr="00CD231A">
        <w:rPr>
          <w:rFonts w:ascii="Times New Roman" w:hAnsi="Times New Roman" w:cs="Times New Roman"/>
          <w:vertAlign w:val="superscript"/>
        </w:rPr>
        <w:t>0</w:t>
      </w:r>
      <w:r w:rsidRPr="00CD231A">
        <w:rPr>
          <w:rFonts w:ascii="Times New Roman" w:hAnsi="Times New Roman" w:cs="Times New Roman"/>
        </w:rPr>
        <w:t>C for 30sec and 95</w:t>
      </w:r>
      <w:r w:rsidRPr="00CD231A">
        <w:rPr>
          <w:rFonts w:ascii="Times New Roman" w:hAnsi="Times New Roman" w:cs="Times New Roman"/>
          <w:vertAlign w:val="superscript"/>
        </w:rPr>
        <w:t>0</w:t>
      </w:r>
      <w:r w:rsidRPr="00CD231A">
        <w:rPr>
          <w:rFonts w:ascii="Times New Roman" w:hAnsi="Times New Roman" w:cs="Times New Roman"/>
        </w:rPr>
        <w:t>C for 30 sec for dissociation/melting. The primers used for target genes are attached (Table 1)</w:t>
      </w:r>
      <w:r w:rsidRPr="00CD231A">
        <w:rPr>
          <w:rFonts w:ascii="Times New Roman" w:hAnsi="Times New Roman" w:cs="Times New Roman"/>
          <w:b/>
        </w:rPr>
        <w:t>.</w:t>
      </w:r>
      <w:r w:rsidRPr="00CD231A">
        <w:rPr>
          <w:rFonts w:ascii="Times New Roman" w:hAnsi="Times New Roman" w:cs="Times New Roman"/>
        </w:rPr>
        <w:t xml:space="preserve"> </w:t>
      </w:r>
    </w:p>
    <w:p w14:paraId="3254F44B" w14:textId="77777777" w:rsidR="00BF5696" w:rsidRPr="00CD231A" w:rsidRDefault="00BF5696" w:rsidP="00BF5696">
      <w:pPr>
        <w:autoSpaceDE w:val="0"/>
        <w:autoSpaceDN w:val="0"/>
        <w:adjustRightInd w:val="0"/>
        <w:spacing w:after="120" w:line="480" w:lineRule="auto"/>
        <w:jc w:val="both"/>
        <w:rPr>
          <w:rFonts w:ascii="Times New Roman" w:hAnsi="Times New Roman" w:cs="Times New Roman"/>
          <w:b/>
          <w:bCs/>
          <w:color w:val="222222"/>
          <w:shd w:val="clear" w:color="auto" w:fill="FFFFFF"/>
        </w:rPr>
      </w:pPr>
    </w:p>
    <w:p w14:paraId="78D93C23" w14:textId="77777777" w:rsidR="00076CDB" w:rsidRPr="00CD231A" w:rsidRDefault="00076CDB" w:rsidP="00BF5696">
      <w:pPr>
        <w:autoSpaceDE w:val="0"/>
        <w:autoSpaceDN w:val="0"/>
        <w:adjustRightInd w:val="0"/>
        <w:spacing w:after="120" w:line="480" w:lineRule="auto"/>
        <w:jc w:val="both"/>
        <w:rPr>
          <w:rFonts w:ascii="Times New Roman" w:hAnsi="Times New Roman" w:cs="Times New Roman"/>
          <w:b/>
          <w:bCs/>
          <w:color w:val="222222"/>
          <w:shd w:val="clear" w:color="auto" w:fill="FFFFFF"/>
        </w:rPr>
      </w:pPr>
    </w:p>
    <w:p w14:paraId="002CB9AA" w14:textId="5C32FED9" w:rsidR="00BF5696" w:rsidRPr="00CD231A" w:rsidRDefault="00BF5696" w:rsidP="00BF5696">
      <w:pPr>
        <w:autoSpaceDE w:val="0"/>
        <w:autoSpaceDN w:val="0"/>
        <w:adjustRightInd w:val="0"/>
        <w:spacing w:after="120" w:line="480" w:lineRule="auto"/>
        <w:jc w:val="both"/>
        <w:rPr>
          <w:rFonts w:ascii="Times New Roman" w:hAnsi="Times New Roman" w:cs="Times New Roman"/>
          <w:b/>
          <w:bCs/>
          <w:lang w:val="en-GB"/>
        </w:rPr>
      </w:pPr>
      <w:r w:rsidRPr="00CD231A">
        <w:rPr>
          <w:rFonts w:ascii="Times New Roman" w:hAnsi="Times New Roman" w:cs="Times New Roman"/>
          <w:b/>
          <w:bCs/>
          <w:color w:val="222222"/>
          <w:shd w:val="clear" w:color="auto" w:fill="FFFFFF"/>
        </w:rPr>
        <w:t xml:space="preserve">Partial sequencing of the VGSC gene, target site of </w:t>
      </w:r>
      <w:r w:rsidR="002C13FE" w:rsidRPr="00CD231A">
        <w:rPr>
          <w:rFonts w:ascii="Times New Roman" w:hAnsi="Times New Roman" w:cs="Times New Roman"/>
          <w:b/>
          <w:bCs/>
          <w:color w:val="222222"/>
          <w:shd w:val="clear" w:color="auto" w:fill="FFFFFF"/>
        </w:rPr>
        <w:t>p</w:t>
      </w:r>
      <w:r w:rsidRPr="00CD231A">
        <w:rPr>
          <w:rFonts w:ascii="Times New Roman" w:hAnsi="Times New Roman" w:cs="Times New Roman"/>
          <w:b/>
          <w:bCs/>
          <w:color w:val="222222"/>
          <w:shd w:val="clear" w:color="auto" w:fill="FFFFFF"/>
        </w:rPr>
        <w:t>ermethrin and DDT</w:t>
      </w:r>
    </w:p>
    <w:p w14:paraId="4EDB6F1F" w14:textId="0DAAC34D" w:rsidR="00BF5696" w:rsidRPr="00CD231A" w:rsidRDefault="00BF5696" w:rsidP="00BF5696">
      <w:pPr>
        <w:autoSpaceDE w:val="0"/>
        <w:autoSpaceDN w:val="0"/>
        <w:adjustRightInd w:val="0"/>
        <w:spacing w:after="120" w:line="480" w:lineRule="auto"/>
        <w:jc w:val="both"/>
        <w:rPr>
          <w:rFonts w:ascii="Times New Roman" w:hAnsi="Times New Roman" w:cs="Times New Roman"/>
          <w:color w:val="000000"/>
          <w:lang w:val="en-GB"/>
        </w:rPr>
      </w:pPr>
      <w:r w:rsidRPr="00CD231A">
        <w:rPr>
          <w:rFonts w:ascii="Times New Roman" w:hAnsi="Times New Roman" w:cs="Times New Roman"/>
          <w:lang w:val="en-GB"/>
        </w:rPr>
        <w:t xml:space="preserve">A fragment spanning a portion of the voltage-gated sodium channel gene (VGSC), containing the 1014 codon associated with insecticide resistance in </w:t>
      </w:r>
      <w:r w:rsidRPr="00CD231A">
        <w:rPr>
          <w:rFonts w:ascii="Times New Roman" w:hAnsi="Times New Roman" w:cs="Times New Roman"/>
          <w:i/>
          <w:lang w:val="en-GB"/>
        </w:rPr>
        <w:t>An. gambiae</w:t>
      </w:r>
      <w:r w:rsidRPr="00CD231A">
        <w:rPr>
          <w:rFonts w:ascii="Times New Roman" w:hAnsi="Times New Roman" w:cs="Times New Roman"/>
          <w:lang w:val="en-GB"/>
        </w:rPr>
        <w:t xml:space="preserve"> was amplified in ten wild female </w:t>
      </w:r>
      <w:r w:rsidRPr="00CD231A">
        <w:rPr>
          <w:rFonts w:ascii="Times New Roman" w:hAnsi="Times New Roman" w:cs="Times New Roman"/>
          <w:i/>
          <w:lang w:val="en-GB"/>
        </w:rPr>
        <w:t>An. funestus</w:t>
      </w:r>
      <w:r w:rsidRPr="00CD231A">
        <w:rPr>
          <w:rFonts w:ascii="Times New Roman" w:hAnsi="Times New Roman" w:cs="Times New Roman"/>
          <w:lang w:val="en-GB"/>
        </w:rPr>
        <w:t xml:space="preserve"> mosquitoes from Akaka-Remo using the KdrFunR2 primer (</w:t>
      </w:r>
      <w:r w:rsidRPr="00CD231A">
        <w:rPr>
          <w:rFonts w:ascii="Times New Roman" w:hAnsi="Times New Roman" w:cs="Times New Roman"/>
        </w:rPr>
        <w:t xml:space="preserve">5’ CCG AAA TTT GAC AAA AGC AAA 3’)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{"citationItems":[{"id":"ITEM-1","itemData":{"DOI":"10.1371/journal.pone.0027760","ISBN":"1932-6203 (Electronic)\\n1932-6203 (Linking)","ISSN":"19326203","PMID":"22110757","abstract":"BACKGROUND: The insecticide resistance status of the malaria vector Anopheles funestus and the underlying resistance mechanisms remain uncharacterised in many parts of Africa, notably in Benin, West Africa. To fill this gap in our knowledge, we assessed the susceptibility status of a population of this species in Pahou, Southern Benin and investigated the potential resistance mechanisms.\\n\\nMETHODOLOGY/PRINCIPAL FINDINGS: WHO bioassays revealed a multiple resistance profile for An. funestus in Pahou. This population is highly resistant to DDT with no mortality in females after 1h exposure to 4%DDT. Resistance was observed against the Type I pyrethroid permethrin and the carbamate bendiocarb. A moderate resistance was detected against deltamethrin (type II pyrethroids). A total susceptibility was observed against malathion, an organophosphate. Pre-exposure to PBO did not change the mortality rates for DDT indicating that cytochrome P450s play no role in DDT resistance in Pahou. No L1014F kdr mutation was detected but a correlation between haplotypes of two fragments of the Voltage-Gated Sodium Channel gene and resistance was observed suggesting that mutations in other exons may confer the knockdown resistance in this species. Biochemical assays revealed elevated levels of GSTs and cytochrome mono-oxygenases in Pahou. No G119S mutation and no altered acetylcholinesterase gene were detected in the Pahou population. qPCR analysis of five detoxification genes revealed that the GSTe2 is associated to the DDT resistance in this population with a significantly higher expression in DDT resistant samples. A significant over-expression of CYP6P9a and CYP6P9b previously associated with pyrethroid resistance was also seen but at a lower fold change than in southern Africa.\\n\\nCONCLUSION: The multiple insecticide resistance profile of this An. funestus population in Benin shows that more attention should be paid to this important malaria vector for the implementation and management of current and future malaria vector control programs in this country.","author":[{"dropping-particle":"","family":"Djouaka","given":"Rousseau","non-dropping-particle":"","parse-names":false,"suffix":""},{"dropping-particle":"","family":"Irving","given":"Helen","non-dropping-particle":"","parse-names":false,"suffix":""},{"dropping-particle":"","family":"Tukur","given":"Zainab","non-dropping-particle":"","parse-names":false,"suffix":""},{"dropping-particle":"","family":"Wondji","given":"Charles S.","non-dropping-particle":"","parse-names":false,"suffix":""}],"container-title":"PLoS ONE","id":"ITEM-1","issue":"11","issued":{"date-parts":[["2011"]]},"title":"Exploring mechanisms of multiple insecticide resistance in a population of the malaria vector Anopheles funestus in Benin","type":"article-journal","volume":"6"},"uris":["http://www.mendeley.com/documents/?uuid=abad980f-1ef2-467e-b8d4-b54e4c3bb2ac"]},{"id":"ITEM-2","itemData":{"DOI":"10.1371/journal.pone.0011010","ISBN":"1932-6203 (Electronic)\\n1932-6203 (Linking)","ISSN":"19326203","PMID":"20544036","abstract":"BACKGROUND: Although Anopheles funestus is difficult to rear, it is crucial to analyse field populations of this malaria vector in order to successfully characterise mechanisms of insecticide resistance observed in this species in Africa. In this study we carried out a large-scale field collection and rearing of An. funestus from Mozambique in order to analyse its susceptibility status to insecticides and to broadly characterise the main resistance mechanisms involved in natural populations. METHODOLOGY/PRINCIPAL FINDINGS: 3,000 F(1) adults were obtained through larval rearing. WHO susceptibility assays indicated a very high resistance to pyrethroids with no mortality recorded after 1 h 30 min exposure and less than 50% mortality at 3 h 30 min. Resistance to the carbamate, bendiocarb was also noted, with 70% mortality after 1h exposure. In contrast, no DDT resistance was observed, indicating that no kdr-type resistance was involved. The sequencing of the acetylcholinesterase gene indicated the absence of the G119S and F455W mutations associated with carbamate and organophosphate resistance. This could explain the absence of malathion resistance in this population. Both biochemical assays and quantitative PCR implicated up-regulated P450 genes in pyrethroid resistance, with GSTs playing a secondary role. The carbamate resistance observed in this population is probably conferred by the observed altered AChE with esterases also involved. CONCLUSION/SIGNIFICANCE: The high level of pyrethroid resistance in this population despite the cessation of pyrethroid use for IRS in 1999 is a serious concern for resistance management strategies such as rotational use of insecticides. As DDT has now been re-introduced for IRS, susceptibility to DDT needs to be closely monitored to prevent the appearance and spread of resistance to this insecticide.","author":[{"dropping-particle":"","family":"Cuamba","given":"Nelson","non-dropping-particle":"","parse-names":false,"suffix":""},{"dropping-particle":"","family":"Morgan","given":"John C.","non-dropping-particle":"","parse-names":false,"suffix":""},{"dropping-particle":"","family":"Irving","given":"Helen","non-dropping-particle":"","parse-names":false,"suffix":""},{"dropping-particle":"","family":"Steven","given":"Andrew","non-dropping-particle":"","parse-names":false,"suffix":""},{"dropping-particle":"","family":"Wondji","given":"Charles S.","non-dropping-particle":"","parse-names":false,"suffix":""}],"container-title":"PLoS ONE","id":"ITEM-2","issue":"6","issued":{"date-parts":[["2010"]]},"page":"1-7","title":"High level of pyrethroid resistance in an Anopheles funestus population of the chokwe district in mozambique","type":"article-journal","volume":"5"},"uris":["http://www.mendeley.com/documents/?uuid=742e0f9f-7fb5-4d42-9028-2e2e57049ea0"]},{"id":"ITEM-3","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ONE","id":"ITEM-3","issue":"10","issued":{"date-parts":[["2014"]]},"page":"1-10","title":"Widespread pyrethroid and DDT resistance in the major malaria vector anopheles funestus in East Africa is driven by metabolic resistance mechanisms","type":"article-journal","volume":"9"},"uris":["http://www.mendeley.com/documents/?uuid=b7a90190-78fd-433b-ba9d-797f9b3dac6e"]}],"mendeley":{"formattedCitation":"[6,18,24]","plainTextFormattedCitation":"[6,18,24]","previouslyFormattedCitation":"(6,18,24)"},"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[6, 18, 24]</w:t>
      </w:r>
      <w:r w:rsidRPr="00CD231A">
        <w:rPr>
          <w:rFonts w:ascii="Times New Roman" w:hAnsi="Times New Roman" w:cs="Times New Roman"/>
        </w:rPr>
        <w:fldChar w:fldCharType="end"/>
      </w:r>
      <w:r w:rsidRPr="00CD231A">
        <w:rPr>
          <w:rFonts w:ascii="Times New Roman" w:hAnsi="Times New Roman" w:cs="Times New Roman"/>
          <w:lang w:val="en-GB"/>
        </w:rPr>
        <w:t xml:space="preserve">. </w:t>
      </w:r>
      <w:r w:rsidRPr="00CD231A">
        <w:rPr>
          <w:rFonts w:ascii="Times New Roman" w:hAnsi="Times New Roman" w:cs="Times New Roman"/>
          <w:color w:val="000000"/>
          <w:lang w:val="en-GB"/>
        </w:rPr>
        <w:t>The amplicons were purified using the Qiaquick purification kit (Q</w:t>
      </w:r>
      <w:r w:rsidR="002C13FE" w:rsidRPr="00CD231A">
        <w:rPr>
          <w:rFonts w:ascii="Times New Roman" w:hAnsi="Times New Roman" w:cs="Times New Roman"/>
          <w:color w:val="000000"/>
          <w:lang w:val="en-GB"/>
        </w:rPr>
        <w:t>ia</w:t>
      </w:r>
      <w:r w:rsidRPr="00CD231A">
        <w:rPr>
          <w:rFonts w:ascii="Times New Roman" w:hAnsi="Times New Roman" w:cs="Times New Roman"/>
          <w:color w:val="000000"/>
          <w:lang w:val="en-GB"/>
        </w:rPr>
        <w:t xml:space="preserve">gen, Hilden, Germany) before subjecting to sequencing. </w:t>
      </w:r>
    </w:p>
    <w:p w14:paraId="5342D33A" w14:textId="77777777" w:rsidR="00BF5696" w:rsidRPr="00CD231A" w:rsidRDefault="00BF5696" w:rsidP="00BF5696">
      <w:pPr>
        <w:autoSpaceDE w:val="0"/>
        <w:autoSpaceDN w:val="0"/>
        <w:adjustRightInd w:val="0"/>
        <w:spacing w:after="120" w:line="480" w:lineRule="auto"/>
        <w:jc w:val="both"/>
        <w:rPr>
          <w:rFonts w:ascii="Times New Roman" w:hAnsi="Times New Roman" w:cs="Times New Roman"/>
          <w:b/>
          <w:bCs/>
          <w:color w:val="000000"/>
          <w:lang w:val="en-GB"/>
        </w:rPr>
      </w:pPr>
    </w:p>
    <w:p w14:paraId="45AE2D90" w14:textId="77777777" w:rsidR="00BF5696" w:rsidRPr="00CD231A" w:rsidRDefault="00BF5696" w:rsidP="00BF5696">
      <w:pPr>
        <w:autoSpaceDE w:val="0"/>
        <w:autoSpaceDN w:val="0"/>
        <w:adjustRightInd w:val="0"/>
        <w:spacing w:after="120" w:line="480" w:lineRule="auto"/>
        <w:jc w:val="both"/>
        <w:rPr>
          <w:rFonts w:ascii="Times New Roman" w:hAnsi="Times New Roman" w:cs="Times New Roman"/>
          <w:b/>
          <w:bCs/>
          <w:color w:val="000000"/>
          <w:lang w:val="en-GB"/>
        </w:rPr>
      </w:pPr>
      <w:r w:rsidRPr="00CD231A">
        <w:rPr>
          <w:rFonts w:ascii="Times New Roman" w:hAnsi="Times New Roman" w:cs="Times New Roman"/>
          <w:b/>
          <w:bCs/>
          <w:color w:val="000000"/>
          <w:lang w:val="en-GB"/>
        </w:rPr>
        <w:t>Data analysis</w:t>
      </w:r>
    </w:p>
    <w:p w14:paraId="4616D0D1" w14:textId="57E73BB9" w:rsidR="00BF5696" w:rsidRPr="00CD231A" w:rsidRDefault="00BF5696" w:rsidP="00BF5696">
      <w:pPr>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 xml:space="preserve">After hybridization and scanning in the microarray experiment, data obtained were analyzed using the Genespring GX 13.0 software: differentially expressed genes were selected at a </w:t>
      </w:r>
      <w:bookmarkStart w:id="6" w:name="_Hlk45267092"/>
      <w:r w:rsidRPr="00CD231A">
        <w:rPr>
          <w:rFonts w:ascii="Times New Roman" w:hAnsi="Times New Roman" w:cs="Times New Roman"/>
        </w:rPr>
        <w:t>statistical significance level of P</w:t>
      </w:r>
      <w:r w:rsidRPr="00CD231A">
        <w:rPr>
          <w:rFonts w:ascii="Times New Roman" w:eastAsia="MS PGothic" w:hAnsi="Times New Roman" w:cs="Times New Roman"/>
          <w:color w:val="000000" w:themeColor="text1"/>
          <w:kern w:val="24"/>
          <w:sz w:val="36"/>
          <w:szCs w:val="36"/>
        </w:rPr>
        <w:t xml:space="preserve"> </w:t>
      </w:r>
      <w:r w:rsidRPr="00CD231A">
        <w:rPr>
          <w:rFonts w:ascii="Times New Roman" w:hAnsi="Times New Roman" w:cs="Times New Roman"/>
          <w:lang w:val="fr-FR"/>
        </w:rPr>
        <w:sym w:font="Symbol" w:char="F0A3"/>
      </w:r>
      <w:r w:rsidRPr="00CD231A">
        <w:rPr>
          <w:rFonts w:ascii="Times New Roman" w:hAnsi="Times New Roman" w:cs="Times New Roman"/>
        </w:rPr>
        <w:t xml:space="preserve"> 0.05 with Benjamini-Hochberg correction for multiple testing of a cut-off of 2 fold-change (FC)</w:t>
      </w:r>
      <w:bookmarkEnd w:id="6"/>
      <w:r w:rsidRPr="00CD231A">
        <w:rPr>
          <w:rFonts w:ascii="Times New Roman" w:hAnsi="Times New Roman" w:cs="Times New Roman"/>
        </w:rPr>
        <w:t xml:space="preserve">, except for some exemptions (comparisons of DDT-S and Perm-C) that differentially expressed genes were only identified at no correction multiple testing but still with </w:t>
      </w:r>
      <w:r w:rsidR="002C13FE" w:rsidRPr="00CD231A">
        <w:rPr>
          <w:rFonts w:ascii="Times New Roman" w:hAnsi="Times New Roman" w:cs="Times New Roman"/>
        </w:rPr>
        <w:t>t</w:t>
      </w:r>
      <w:r w:rsidRPr="00CD231A">
        <w:rPr>
          <w:rFonts w:ascii="Times New Roman" w:hAnsi="Times New Roman" w:cs="Times New Roman"/>
        </w:rPr>
        <w:t>-test against zero and a cut-off of 1.5 FC at p</w:t>
      </w:r>
      <w:r w:rsidRPr="00CD231A">
        <w:rPr>
          <w:rFonts w:ascii="Times New Roman" w:eastAsia="MS PGothic" w:hAnsi="Times New Roman" w:cs="Times New Roman"/>
          <w:color w:val="000000" w:themeColor="text1"/>
          <w:kern w:val="24"/>
          <w:sz w:val="36"/>
          <w:szCs w:val="36"/>
        </w:rPr>
        <w:t xml:space="preserve"> </w:t>
      </w:r>
      <w:r w:rsidRPr="00CD231A">
        <w:rPr>
          <w:rFonts w:ascii="Times New Roman" w:hAnsi="Times New Roman" w:cs="Times New Roman"/>
          <w:lang w:val="fr-FR"/>
        </w:rPr>
        <w:sym w:font="Symbol" w:char="F0A3"/>
      </w:r>
      <w:r w:rsidRPr="00CD231A">
        <w:rPr>
          <w:rFonts w:ascii="Times New Roman" w:hAnsi="Times New Roman" w:cs="Times New Roman"/>
        </w:rPr>
        <w:t xml:space="preserve"> 0.05.</w:t>
      </w:r>
    </w:p>
    <w:p w14:paraId="7455C427" w14:textId="7985F497"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rPr>
        <w:tab/>
        <w:t xml:space="preserve">For the reverse transcriptase PCR analysis, resulting data for each gene was normalized with housekeeping genes: ribosomal protein S7 (RSP7; AGAP010592), and actin </w:t>
      </w:r>
      <w:r w:rsidRPr="00CD231A">
        <w:rPr>
          <w:rFonts w:ascii="Times New Roman" w:hAnsi="Times New Roman" w:cs="Times New Roman"/>
          <w:lang w:val="en-GB"/>
        </w:rPr>
        <w:t xml:space="preserve">5C (AGAP000651) before calculating </w:t>
      </w:r>
      <w:r w:rsidRPr="00CD231A">
        <w:rPr>
          <w:rFonts w:ascii="Times New Roman" w:hAnsi="Times New Roman" w:cs="Times New Roman"/>
        </w:rPr>
        <w:t>the relative expression level and FC of each target gene in resistant and control relative to the susceptible according to the 2-ΔΔC</w:t>
      </w:r>
      <w:r w:rsidR="002C13FE" w:rsidRPr="00CD231A">
        <w:rPr>
          <w:rFonts w:ascii="Times New Roman" w:hAnsi="Times New Roman" w:cs="Times New Roman"/>
        </w:rPr>
        <w:t>Q</w:t>
      </w:r>
      <w:r w:rsidRPr="00CD231A">
        <w:rPr>
          <w:rFonts w:ascii="Times New Roman" w:hAnsi="Times New Roman" w:cs="Times New Roman"/>
        </w:rPr>
        <w:t xml:space="preserve"> </w:t>
      </w:r>
      <w:r w:rsidRPr="00CD231A">
        <w:rPr>
          <w:rFonts w:ascii="Times New Roman" w:hAnsi="Times New Roman" w:cs="Times New Roman"/>
        </w:rPr>
        <w:lastRenderedPageBreak/>
        <w:t xml:space="preserve">method, incorporating the PCR efficiency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{"citationItems":[{"id":"ITEM-1","itemData":{"DOI":"10.1038/nprot.2008.73","ISBN":"1750-2799 (Electronic)\\r1750-2799 (Linking)","ISSN":"1754-2189","PMID":"18546601","abstract":"Two different methods of presenting quantitative gene expression exist: absolute and relative quantification. Absolute quantification calculates the copy number of the gene usually by relating the PCR signal to a standard curve. Relative gene expression presents the data of the gene of interest relative to some calibrator or internal control gene. A widely used method to present relative gene expression is the comparative CT method also referred to as the 2-DDCT method. This protocol provides an overview of the comparative CT method for quantitative gene expression studies. Also presented here are various examples to present quantitative gene expression data using this method.","author":[{"dropping-particle":"","family":"Schmittgen","given":"Thomas D","non-dropping-particle":"","parse-names":false,"suffix":""},{"dropping-particle":"","family":"Livak","given":"Kenneth J","non-dropping-particle":"","parse-names":false,"suffix":""}],"container-title":"Nature Protocols","id":"ITEM-1","issue":"6","issued":{"date-parts":[["2008"]]},"page":"1101-1108","title":"Analyzing real-time PCR data by the comparative CT method","type":"article-journal","volume":"3"},"uris":["http://www.mendeley.com/documents/?uuid=85fa52d6-cf32-4e59-ba72-38aa3797553d","http://www.mendeley.com/documents/?uuid=a9f046bc-975b-4dc1-b41a-99d309262c56"]}],"mendeley":{"formattedCitation":"[25]","plainTextFormattedCitation":"[25]","previouslyFormattedCitation":"(25)"},"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[25]</w:t>
      </w:r>
      <w:r w:rsidRPr="00CD231A">
        <w:rPr>
          <w:rFonts w:ascii="Times New Roman" w:hAnsi="Times New Roman" w:cs="Times New Roman"/>
        </w:rPr>
        <w:fldChar w:fldCharType="end"/>
      </w:r>
      <w:r w:rsidRPr="00CD231A">
        <w:rPr>
          <w:rFonts w:ascii="Times New Roman" w:hAnsi="Times New Roman" w:cs="Times New Roman"/>
        </w:rPr>
        <w:t xml:space="preserve">. For partial sequencing of the VGSC region, </w:t>
      </w:r>
      <w:r w:rsidRPr="00CD231A">
        <w:rPr>
          <w:rFonts w:ascii="Times New Roman" w:hAnsi="Times New Roman" w:cs="Times New Roman"/>
          <w:color w:val="000000"/>
          <w:lang w:val="en-GB"/>
        </w:rPr>
        <w:t xml:space="preserve">BioEdit software was used to manually trace all sequence set to detect polymorphic positions and for ClustalW alignment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{"citationItems":[{"id":"ITEM-1","itemData":{"DOI":"10.1093/nar/22.22.4673","ISBN":"0305-1048 (Print)\\n0305-1048 (Linking)","ISSN":"03051048","PMID":"7984417","abstract":"The sensitivity of the commonly used progressive multiple sequence alignment method has been greatly improved for the alignment of divergent protein sequences. Firstly, individual weights are assigned to each sequence in a partial alignment in order to down-weight near-duplicate sequences and up-weight the most divergent ones. Secondly, amino acid substitution matrices are varied at different alignment stages according to the divergence of the sequences to be aligned. Thirdly, residue-specific gap penalties and locally reduced gap penalties in hydrophilic regions encourage new gaps in potential loop regions rather than regular secondary structure. Fourthly, positions in early alignments where gaps have been opened receive locally reduced gap penalties to encourage the opening up of new gaps at these positions. These modifications are incorporated into a new program, CLUSTAL W which is freely available.","author":[{"dropping-particle":"","family":"Thompson","given":"Julie D.","non-dropping-particle":"","parse-names":false,"suffix":""},{"dropping-particle":"","family":"Higgins","given":"Desmond G.","non-dropping-particle":"","parse-names":false,"suffix":""},{"dropping-particle":"","family":"Gibson","given":"Toby J.","non-dropping-particle":"","parse-names":false,"suffix":""}],"container-title":"Nucleic Acids Research","id":"ITEM-1","issue":"22","issued":{"date-parts":[["1994"]]},"page":"4673-4680","title":"CLUSTAL W: Improving the sensitivity of progressive multiple sequence alignment through sequence weighting, position-specific gap penalties and weight matrix choice","type":"article-journal","volume":"22"},"uris":["http://www.mendeley.com/documents/?uuid=4517c2dd-8b7d-4f32-bcc1-e056b2b99da3","http://www.mendeley.com/documents/?uuid=3f2bf0a0-bb50-46fd-9946-b6db6d590628"]}],"mendeley":{"formattedCitation":"[26]","plainTextFormattedCitation":"[26]","previouslyFormattedCitation":"(26)"},"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[26]</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w:t>
      </w:r>
      <w:r w:rsidRPr="00CD231A">
        <w:rPr>
          <w:rFonts w:ascii="Times New Roman" w:hAnsi="Times New Roman" w:cs="Times New Roman"/>
          <w:lang w:val="en-GB"/>
        </w:rPr>
        <w:t xml:space="preserve"> while haplotype construction/polymorphic analysis was done with </w:t>
      </w:r>
      <w:r w:rsidRPr="00CD231A">
        <w:rPr>
          <w:rFonts w:ascii="Times New Roman" w:hAnsi="Times New Roman" w:cs="Times New Roman"/>
          <w:color w:val="000000"/>
          <w:lang w:val="en-GB"/>
        </w:rPr>
        <w:t xml:space="preserve">DnaSP v5.10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{"citationItems":[{"id":"ITEM-1","itemData":{"DOI":"10.1093/bioinformatics/btp187","ISBN":"1367-4811 (Electronic)\\r1367-4803 (Linking)","ISSN":"13674803","PMID":"19346325","abstract":"MOTIVATION: DnaSP is a software package for a comprehensive analysis of DNA polymorphism data. Version 5 implements a number of new features and analytical methods allowing extensive DNA polymorphism analyses on large datasets. Among other features, the newly implemented methods allow for: (i) analyses on multiple data files; (ii) haplotype phasing; (iii) analyses on insertion/deletion polymorphism data; (iv) visualizing sliding window results integrated with available genome annotations in the UCSC browser.","author":[{"dropping-particle":"","family":"Librado","given":"P.","non-dropping-particle":"","parse-names":false,"suffix":""},{"dropping-particle":"","family":"Rozas","given":"J.","non-dropping-particle":"","parse-names":false,"suffix":""}],"container-title":"Bioinformatics","id":"ITEM-1","issue":"11","issued":{"date-parts":[["2009"]]},"page":"1451-1452","title":"DnaSP v5: A software for comprehensive analysis of DNA polymorphism data","type":"article-journal","volume":"25"},"uris":["http://www.mendeley.com/documents/?uuid=6e5ff342-2c34-4f10-83b6-27e4e6dd066b","http://www.mendeley.com/documents/?uuid=196564f7-92d7-49ad-9425-d68439f7b030"]}],"mendeley":{"formattedCitation":"[27]","plainTextFormattedCitation":"[27]","previouslyFormattedCitation":"(27)"},"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[27]</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 xml:space="preserve">. Sequence data generated from </w:t>
      </w:r>
      <w:r w:rsidR="002C13FE" w:rsidRPr="00CD231A">
        <w:rPr>
          <w:rFonts w:ascii="Times New Roman" w:hAnsi="Times New Roman" w:cs="Times New Roman"/>
          <w:color w:val="000000"/>
          <w:lang w:val="en-GB"/>
        </w:rPr>
        <w:t xml:space="preserve">the </w:t>
      </w:r>
      <w:r w:rsidRPr="00CD231A">
        <w:rPr>
          <w:rFonts w:ascii="Times New Roman" w:hAnsi="Times New Roman" w:cs="Times New Roman"/>
          <w:color w:val="000000"/>
          <w:lang w:val="en-GB"/>
        </w:rPr>
        <w:t xml:space="preserve">Akaka-Remo population were compared to sequence sets previously obtained from Kpome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{"citationItems":[{"id":"ITEM-1","itemData":{"DOI":"10.1186/s13071-018-3115-y","ISSN":"17563305","abstract":"Insecticide resistance in Anopheles mosquitoes is threatening the success of malaria control programmes. In order to implement suitable insecticide resistance management strategies, it is necessary to understand the underlying mechanisms involved. To achieve this, the molecular basis of permethrin and DDT resistance in the principal malaria vector, Anopheles funestus from inland Benin (Kpome), was investigated. Here, using a microarray-based genome-wide transcription and qRT-PCR analysis, we showed that metabolic resistance mechanisms through over-expression of cytochrome P450 and glutathione S-transferase genes (GSTs) are a major contributor to DDT and permethrin resistance in Anopheles funestus from Kpome. The GSTe2 gene was the most upregulated detoxification gene in both DDT- [fold-change (FC: 16.0)] and permethrin-resistant (FC: 18.1) mosquitoes suggesting that upregulation of this gene could contribute to DDT resistance and cross-resistance to permethrin. CYP6P9a and CYP6P9b genes that have been previously associated with pyrethroid resistance were also significantly overexpressed with FC 5.4 and 4.8, respectively, in a permethrin resistant population. Noticeably, the GSTs, GSTd1-5 and GSTd3, were more upregulated in DDT-resistant than in permethrin-resistant Anopheles funestus suggesting these genes are more implicated in DDT resistance. The absence of the L1014F or L1014S kdr mutations in the voltage-gated sodium channel gene coupled with the lack of directional selection at the gene further supported that knockdown resistance plays little role in this resistance. The major role played by metabolic resistance to pyrethroids in this An. funestus population in Benin suggests that using novel control tools combining the P450 synergist piperonyl butoxide (PBO), such as PBO-based bednets, could help manage the growing pyrethroid resistance in this malaria vector in Benin.","author":[{"dropping-particle":"","family":"Tchigossou","given":"Genevieve","non-dropping-particle":"","parse-names":false,"suffix":""},{"dropping-particle":"","family":"Djouaka","given":"Rousseau","non-dropping-particle":"","parse-names":false,"suffix":""},{"dropping-particle":"","family":"Akoton","given":"Romaric","non-dropping-particle":"","parse-names":false,"suffix":""},{"dropping-particle":"","family":"Riveron","given":"Jacob M.","non-dropping-particle":"","parse-names":false,"suffix":""},{"dropping-particle":"","family":"Irving","given":"Helen","non-dropping-particle":"","parse-names":false,"suffix":""},{"dropping-particle":"","family":"Atoyebi","given":"Seun","non-dropping-particle":"","parse-names":false,"suffix":""},{"dropping-particle":"","family":"Moutairou","given":"Kabirou","non-dropping-particle":"","parse-names":false,"suffix":""},{"dropping-particle":"","family":"Yessoufou","given":"Akadiri","non-dropping-particle":"","parse-names":false,"suffix":""},{"dropping-particle":"","family":"Wondji","given":"Charles S.","non-dropping-particle":"","parse-names":false,"suffix":""}],"container-title":"Parasites and Vectors","id":"ITEM-1","issue":"1","issued":{"date-parts":[["2018"]]},"page":"602","publisher":"Parasites &amp; Vectors","title":"Molecular basis of permethrin and DDT resistance in an Anopheles funestus population from Benin","type":"article-journal","volume":"11"},"uris":["http://www.mendeley.com/documents/?uuid=663a75bc-b5b8-455a-92f1-7c9ab66e9736"]}],"mendeley":{"formattedCitation":"[28]","plainTextFormattedCitation":"[28]","previouslyFormattedCitation":"(28)"},"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[28]</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 xml:space="preserve"> and Pahou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{"citationItems":[{"id":"ITEM-1","itemData":{"DOI":"10.1371/journal.pone.0027760","ISBN":"1932-6203 (Electronic)\\n1932-6203 (Linking)","ISSN":"19326203","PMID":"22110757","abstract":"BACKGROUND: The insecticide resistance status of the malaria vector Anopheles funestus and the underlying resistance mechanisms remain uncharacterised in many parts of Africa, notably in Benin, West Africa. To fill this gap in our knowledge, we assessed the susceptibility status of a population of this species in Pahou, Southern Benin and investigated the potential resistance mechanisms.\\n\\nMETHODOLOGY/PRINCIPAL FINDINGS: WHO bioassays revealed a multiple resistance profile for An. funestus in Pahou. This population is highly resistant to DDT with no mortality in females after 1h exposure to 4%DDT. Resistance was observed against the Type I pyrethroid permethrin and the carbamate bendiocarb. A moderate resistance was detected against deltamethrin (type II pyrethroids). A total susceptibility was observed against malathion, an organophosphate. Pre-exposure to PBO did not change the mortality rates for DDT indicating that cytochrome P450s play no role in DDT resistance in Pahou. No L1014F kdr mutation was detected but a correlation between haplotypes of two fragments of the Voltage-Gated Sodium Channel gene and resistance was observed suggesting that mutations in other exons may confer the knockdown resistance in this species. Biochemical assays revealed elevated levels of GSTs and cytochrome mono-oxygenases in Pahou. No G119S mutation and no altered acetylcholinesterase gene were detected in the Pahou population. qPCR analysis of five detoxification genes revealed that the GSTe2 is associated to the DDT resistance in this population with a significantly higher expression in DDT resistant samples. A significant over-expression of CYP6P9a and CYP6P9b previously associated with pyrethroid resistance was also seen but at a lower fold change than in southern Africa.\\n\\nCONCLUSION: The multiple insecticide resistance profile of this An. funestus population in Benin shows that more attention should be paid to this important malaria vector for the implementation and management of current and future malaria vector control programs in this country.","author":[{"dropping-particle":"","family":"Djouaka","given":"Rousseau","non-dropping-particle":"","parse-names":false,"suffix":""},{"dropping-particle":"","family":"Irving","given":"Helen","non-dropping-particle":"","parse-names":false,"suffix":""},{"dropping-particle":"","family":"Tukur","given":"Zainab","non-dropping-particle":"","parse-names":false,"suffix":""},{"dropping-particle":"","family":"Wondji","given":"Charles S.","non-dropping-particle":"","parse-names":false,"suffix":""}],"container-title":"PLoS ONE","id":"ITEM-1","issue":"11","issued":{"date-parts":[["2011"]]},"title":"Exploring mechanisms of multiple insecticide resistance in a population of the malaria vector Anopheles funestus in Benin","type":"article-journal","volume":"6"},"uris":["http://www.mendeley.com/documents/?uuid=abad980f-1ef2-467e-b8d4-b54e4c3bb2ac"]}],"mendeley":{"formattedCitation":"[24]","plainTextFormattedCitation":"[24]","previouslyFormattedCitation":"(24)"},"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[24]</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 xml:space="preserve"> in southern Benin, and Gounougou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{"citationItems":[{"id":"ITEM-1","itemData":{"DOI":"10.1371/journal.pone.0163261","ISSN":"1932-6203","abstract":"Background Despite the recent progress in establishing the patterns of insecticide resistance in the major malaria vector Anopheles funestus, Central African populations of this species remain largely uncharacterised. To bridge this important gap and facilitate the implementa- tion of suitable control strategies against this vector, we characterised the resistance pat- terns of An. funestus population from northern Cameroon. Methods and Findings Collection of indoor-resting female mosquitoes in Gounougou (northern Cameroon) in 2012 and 2015 revealed a predominance of An. funestus during dry season.WHObioas- says performed using F1 An. funestus revealed that the population was multiple resistant to several insecticide classes including pyrethroids (permethrin, deltamethrin, lambda-cyhalo- thrin and etofenprox), carbamates (bendiocarb) and organochlorines (DDT and dieldrin). However, a full susceptibility was observed against the organophosphate malathion. Bioas- says performed with 2015 collection revealed that resistance against pyrethroids and DDT is increasing. PBO synergist assays revealed a significant recovery of susceptibility for all pyrethroids but less for DDT. Analysis of the polymorphismof a portion of the voltage-gated sodium channel gene (VGSC) revealed the absence of the L1014F/S kdr mutation but iden- tified 3 novel amino acid changes I877L, V881L and A1007S. However, no association was established between VGSC polymorphismand pyrethroid/DDT resistance. The DDT resis- tant 119F-GSTe2 allele (52%) and the dieldrin resistant 296S-RDL allele (45%) were detected in Gounougou. Temporal analysis between 2006, 2012 and 2015 collections revealed that the 119F-GSTe2 allele was relatively stable whereas a significant decrease is observed for 296S-RDL allele. Conclusion This multiple resistance coupled with the temporal increased in resistance intensity high- lights the need to take urgent measures to prolong the efficacy of current insecticide-based interventions against An. funestus in this African region.","author":[{"dropping-particle":"","family":"Menze","given":"Benjamin D","non-dropping-particle":"","parse-names":false,"suffix":""},{"dropping-particle":"","family":"Riveron","given":"Jacob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Antonio-Nkondjio","given":"Christophe","non-dropping-particle":"","parse-names":false,"suffix":""},{"dropping-particle":"","family":"Awono-Ambene","given":"Parfait H","non-dropping-particle":"","parse-names":false,"suffix":""},{"dropping-particle":"","family":"Wondji","given":"Charles S","non-dropping-particle":"","parse-names":false,"suffix":""}],"container-title":"PLoS ONE","id":"ITEM-1","issue":"10","issued":{"date-parts":[["2016"]]},"page":"1-14","title":"Multiple Insecticide Resistance in the Malaria Vector Anopheles funestus from Northern Cameroon Is Mediated by Metabolic Resistance Alongside Potential Target Site Insensitivity Mutations","type":"article-journal","volume":"11"},"uris":["http://www.mendeley.com/documents/?uuid=39f9c38d-4162-4f2c-b94a-6af3028c10b4","http://www.mendeley.com/documents/?uuid=ee7998a1-4ce0-4738-ae2f-355c591e6d68"]}],"mendeley":{"formattedCitation":"[5]","plainTextFormattedCitation":"[5]","previouslyFormattedCitation":"(5)"},"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[5]</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 xml:space="preserve"> in northern Cameroon. </w:t>
      </w:r>
      <w:r w:rsidRPr="00CD231A">
        <w:rPr>
          <w:rFonts w:ascii="Times New Roman" w:hAnsi="Times New Roman" w:cs="Times New Roman"/>
        </w:rPr>
        <w:t xml:space="preserve">In addition, </w:t>
      </w:r>
      <w:r w:rsidR="002C13FE" w:rsidRPr="00CD231A">
        <w:rPr>
          <w:rFonts w:ascii="Times New Roman" w:hAnsi="Times New Roman" w:cs="Times New Roman"/>
        </w:rPr>
        <w:t>a</w:t>
      </w:r>
      <w:r w:rsidRPr="00CD231A">
        <w:rPr>
          <w:rFonts w:ascii="Times New Roman" w:hAnsi="Times New Roman" w:cs="Times New Roman"/>
        </w:rPr>
        <w:t xml:space="preserve"> </w:t>
      </w:r>
      <w:r w:rsidRPr="00CD231A">
        <w:rPr>
          <w:rFonts w:ascii="Times New Roman" w:hAnsi="Times New Roman" w:cs="Times New Roman"/>
          <w:color w:val="000000"/>
          <w:lang w:val="en-GB"/>
        </w:rPr>
        <w:t>Neighbour-Joining (NJ) tree was generated using Mega 6.06 after the level of Kst of pairwise genetic differentiation between populations was determined with Dnasp v5.10. Also, Maximum Likelihood (ML)</w:t>
      </w:r>
      <w:r w:rsidR="002C13FE" w:rsidRPr="00CD231A">
        <w:rPr>
          <w:rFonts w:ascii="Times New Roman" w:hAnsi="Times New Roman" w:cs="Times New Roman"/>
          <w:color w:val="000000"/>
          <w:lang w:val="en-GB"/>
        </w:rPr>
        <w:t xml:space="preserve"> phylogenetic</w:t>
      </w:r>
      <w:r w:rsidRPr="00CD231A">
        <w:rPr>
          <w:rFonts w:ascii="Times New Roman" w:hAnsi="Times New Roman" w:cs="Times New Roman"/>
          <w:color w:val="000000"/>
          <w:lang w:val="en-GB"/>
        </w:rPr>
        <w:t xml:space="preserve"> tree was constructed for the VGSC haplotypes in different sample populations with Mega 6.06 using the best constructing model </w:t>
      </w:r>
      <w:r w:rsidRPr="00CD231A">
        <w:rPr>
          <w:rFonts w:ascii="Times New Roman" w:hAnsi="Times New Roman" w:cs="Times New Roman"/>
          <w:color w:val="000000"/>
          <w:lang w:val="en-GB"/>
        </w:rPr>
        <w:fldChar w:fldCharType="begin" w:fldLock="1"/>
      </w:r>
      <w:r w:rsidRPr="00CD231A">
        <w:rPr>
          <w:rFonts w:ascii="Times New Roman" w:hAnsi="Times New Roman" w:cs="Times New Roman"/>
          <w:color w:val="000000"/>
          <w:lang w:val="en-GB"/>
        </w:rPr>
        <w:instrText>ADDIN CSL_CITATION {"citationItems":[{"id":"ITEM-1","itemData":{"DOI":"10.1093/molbev/msr121","ISBN":"0737-4038","ISSN":"07374038","PMID":"21546353","abstract":"Comparative analysis of molecular sequence data is essential for reconstructing the evolutionary histories of species and inferring the nature and extent of selective forces shaping the evolution of genes and species. Here, we announce the release of Molecular Evolutionary Genetics Analysis version 5 (MEGA5), which is a user-friendly software for mining online databases, building sequence alignments and phylogenetic trees, and using methods of evolutionary bioinformatics in basic biology, biomedicine, and evolution. The newest addition in MEGA5 is a collection of maximum likelihood (ML) analyses for inferring evolutionary trees, selecting best-fit substitution models (nucleotide or amino acid), inferring ancestral states and sequences (along with probabilities), and estimating evolutionary rates site-by-site. In computer simulation analyses, ML tree inference algorithms in MEGA5 compared favorably with other software packages in terms of computational efficiency and the accuracy of the estimates of phylogenetic trees, substitution parameters, and rate variation among sites. The MEGA user interface has now been enhanced to be activity driven to make it easier for the use of both beginners and experienced scientists. This version of MEGA is intended for the Windows platform, and it has been configured for effective use on Mac OS X and Linux desktops. It is available free of charge from http://www.megasoftware.net.","author":[{"dropping-particle":"","family":"Tamura","given":"Koichiro","non-dropping-particle":"","parse-names":false,"suffix":""},{"dropping-particle":"","family":"Peterson","given":"Daniel","non-dropping-particle":"","parse-names":false,"suffix":""},{"dropping-particle":"","family":"Peterson","given":"Nicholas","non-dropping-particle":"","parse-names":false,"suffix":""},{"dropping-particle":"","family":"Stecher","given":"Glen","non-dropping-particle":"","parse-names":false,"suffix":""},{"dropping-particle":"","family":"Nei","given":"Masatoshi","non-dropping-particle":"","parse-names":false,"suffix":""},{"dropping-particle":"","family":"Kumar","given":"Sudhir","non-dropping-particle":"","parse-names":false,"suffix":""}],"container-title":"Molecular Biology and Evolution","id":"ITEM-1","issue":"10","issued":{"date-parts":[["2011"]]},"page":"2731-2739","title":"MEGA5: Molecular evolutionary genetics analysis using maximum likelihood, evolutionary distance, and maximum parsimony methods","type":"article-journal","volume":"28"},"uris":["http://www.mendeley.com/documents/?uuid=53bd50b5-bb2d-4a91-bbe0-da4f289be98a","http://www.mendeley.com/documents/?uuid=8230e9c4-604b-43ac-9cde-930b7aab258d"]}],"mendeley":{"formattedCitation":"[29]","plainTextFormattedCitation":"[29]","previouslyFormattedCitation":"(29)"},"properties":{"noteIndex":0},"schema":"https://github.com/citation-style-language/schema/raw/master/csl-citation.json"}</w:instrText>
      </w:r>
      <w:r w:rsidRPr="00CD231A">
        <w:rPr>
          <w:rFonts w:ascii="Times New Roman" w:hAnsi="Times New Roman" w:cs="Times New Roman"/>
          <w:color w:val="000000"/>
          <w:lang w:val="en-GB"/>
        </w:rPr>
        <w:fldChar w:fldCharType="separate"/>
      </w:r>
      <w:r w:rsidRPr="00CD231A">
        <w:rPr>
          <w:rFonts w:ascii="Times New Roman" w:hAnsi="Times New Roman" w:cs="Times New Roman"/>
          <w:noProof/>
          <w:color w:val="000000"/>
          <w:lang w:val="en-GB"/>
        </w:rPr>
        <w:t>[29]</w:t>
      </w:r>
      <w:r w:rsidRPr="00CD231A">
        <w:rPr>
          <w:rFonts w:ascii="Times New Roman" w:hAnsi="Times New Roman" w:cs="Times New Roman"/>
          <w:color w:val="000000"/>
          <w:lang w:val="en-GB"/>
        </w:rPr>
        <w:fldChar w:fldCharType="end"/>
      </w:r>
      <w:r w:rsidRPr="00CD231A">
        <w:rPr>
          <w:rFonts w:ascii="Times New Roman" w:hAnsi="Times New Roman" w:cs="Times New Roman"/>
          <w:color w:val="000000"/>
          <w:lang w:val="en-GB"/>
        </w:rPr>
        <w:t>.</w:t>
      </w:r>
    </w:p>
    <w:p w14:paraId="19531165" w14:textId="77777777" w:rsidR="00BF5696" w:rsidRPr="00CD231A" w:rsidRDefault="00BF5696" w:rsidP="00BF5696">
      <w:pPr>
        <w:spacing w:line="480" w:lineRule="auto"/>
        <w:jc w:val="both"/>
        <w:rPr>
          <w:rFonts w:ascii="Times New Roman" w:hAnsi="Times New Roman" w:cs="Times New Roman"/>
          <w:b/>
          <w:color w:val="000000"/>
          <w:lang w:val="en-GB"/>
        </w:rPr>
      </w:pPr>
    </w:p>
    <w:p w14:paraId="5129A455" w14:textId="77777777" w:rsidR="005420FF" w:rsidRPr="00CD231A" w:rsidRDefault="005420FF" w:rsidP="00BF5696">
      <w:pPr>
        <w:spacing w:line="480" w:lineRule="auto"/>
        <w:jc w:val="both"/>
        <w:rPr>
          <w:rFonts w:ascii="Times New Roman" w:hAnsi="Times New Roman" w:cs="Times New Roman"/>
          <w:b/>
          <w:color w:val="000000"/>
          <w:lang w:val="en-GB"/>
        </w:rPr>
      </w:pPr>
    </w:p>
    <w:p w14:paraId="22CF01AC" w14:textId="144C60C8"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color w:val="000000"/>
          <w:lang w:val="en-GB"/>
        </w:rPr>
        <w:t>Results</w:t>
      </w:r>
    </w:p>
    <w:p w14:paraId="7A7FDCE0" w14:textId="22CA7FDC"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 xml:space="preserve">The GSTs and esterase were implicated in pyrethroid and DDT resistance of </w:t>
      </w:r>
      <w:r w:rsidRPr="00CD231A">
        <w:rPr>
          <w:rFonts w:ascii="Times New Roman" w:hAnsi="Times New Roman" w:cs="Times New Roman"/>
          <w:b/>
          <w:i/>
          <w:iCs/>
        </w:rPr>
        <w:t>An</w:t>
      </w:r>
      <w:r w:rsidR="002C13FE" w:rsidRPr="00CD231A">
        <w:rPr>
          <w:rFonts w:ascii="Times New Roman" w:hAnsi="Times New Roman" w:cs="Times New Roman"/>
          <w:b/>
          <w:i/>
          <w:iCs/>
        </w:rPr>
        <w:t>.</w:t>
      </w:r>
      <w:r w:rsidRPr="00CD231A">
        <w:rPr>
          <w:rFonts w:ascii="Times New Roman" w:hAnsi="Times New Roman" w:cs="Times New Roman"/>
          <w:b/>
          <w:i/>
          <w:iCs/>
        </w:rPr>
        <w:t xml:space="preserve"> funestus s.s.</w:t>
      </w:r>
    </w:p>
    <w:p w14:paraId="164982D3" w14:textId="67A313F5"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rPr>
        <w:t xml:space="preserve">All the 96 blood-fed </w:t>
      </w:r>
      <w:r w:rsidRPr="00CD231A">
        <w:rPr>
          <w:rFonts w:ascii="Times New Roman" w:hAnsi="Times New Roman" w:cs="Times New Roman"/>
          <w:i/>
        </w:rPr>
        <w:t>An. funestus s.l.</w:t>
      </w:r>
      <w:r w:rsidRPr="00CD231A">
        <w:rPr>
          <w:rFonts w:ascii="Times New Roman" w:hAnsi="Times New Roman" w:cs="Times New Roman"/>
        </w:rPr>
        <w:t xml:space="preserve"> that oviposited and subjected to the forced-egg laying were morphologically and molecularly identified as </w:t>
      </w:r>
      <w:r w:rsidRPr="00CD231A">
        <w:rPr>
          <w:rFonts w:ascii="Times New Roman" w:hAnsi="Times New Roman" w:cs="Times New Roman"/>
          <w:i/>
        </w:rPr>
        <w:t xml:space="preserve">An. funestus s.s. </w:t>
      </w:r>
      <w:r w:rsidRPr="00CD231A">
        <w:rPr>
          <w:rFonts w:ascii="Times New Roman" w:hAnsi="Times New Roman" w:cs="Times New Roman"/>
          <w:iCs/>
        </w:rPr>
        <w:t>as reported in the previous study</w:t>
      </w:r>
      <w:r w:rsidRPr="00CD231A">
        <w:rPr>
          <w:rFonts w:ascii="Times New Roman" w:hAnsi="Times New Roman" w:cs="Times New Roman"/>
          <w:i/>
        </w:rPr>
        <w:t xml:space="preserv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Also, the F</w:t>
      </w:r>
      <w:r w:rsidRPr="00CD231A">
        <w:rPr>
          <w:rFonts w:ascii="Times New Roman" w:hAnsi="Times New Roman" w:cs="Times New Roman"/>
          <w:vertAlign w:val="subscript"/>
        </w:rPr>
        <w:t>1</w:t>
      </w:r>
      <w:r w:rsidRPr="00CD231A">
        <w:rPr>
          <w:rFonts w:ascii="Times New Roman" w:hAnsi="Times New Roman" w:cs="Times New Roman"/>
        </w:rPr>
        <w:t xml:space="preserve"> </w:t>
      </w:r>
      <w:r w:rsidRPr="00CD231A">
        <w:rPr>
          <w:rFonts w:ascii="Times New Roman" w:hAnsi="Times New Roman" w:cs="Times New Roman"/>
          <w:iCs/>
        </w:rPr>
        <w:t xml:space="preserve">mosquitoes generated and tested for insecticide susceptibility </w:t>
      </w:r>
      <w:r w:rsidRPr="00CD231A">
        <w:rPr>
          <w:rFonts w:ascii="Times New Roman" w:hAnsi="Times New Roman" w:cs="Times New Roman"/>
        </w:rPr>
        <w:t>were resistant to permethrin (68 ± 5.64</w:t>
      </w:r>
      <w:r w:rsidR="002C13FE" w:rsidRPr="00CD231A">
        <w:rPr>
          <w:rFonts w:ascii="Times New Roman" w:hAnsi="Times New Roman" w:cs="Times New Roman"/>
        </w:rPr>
        <w:t>%</w:t>
      </w:r>
      <w:r w:rsidRPr="00CD231A">
        <w:rPr>
          <w:rFonts w:ascii="Times New Roman" w:hAnsi="Times New Roman" w:cs="Times New Roman"/>
        </w:rPr>
        <w:t xml:space="preserve">), DDT (10% ± 2.66) and dieldrin (8% ± 3.24) as reported in Djouaka </w:t>
      </w:r>
      <w:r w:rsidRPr="00CD231A">
        <w:rPr>
          <w:rFonts w:ascii="Times New Roman" w:hAnsi="Times New Roman" w:cs="Times New Roman"/>
          <w:i/>
          <w:iCs/>
        </w:rPr>
        <w:t>et al</w:t>
      </w:r>
      <w:r w:rsidRPr="00CD231A">
        <w:rPr>
          <w:rFonts w:ascii="Times New Roman" w:hAnsi="Times New Roman" w:cs="Times New Roman"/>
        </w:rPr>
        <w:t>.</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xml:space="preserve">. In addition to the role of oxidase in the resistance of this mosquito population as documented in Djouaka et al.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esterases and GSTs also showed their involvement in the observed permethrin and DDT resistance in th</w:t>
      </w:r>
      <w:r w:rsidR="002C13FE" w:rsidRPr="00CD231A">
        <w:rPr>
          <w:rFonts w:ascii="Times New Roman" w:hAnsi="Times New Roman" w:cs="Times New Roman"/>
        </w:rPr>
        <w:t>e present</w:t>
      </w:r>
      <w:r w:rsidRPr="00CD231A">
        <w:rPr>
          <w:rFonts w:ascii="Times New Roman" w:hAnsi="Times New Roman" w:cs="Times New Roman"/>
        </w:rPr>
        <w:t xml:space="preserve"> study (Fig. 1). </w:t>
      </w:r>
      <w:r w:rsidRPr="00CD231A">
        <w:rPr>
          <w:rFonts w:ascii="Times New Roman" w:hAnsi="Times New Roman" w:cs="Times New Roman"/>
          <w:i/>
        </w:rPr>
        <w:t xml:space="preserve">Anopheles funestus s.s. </w:t>
      </w:r>
      <w:r w:rsidRPr="00CD231A">
        <w:rPr>
          <w:rFonts w:ascii="Times New Roman" w:hAnsi="Times New Roman" w:cs="Times New Roman"/>
          <w:iCs/>
        </w:rPr>
        <w:t>produced</w:t>
      </w:r>
      <w:r w:rsidRPr="00CD231A">
        <w:rPr>
          <w:rFonts w:ascii="Times New Roman" w:hAnsi="Times New Roman" w:cs="Times New Roman"/>
        </w:rPr>
        <w:t xml:space="preserve"> a 100% mortality with permethrin when pre-exposed to both DEM and DEF, suggesting the </w:t>
      </w:r>
      <w:r w:rsidRPr="00CD231A">
        <w:rPr>
          <w:rFonts w:ascii="Times New Roman" w:hAnsi="Times New Roman" w:cs="Times New Roman"/>
        </w:rPr>
        <w:lastRenderedPageBreak/>
        <w:t xml:space="preserve">implication of GSTs and esterase in permethrin resistance. Similarly, the pre-exposure of mosquitoes to DEM and DEF, and then to DDT </w:t>
      </w:r>
      <w:r w:rsidR="002C13FE" w:rsidRPr="00CD231A">
        <w:rPr>
          <w:rFonts w:ascii="Times New Roman" w:hAnsi="Times New Roman" w:cs="Times New Roman"/>
        </w:rPr>
        <w:t>resulted in mortalities of</w:t>
      </w:r>
      <w:r w:rsidRPr="00CD231A">
        <w:rPr>
          <w:rFonts w:ascii="Times New Roman" w:hAnsi="Times New Roman" w:cs="Times New Roman"/>
        </w:rPr>
        <w:t xml:space="preserve"> 71% and 82%, respectively, which equally suggests the role of GSTs and esterase in DDT resistance. </w:t>
      </w:r>
    </w:p>
    <w:p w14:paraId="1D2C9F76" w14:textId="77777777" w:rsidR="00BF5696" w:rsidRPr="00CD231A" w:rsidRDefault="00BF5696" w:rsidP="00BF5696">
      <w:pPr>
        <w:spacing w:line="480" w:lineRule="auto"/>
        <w:jc w:val="both"/>
        <w:rPr>
          <w:rFonts w:ascii="Times New Roman" w:hAnsi="Times New Roman" w:cs="Times New Roman"/>
          <w:b/>
        </w:rPr>
      </w:pPr>
    </w:p>
    <w:p w14:paraId="53EE3E4B" w14:textId="033468BD" w:rsidR="00BF5696" w:rsidRPr="00CD231A" w:rsidRDefault="00BF5696" w:rsidP="00BF5696">
      <w:pPr>
        <w:spacing w:line="480" w:lineRule="auto"/>
        <w:jc w:val="both"/>
        <w:rPr>
          <w:rFonts w:ascii="Times New Roman" w:hAnsi="Times New Roman" w:cs="Times New Roman"/>
          <w:b/>
          <w:i/>
          <w:iCs/>
        </w:rPr>
      </w:pPr>
      <w:r w:rsidRPr="00CD231A">
        <w:rPr>
          <w:rFonts w:ascii="Times New Roman" w:hAnsi="Times New Roman" w:cs="Times New Roman"/>
          <w:b/>
        </w:rPr>
        <w:t xml:space="preserve">Microarray revealed that upregulation of metabolic genes plays a crucial role in permethrin and DDT resistance of </w:t>
      </w:r>
      <w:r w:rsidRPr="00CD231A">
        <w:rPr>
          <w:rFonts w:ascii="Times New Roman" w:hAnsi="Times New Roman" w:cs="Times New Roman"/>
          <w:b/>
          <w:i/>
          <w:iCs/>
        </w:rPr>
        <w:t>An</w:t>
      </w:r>
      <w:r w:rsidR="002C13FE" w:rsidRPr="00CD231A">
        <w:rPr>
          <w:rFonts w:ascii="Times New Roman" w:hAnsi="Times New Roman" w:cs="Times New Roman"/>
          <w:b/>
          <w:i/>
          <w:iCs/>
        </w:rPr>
        <w:t>.</w:t>
      </w:r>
      <w:r w:rsidRPr="00CD231A">
        <w:rPr>
          <w:rFonts w:ascii="Times New Roman" w:hAnsi="Times New Roman" w:cs="Times New Roman"/>
          <w:b/>
          <w:i/>
          <w:iCs/>
        </w:rPr>
        <w:t xml:space="preserve"> funestus s.s.</w:t>
      </w:r>
    </w:p>
    <w:p w14:paraId="75D8A792" w14:textId="7DA17356" w:rsidR="00BF5696" w:rsidRPr="00CD231A" w:rsidRDefault="00BF5696" w:rsidP="00BF5696">
      <w:pPr>
        <w:spacing w:after="120" w:line="480" w:lineRule="auto"/>
        <w:jc w:val="both"/>
        <w:rPr>
          <w:rFonts w:ascii="Times New Roman" w:hAnsi="Times New Roman" w:cs="Times New Roman"/>
        </w:rPr>
      </w:pPr>
      <w:r w:rsidRPr="00CD231A">
        <w:rPr>
          <w:rFonts w:ascii="Times New Roman" w:hAnsi="Times New Roman" w:cs="Times New Roman"/>
        </w:rPr>
        <w:t>Differentially expressed transcripts were identified in the comparisons of permethrin/DDT resistant samples to controls. Three mosquito populations were analysed for permethrin resistance: Rperm; unexposed control; susceptible FANG, and two populations for DDT resistance: R</w:t>
      </w:r>
      <w:r w:rsidRPr="00CD231A">
        <w:rPr>
          <w:rFonts w:ascii="Times New Roman" w:hAnsi="Times New Roman" w:cs="Times New Roman"/>
          <w:vertAlign w:val="subscript"/>
        </w:rPr>
        <w:t>DDT</w:t>
      </w:r>
      <w:r w:rsidRPr="00CD231A">
        <w:rPr>
          <w:rFonts w:ascii="Times New Roman" w:hAnsi="Times New Roman" w:cs="Times New Roman"/>
        </w:rPr>
        <w:t xml:space="preserve"> and susceptible FANG. For comparison analysis, a total of 1536 (798 overexpressed) transcripts were differentially expressed in Rperm-S, 1467 (230 overexpressed) differentially expressed transcripts in Rperm-C, while the R</w:t>
      </w:r>
      <w:r w:rsidRPr="00CD231A">
        <w:rPr>
          <w:rFonts w:ascii="Times New Roman" w:hAnsi="Times New Roman" w:cs="Times New Roman"/>
          <w:vertAlign w:val="subscript"/>
        </w:rPr>
        <w:t>DDT</w:t>
      </w:r>
      <w:r w:rsidRPr="00CD231A">
        <w:rPr>
          <w:rFonts w:ascii="Times New Roman" w:hAnsi="Times New Roman" w:cs="Times New Roman"/>
        </w:rPr>
        <w:t>-S comparison produced 664 (299 overexpressed) transcripts, as well as 2473 (1093 overexpressed) transcripts in C-S. There was no R</w:t>
      </w:r>
      <w:r w:rsidRPr="00CD231A">
        <w:rPr>
          <w:rFonts w:ascii="Times New Roman" w:hAnsi="Times New Roman" w:cs="Times New Roman"/>
          <w:vertAlign w:val="subscript"/>
        </w:rPr>
        <w:t>DDT</w:t>
      </w:r>
      <w:r w:rsidRPr="00CD231A">
        <w:rPr>
          <w:rFonts w:ascii="Times New Roman" w:hAnsi="Times New Roman" w:cs="Times New Roman"/>
        </w:rPr>
        <w:t>-C cross analysis due to the high DDT resistance recorded.</w:t>
      </w:r>
    </w:p>
    <w:p w14:paraId="13A19490" w14:textId="77777777" w:rsidR="00BF5696" w:rsidRPr="00CD231A" w:rsidRDefault="00BF5696" w:rsidP="00BF5696">
      <w:pPr>
        <w:spacing w:line="480" w:lineRule="auto"/>
        <w:jc w:val="both"/>
        <w:rPr>
          <w:rFonts w:ascii="Times New Roman" w:hAnsi="Times New Roman" w:cs="Times New Roman"/>
          <w:b/>
        </w:rPr>
      </w:pPr>
    </w:p>
    <w:p w14:paraId="38CD09FE" w14:textId="38FF524F" w:rsidR="00BF5696" w:rsidRPr="00CD231A" w:rsidRDefault="00BF5696" w:rsidP="00BF5696">
      <w:pPr>
        <w:spacing w:line="480" w:lineRule="auto"/>
        <w:jc w:val="both"/>
        <w:rPr>
          <w:rFonts w:ascii="Times New Roman" w:hAnsi="Times New Roman" w:cs="Times New Roman"/>
          <w:b/>
          <w:i/>
          <w:iCs/>
        </w:rPr>
      </w:pPr>
      <w:r w:rsidRPr="00CD231A">
        <w:rPr>
          <w:rFonts w:ascii="Times New Roman" w:hAnsi="Times New Roman" w:cs="Times New Roman"/>
          <w:b/>
        </w:rPr>
        <w:t xml:space="preserve">Gene expression profiling showed an association between the upregulation of multiple metabolic genes and permethrin resistance of </w:t>
      </w:r>
      <w:r w:rsidRPr="00CD231A">
        <w:rPr>
          <w:rFonts w:ascii="Times New Roman" w:hAnsi="Times New Roman" w:cs="Times New Roman"/>
          <w:b/>
          <w:i/>
          <w:iCs/>
        </w:rPr>
        <w:t>An</w:t>
      </w:r>
      <w:r w:rsidR="002C13FE" w:rsidRPr="00CD231A">
        <w:rPr>
          <w:rFonts w:ascii="Times New Roman" w:hAnsi="Times New Roman" w:cs="Times New Roman"/>
          <w:b/>
          <w:i/>
          <w:iCs/>
        </w:rPr>
        <w:t>.</w:t>
      </w:r>
      <w:r w:rsidRPr="00CD231A">
        <w:rPr>
          <w:rFonts w:ascii="Times New Roman" w:hAnsi="Times New Roman" w:cs="Times New Roman"/>
          <w:b/>
          <w:i/>
          <w:iCs/>
        </w:rPr>
        <w:t xml:space="preserve"> funestus s.s.</w:t>
      </w:r>
    </w:p>
    <w:p w14:paraId="2D051929" w14:textId="0494BEEC" w:rsidR="00BF5696" w:rsidRPr="00CD231A" w:rsidRDefault="00BF5696" w:rsidP="00BF5696">
      <w:pPr>
        <w:spacing w:after="120" w:line="480" w:lineRule="auto"/>
        <w:jc w:val="both"/>
        <w:rPr>
          <w:rFonts w:ascii="Times New Roman" w:hAnsi="Times New Roman" w:cs="Times New Roman"/>
        </w:rPr>
      </w:pPr>
      <w:r w:rsidRPr="00CD231A">
        <w:rPr>
          <w:rFonts w:ascii="Times New Roman" w:hAnsi="Times New Roman" w:cs="Times New Roman"/>
        </w:rPr>
        <w:t>Microarray data analysed with genespring, GX 13.0 software successfully identified commonly expressed transcripts in the different comparisons. There was only one common transcript (</w:t>
      </w:r>
      <w:r w:rsidRPr="00CD231A">
        <w:rPr>
          <w:rFonts w:ascii="Times New Roman" w:eastAsia="Times New Roman" w:hAnsi="Times New Roman" w:cs="Times New Roman"/>
          <w:color w:val="000000"/>
        </w:rPr>
        <w:t>Afun000762</w:t>
      </w:r>
      <w:r w:rsidRPr="00CD231A">
        <w:rPr>
          <w:rFonts w:ascii="Times New Roman" w:hAnsi="Times New Roman" w:cs="Times New Roman"/>
        </w:rPr>
        <w:t xml:space="preserve">) overexpressed in all the three comparisons, Rperm-S, C-S and Rperm-C with fold changes </w:t>
      </w:r>
      <w:r w:rsidR="002C13FE" w:rsidRPr="00CD231A">
        <w:rPr>
          <w:rFonts w:ascii="Times New Roman" w:hAnsi="Times New Roman" w:cs="Times New Roman"/>
        </w:rPr>
        <w:t>(</w:t>
      </w:r>
      <w:r w:rsidRPr="00CD231A">
        <w:rPr>
          <w:rFonts w:ascii="Times New Roman" w:hAnsi="Times New Roman" w:cs="Times New Roman"/>
        </w:rPr>
        <w:t>FC</w:t>
      </w:r>
      <w:r w:rsidR="002C13FE" w:rsidRPr="00CD231A">
        <w:rPr>
          <w:rFonts w:ascii="Times New Roman" w:hAnsi="Times New Roman" w:cs="Times New Roman"/>
        </w:rPr>
        <w:t>)</w:t>
      </w:r>
      <w:r w:rsidRPr="00CD231A">
        <w:rPr>
          <w:rFonts w:ascii="Times New Roman" w:hAnsi="Times New Roman" w:cs="Times New Roman"/>
        </w:rPr>
        <w:t xml:space="preserve"> of 5.19, 3.83 and 2.53, respectively (Fig. 2a; Table 2), with no detoxification gene commonly overexpressed in these </w:t>
      </w:r>
      <w:r w:rsidR="002C13FE" w:rsidRPr="00CD231A">
        <w:rPr>
          <w:rFonts w:ascii="Times New Roman" w:hAnsi="Times New Roman" w:cs="Times New Roman"/>
        </w:rPr>
        <w:t>three</w:t>
      </w:r>
      <w:r w:rsidRPr="00CD231A">
        <w:rPr>
          <w:rFonts w:ascii="Times New Roman" w:hAnsi="Times New Roman" w:cs="Times New Roman"/>
        </w:rPr>
        <w:t xml:space="preserve"> comparisons. </w:t>
      </w:r>
    </w:p>
    <w:p w14:paraId="3DDE1343" w14:textId="77777777" w:rsidR="005420FF" w:rsidRPr="00CD231A" w:rsidRDefault="005420FF" w:rsidP="00BF5696">
      <w:pPr>
        <w:spacing w:line="480" w:lineRule="auto"/>
        <w:jc w:val="both"/>
        <w:rPr>
          <w:rFonts w:ascii="Times New Roman" w:eastAsia="Times New Roman" w:hAnsi="Times New Roman" w:cs="Times New Roman"/>
          <w:b/>
          <w:iCs/>
          <w:color w:val="000000"/>
        </w:rPr>
      </w:pPr>
    </w:p>
    <w:p w14:paraId="37A3031A" w14:textId="3CD120A4" w:rsidR="00BF5696" w:rsidRPr="00CD231A" w:rsidRDefault="00BF5696" w:rsidP="00BF5696">
      <w:pPr>
        <w:spacing w:line="480" w:lineRule="auto"/>
        <w:jc w:val="both"/>
        <w:rPr>
          <w:rFonts w:ascii="Times New Roman" w:hAnsi="Times New Roman" w:cs="Times New Roman"/>
          <w:b/>
          <w:iCs/>
        </w:rPr>
      </w:pPr>
      <w:r w:rsidRPr="00CD231A">
        <w:rPr>
          <w:rFonts w:ascii="Times New Roman" w:eastAsia="Times New Roman" w:hAnsi="Times New Roman" w:cs="Times New Roman"/>
          <w:b/>
          <w:iCs/>
          <w:color w:val="000000"/>
        </w:rPr>
        <w:t xml:space="preserve">Common transcripts overexpressed in </w:t>
      </w:r>
      <w:r w:rsidRPr="00CD231A">
        <w:rPr>
          <w:rFonts w:ascii="Times New Roman" w:hAnsi="Times New Roman" w:cs="Times New Roman"/>
          <w:b/>
          <w:iCs/>
        </w:rPr>
        <w:t>Rperm-S and C-S</w:t>
      </w:r>
    </w:p>
    <w:p w14:paraId="03BAC1AF" w14:textId="77777777" w:rsidR="00BF5696" w:rsidRPr="00CD231A" w:rsidRDefault="00BF5696" w:rsidP="00BF5696">
      <w:pPr>
        <w:spacing w:after="120" w:line="480" w:lineRule="auto"/>
        <w:jc w:val="both"/>
        <w:rPr>
          <w:rFonts w:ascii="Times New Roman" w:hAnsi="Times New Roman" w:cs="Times New Roman"/>
        </w:rPr>
      </w:pPr>
      <w:r w:rsidRPr="00CD231A">
        <w:rPr>
          <w:rFonts w:ascii="Times New Roman" w:hAnsi="Times New Roman" w:cs="Times New Roman"/>
        </w:rPr>
        <w:t xml:space="preserve">There were 445 common transcripts overexpressed in this comparison out of 973 differentially expressed transcripts. Only two of these transcripts are associated with resistance: the cuticle proteins (5 transcripts) and carboxylesterase. Cuticle proteins had higher overexpression: </w:t>
      </w:r>
      <w:r w:rsidRPr="00CD231A">
        <w:rPr>
          <w:rFonts w:ascii="Times New Roman" w:eastAsia="Times New Roman" w:hAnsi="Times New Roman" w:cs="Times New Roman"/>
          <w:color w:val="000000"/>
        </w:rPr>
        <w:t>CD578215.1 (</w:t>
      </w:r>
      <w:r w:rsidRPr="00CD231A">
        <w:rPr>
          <w:rFonts w:ascii="Times New Roman" w:hAnsi="Times New Roman" w:cs="Times New Roman"/>
        </w:rPr>
        <w:t>Rperm-S, FC=17.81; C-S, FC=43.40</w:t>
      </w:r>
      <w:r w:rsidRPr="00CD231A">
        <w:rPr>
          <w:rFonts w:ascii="Times New Roman" w:eastAsia="Times New Roman" w:hAnsi="Times New Roman" w:cs="Times New Roman"/>
          <w:color w:val="000000"/>
        </w:rPr>
        <w:t>), CD578215.1 (</w:t>
      </w:r>
      <w:r w:rsidRPr="00CD231A">
        <w:rPr>
          <w:rFonts w:ascii="Times New Roman" w:hAnsi="Times New Roman" w:cs="Times New Roman"/>
        </w:rPr>
        <w:t>Rperm-S, FC=14.75; C-S, FC=36.74</w:t>
      </w:r>
      <w:r w:rsidRPr="00CD231A">
        <w:rPr>
          <w:rFonts w:ascii="Times New Roman" w:eastAsia="Times New Roman" w:hAnsi="Times New Roman" w:cs="Times New Roman"/>
          <w:color w:val="000000"/>
        </w:rPr>
        <w:t>), Afun010482 (</w:t>
      </w:r>
      <w:r w:rsidRPr="00CD231A">
        <w:rPr>
          <w:rFonts w:ascii="Times New Roman" w:hAnsi="Times New Roman" w:cs="Times New Roman"/>
        </w:rPr>
        <w:t>Rperm-S, FC=18; C-S, FC=65.91</w:t>
      </w:r>
      <w:r w:rsidRPr="00CD231A">
        <w:rPr>
          <w:rFonts w:ascii="Times New Roman" w:eastAsia="Times New Roman" w:hAnsi="Times New Roman" w:cs="Times New Roman"/>
          <w:color w:val="000000"/>
        </w:rPr>
        <w:t>), CD577507.1 (</w:t>
      </w:r>
      <w:r w:rsidRPr="00CD231A">
        <w:rPr>
          <w:rFonts w:ascii="Times New Roman" w:hAnsi="Times New Roman" w:cs="Times New Roman"/>
        </w:rPr>
        <w:t>Rperm-S, FC=3.56; C-S, FC=5.87</w:t>
      </w:r>
      <w:r w:rsidRPr="00CD231A">
        <w:rPr>
          <w:rFonts w:ascii="Times New Roman" w:eastAsia="Times New Roman" w:hAnsi="Times New Roman" w:cs="Times New Roman"/>
          <w:color w:val="000000"/>
        </w:rPr>
        <w:t>) and Afun013390 (</w:t>
      </w:r>
      <w:r w:rsidRPr="00CD231A">
        <w:rPr>
          <w:rFonts w:ascii="Times New Roman" w:hAnsi="Times New Roman" w:cs="Times New Roman"/>
        </w:rPr>
        <w:t>Rperm-S, FC=4.11; C-S, FC=3.47</w:t>
      </w:r>
      <w:r w:rsidRPr="00CD231A">
        <w:rPr>
          <w:rFonts w:ascii="Times New Roman" w:eastAsia="Times New Roman" w:hAnsi="Times New Roman" w:cs="Times New Roman"/>
          <w:color w:val="000000"/>
        </w:rPr>
        <w:t xml:space="preserve">),while </w:t>
      </w:r>
      <w:r w:rsidRPr="00CD231A">
        <w:rPr>
          <w:rFonts w:ascii="Times New Roman" w:hAnsi="Times New Roman" w:cs="Times New Roman"/>
        </w:rPr>
        <w:t xml:space="preserve">carboxylesterase on the other hand produced a relatively lower fold change with </w:t>
      </w:r>
      <w:r w:rsidRPr="00CD231A">
        <w:rPr>
          <w:rFonts w:ascii="Times New Roman" w:eastAsia="Times New Roman" w:hAnsi="Times New Roman" w:cs="Times New Roman"/>
          <w:color w:val="000000"/>
        </w:rPr>
        <w:t>Afun015266</w:t>
      </w:r>
      <w:r w:rsidRPr="00CD231A">
        <w:rPr>
          <w:rFonts w:ascii="Times New Roman" w:hAnsi="Times New Roman" w:cs="Times New Roman"/>
        </w:rPr>
        <w:t xml:space="preserve"> (Rperm-S, FC=2.88; C-S, FC=2.88) (Table 2).</w:t>
      </w:r>
    </w:p>
    <w:p w14:paraId="2EA503C2" w14:textId="77777777" w:rsidR="00BF5696" w:rsidRPr="00CD231A" w:rsidRDefault="00BF5696" w:rsidP="00BF5696">
      <w:pPr>
        <w:spacing w:line="480" w:lineRule="auto"/>
        <w:jc w:val="both"/>
        <w:rPr>
          <w:rFonts w:ascii="Times New Roman" w:eastAsia="Times New Roman" w:hAnsi="Times New Roman" w:cs="Times New Roman"/>
          <w:bCs/>
          <w:iCs/>
          <w:color w:val="000000"/>
          <w:u w:val="single"/>
        </w:rPr>
      </w:pPr>
    </w:p>
    <w:p w14:paraId="0B8DF143" w14:textId="77777777" w:rsidR="00BF5696" w:rsidRPr="00CD231A" w:rsidRDefault="00BF5696" w:rsidP="00BF5696">
      <w:pPr>
        <w:spacing w:line="480" w:lineRule="auto"/>
        <w:jc w:val="both"/>
        <w:rPr>
          <w:rFonts w:ascii="Times New Roman" w:hAnsi="Times New Roman" w:cs="Times New Roman"/>
          <w:b/>
          <w:iCs/>
        </w:rPr>
      </w:pPr>
      <w:r w:rsidRPr="00CD231A">
        <w:rPr>
          <w:rFonts w:ascii="Times New Roman" w:eastAsia="Times New Roman" w:hAnsi="Times New Roman" w:cs="Times New Roman"/>
          <w:b/>
          <w:iCs/>
          <w:color w:val="000000"/>
        </w:rPr>
        <w:t xml:space="preserve">Common transcripts overexpressed in </w:t>
      </w:r>
      <w:r w:rsidRPr="00CD231A">
        <w:rPr>
          <w:rFonts w:ascii="Times New Roman" w:hAnsi="Times New Roman" w:cs="Times New Roman"/>
          <w:b/>
          <w:iCs/>
        </w:rPr>
        <w:t>Rperm-S</w:t>
      </w:r>
    </w:p>
    <w:p w14:paraId="5F6D4B43" w14:textId="77777777" w:rsidR="00BF5696" w:rsidRPr="00CD231A" w:rsidRDefault="00BF5696" w:rsidP="00BF5696">
      <w:pPr>
        <w:spacing w:after="120" w:line="480" w:lineRule="auto"/>
        <w:jc w:val="both"/>
        <w:rPr>
          <w:rFonts w:ascii="Times New Roman" w:eastAsia="Times New Roman" w:hAnsi="Times New Roman" w:cs="Times New Roman"/>
          <w:b/>
          <w:i/>
          <w:color w:val="000000"/>
        </w:rPr>
      </w:pPr>
      <w:r w:rsidRPr="00CD231A">
        <w:rPr>
          <w:rFonts w:ascii="Times New Roman" w:hAnsi="Times New Roman" w:cs="Times New Roman"/>
        </w:rPr>
        <w:t xml:space="preserve">This comparison produced the </w:t>
      </w:r>
      <w:r w:rsidRPr="00CD231A">
        <w:rPr>
          <w:rFonts w:ascii="Times New Roman" w:hAnsi="Times New Roman" w:cs="Times New Roman"/>
          <w:i/>
        </w:rPr>
        <w:t>GSTu2</w:t>
      </w:r>
      <w:r w:rsidRPr="00CD231A">
        <w:rPr>
          <w:rFonts w:ascii="Times New Roman" w:hAnsi="Times New Roman" w:cs="Times New Roman"/>
        </w:rPr>
        <w:t xml:space="preserve"> (</w:t>
      </w:r>
      <w:r w:rsidRPr="00CD231A">
        <w:rPr>
          <w:rFonts w:ascii="Times New Roman" w:eastAsia="Times New Roman" w:hAnsi="Times New Roman" w:cs="Times New Roman"/>
          <w:bCs/>
          <w:color w:val="000000"/>
        </w:rPr>
        <w:t>FC=4.25), a member</w:t>
      </w:r>
      <w:r w:rsidRPr="00CD231A">
        <w:rPr>
          <w:rFonts w:ascii="Times New Roman" w:hAnsi="Times New Roman" w:cs="Times New Roman"/>
        </w:rPr>
        <w:t xml:space="preserve"> of the GSTs family</w:t>
      </w:r>
      <w:r w:rsidRPr="00CD231A">
        <w:rPr>
          <w:rFonts w:ascii="Times New Roman" w:eastAsia="Times New Roman" w:hAnsi="Times New Roman" w:cs="Times New Roman"/>
          <w:bCs/>
          <w:color w:val="000000"/>
        </w:rPr>
        <w:t xml:space="preserve">. The other resistance-associated genes overexpressed are </w:t>
      </w:r>
      <w:r w:rsidRPr="00CD231A">
        <w:rPr>
          <w:rFonts w:ascii="Times New Roman" w:eastAsia="Times New Roman" w:hAnsi="Times New Roman" w:cs="Times New Roman"/>
          <w:color w:val="000000"/>
        </w:rPr>
        <w:t>glucosyl glucuronosyl transferases (3 transcripts) with fold changes of 2.25, 2.44 and 2.10 and chymotrypsin 1 (Afun010134: FC=4.75). An electron transport trans-membrane protein, cytochrome b561 (Afun008617; FC=2.20) was also overexpressed.</w:t>
      </w:r>
    </w:p>
    <w:p w14:paraId="7EED44D1" w14:textId="77777777" w:rsidR="00BF5696" w:rsidRPr="00CD231A" w:rsidRDefault="00BF5696" w:rsidP="00BF5696">
      <w:pPr>
        <w:spacing w:line="480" w:lineRule="auto"/>
        <w:jc w:val="both"/>
        <w:rPr>
          <w:rFonts w:ascii="Times New Roman" w:eastAsia="Times New Roman" w:hAnsi="Times New Roman" w:cs="Times New Roman"/>
          <w:bCs/>
          <w:iCs/>
          <w:color w:val="000000"/>
          <w:u w:val="single"/>
        </w:rPr>
      </w:pPr>
    </w:p>
    <w:p w14:paraId="6F761350" w14:textId="77777777" w:rsidR="00BF5696" w:rsidRPr="00CD231A" w:rsidRDefault="00BF5696" w:rsidP="00BF5696">
      <w:pPr>
        <w:spacing w:line="480" w:lineRule="auto"/>
        <w:jc w:val="both"/>
        <w:rPr>
          <w:rFonts w:ascii="Times New Roman" w:hAnsi="Times New Roman" w:cs="Times New Roman"/>
          <w:b/>
          <w:iCs/>
        </w:rPr>
      </w:pPr>
      <w:r w:rsidRPr="00CD231A">
        <w:rPr>
          <w:rFonts w:ascii="Times New Roman" w:eastAsia="Times New Roman" w:hAnsi="Times New Roman" w:cs="Times New Roman"/>
          <w:b/>
          <w:iCs/>
          <w:color w:val="000000"/>
        </w:rPr>
        <w:t xml:space="preserve">Common transcripts overexpressed in </w:t>
      </w:r>
      <w:r w:rsidRPr="00CD231A">
        <w:rPr>
          <w:rFonts w:ascii="Times New Roman" w:hAnsi="Times New Roman" w:cs="Times New Roman"/>
          <w:b/>
          <w:iCs/>
        </w:rPr>
        <w:t>C-S</w:t>
      </w:r>
    </w:p>
    <w:p w14:paraId="1FCFDAFA" w14:textId="77777777" w:rsidR="00BF5696" w:rsidRPr="00CD231A" w:rsidRDefault="00BF5696" w:rsidP="00BF5696">
      <w:pPr>
        <w:spacing w:after="120" w:line="480" w:lineRule="auto"/>
        <w:jc w:val="both"/>
        <w:rPr>
          <w:rFonts w:ascii="Times New Roman" w:eastAsia="Times New Roman" w:hAnsi="Times New Roman" w:cs="Times New Roman"/>
          <w:color w:val="000000"/>
        </w:rPr>
      </w:pPr>
      <w:r w:rsidRPr="00CD231A">
        <w:rPr>
          <w:rFonts w:ascii="Times New Roman" w:hAnsi="Times New Roman" w:cs="Times New Roman"/>
        </w:rPr>
        <w:t xml:space="preserve">Four transcripts, </w:t>
      </w:r>
      <w:r w:rsidRPr="00CD231A">
        <w:rPr>
          <w:rFonts w:ascii="Times New Roman" w:hAnsi="Times New Roman" w:cs="Times New Roman"/>
          <w:i/>
        </w:rPr>
        <w:t>CYP9J3</w:t>
      </w:r>
      <w:r w:rsidRPr="00CD231A">
        <w:rPr>
          <w:rFonts w:ascii="Times New Roman" w:hAnsi="Times New Roman" w:cs="Times New Roman"/>
        </w:rPr>
        <w:t xml:space="preserve"> (FC=2.3); </w:t>
      </w:r>
      <w:r w:rsidRPr="00CD231A">
        <w:rPr>
          <w:rFonts w:ascii="Times New Roman" w:hAnsi="Times New Roman" w:cs="Times New Roman"/>
          <w:i/>
        </w:rPr>
        <w:t>CYP6P9a</w:t>
      </w:r>
      <w:r w:rsidRPr="00CD231A">
        <w:rPr>
          <w:rFonts w:ascii="Times New Roman" w:hAnsi="Times New Roman" w:cs="Times New Roman"/>
        </w:rPr>
        <w:t xml:space="preserve"> (FC=2.92); </w:t>
      </w:r>
      <w:r w:rsidRPr="00CD231A">
        <w:rPr>
          <w:rFonts w:ascii="Times New Roman" w:hAnsi="Times New Roman" w:cs="Times New Roman"/>
          <w:i/>
        </w:rPr>
        <w:t>CYP6P9b</w:t>
      </w:r>
      <w:r w:rsidRPr="00CD231A">
        <w:rPr>
          <w:rFonts w:ascii="Times New Roman" w:hAnsi="Times New Roman" w:cs="Times New Roman"/>
        </w:rPr>
        <w:t xml:space="preserve"> (FC=14.48) and </w:t>
      </w:r>
      <w:r w:rsidRPr="00CD231A">
        <w:rPr>
          <w:rFonts w:ascii="Times New Roman" w:hAnsi="Times New Roman" w:cs="Times New Roman"/>
          <w:i/>
        </w:rPr>
        <w:t>CYP6AA4</w:t>
      </w:r>
      <w:r w:rsidRPr="00CD231A">
        <w:rPr>
          <w:rFonts w:ascii="Times New Roman" w:hAnsi="Times New Roman" w:cs="Times New Roman"/>
        </w:rPr>
        <w:t xml:space="preserve"> (FC=3.49) of the cytochrome P450 monooxygenase were overexpressed in this comparison (Table 2). The </w:t>
      </w:r>
      <w:r w:rsidRPr="00CD231A">
        <w:rPr>
          <w:rFonts w:ascii="Times New Roman" w:hAnsi="Times New Roman" w:cs="Times New Roman"/>
          <w:i/>
        </w:rPr>
        <w:t>CYP6P9b</w:t>
      </w:r>
      <w:r w:rsidRPr="00CD231A">
        <w:rPr>
          <w:rFonts w:ascii="Times New Roman" w:hAnsi="Times New Roman" w:cs="Times New Roman"/>
        </w:rPr>
        <w:t xml:space="preserve"> had the highest overexpression while the other duplicated gene, </w:t>
      </w:r>
      <w:r w:rsidRPr="00CD231A">
        <w:rPr>
          <w:rFonts w:ascii="Times New Roman" w:hAnsi="Times New Roman" w:cs="Times New Roman"/>
          <w:i/>
        </w:rPr>
        <w:t xml:space="preserve">CYP6P9a </w:t>
      </w:r>
      <w:r w:rsidRPr="00CD231A">
        <w:rPr>
          <w:rFonts w:ascii="Times New Roman" w:hAnsi="Times New Roman" w:cs="Times New Roman"/>
        </w:rPr>
        <w:t xml:space="preserve">that has been implicated in permethrin resistance of different </w:t>
      </w:r>
      <w:r w:rsidRPr="00CD231A">
        <w:rPr>
          <w:rFonts w:ascii="Times New Roman" w:hAnsi="Times New Roman" w:cs="Times New Roman"/>
          <w:i/>
        </w:rPr>
        <w:t>An. funestus</w:t>
      </w:r>
      <w:r w:rsidRPr="00CD231A">
        <w:rPr>
          <w:rFonts w:ascii="Times New Roman" w:hAnsi="Times New Roman" w:cs="Times New Roman"/>
        </w:rPr>
        <w:t xml:space="preserve"> populations was also overexpressed. Other resistant-associated </w:t>
      </w:r>
      <w:r w:rsidRPr="00CD231A">
        <w:rPr>
          <w:rFonts w:ascii="Times New Roman" w:hAnsi="Times New Roman" w:cs="Times New Roman"/>
        </w:rPr>
        <w:lastRenderedPageBreak/>
        <w:t xml:space="preserve">genes in this group are the </w:t>
      </w:r>
      <w:r w:rsidRPr="00CD231A">
        <w:rPr>
          <w:rFonts w:ascii="Times New Roman" w:eastAsia="Times New Roman" w:hAnsi="Times New Roman" w:cs="Times New Roman"/>
          <w:color w:val="000000"/>
        </w:rPr>
        <w:t>short-chain dehydrogenase (AGAP001405-RA_2R, FC=2.42), carboxylesterase (COEAE6O, FC=2.15); 3 transcripts of trypsin (AGAP011431-RA_3L, FC=2.02; CD578079.1, FC=2.38 and CD578079.1 FC=2.98); cytochrome C (BU039010.1, FC=2.13) and 2 transcripts of the cuticle proteins (Afun008525, FC=20.18 and CD577507.1, FC = 2.32).</w:t>
      </w:r>
    </w:p>
    <w:p w14:paraId="04388FB2" w14:textId="77777777" w:rsidR="00BF5696" w:rsidRPr="00CD231A" w:rsidRDefault="00BF5696" w:rsidP="00BF5696">
      <w:pPr>
        <w:spacing w:line="480" w:lineRule="auto"/>
        <w:jc w:val="both"/>
        <w:rPr>
          <w:rFonts w:ascii="Times New Roman" w:hAnsi="Times New Roman" w:cs="Times New Roman"/>
          <w:b/>
          <w:iCs/>
        </w:rPr>
      </w:pPr>
      <w:r w:rsidRPr="00CD231A">
        <w:rPr>
          <w:rFonts w:ascii="Times New Roman" w:eastAsia="Times New Roman" w:hAnsi="Times New Roman" w:cs="Times New Roman"/>
          <w:b/>
          <w:iCs/>
          <w:color w:val="000000"/>
        </w:rPr>
        <w:t>Common transcripts overexpressed in Rperm-</w:t>
      </w:r>
      <w:r w:rsidRPr="00CD231A">
        <w:rPr>
          <w:rFonts w:ascii="Times New Roman" w:hAnsi="Times New Roman" w:cs="Times New Roman"/>
          <w:b/>
          <w:iCs/>
        </w:rPr>
        <w:t>C</w:t>
      </w:r>
    </w:p>
    <w:p w14:paraId="08ED61AE" w14:textId="77777777" w:rsidR="00BF5696" w:rsidRPr="00CD231A" w:rsidRDefault="00BF5696" w:rsidP="00BF5696">
      <w:pPr>
        <w:spacing w:after="120" w:line="480" w:lineRule="auto"/>
        <w:jc w:val="both"/>
        <w:rPr>
          <w:rFonts w:ascii="Times New Roman" w:eastAsia="Times New Roman" w:hAnsi="Times New Roman" w:cs="Times New Roman"/>
          <w:color w:val="000000"/>
        </w:rPr>
      </w:pPr>
      <w:r w:rsidRPr="00CD231A">
        <w:rPr>
          <w:rFonts w:ascii="Times New Roman" w:hAnsi="Times New Roman" w:cs="Times New Roman"/>
        </w:rPr>
        <w:t>Two transcripts of the cytochrome P450 genes were overexpressed in the Rperm-C comparison. The</w:t>
      </w:r>
      <w:r w:rsidRPr="00CD231A">
        <w:rPr>
          <w:rFonts w:ascii="Times New Roman" w:hAnsi="Times New Roman" w:cs="Times New Roman"/>
          <w:i/>
        </w:rPr>
        <w:t xml:space="preserve"> CYP6P9a</w:t>
      </w:r>
      <w:r w:rsidRPr="00CD231A">
        <w:rPr>
          <w:rFonts w:ascii="Times New Roman" w:hAnsi="Times New Roman" w:cs="Times New Roman"/>
        </w:rPr>
        <w:t xml:space="preserve"> (FC = 2.92) and </w:t>
      </w:r>
      <w:r w:rsidRPr="00CD231A">
        <w:rPr>
          <w:rFonts w:ascii="Times New Roman" w:hAnsi="Times New Roman" w:cs="Times New Roman"/>
          <w:i/>
        </w:rPr>
        <w:t>CYP6P2</w:t>
      </w:r>
      <w:r w:rsidRPr="00CD231A">
        <w:rPr>
          <w:rFonts w:ascii="Times New Roman" w:hAnsi="Times New Roman" w:cs="Times New Roman"/>
        </w:rPr>
        <w:t xml:space="preserve"> (FC=2.47) were identified to be playing a role in the detoxification of permethrin. The GST gene (</w:t>
      </w:r>
      <w:r w:rsidRPr="00CD231A">
        <w:rPr>
          <w:rFonts w:ascii="Times New Roman" w:eastAsia="Times New Roman" w:hAnsi="Times New Roman" w:cs="Times New Roman"/>
          <w:color w:val="000000"/>
        </w:rPr>
        <w:t>AGAP004164-RC, FC=2.09)</w:t>
      </w:r>
      <w:r w:rsidRPr="00CD231A">
        <w:rPr>
          <w:rFonts w:ascii="Times New Roman" w:hAnsi="Times New Roman" w:cs="Times New Roman"/>
        </w:rPr>
        <w:t xml:space="preserve"> was also overexpressed </w:t>
      </w:r>
      <w:r w:rsidRPr="00CD231A">
        <w:rPr>
          <w:rFonts w:ascii="Times New Roman" w:eastAsia="Times New Roman" w:hAnsi="Times New Roman" w:cs="Times New Roman"/>
          <w:color w:val="000000"/>
        </w:rPr>
        <w:t xml:space="preserve">as well as the esterase family, esterase fe4 (Afun014849, FC=2.03) </w:t>
      </w:r>
      <w:r w:rsidRPr="00CD231A">
        <w:rPr>
          <w:rFonts w:ascii="Times New Roman" w:hAnsi="Times New Roman" w:cs="Times New Roman"/>
        </w:rPr>
        <w:t>in this comparison</w:t>
      </w:r>
      <w:r w:rsidRPr="00CD231A">
        <w:rPr>
          <w:rFonts w:ascii="Times New Roman" w:eastAsia="Times New Roman" w:hAnsi="Times New Roman" w:cs="Times New Roman"/>
          <w:color w:val="000000"/>
        </w:rPr>
        <w:t>.</w:t>
      </w:r>
    </w:p>
    <w:p w14:paraId="15C904AA" w14:textId="77777777" w:rsidR="00BF5696" w:rsidRPr="00CD231A" w:rsidRDefault="00BF5696" w:rsidP="00BF5696">
      <w:pPr>
        <w:spacing w:before="120" w:line="480" w:lineRule="auto"/>
        <w:jc w:val="both"/>
        <w:rPr>
          <w:rFonts w:ascii="Times New Roman" w:hAnsi="Times New Roman" w:cs="Times New Roman"/>
          <w:b/>
          <w:iCs/>
        </w:rPr>
      </w:pPr>
    </w:p>
    <w:p w14:paraId="5BC4A6ED" w14:textId="77777777" w:rsidR="00BF5696" w:rsidRPr="00CD231A" w:rsidRDefault="00BF5696" w:rsidP="00BF5696">
      <w:pPr>
        <w:spacing w:before="120" w:line="480" w:lineRule="auto"/>
        <w:jc w:val="both"/>
        <w:rPr>
          <w:rFonts w:ascii="Times New Roman" w:hAnsi="Times New Roman" w:cs="Times New Roman"/>
          <w:b/>
          <w:iCs/>
        </w:rPr>
      </w:pPr>
      <w:r w:rsidRPr="00CD231A">
        <w:rPr>
          <w:rFonts w:ascii="Times New Roman" w:hAnsi="Times New Roman" w:cs="Times New Roman"/>
          <w:b/>
          <w:iCs/>
        </w:rPr>
        <w:t>Genes associated with Permethrin resistance using RT-PCR technique</w:t>
      </w:r>
    </w:p>
    <w:p w14:paraId="2244C2A4" w14:textId="195F75F6" w:rsidR="00BF5696" w:rsidRPr="00CD231A" w:rsidRDefault="00BF5696" w:rsidP="00BF5696">
      <w:pPr>
        <w:spacing w:after="120" w:line="480" w:lineRule="auto"/>
        <w:jc w:val="both"/>
        <w:rPr>
          <w:rFonts w:ascii="Times New Roman" w:eastAsia="Times New Roman" w:hAnsi="Times New Roman" w:cs="Times New Roman"/>
          <w:color w:val="000000"/>
        </w:rPr>
      </w:pPr>
      <w:r w:rsidRPr="00CD231A">
        <w:rPr>
          <w:rFonts w:ascii="Times New Roman" w:hAnsi="Times New Roman" w:cs="Times New Roman"/>
        </w:rPr>
        <w:t xml:space="preserve">The </w:t>
      </w:r>
      <w:r w:rsidRPr="00CD231A">
        <w:rPr>
          <w:rFonts w:ascii="Times New Roman" w:hAnsi="Times New Roman" w:cs="Times New Roman"/>
          <w:i/>
        </w:rPr>
        <w:t>GSTe2</w:t>
      </w:r>
      <w:r w:rsidRPr="00CD231A">
        <w:rPr>
          <w:rFonts w:ascii="Times New Roman" w:hAnsi="Times New Roman" w:cs="Times New Roman"/>
        </w:rPr>
        <w:t xml:space="preserve"> gene was upregulated in permethrin-resistant mosquitoes (FC=44.89) compared to the unexposed control (FC=22.34) (Fig. 3a) using the RT-PCR. Both </w:t>
      </w:r>
      <w:r w:rsidRPr="00CD231A">
        <w:rPr>
          <w:rFonts w:ascii="Times New Roman" w:hAnsi="Times New Roman" w:cs="Times New Roman"/>
          <w:i/>
        </w:rPr>
        <w:t xml:space="preserve">GSTd3 </w:t>
      </w:r>
      <w:r w:rsidRPr="00CD231A">
        <w:rPr>
          <w:rFonts w:ascii="Times New Roman" w:hAnsi="Times New Roman" w:cs="Times New Roman"/>
        </w:rPr>
        <w:t xml:space="preserve">and </w:t>
      </w:r>
      <w:r w:rsidRPr="00CD231A">
        <w:rPr>
          <w:rFonts w:ascii="Times New Roman" w:hAnsi="Times New Roman" w:cs="Times New Roman"/>
          <w:i/>
        </w:rPr>
        <w:t>GSTd1-5</w:t>
      </w:r>
      <w:r w:rsidRPr="00CD231A">
        <w:rPr>
          <w:rFonts w:ascii="Times New Roman" w:hAnsi="Times New Roman" w:cs="Times New Roman"/>
        </w:rPr>
        <w:t xml:space="preserve"> were also upregulated in resistant mosquitoes compared to control but with lower folds [</w:t>
      </w:r>
      <w:r w:rsidRPr="00CD231A">
        <w:rPr>
          <w:rFonts w:ascii="Times New Roman" w:hAnsi="Times New Roman" w:cs="Times New Roman"/>
          <w:i/>
        </w:rPr>
        <w:t>GSTd3</w:t>
      </w:r>
      <w:r w:rsidRPr="00CD231A">
        <w:rPr>
          <w:rFonts w:ascii="Times New Roman" w:hAnsi="Times New Roman" w:cs="Times New Roman"/>
        </w:rPr>
        <w:t>:</w:t>
      </w:r>
      <w:r w:rsidRPr="00CD231A">
        <w:rPr>
          <w:rFonts w:ascii="Times New Roman" w:hAnsi="Times New Roman" w:cs="Times New Roman"/>
          <w:i/>
        </w:rPr>
        <w:t xml:space="preserve"> </w:t>
      </w:r>
      <w:r w:rsidRPr="00CD231A">
        <w:rPr>
          <w:rFonts w:ascii="Times New Roman" w:hAnsi="Times New Roman" w:cs="Times New Roman"/>
        </w:rPr>
        <w:t xml:space="preserve">FC= 4.27 (resistant) vs 1.75 (control) and </w:t>
      </w:r>
      <w:r w:rsidRPr="00CD231A">
        <w:rPr>
          <w:rFonts w:ascii="Times New Roman" w:hAnsi="Times New Roman" w:cs="Times New Roman"/>
          <w:i/>
        </w:rPr>
        <w:t>GSTd1-5</w:t>
      </w:r>
      <w:r w:rsidRPr="00CD231A">
        <w:rPr>
          <w:rFonts w:ascii="Times New Roman" w:hAnsi="Times New Roman" w:cs="Times New Roman"/>
        </w:rPr>
        <w:t>:</w:t>
      </w:r>
      <w:r w:rsidRPr="00CD231A">
        <w:rPr>
          <w:rFonts w:ascii="Times New Roman" w:hAnsi="Times New Roman" w:cs="Times New Roman"/>
          <w:i/>
        </w:rPr>
        <w:t xml:space="preserve"> </w:t>
      </w:r>
      <w:r w:rsidRPr="00CD231A">
        <w:rPr>
          <w:rFonts w:ascii="Times New Roman" w:hAnsi="Times New Roman" w:cs="Times New Roman"/>
        </w:rPr>
        <w:t xml:space="preserve">FC = 7.1 (resistant) vs 4.3 (control)] compared to the </w:t>
      </w:r>
      <w:r w:rsidRPr="00CD231A">
        <w:rPr>
          <w:rFonts w:ascii="Times New Roman" w:hAnsi="Times New Roman" w:cs="Times New Roman"/>
          <w:i/>
        </w:rPr>
        <w:t>GSTe2.</w:t>
      </w:r>
      <w:r w:rsidRPr="00CD231A">
        <w:rPr>
          <w:rFonts w:ascii="Times New Roman" w:hAnsi="Times New Roman" w:cs="Times New Roman"/>
        </w:rPr>
        <w:t xml:space="preserve"> Some cytochrome P450 genes, like the </w:t>
      </w:r>
      <w:r w:rsidRPr="00CD231A">
        <w:rPr>
          <w:rFonts w:ascii="Times New Roman" w:hAnsi="Times New Roman" w:cs="Times New Roman"/>
          <w:i/>
        </w:rPr>
        <w:t xml:space="preserve">CYP6P4a </w:t>
      </w:r>
      <w:r w:rsidRPr="00CD231A">
        <w:rPr>
          <w:rFonts w:ascii="Times New Roman" w:hAnsi="Times New Roman" w:cs="Times New Roman"/>
        </w:rPr>
        <w:t xml:space="preserve">[FC= 2.98 (resistant) vs 1.72 (control)] and slightly in </w:t>
      </w:r>
      <w:r w:rsidRPr="00CD231A">
        <w:rPr>
          <w:rFonts w:ascii="Times New Roman" w:hAnsi="Times New Roman" w:cs="Times New Roman"/>
          <w:i/>
        </w:rPr>
        <w:t>CYP9K1</w:t>
      </w:r>
      <w:r w:rsidRPr="00CD231A">
        <w:rPr>
          <w:rFonts w:ascii="Times New Roman" w:hAnsi="Times New Roman" w:cs="Times New Roman"/>
        </w:rPr>
        <w:t xml:space="preserve"> [FC=2.66 vs 2.44] were upregulated in Rperm over the unexposed control mosquitoes. </w:t>
      </w:r>
      <w:r w:rsidRPr="00CD231A">
        <w:rPr>
          <w:rFonts w:ascii="Times New Roman" w:hAnsi="Times New Roman" w:cs="Times New Roman"/>
          <w:i/>
        </w:rPr>
        <w:t>Trypsin</w:t>
      </w:r>
      <w:r w:rsidRPr="00CD231A">
        <w:rPr>
          <w:rFonts w:ascii="Times New Roman" w:hAnsi="Times New Roman" w:cs="Times New Roman"/>
        </w:rPr>
        <w:t xml:space="preserve"> was also overexpressed in the resistant (FC=2.42) compared to the control (0.31).</w:t>
      </w:r>
    </w:p>
    <w:p w14:paraId="42EBE0AC" w14:textId="77777777" w:rsidR="00BF5696" w:rsidRPr="00CD231A" w:rsidRDefault="00BF5696" w:rsidP="00BF5696">
      <w:pPr>
        <w:spacing w:line="480" w:lineRule="auto"/>
        <w:jc w:val="both"/>
        <w:rPr>
          <w:rFonts w:ascii="Times New Roman" w:hAnsi="Times New Roman" w:cs="Times New Roman"/>
          <w:b/>
        </w:rPr>
      </w:pPr>
    </w:p>
    <w:p w14:paraId="6E17112E" w14:textId="585BEF7F" w:rsidR="00BF5696" w:rsidRPr="00CD231A" w:rsidRDefault="00BF5696" w:rsidP="00BF5696">
      <w:pPr>
        <w:spacing w:line="480" w:lineRule="auto"/>
        <w:jc w:val="both"/>
        <w:rPr>
          <w:rFonts w:ascii="Times New Roman" w:hAnsi="Times New Roman" w:cs="Times New Roman"/>
          <w:b/>
          <w:i/>
          <w:iCs/>
        </w:rPr>
      </w:pPr>
      <w:r w:rsidRPr="00CD231A">
        <w:rPr>
          <w:rFonts w:ascii="Times New Roman" w:hAnsi="Times New Roman" w:cs="Times New Roman"/>
          <w:b/>
        </w:rPr>
        <w:lastRenderedPageBreak/>
        <w:t xml:space="preserve">Gene expression profiling also revealed that the upregulation of multiple metabolic genes drives DDT resistance of </w:t>
      </w:r>
      <w:r w:rsidRPr="00CD231A">
        <w:rPr>
          <w:rFonts w:ascii="Times New Roman" w:hAnsi="Times New Roman" w:cs="Times New Roman"/>
          <w:b/>
          <w:i/>
          <w:iCs/>
        </w:rPr>
        <w:t>An</w:t>
      </w:r>
      <w:r w:rsidR="002C13FE" w:rsidRPr="00CD231A">
        <w:rPr>
          <w:rFonts w:ascii="Times New Roman" w:hAnsi="Times New Roman" w:cs="Times New Roman"/>
          <w:b/>
          <w:i/>
          <w:iCs/>
        </w:rPr>
        <w:t>.</w:t>
      </w:r>
      <w:r w:rsidRPr="00CD231A">
        <w:rPr>
          <w:rFonts w:ascii="Times New Roman" w:hAnsi="Times New Roman" w:cs="Times New Roman"/>
          <w:b/>
          <w:i/>
          <w:iCs/>
        </w:rPr>
        <w:t xml:space="preserve"> funestus s.s.</w:t>
      </w:r>
    </w:p>
    <w:p w14:paraId="2EC2DB41" w14:textId="5E52D3BE" w:rsidR="00EC5211" w:rsidRPr="00CD231A" w:rsidRDefault="00BF5696" w:rsidP="005420FF">
      <w:pPr>
        <w:spacing w:line="480" w:lineRule="auto"/>
        <w:jc w:val="both"/>
        <w:rPr>
          <w:rFonts w:ascii="Times New Roman" w:hAnsi="Times New Roman" w:cs="Times New Roman"/>
        </w:rPr>
      </w:pPr>
      <w:r w:rsidRPr="00CD231A">
        <w:rPr>
          <w:rFonts w:ascii="Times New Roman" w:hAnsi="Times New Roman" w:cs="Times New Roman"/>
        </w:rPr>
        <w:t>There was no detoxification gene overexpressed in these different comparisons (R</w:t>
      </w:r>
      <w:r w:rsidRPr="00CD231A">
        <w:rPr>
          <w:rFonts w:ascii="Times New Roman" w:hAnsi="Times New Roman" w:cs="Times New Roman"/>
          <w:vertAlign w:val="subscript"/>
        </w:rPr>
        <w:t>DDT</w:t>
      </w:r>
      <w:r w:rsidRPr="00CD231A">
        <w:rPr>
          <w:rFonts w:ascii="Times New Roman" w:hAnsi="Times New Roman" w:cs="Times New Roman"/>
        </w:rPr>
        <w:t>-S, C-S and Rperm-S; R</w:t>
      </w:r>
      <w:r w:rsidRPr="00CD231A">
        <w:rPr>
          <w:rFonts w:ascii="Times New Roman" w:hAnsi="Times New Roman" w:cs="Times New Roman"/>
          <w:vertAlign w:val="subscript"/>
        </w:rPr>
        <w:t>DDT</w:t>
      </w:r>
      <w:r w:rsidRPr="00CD231A">
        <w:rPr>
          <w:rFonts w:ascii="Times New Roman" w:hAnsi="Times New Roman" w:cs="Times New Roman"/>
        </w:rPr>
        <w:t>-S and C-S; R</w:t>
      </w:r>
      <w:r w:rsidRPr="00CD231A">
        <w:rPr>
          <w:rFonts w:ascii="Times New Roman" w:hAnsi="Times New Roman" w:cs="Times New Roman"/>
          <w:vertAlign w:val="subscript"/>
        </w:rPr>
        <w:t>DDT</w:t>
      </w:r>
      <w:r w:rsidRPr="00CD231A">
        <w:rPr>
          <w:rFonts w:ascii="Times New Roman" w:hAnsi="Times New Roman" w:cs="Times New Roman"/>
        </w:rPr>
        <w:t xml:space="preserve">-S and Rperm-S; Rperm-S and C-S). However, there were few resistant-associated transcripts (cytochrome P450s, GSTs, carboxylesterase, </w:t>
      </w:r>
      <w:r w:rsidRPr="00CD231A">
        <w:rPr>
          <w:rFonts w:ascii="Times New Roman" w:eastAsia="Times New Roman" w:hAnsi="Times New Roman" w:cs="Times New Roman"/>
          <w:color w:val="000000"/>
        </w:rPr>
        <w:t>glucosyl glucuronosyl transferases, chymotrypsin, short-chain dehydrogenase, trypsin and cuticle proteins) identified in other comparisons. There was only one P450 transcript (</w:t>
      </w:r>
      <w:r w:rsidRPr="00CD231A">
        <w:rPr>
          <w:rFonts w:ascii="Times New Roman" w:hAnsi="Times New Roman" w:cs="Times New Roman"/>
          <w:i/>
        </w:rPr>
        <w:t>CYP6AK1</w:t>
      </w:r>
      <w:r w:rsidRPr="00CD231A">
        <w:rPr>
          <w:rFonts w:ascii="Times New Roman" w:hAnsi="Times New Roman" w:cs="Times New Roman"/>
        </w:rPr>
        <w:t>, FC=1.69)</w:t>
      </w:r>
      <w:r w:rsidRPr="00CD231A">
        <w:rPr>
          <w:rFonts w:ascii="Times New Roman" w:eastAsia="Times New Roman" w:hAnsi="Times New Roman" w:cs="Times New Roman"/>
          <w:color w:val="000000"/>
        </w:rPr>
        <w:t xml:space="preserve"> overexpressed in </w:t>
      </w:r>
      <w:r w:rsidRPr="00CD231A">
        <w:rPr>
          <w:rFonts w:ascii="Times New Roman" w:hAnsi="Times New Roman" w:cs="Times New Roman"/>
        </w:rPr>
        <w:t>R</w:t>
      </w:r>
      <w:r w:rsidRPr="00CD231A">
        <w:rPr>
          <w:rFonts w:ascii="Times New Roman" w:hAnsi="Times New Roman" w:cs="Times New Roman"/>
          <w:vertAlign w:val="subscript"/>
        </w:rPr>
        <w:t>DDT</w:t>
      </w:r>
      <w:r w:rsidRPr="00CD231A">
        <w:rPr>
          <w:rFonts w:ascii="Times New Roman" w:hAnsi="Times New Roman" w:cs="Times New Roman"/>
        </w:rPr>
        <w:t>-S (Table 3). The other transcripts upregulated in this comparison were cuticle protein genes (</w:t>
      </w:r>
      <w:r w:rsidRPr="00CD231A">
        <w:rPr>
          <w:rFonts w:ascii="Times New Roman" w:eastAsia="Times New Roman" w:hAnsi="Times New Roman" w:cs="Times New Roman"/>
          <w:i/>
          <w:color w:val="000000"/>
        </w:rPr>
        <w:t>AGAP009480-RA_3R</w:t>
      </w:r>
      <w:r w:rsidRPr="00CD231A">
        <w:rPr>
          <w:rFonts w:ascii="Times New Roman" w:eastAsia="Times New Roman" w:hAnsi="Times New Roman" w:cs="Times New Roman"/>
          <w:color w:val="000000"/>
        </w:rPr>
        <w:t>,</w:t>
      </w:r>
      <w:r w:rsidRPr="00CD231A">
        <w:rPr>
          <w:rFonts w:ascii="Times New Roman" w:eastAsia="Times New Roman" w:hAnsi="Times New Roman" w:cs="Times New Roman"/>
        </w:rPr>
        <w:t xml:space="preserve"> FC=1.94; </w:t>
      </w:r>
      <w:r w:rsidRPr="00CD231A">
        <w:rPr>
          <w:rFonts w:ascii="Times New Roman" w:eastAsia="Times New Roman" w:hAnsi="Times New Roman" w:cs="Times New Roman"/>
          <w:i/>
          <w:color w:val="000000"/>
        </w:rPr>
        <w:t>AGAP003382RA_Cuticular</w:t>
      </w:r>
      <w:r w:rsidRPr="00CD231A">
        <w:rPr>
          <w:rFonts w:ascii="Times New Roman" w:eastAsia="Times New Roman" w:hAnsi="Times New Roman" w:cs="Times New Roman"/>
          <w:color w:val="000000"/>
        </w:rPr>
        <w:t>,</w:t>
      </w:r>
      <w:r w:rsidRPr="00CD231A">
        <w:rPr>
          <w:rFonts w:ascii="Times New Roman" w:eastAsia="Times New Roman" w:hAnsi="Times New Roman" w:cs="Times New Roman"/>
        </w:rPr>
        <w:t xml:space="preserve"> FC=1.84</w:t>
      </w:r>
      <w:r w:rsidRPr="00CD231A">
        <w:rPr>
          <w:rFonts w:ascii="Times New Roman" w:hAnsi="Times New Roman" w:cs="Times New Roman"/>
        </w:rPr>
        <w:t>), chymotrypsin 1, (</w:t>
      </w:r>
      <w:r w:rsidRPr="00CD231A">
        <w:rPr>
          <w:rFonts w:ascii="Times New Roman" w:eastAsia="Times New Roman" w:hAnsi="Times New Roman" w:cs="Times New Roman"/>
          <w:color w:val="000000"/>
        </w:rPr>
        <w:t>combined_c3760,</w:t>
      </w:r>
      <w:r w:rsidRPr="00CD231A">
        <w:rPr>
          <w:rFonts w:ascii="Times New Roman" w:hAnsi="Times New Roman" w:cs="Times New Roman"/>
        </w:rPr>
        <w:t xml:space="preserve"> FC=2.13), short-chain dehydrogenase (</w:t>
      </w:r>
      <w:r w:rsidRPr="00CD231A">
        <w:rPr>
          <w:rFonts w:ascii="Times New Roman" w:eastAsia="Times New Roman" w:hAnsi="Times New Roman" w:cs="Times New Roman"/>
          <w:i/>
          <w:color w:val="000000"/>
        </w:rPr>
        <w:t>CD577943.1</w:t>
      </w:r>
      <w:r w:rsidRPr="00CD231A">
        <w:rPr>
          <w:rFonts w:ascii="Times New Roman" w:eastAsia="Times New Roman" w:hAnsi="Times New Roman" w:cs="Times New Roman"/>
          <w:color w:val="000000"/>
        </w:rPr>
        <w:t>, FC=1.72) and the nucleotide binding protein 2 (</w:t>
      </w:r>
      <w:r w:rsidRPr="00CD231A">
        <w:rPr>
          <w:rFonts w:ascii="Times New Roman" w:eastAsia="Times New Roman" w:hAnsi="Times New Roman" w:cs="Times New Roman"/>
          <w:i/>
          <w:color w:val="000000"/>
        </w:rPr>
        <w:t>AGAP011997-RA_3L,</w:t>
      </w:r>
      <w:r w:rsidRPr="00CD231A">
        <w:rPr>
          <w:rFonts w:ascii="Times New Roman" w:eastAsia="Times New Roman" w:hAnsi="Times New Roman" w:cs="Times New Roman"/>
          <w:color w:val="000000"/>
        </w:rPr>
        <w:t xml:space="preserve"> FC=1.64). Transcripts of cytochrome P450s, GSTs are among the detoxification genes that were overexpressed in the C-S comparison. There were four transcripts of the P450 genes in the C-S comparison: </w:t>
      </w:r>
      <w:r w:rsidRPr="00CD231A">
        <w:rPr>
          <w:rFonts w:ascii="Times New Roman" w:eastAsia="Times New Roman" w:hAnsi="Times New Roman" w:cs="Times New Roman"/>
          <w:i/>
          <w:color w:val="000000"/>
        </w:rPr>
        <w:t>CYP9J3</w:t>
      </w:r>
      <w:r w:rsidRPr="00CD231A">
        <w:rPr>
          <w:rFonts w:ascii="Times New Roman" w:eastAsia="Times New Roman" w:hAnsi="Times New Roman" w:cs="Times New Roman"/>
          <w:color w:val="000000"/>
        </w:rPr>
        <w:t xml:space="preserve"> (FC=2.30); </w:t>
      </w:r>
      <w:r w:rsidRPr="00CD231A">
        <w:rPr>
          <w:rFonts w:ascii="Times New Roman" w:eastAsia="Times New Roman" w:hAnsi="Times New Roman" w:cs="Times New Roman"/>
          <w:i/>
          <w:color w:val="000000"/>
        </w:rPr>
        <w:t>CYP4AA4</w:t>
      </w:r>
      <w:r w:rsidRPr="00CD231A">
        <w:rPr>
          <w:rFonts w:ascii="Times New Roman" w:eastAsia="Times New Roman" w:hAnsi="Times New Roman" w:cs="Times New Roman"/>
          <w:color w:val="000000"/>
        </w:rPr>
        <w:t xml:space="preserve"> (FC=3.49); </w:t>
      </w:r>
      <w:r w:rsidRPr="00CD231A">
        <w:rPr>
          <w:rFonts w:ascii="Times New Roman" w:eastAsia="Times New Roman" w:hAnsi="Times New Roman" w:cs="Times New Roman"/>
          <w:i/>
          <w:color w:val="000000"/>
        </w:rPr>
        <w:t>CYP6P9b</w:t>
      </w:r>
      <w:r w:rsidRPr="00CD231A">
        <w:rPr>
          <w:rFonts w:ascii="Times New Roman" w:eastAsia="Times New Roman" w:hAnsi="Times New Roman" w:cs="Times New Roman"/>
          <w:color w:val="000000"/>
        </w:rPr>
        <w:t xml:space="preserve"> (FC=14.48) and </w:t>
      </w:r>
      <w:r w:rsidRPr="00CD231A">
        <w:rPr>
          <w:rFonts w:ascii="Times New Roman" w:eastAsia="Times New Roman" w:hAnsi="Times New Roman" w:cs="Times New Roman"/>
          <w:bCs/>
          <w:i/>
          <w:color w:val="000000"/>
        </w:rPr>
        <w:t>AGAP012291-RA_3L</w:t>
      </w:r>
      <w:r w:rsidRPr="00CD231A">
        <w:rPr>
          <w:rFonts w:ascii="Times New Roman" w:eastAsia="Times New Roman" w:hAnsi="Times New Roman" w:cs="Times New Roman"/>
          <w:bCs/>
          <w:color w:val="000000"/>
        </w:rPr>
        <w:t xml:space="preserve">, (FC=2.42). There was also an overexpression of the </w:t>
      </w:r>
      <w:r w:rsidRPr="00CD231A">
        <w:rPr>
          <w:rFonts w:ascii="Times New Roman" w:eastAsia="Times New Roman" w:hAnsi="Times New Roman" w:cs="Times New Roman"/>
          <w:bCs/>
          <w:i/>
          <w:color w:val="000000"/>
        </w:rPr>
        <w:t>GSTs1</w:t>
      </w:r>
      <w:r w:rsidRPr="00CD231A">
        <w:rPr>
          <w:rFonts w:ascii="Times New Roman" w:eastAsia="Times New Roman" w:hAnsi="Times New Roman" w:cs="Times New Roman"/>
          <w:bCs/>
          <w:color w:val="000000"/>
        </w:rPr>
        <w:t xml:space="preserve"> (FC=2)</w:t>
      </w:r>
      <w:r w:rsidRPr="00CD231A">
        <w:rPr>
          <w:rFonts w:ascii="Times New Roman" w:eastAsia="Times New Roman" w:hAnsi="Times New Roman" w:cs="Times New Roman"/>
          <w:bCs/>
          <w:i/>
          <w:color w:val="000000"/>
        </w:rPr>
        <w:t xml:space="preserve">, </w:t>
      </w:r>
      <w:r w:rsidRPr="00CD231A">
        <w:rPr>
          <w:rFonts w:ascii="Times New Roman" w:eastAsia="Times New Roman" w:hAnsi="Times New Roman" w:cs="Times New Roman"/>
          <w:bCs/>
          <w:color w:val="000000"/>
        </w:rPr>
        <w:t xml:space="preserve">a member of the sigma GSTs. The other detoxification genes overexpressed here were the short-chain dehydrogenase, </w:t>
      </w:r>
      <w:r w:rsidRPr="00CD231A">
        <w:rPr>
          <w:rFonts w:ascii="Times New Roman" w:eastAsia="Times New Roman" w:hAnsi="Times New Roman" w:cs="Times New Roman"/>
          <w:i/>
          <w:color w:val="000000"/>
        </w:rPr>
        <w:t>AGAP001405-RA_2R</w:t>
      </w:r>
      <w:r w:rsidRPr="00CD231A">
        <w:rPr>
          <w:rFonts w:ascii="Times New Roman" w:eastAsia="Times New Roman" w:hAnsi="Times New Roman" w:cs="Times New Roman"/>
          <w:color w:val="000000"/>
        </w:rPr>
        <w:t xml:space="preserve"> (FC=2.42), carboxylesterase, </w:t>
      </w:r>
      <w:r w:rsidRPr="00CD231A">
        <w:rPr>
          <w:rFonts w:ascii="Times New Roman" w:eastAsia="Times New Roman" w:hAnsi="Times New Roman" w:cs="Times New Roman"/>
          <w:i/>
          <w:color w:val="000000"/>
        </w:rPr>
        <w:t>COEAE6O</w:t>
      </w:r>
      <w:r w:rsidRPr="00CD231A">
        <w:rPr>
          <w:rFonts w:ascii="Times New Roman" w:eastAsia="Times New Roman" w:hAnsi="Times New Roman" w:cs="Times New Roman"/>
          <w:color w:val="000000"/>
        </w:rPr>
        <w:t xml:space="preserve"> (FC=2.15), three transcripts of cuticle proteins (</w:t>
      </w:r>
      <w:r w:rsidRPr="00CD231A">
        <w:rPr>
          <w:rFonts w:ascii="Times New Roman" w:eastAsia="Times New Roman" w:hAnsi="Times New Roman" w:cs="Times New Roman"/>
          <w:i/>
          <w:color w:val="000000"/>
        </w:rPr>
        <w:t>combined_c2672</w:t>
      </w:r>
      <w:r w:rsidRPr="00CD231A">
        <w:rPr>
          <w:rFonts w:ascii="Times New Roman" w:eastAsia="Times New Roman" w:hAnsi="Times New Roman" w:cs="Times New Roman"/>
          <w:color w:val="000000"/>
        </w:rPr>
        <w:t xml:space="preserve">, FC=2.2; </w:t>
      </w:r>
      <w:r w:rsidRPr="00CD231A">
        <w:rPr>
          <w:rFonts w:ascii="Times New Roman" w:eastAsia="Times New Roman" w:hAnsi="Times New Roman" w:cs="Times New Roman"/>
          <w:i/>
          <w:color w:val="000000"/>
        </w:rPr>
        <w:t>Afun008525</w:t>
      </w:r>
      <w:r w:rsidRPr="00CD231A">
        <w:rPr>
          <w:rFonts w:ascii="Times New Roman" w:eastAsia="Times New Roman" w:hAnsi="Times New Roman" w:cs="Times New Roman"/>
          <w:color w:val="000000"/>
        </w:rPr>
        <w:t xml:space="preserve">, FC=20.18; </w:t>
      </w:r>
      <w:r w:rsidRPr="00CD231A">
        <w:rPr>
          <w:rFonts w:ascii="Times New Roman" w:eastAsia="Times New Roman" w:hAnsi="Times New Roman" w:cs="Times New Roman"/>
          <w:i/>
          <w:color w:val="000000"/>
        </w:rPr>
        <w:t>CD577507.1</w:t>
      </w:r>
      <w:r w:rsidRPr="00CD231A">
        <w:rPr>
          <w:rFonts w:ascii="Times New Roman" w:eastAsia="Times New Roman" w:hAnsi="Times New Roman" w:cs="Times New Roman"/>
          <w:color w:val="000000"/>
        </w:rPr>
        <w:t>, FC=2.32) and three transcripts of trypsin (</w:t>
      </w:r>
      <w:r w:rsidRPr="00CD231A">
        <w:rPr>
          <w:rFonts w:ascii="Times New Roman" w:eastAsia="Times New Roman" w:hAnsi="Times New Roman" w:cs="Times New Roman"/>
          <w:i/>
          <w:color w:val="000000"/>
        </w:rPr>
        <w:t>AGAP011431-RA_3L</w:t>
      </w:r>
      <w:r w:rsidRPr="00CD231A">
        <w:rPr>
          <w:rFonts w:ascii="Times New Roman" w:eastAsia="Times New Roman" w:hAnsi="Times New Roman" w:cs="Times New Roman"/>
          <w:color w:val="000000"/>
        </w:rPr>
        <w:t xml:space="preserve">, FC=2.02; </w:t>
      </w:r>
      <w:r w:rsidRPr="00CD231A">
        <w:rPr>
          <w:rFonts w:ascii="Times New Roman" w:eastAsia="Times New Roman" w:hAnsi="Times New Roman" w:cs="Times New Roman"/>
          <w:i/>
          <w:color w:val="000000"/>
        </w:rPr>
        <w:t>CD578079.1</w:t>
      </w:r>
      <w:r w:rsidRPr="00CD231A">
        <w:rPr>
          <w:rFonts w:ascii="Times New Roman" w:eastAsia="Times New Roman" w:hAnsi="Times New Roman" w:cs="Times New Roman"/>
          <w:color w:val="000000"/>
        </w:rPr>
        <w:t xml:space="preserve">, FC=2.7; </w:t>
      </w:r>
      <w:r w:rsidRPr="00CD231A">
        <w:rPr>
          <w:rFonts w:ascii="Times New Roman" w:eastAsia="Times New Roman" w:hAnsi="Times New Roman" w:cs="Times New Roman"/>
          <w:i/>
          <w:color w:val="000000"/>
        </w:rPr>
        <w:t>CD578079.1,</w:t>
      </w:r>
      <w:r w:rsidRPr="00CD231A">
        <w:rPr>
          <w:rFonts w:ascii="Times New Roman" w:eastAsia="Times New Roman" w:hAnsi="Times New Roman" w:cs="Times New Roman"/>
          <w:color w:val="000000"/>
        </w:rPr>
        <w:t xml:space="preserve"> FC=2.98). The cross-analysis between Rperm-S and </w:t>
      </w:r>
      <w:r w:rsidRPr="00CD231A">
        <w:rPr>
          <w:rFonts w:ascii="Times New Roman" w:hAnsi="Times New Roman" w:cs="Times New Roman"/>
        </w:rPr>
        <w:t>R</w:t>
      </w:r>
      <w:r w:rsidRPr="00CD231A">
        <w:rPr>
          <w:rFonts w:ascii="Times New Roman" w:hAnsi="Times New Roman" w:cs="Times New Roman"/>
          <w:vertAlign w:val="subscript"/>
        </w:rPr>
        <w:t>DDT</w:t>
      </w:r>
      <w:r w:rsidRPr="00CD231A">
        <w:rPr>
          <w:rFonts w:ascii="Times New Roman" w:hAnsi="Times New Roman" w:cs="Times New Roman"/>
        </w:rPr>
        <w:t>-S</w:t>
      </w:r>
      <w:r w:rsidRPr="00CD231A">
        <w:rPr>
          <w:rFonts w:ascii="Times New Roman" w:eastAsia="Times New Roman" w:hAnsi="Times New Roman" w:cs="Times New Roman"/>
          <w:color w:val="000000"/>
        </w:rPr>
        <w:t xml:space="preserve"> comparison</w:t>
      </w:r>
      <w:r w:rsidRPr="00CD231A">
        <w:rPr>
          <w:rFonts w:ascii="Times New Roman" w:hAnsi="Times New Roman" w:cs="Times New Roman"/>
        </w:rPr>
        <w:t xml:space="preserve">, which was conducted to identify potential cross resistance genes involved in both DDT and permethrin resistance did not produce any transcript (Fig. 2b; Table 3). However, it produced </w:t>
      </w:r>
      <w:r w:rsidRPr="00CD231A">
        <w:rPr>
          <w:rFonts w:ascii="Times New Roman" w:eastAsia="Times New Roman" w:hAnsi="Times New Roman" w:cs="Times New Roman"/>
          <w:color w:val="000000"/>
        </w:rPr>
        <w:t xml:space="preserve">three transcripts of glucosyl glucuronosyl transferases with fold changes of </w:t>
      </w:r>
      <w:r w:rsidRPr="00CD231A">
        <w:rPr>
          <w:rFonts w:ascii="Times New Roman" w:eastAsia="Times New Roman" w:hAnsi="Times New Roman" w:cs="Times New Roman"/>
          <w:color w:val="000000"/>
        </w:rPr>
        <w:lastRenderedPageBreak/>
        <w:t xml:space="preserve">2.25 (combined_c8336), 2.44 (Afun007571) and 2.1 (combined_c8336) for the Rperm-S comparison. Also, there was an overexpression of </w:t>
      </w:r>
      <w:r w:rsidRPr="00CD231A">
        <w:rPr>
          <w:rFonts w:ascii="Times New Roman" w:eastAsia="Times New Roman" w:hAnsi="Times New Roman" w:cs="Times New Roman"/>
          <w:bCs/>
          <w:i/>
          <w:color w:val="000000"/>
        </w:rPr>
        <w:t>GSTu2</w:t>
      </w:r>
      <w:r w:rsidRPr="00CD231A">
        <w:rPr>
          <w:rFonts w:ascii="Times New Roman" w:eastAsia="Times New Roman" w:hAnsi="Times New Roman" w:cs="Times New Roman"/>
          <w:color w:val="000000"/>
        </w:rPr>
        <w:t xml:space="preserve"> </w:t>
      </w:r>
      <w:r w:rsidRPr="00CD231A">
        <w:rPr>
          <w:rFonts w:ascii="Times New Roman" w:eastAsia="Times New Roman" w:hAnsi="Times New Roman" w:cs="Times New Roman"/>
          <w:bCs/>
          <w:color w:val="000000"/>
        </w:rPr>
        <w:t>(FC=4.25), the transmembrane protein, cytochrome b561 (FC=2.02) and the digestive enzyme, chemotrypsin 1 (FC=4.75).</w:t>
      </w:r>
    </w:p>
    <w:p w14:paraId="4CA34B90" w14:textId="59FFC0D0" w:rsidR="005420FF" w:rsidRPr="00CD231A" w:rsidRDefault="005420FF" w:rsidP="005420FF">
      <w:pPr>
        <w:spacing w:line="480" w:lineRule="auto"/>
        <w:jc w:val="both"/>
        <w:rPr>
          <w:rFonts w:ascii="Times New Roman" w:hAnsi="Times New Roman" w:cs="Times New Roman"/>
        </w:rPr>
      </w:pPr>
    </w:p>
    <w:p w14:paraId="4394D80F" w14:textId="403191E3" w:rsidR="002C13FE" w:rsidRPr="00CD231A" w:rsidRDefault="002C13FE" w:rsidP="005420FF">
      <w:pPr>
        <w:spacing w:line="480" w:lineRule="auto"/>
        <w:jc w:val="both"/>
        <w:rPr>
          <w:rFonts w:ascii="Times New Roman" w:hAnsi="Times New Roman" w:cs="Times New Roman"/>
        </w:rPr>
      </w:pPr>
    </w:p>
    <w:p w14:paraId="48B69485" w14:textId="77777777" w:rsidR="002C13FE" w:rsidRPr="00CD231A" w:rsidRDefault="002C13FE" w:rsidP="005420FF">
      <w:pPr>
        <w:spacing w:line="480" w:lineRule="auto"/>
        <w:jc w:val="both"/>
        <w:rPr>
          <w:rFonts w:ascii="Times New Roman" w:hAnsi="Times New Roman" w:cs="Times New Roman"/>
        </w:rPr>
      </w:pPr>
    </w:p>
    <w:p w14:paraId="035F72B8" w14:textId="1480DD9F" w:rsidR="00BF5696" w:rsidRPr="00CD231A" w:rsidRDefault="00BF5696" w:rsidP="00BF5696">
      <w:pPr>
        <w:spacing w:before="240" w:line="480" w:lineRule="auto"/>
        <w:jc w:val="both"/>
        <w:rPr>
          <w:rFonts w:ascii="Times New Roman" w:hAnsi="Times New Roman" w:cs="Times New Roman"/>
          <w:b/>
          <w:iCs/>
        </w:rPr>
      </w:pPr>
      <w:r w:rsidRPr="00CD231A">
        <w:rPr>
          <w:rFonts w:ascii="Times New Roman" w:hAnsi="Times New Roman" w:cs="Times New Roman"/>
          <w:b/>
          <w:iCs/>
        </w:rPr>
        <w:t>Genes associated with DDT resistance using RT-PCR technique</w:t>
      </w:r>
    </w:p>
    <w:p w14:paraId="7FC0AB5F" w14:textId="5A9848B0" w:rsidR="00BF5696" w:rsidRPr="00CD231A" w:rsidRDefault="00BF5696" w:rsidP="00BF5696">
      <w:pPr>
        <w:spacing w:before="120" w:line="480" w:lineRule="auto"/>
        <w:jc w:val="both"/>
        <w:rPr>
          <w:rFonts w:ascii="Times New Roman" w:hAnsi="Times New Roman" w:cs="Times New Roman"/>
        </w:rPr>
      </w:pPr>
      <w:r w:rsidRPr="00CD231A">
        <w:rPr>
          <w:rFonts w:ascii="Times New Roman" w:hAnsi="Times New Roman" w:cs="Times New Roman"/>
          <w:iCs/>
        </w:rPr>
        <w:t xml:space="preserve">The </w:t>
      </w:r>
      <w:r w:rsidRPr="00CD231A">
        <w:rPr>
          <w:rFonts w:ascii="Times New Roman" w:hAnsi="Times New Roman" w:cs="Times New Roman"/>
          <w:i/>
        </w:rPr>
        <w:t>GSTe2</w:t>
      </w:r>
      <w:r w:rsidRPr="00CD231A">
        <w:rPr>
          <w:rFonts w:ascii="Times New Roman" w:hAnsi="Times New Roman" w:cs="Times New Roman"/>
        </w:rPr>
        <w:t xml:space="preserve"> also had the highest expression level in mosquitoes resistant to DDT, producing a fold change of 57.39 in DDT resistant vs FC=22.34 in unexposed control mosquitoes (Fig. 3b). Also, </w:t>
      </w:r>
      <w:r w:rsidRPr="00CD231A">
        <w:rPr>
          <w:rFonts w:ascii="Times New Roman" w:hAnsi="Times New Roman" w:cs="Times New Roman"/>
          <w:i/>
        </w:rPr>
        <w:t xml:space="preserve">GSTd3 </w:t>
      </w:r>
      <w:r w:rsidRPr="00CD231A">
        <w:rPr>
          <w:rFonts w:ascii="Times New Roman" w:hAnsi="Times New Roman" w:cs="Times New Roman"/>
        </w:rPr>
        <w:t xml:space="preserve">expression (FC=5.1) was </w:t>
      </w:r>
      <w:r w:rsidR="00D173DB" w:rsidRPr="00CD231A">
        <w:rPr>
          <w:rFonts w:ascii="Times New Roman" w:hAnsi="Times New Roman" w:cs="Times New Roman"/>
        </w:rPr>
        <w:t xml:space="preserve">almost 3-fold </w:t>
      </w:r>
      <w:r w:rsidRPr="00CD231A">
        <w:rPr>
          <w:rFonts w:ascii="Times New Roman" w:hAnsi="Times New Roman" w:cs="Times New Roman"/>
        </w:rPr>
        <w:t xml:space="preserve">higher in DDT-resistant mosquitoes compared to the control (FC=1.75) while the expression of </w:t>
      </w:r>
      <w:r w:rsidRPr="00CD231A">
        <w:rPr>
          <w:rFonts w:ascii="Times New Roman" w:hAnsi="Times New Roman" w:cs="Times New Roman"/>
          <w:i/>
        </w:rPr>
        <w:t xml:space="preserve">GSTd1-5 </w:t>
      </w:r>
      <w:r w:rsidRPr="00CD231A">
        <w:rPr>
          <w:rFonts w:ascii="Times New Roman" w:hAnsi="Times New Roman" w:cs="Times New Roman"/>
        </w:rPr>
        <w:t>in DDT-resistant mosquitoes</w:t>
      </w:r>
      <w:r w:rsidRPr="00CD231A">
        <w:rPr>
          <w:rFonts w:ascii="Times New Roman" w:hAnsi="Times New Roman" w:cs="Times New Roman"/>
          <w:i/>
        </w:rPr>
        <w:t xml:space="preserve"> </w:t>
      </w:r>
      <w:r w:rsidRPr="00CD231A">
        <w:rPr>
          <w:rFonts w:ascii="Times New Roman" w:hAnsi="Times New Roman" w:cs="Times New Roman"/>
        </w:rPr>
        <w:t>(FC=5.51) was just a little more than 1-fold compared to the control (FC=4.3). The two duplicates</w:t>
      </w:r>
      <w:r w:rsidR="00D173DB" w:rsidRPr="00CD231A">
        <w:rPr>
          <w:rFonts w:ascii="Times New Roman" w:hAnsi="Times New Roman" w:cs="Times New Roman"/>
        </w:rPr>
        <w:t xml:space="preserve"> (</w:t>
      </w:r>
      <w:r w:rsidR="00D173DB" w:rsidRPr="00CD231A">
        <w:rPr>
          <w:rFonts w:ascii="Times New Roman" w:hAnsi="Times New Roman" w:cs="Times New Roman"/>
          <w:i/>
        </w:rPr>
        <w:t>CYP6P9a</w:t>
      </w:r>
      <w:r w:rsidR="00D173DB" w:rsidRPr="00CD231A">
        <w:rPr>
          <w:rFonts w:ascii="Times New Roman" w:hAnsi="Times New Roman" w:cs="Times New Roman"/>
        </w:rPr>
        <w:t xml:space="preserve"> and </w:t>
      </w:r>
      <w:r w:rsidR="00D173DB" w:rsidRPr="00CD231A">
        <w:rPr>
          <w:rFonts w:ascii="Times New Roman" w:hAnsi="Times New Roman" w:cs="Times New Roman"/>
          <w:i/>
        </w:rPr>
        <w:t>CYP6P9b</w:t>
      </w:r>
      <w:r w:rsidR="00D173DB" w:rsidRPr="00CD231A">
        <w:rPr>
          <w:rFonts w:ascii="Times New Roman" w:hAnsi="Times New Roman" w:cs="Times New Roman"/>
          <w:iCs/>
        </w:rPr>
        <w:t>)</w:t>
      </w:r>
      <w:r w:rsidRPr="00CD231A">
        <w:rPr>
          <w:rFonts w:ascii="Times New Roman" w:hAnsi="Times New Roman" w:cs="Times New Roman"/>
        </w:rPr>
        <w:t xml:space="preserve"> cytochrome P450 genes, were both overexpressed in the DDT-resistant mosquitoes compared to the unexposed control (Fig. 4b). However, expression was higher in </w:t>
      </w:r>
      <w:r w:rsidRPr="00CD231A">
        <w:rPr>
          <w:rFonts w:ascii="Times New Roman" w:hAnsi="Times New Roman" w:cs="Times New Roman"/>
          <w:i/>
        </w:rPr>
        <w:t>CYP6P9a</w:t>
      </w:r>
      <w:r w:rsidRPr="00CD231A">
        <w:rPr>
          <w:rFonts w:ascii="Times New Roman" w:hAnsi="Times New Roman" w:cs="Times New Roman"/>
        </w:rPr>
        <w:t xml:space="preserve"> (FC=5.19) than </w:t>
      </w:r>
      <w:r w:rsidRPr="00CD231A">
        <w:rPr>
          <w:rFonts w:ascii="Times New Roman" w:hAnsi="Times New Roman" w:cs="Times New Roman"/>
          <w:i/>
        </w:rPr>
        <w:t>CYP6P9b</w:t>
      </w:r>
      <w:r w:rsidRPr="00CD231A">
        <w:rPr>
          <w:rFonts w:ascii="Times New Roman" w:hAnsi="Times New Roman" w:cs="Times New Roman"/>
        </w:rPr>
        <w:t xml:space="preserve"> (FC=3.91). The</w:t>
      </w:r>
      <w:r w:rsidRPr="00CD231A">
        <w:rPr>
          <w:rFonts w:ascii="Times New Roman" w:hAnsi="Times New Roman" w:cs="Times New Roman"/>
          <w:i/>
        </w:rPr>
        <w:t xml:space="preserve"> CYP4C27</w:t>
      </w:r>
      <w:r w:rsidRPr="00CD231A">
        <w:rPr>
          <w:rFonts w:ascii="Times New Roman" w:hAnsi="Times New Roman" w:cs="Times New Roman"/>
        </w:rPr>
        <w:t xml:space="preserve"> expression was also slightly higher in the resistant (FC=0.92) compared to the control (FC=0.65). The expression of </w:t>
      </w:r>
      <w:r w:rsidRPr="00CD231A">
        <w:rPr>
          <w:rFonts w:ascii="Times New Roman" w:hAnsi="Times New Roman" w:cs="Times New Roman"/>
          <w:i/>
        </w:rPr>
        <w:t>CYP9K1</w:t>
      </w:r>
      <w:r w:rsidRPr="00CD231A">
        <w:rPr>
          <w:rFonts w:ascii="Times New Roman" w:hAnsi="Times New Roman" w:cs="Times New Roman"/>
        </w:rPr>
        <w:t xml:space="preserve"> was the highest (FC=9.05) compared to the unexposed control (FC=2.44) in all of the cytochrome P450 genes analysed. </w:t>
      </w:r>
      <w:r w:rsidRPr="00CD231A">
        <w:rPr>
          <w:rFonts w:ascii="Times New Roman" w:hAnsi="Times New Roman" w:cs="Times New Roman"/>
          <w:i/>
        </w:rPr>
        <w:t>Trypsin</w:t>
      </w:r>
      <w:r w:rsidRPr="00CD231A">
        <w:rPr>
          <w:rFonts w:ascii="Times New Roman" w:hAnsi="Times New Roman" w:cs="Times New Roman"/>
        </w:rPr>
        <w:t xml:space="preserve"> expression was also highly overexpressed in DDT-resistant (FC=6.21) compared to the unexposed mosquitoes (FC=0.31).</w:t>
      </w:r>
    </w:p>
    <w:p w14:paraId="1D7B5400" w14:textId="77777777" w:rsidR="00BF5696" w:rsidRPr="00CD231A" w:rsidRDefault="00BF5696" w:rsidP="00BF5696">
      <w:pPr>
        <w:spacing w:before="240" w:line="480" w:lineRule="auto"/>
        <w:jc w:val="both"/>
        <w:rPr>
          <w:rFonts w:ascii="Times New Roman" w:hAnsi="Times New Roman" w:cs="Times New Roman"/>
          <w:b/>
          <w:iCs/>
        </w:rPr>
      </w:pPr>
    </w:p>
    <w:p w14:paraId="1F523A7A" w14:textId="77777777" w:rsidR="00BF5696" w:rsidRPr="00CD231A" w:rsidRDefault="00BF5696" w:rsidP="00BF5696">
      <w:pPr>
        <w:spacing w:before="240" w:line="480" w:lineRule="auto"/>
        <w:jc w:val="both"/>
        <w:rPr>
          <w:rFonts w:ascii="Times New Roman" w:hAnsi="Times New Roman" w:cs="Times New Roman"/>
          <w:b/>
          <w:iCs/>
        </w:rPr>
      </w:pPr>
      <w:r w:rsidRPr="00CD231A">
        <w:rPr>
          <w:rFonts w:ascii="Times New Roman" w:hAnsi="Times New Roman" w:cs="Times New Roman"/>
          <w:b/>
          <w:iCs/>
        </w:rPr>
        <w:t>Genes associated with dieldrin resistance using RT-PCR technique</w:t>
      </w:r>
    </w:p>
    <w:p w14:paraId="309A0FD2" w14:textId="68BFE8E9" w:rsidR="00BF5696" w:rsidRPr="00CD231A" w:rsidRDefault="00BF5696" w:rsidP="00BF5696">
      <w:pPr>
        <w:spacing w:line="480" w:lineRule="auto"/>
        <w:jc w:val="both"/>
        <w:rPr>
          <w:rFonts w:ascii="Times New Roman" w:hAnsi="Times New Roman" w:cs="Times New Roman"/>
        </w:rPr>
      </w:pPr>
      <w:r w:rsidRPr="00CD231A">
        <w:rPr>
          <w:rFonts w:ascii="Times New Roman" w:hAnsi="Times New Roman" w:cs="Times New Roman"/>
        </w:rPr>
        <w:lastRenderedPageBreak/>
        <w:t>Glutathione-s-transferases genes, cytochrome P450 genes, aldehyde oxidase and trypsin were all upregulated in the dieldrin-resistant mosquito</w:t>
      </w:r>
      <w:r w:rsidR="00D173DB" w:rsidRPr="00CD231A">
        <w:rPr>
          <w:rFonts w:ascii="Times New Roman" w:hAnsi="Times New Roman" w:cs="Times New Roman"/>
        </w:rPr>
        <w:t>es</w:t>
      </w:r>
      <w:r w:rsidRPr="00CD231A">
        <w:rPr>
          <w:rFonts w:ascii="Times New Roman" w:hAnsi="Times New Roman" w:cs="Times New Roman"/>
        </w:rPr>
        <w:t xml:space="preserve"> (Fig. 3c).</w:t>
      </w:r>
      <w:r w:rsidRPr="00CD231A">
        <w:rPr>
          <w:rFonts w:ascii="Times New Roman" w:hAnsi="Times New Roman" w:cs="Times New Roman"/>
          <w:i/>
        </w:rPr>
        <w:t xml:space="preserve"> </w:t>
      </w:r>
      <w:r w:rsidRPr="00CD231A">
        <w:rPr>
          <w:rFonts w:ascii="Times New Roman" w:hAnsi="Times New Roman" w:cs="Times New Roman"/>
          <w:iCs/>
        </w:rPr>
        <w:t xml:space="preserve">The </w:t>
      </w:r>
      <w:r w:rsidRPr="00CD231A">
        <w:rPr>
          <w:rFonts w:ascii="Times New Roman" w:hAnsi="Times New Roman" w:cs="Times New Roman"/>
          <w:i/>
        </w:rPr>
        <w:t xml:space="preserve">GSTe2 </w:t>
      </w:r>
      <w:r w:rsidRPr="00CD231A">
        <w:rPr>
          <w:rFonts w:ascii="Times New Roman" w:hAnsi="Times New Roman" w:cs="Times New Roman"/>
        </w:rPr>
        <w:t xml:space="preserve">expression was almost 2 folds </w:t>
      </w:r>
      <w:r w:rsidR="00D173DB" w:rsidRPr="00CD231A">
        <w:rPr>
          <w:rFonts w:ascii="Times New Roman" w:hAnsi="Times New Roman" w:cs="Times New Roman"/>
        </w:rPr>
        <w:t>higher</w:t>
      </w:r>
      <w:r w:rsidRPr="00CD231A">
        <w:rPr>
          <w:rFonts w:ascii="Times New Roman" w:hAnsi="Times New Roman" w:cs="Times New Roman"/>
        </w:rPr>
        <w:t xml:space="preserve"> in dieldrin-resistant samples (FC=41.1) compared to the unexposed control (FC=22.34). Both the </w:t>
      </w:r>
      <w:r w:rsidRPr="00CD231A">
        <w:rPr>
          <w:rFonts w:ascii="Times New Roman" w:hAnsi="Times New Roman" w:cs="Times New Roman"/>
          <w:i/>
        </w:rPr>
        <w:t>GSTd3</w:t>
      </w:r>
      <w:r w:rsidRPr="00CD231A">
        <w:rPr>
          <w:rFonts w:ascii="Times New Roman" w:hAnsi="Times New Roman" w:cs="Times New Roman"/>
        </w:rPr>
        <w:t xml:space="preserve"> and </w:t>
      </w:r>
      <w:r w:rsidRPr="00CD231A">
        <w:rPr>
          <w:rFonts w:ascii="Times New Roman" w:hAnsi="Times New Roman" w:cs="Times New Roman"/>
          <w:i/>
        </w:rPr>
        <w:t>GSTd1-5</w:t>
      </w:r>
      <w:r w:rsidRPr="00CD231A">
        <w:rPr>
          <w:rFonts w:ascii="Times New Roman" w:hAnsi="Times New Roman" w:cs="Times New Roman"/>
        </w:rPr>
        <w:t xml:space="preserve"> genes were </w:t>
      </w:r>
      <w:r w:rsidR="009A5942" w:rsidRPr="00CD231A">
        <w:rPr>
          <w:rFonts w:ascii="Times New Roman" w:hAnsi="Times New Roman" w:cs="Times New Roman"/>
        </w:rPr>
        <w:t>downregulated</w:t>
      </w:r>
      <w:r w:rsidRPr="00CD231A">
        <w:rPr>
          <w:rFonts w:ascii="Times New Roman" w:hAnsi="Times New Roman" w:cs="Times New Roman"/>
        </w:rPr>
        <w:t xml:space="preserve"> in the dieldrin-resistant mosquitoes compared to the control [</w:t>
      </w:r>
      <w:r w:rsidRPr="00CD231A">
        <w:rPr>
          <w:rFonts w:ascii="Times New Roman" w:hAnsi="Times New Roman" w:cs="Times New Roman"/>
          <w:i/>
        </w:rPr>
        <w:t>GSTd3</w:t>
      </w:r>
      <w:r w:rsidRPr="00CD231A">
        <w:rPr>
          <w:rFonts w:ascii="Times New Roman" w:hAnsi="Times New Roman" w:cs="Times New Roman"/>
        </w:rPr>
        <w:t>:</w:t>
      </w:r>
      <w:r w:rsidRPr="00CD231A">
        <w:rPr>
          <w:rFonts w:ascii="Times New Roman" w:hAnsi="Times New Roman" w:cs="Times New Roman"/>
          <w:i/>
        </w:rPr>
        <w:t xml:space="preserve"> </w:t>
      </w:r>
      <w:r w:rsidRPr="00CD231A">
        <w:rPr>
          <w:rFonts w:ascii="Times New Roman" w:hAnsi="Times New Roman" w:cs="Times New Roman"/>
        </w:rPr>
        <w:t xml:space="preserve">FC=0.28 (resistant) vs 1.75 (control); </w:t>
      </w:r>
      <w:r w:rsidRPr="00CD231A">
        <w:rPr>
          <w:rFonts w:ascii="Times New Roman" w:hAnsi="Times New Roman" w:cs="Times New Roman"/>
          <w:i/>
        </w:rPr>
        <w:t>GSTd1-5</w:t>
      </w:r>
      <w:r w:rsidRPr="00CD231A">
        <w:rPr>
          <w:rFonts w:ascii="Times New Roman" w:hAnsi="Times New Roman" w:cs="Times New Roman"/>
        </w:rPr>
        <w:t>: FC=0.78 (resistant) vs 4.30 (control)]</w:t>
      </w:r>
      <w:r w:rsidR="00D173DB" w:rsidRPr="00CD231A">
        <w:rPr>
          <w:rFonts w:ascii="Times New Roman" w:hAnsi="Times New Roman" w:cs="Times New Roman"/>
        </w:rPr>
        <w:t>, w</w:t>
      </w:r>
      <w:r w:rsidRPr="00CD231A">
        <w:rPr>
          <w:rFonts w:ascii="Times New Roman" w:hAnsi="Times New Roman" w:cs="Times New Roman"/>
        </w:rPr>
        <w:t xml:space="preserve">hereas both </w:t>
      </w:r>
      <w:r w:rsidRPr="00CD231A">
        <w:rPr>
          <w:rFonts w:ascii="Times New Roman" w:hAnsi="Times New Roman" w:cs="Times New Roman"/>
          <w:i/>
        </w:rPr>
        <w:t>CYP6P9a</w:t>
      </w:r>
      <w:r w:rsidRPr="00CD231A">
        <w:rPr>
          <w:rFonts w:ascii="Times New Roman" w:hAnsi="Times New Roman" w:cs="Times New Roman"/>
        </w:rPr>
        <w:t xml:space="preserve"> and </w:t>
      </w:r>
      <w:r w:rsidRPr="00CD231A">
        <w:rPr>
          <w:rFonts w:ascii="Times New Roman" w:hAnsi="Times New Roman" w:cs="Times New Roman"/>
          <w:i/>
        </w:rPr>
        <w:t>CYP6P9b</w:t>
      </w:r>
      <w:r w:rsidRPr="00CD231A">
        <w:rPr>
          <w:rFonts w:ascii="Times New Roman" w:hAnsi="Times New Roman" w:cs="Times New Roman"/>
        </w:rPr>
        <w:t xml:space="preserve"> were overexpressed in dieldrin-resistant samples compared to control. As observed in the DDT-resistant samples, </w:t>
      </w:r>
      <w:r w:rsidRPr="00CD231A">
        <w:rPr>
          <w:rFonts w:ascii="Times New Roman" w:hAnsi="Times New Roman" w:cs="Times New Roman"/>
          <w:i/>
        </w:rPr>
        <w:t xml:space="preserve">CYP6P9a </w:t>
      </w:r>
      <w:r w:rsidRPr="00CD231A">
        <w:rPr>
          <w:rFonts w:ascii="Times New Roman" w:hAnsi="Times New Roman" w:cs="Times New Roman"/>
        </w:rPr>
        <w:t xml:space="preserve">(FC=6.51) expression was relatively higher than </w:t>
      </w:r>
      <w:r w:rsidRPr="00CD231A">
        <w:rPr>
          <w:rFonts w:ascii="Times New Roman" w:hAnsi="Times New Roman" w:cs="Times New Roman"/>
          <w:i/>
        </w:rPr>
        <w:t xml:space="preserve">CYP6P9b </w:t>
      </w:r>
      <w:r w:rsidRPr="00CD231A">
        <w:rPr>
          <w:rFonts w:ascii="Times New Roman" w:hAnsi="Times New Roman" w:cs="Times New Roman"/>
        </w:rPr>
        <w:t xml:space="preserve">(FC=5.71). Another P450 gene duplicate, </w:t>
      </w:r>
      <w:r w:rsidRPr="00CD231A">
        <w:rPr>
          <w:rFonts w:ascii="Times New Roman" w:hAnsi="Times New Roman" w:cs="Times New Roman"/>
          <w:i/>
        </w:rPr>
        <w:t>CYP6P4a</w:t>
      </w:r>
      <w:r w:rsidRPr="00CD231A">
        <w:rPr>
          <w:rFonts w:ascii="Times New Roman" w:hAnsi="Times New Roman" w:cs="Times New Roman"/>
        </w:rPr>
        <w:t xml:space="preserve"> and </w:t>
      </w:r>
      <w:r w:rsidRPr="00CD231A">
        <w:rPr>
          <w:rFonts w:ascii="Times New Roman" w:hAnsi="Times New Roman" w:cs="Times New Roman"/>
          <w:i/>
        </w:rPr>
        <w:t>CYP6P4b</w:t>
      </w:r>
      <w:r w:rsidRPr="00CD231A">
        <w:rPr>
          <w:rFonts w:ascii="Times New Roman" w:hAnsi="Times New Roman" w:cs="Times New Roman"/>
        </w:rPr>
        <w:t xml:space="preserve"> were overexpressed in dieldrin-resistant mosquitoes compared to control samples. The expression of </w:t>
      </w:r>
      <w:r w:rsidRPr="00CD231A">
        <w:rPr>
          <w:rFonts w:ascii="Times New Roman" w:hAnsi="Times New Roman" w:cs="Times New Roman"/>
          <w:i/>
        </w:rPr>
        <w:t>CYP6P4a</w:t>
      </w:r>
      <w:r w:rsidRPr="00CD231A">
        <w:rPr>
          <w:rFonts w:ascii="Times New Roman" w:hAnsi="Times New Roman" w:cs="Times New Roman"/>
        </w:rPr>
        <w:t xml:space="preserve"> was higher in dieldrin-resistant (FC=4.75) compared to control (FC=1.72) mosquitoes. </w:t>
      </w:r>
      <w:r w:rsidRPr="00CD231A">
        <w:rPr>
          <w:rFonts w:ascii="Times New Roman" w:hAnsi="Times New Roman" w:cs="Times New Roman"/>
          <w:i/>
        </w:rPr>
        <w:t>Aldehyde oxidase</w:t>
      </w:r>
      <w:r w:rsidRPr="00CD231A">
        <w:rPr>
          <w:rFonts w:ascii="Times New Roman" w:hAnsi="Times New Roman" w:cs="Times New Roman"/>
        </w:rPr>
        <w:t xml:space="preserve"> was slightly overexpressed in dieldrin-resistant samples (FC=8.58) compared to the unexposed samples (FC=8.12) while </w:t>
      </w:r>
      <w:r w:rsidRPr="00CD231A">
        <w:rPr>
          <w:rFonts w:ascii="Times New Roman" w:hAnsi="Times New Roman" w:cs="Times New Roman"/>
          <w:i/>
        </w:rPr>
        <w:t>trypsin</w:t>
      </w:r>
      <w:r w:rsidRPr="00CD231A">
        <w:rPr>
          <w:rFonts w:ascii="Times New Roman" w:hAnsi="Times New Roman" w:cs="Times New Roman"/>
        </w:rPr>
        <w:t xml:space="preserve"> expression was higher in dieldrin-resistant mosquitoes (FC=5.14) compared to control (FC=0.31).</w:t>
      </w:r>
    </w:p>
    <w:p w14:paraId="215DB94B" w14:textId="77777777" w:rsidR="00BF5696" w:rsidRPr="00CD231A" w:rsidRDefault="00BF5696" w:rsidP="00BF5696">
      <w:pPr>
        <w:spacing w:line="480" w:lineRule="auto"/>
        <w:jc w:val="both"/>
        <w:rPr>
          <w:rFonts w:ascii="Times New Roman" w:hAnsi="Times New Roman" w:cs="Times New Roman"/>
          <w:b/>
        </w:rPr>
      </w:pPr>
      <w:r w:rsidRPr="00CD231A">
        <w:rPr>
          <w:rFonts w:ascii="Times New Roman" w:hAnsi="Times New Roman" w:cs="Times New Roman"/>
          <w:b/>
        </w:rPr>
        <w:t xml:space="preserve"> </w:t>
      </w:r>
    </w:p>
    <w:p w14:paraId="239A2918" w14:textId="2D535FE1" w:rsidR="00BF5696" w:rsidRPr="00CD231A" w:rsidRDefault="00D173DB" w:rsidP="00BF5696">
      <w:pPr>
        <w:spacing w:line="480" w:lineRule="auto"/>
        <w:jc w:val="both"/>
        <w:rPr>
          <w:rFonts w:ascii="Times New Roman" w:hAnsi="Times New Roman" w:cs="Times New Roman"/>
          <w:b/>
        </w:rPr>
      </w:pPr>
      <w:r w:rsidRPr="00CD231A">
        <w:rPr>
          <w:rFonts w:ascii="Times New Roman" w:hAnsi="Times New Roman" w:cs="Times New Roman"/>
          <w:b/>
        </w:rPr>
        <w:t>P</w:t>
      </w:r>
      <w:r w:rsidR="00BF5696" w:rsidRPr="00CD231A">
        <w:rPr>
          <w:rFonts w:ascii="Times New Roman" w:hAnsi="Times New Roman" w:cs="Times New Roman"/>
          <w:b/>
        </w:rPr>
        <w:t xml:space="preserve">artial sequencing of the VGSC region showed that </w:t>
      </w:r>
      <w:r w:rsidRPr="00CD231A">
        <w:rPr>
          <w:rFonts w:ascii="Times New Roman" w:hAnsi="Times New Roman" w:cs="Times New Roman"/>
          <w:b/>
        </w:rPr>
        <w:t>the k</w:t>
      </w:r>
      <w:r w:rsidR="00BF5696" w:rsidRPr="00CD231A">
        <w:rPr>
          <w:rFonts w:ascii="Times New Roman" w:hAnsi="Times New Roman" w:cs="Times New Roman"/>
          <w:b/>
          <w:i/>
          <w:iCs/>
        </w:rPr>
        <w:t>dr</w:t>
      </w:r>
      <w:r w:rsidR="00BF5696" w:rsidRPr="00CD231A">
        <w:rPr>
          <w:rFonts w:ascii="Times New Roman" w:hAnsi="Times New Roman" w:cs="Times New Roman"/>
          <w:b/>
        </w:rPr>
        <w:t xml:space="preserve"> mutation is not involved in the insecticide resistance of </w:t>
      </w:r>
      <w:r w:rsidR="00BF5696" w:rsidRPr="00CD231A">
        <w:rPr>
          <w:rFonts w:ascii="Times New Roman" w:hAnsi="Times New Roman" w:cs="Times New Roman"/>
          <w:b/>
          <w:i/>
        </w:rPr>
        <w:t>An</w:t>
      </w:r>
      <w:r w:rsidRPr="00CD231A">
        <w:rPr>
          <w:rFonts w:ascii="Times New Roman" w:hAnsi="Times New Roman" w:cs="Times New Roman"/>
          <w:b/>
          <w:i/>
        </w:rPr>
        <w:t>.</w:t>
      </w:r>
      <w:r w:rsidR="00BF5696" w:rsidRPr="00CD231A">
        <w:rPr>
          <w:rFonts w:ascii="Times New Roman" w:hAnsi="Times New Roman" w:cs="Times New Roman"/>
          <w:b/>
          <w:i/>
        </w:rPr>
        <w:t xml:space="preserve"> funestus s.s. </w:t>
      </w:r>
      <w:r w:rsidR="00BF5696" w:rsidRPr="00CD231A">
        <w:rPr>
          <w:rFonts w:ascii="Times New Roman" w:hAnsi="Times New Roman" w:cs="Times New Roman"/>
          <w:b/>
          <w:iCs/>
        </w:rPr>
        <w:t>population</w:t>
      </w:r>
      <w:r w:rsidR="00BF5696" w:rsidRPr="00CD231A">
        <w:rPr>
          <w:rFonts w:ascii="Times New Roman" w:hAnsi="Times New Roman" w:cs="Times New Roman"/>
          <w:b/>
        </w:rPr>
        <w:t xml:space="preserve"> </w:t>
      </w:r>
    </w:p>
    <w:p w14:paraId="6C27560F" w14:textId="6F808760"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 xml:space="preserve">The portion (924bp) of the VGSC gene spanning intron 19 and the entire exon 20 (207bp) located on domain II at segment 6 was successfully amplified (PCR) and sequenced in a total of </w:t>
      </w:r>
      <w:r w:rsidR="00D173DB" w:rsidRPr="00CD231A">
        <w:rPr>
          <w:rFonts w:ascii="Times New Roman" w:hAnsi="Times New Roman" w:cs="Times New Roman"/>
        </w:rPr>
        <w:t>11</w:t>
      </w:r>
      <w:r w:rsidRPr="00CD231A">
        <w:rPr>
          <w:rFonts w:ascii="Times New Roman" w:hAnsi="Times New Roman" w:cs="Times New Roman"/>
        </w:rPr>
        <w:t xml:space="preserve"> </w:t>
      </w:r>
      <w:r w:rsidRPr="00CD231A">
        <w:rPr>
          <w:rFonts w:ascii="Times New Roman" w:hAnsi="Times New Roman" w:cs="Times New Roman"/>
          <w:i/>
        </w:rPr>
        <w:t xml:space="preserve">An. funestus s.s. </w:t>
      </w:r>
      <w:r w:rsidRPr="00CD231A">
        <w:rPr>
          <w:rFonts w:ascii="Times New Roman" w:hAnsi="Times New Roman" w:cs="Times New Roman"/>
        </w:rPr>
        <w:t xml:space="preserve">mosquitoes collected from Akaka-Remo. Both L1014F (-TTA- to –TTT-) and L1014S (-TTA- to –TCA-) </w:t>
      </w:r>
      <w:r w:rsidRPr="00CD231A">
        <w:rPr>
          <w:rFonts w:ascii="Times New Roman" w:hAnsi="Times New Roman" w:cs="Times New Roman"/>
          <w:i/>
          <w:iCs/>
        </w:rPr>
        <w:t xml:space="preserve">kdr </w:t>
      </w:r>
      <w:r w:rsidRPr="00CD231A">
        <w:rPr>
          <w:rFonts w:ascii="Times New Roman" w:hAnsi="Times New Roman" w:cs="Times New Roman"/>
        </w:rPr>
        <w:t xml:space="preserve">mutations that are common to </w:t>
      </w:r>
      <w:r w:rsidRPr="00CD231A">
        <w:rPr>
          <w:rFonts w:ascii="Times New Roman" w:hAnsi="Times New Roman" w:cs="Times New Roman"/>
          <w:i/>
        </w:rPr>
        <w:t xml:space="preserve">An. gambiae </w:t>
      </w:r>
      <w:r w:rsidRPr="00CD231A">
        <w:rPr>
          <w:rFonts w:ascii="Times New Roman" w:hAnsi="Times New Roman" w:cs="Times New Roman"/>
        </w:rPr>
        <w:t>in West and East Africa, respectively</w:t>
      </w:r>
      <w:r w:rsidR="00D173DB" w:rsidRPr="00CD231A">
        <w:rPr>
          <w:rFonts w:ascii="Times New Roman" w:hAnsi="Times New Roman" w:cs="Times New Roman"/>
        </w:rPr>
        <w:t>,</w:t>
      </w:r>
      <w:r w:rsidRPr="00CD231A">
        <w:rPr>
          <w:rFonts w:ascii="Times New Roman" w:hAnsi="Times New Roman" w:cs="Times New Roman"/>
        </w:rPr>
        <w:t xml:space="preserve"> were absent in the sequence analysis. Further analysis with 907</w:t>
      </w:r>
      <w:r w:rsidR="00D173DB" w:rsidRPr="00CD231A">
        <w:rPr>
          <w:rFonts w:ascii="Times New Roman" w:hAnsi="Times New Roman" w:cs="Times New Roman"/>
        </w:rPr>
        <w:t xml:space="preserve"> </w:t>
      </w:r>
      <w:r w:rsidRPr="00CD231A">
        <w:rPr>
          <w:rFonts w:ascii="Times New Roman" w:hAnsi="Times New Roman" w:cs="Times New Roman"/>
        </w:rPr>
        <w:t>bp sequence</w:t>
      </w:r>
      <w:r w:rsidR="00D173DB" w:rsidRPr="00CD231A">
        <w:rPr>
          <w:rFonts w:ascii="Times New Roman" w:hAnsi="Times New Roman" w:cs="Times New Roman"/>
        </w:rPr>
        <w:t>s</w:t>
      </w:r>
      <w:r w:rsidRPr="00CD231A">
        <w:rPr>
          <w:rFonts w:ascii="Times New Roman" w:hAnsi="Times New Roman" w:cs="Times New Roman"/>
        </w:rPr>
        <w:t xml:space="preserve"> obtained and aligned from five individual mosquitoes in this study detected 20 polymorphic sites (887 </w:t>
      </w:r>
      <w:r w:rsidRPr="00CD231A">
        <w:rPr>
          <w:rFonts w:ascii="Times New Roman" w:hAnsi="Times New Roman" w:cs="Times New Roman"/>
        </w:rPr>
        <w:lastRenderedPageBreak/>
        <w:t>monomorphic sites) and 8 haplotypes (Fig. 4a</w:t>
      </w:r>
      <w:r w:rsidR="00D173DB" w:rsidRPr="00CD231A">
        <w:rPr>
          <w:rFonts w:ascii="Times New Roman" w:hAnsi="Times New Roman" w:cs="Times New Roman"/>
        </w:rPr>
        <w:t>,</w:t>
      </w:r>
      <w:r w:rsidRPr="00CD231A">
        <w:rPr>
          <w:rFonts w:ascii="Times New Roman" w:hAnsi="Times New Roman" w:cs="Times New Roman"/>
        </w:rPr>
        <w:t xml:space="preserve"> Table 4). Genetic differentiation of this mosquito population analysed using the NJ and ML trees was compared to </w:t>
      </w:r>
      <w:r w:rsidR="00D173DB" w:rsidRPr="00CD231A">
        <w:rPr>
          <w:rFonts w:ascii="Times New Roman" w:hAnsi="Times New Roman" w:cs="Times New Roman"/>
          <w:i/>
          <w:iCs/>
        </w:rPr>
        <w:t xml:space="preserve">An. funestus s.s. </w:t>
      </w:r>
      <w:r w:rsidR="00D173DB" w:rsidRPr="00CD231A">
        <w:rPr>
          <w:rFonts w:ascii="Times New Roman" w:hAnsi="Times New Roman" w:cs="Times New Roman"/>
        </w:rPr>
        <w:t xml:space="preserve">populations from </w:t>
      </w:r>
      <w:r w:rsidRPr="00CD231A">
        <w:rPr>
          <w:rFonts w:ascii="Times New Roman" w:hAnsi="Times New Roman" w:cs="Times New Roman"/>
        </w:rPr>
        <w:t xml:space="preserve">Benin and Cameroon. Analysis using the NJ tree with respect to geographical distance revealed a similar genetic constitution with </w:t>
      </w:r>
      <w:r w:rsidR="00D173DB" w:rsidRPr="00CD231A">
        <w:rPr>
          <w:rFonts w:ascii="Times New Roman" w:hAnsi="Times New Roman" w:cs="Times New Roman"/>
        </w:rPr>
        <w:t xml:space="preserve">the </w:t>
      </w:r>
      <w:r w:rsidRPr="00CD231A">
        <w:rPr>
          <w:rFonts w:ascii="Times New Roman" w:hAnsi="Times New Roman" w:cs="Times New Roman"/>
        </w:rPr>
        <w:t>Cameroon population but a higher differentiation than Benin populations (Fig. 4b</w:t>
      </w:r>
      <w:r w:rsidR="00D173DB" w:rsidRPr="00CD231A">
        <w:rPr>
          <w:rFonts w:ascii="Times New Roman" w:hAnsi="Times New Roman" w:cs="Times New Roman"/>
        </w:rPr>
        <w:t>,</w:t>
      </w:r>
      <w:r w:rsidRPr="00CD231A">
        <w:rPr>
          <w:rFonts w:ascii="Times New Roman" w:hAnsi="Times New Roman" w:cs="Times New Roman"/>
        </w:rPr>
        <w:t xml:space="preserve"> Table 4). Also, there was no correlation in the VGSC polymorphisms of the different mosquito populations, which was shown by the lack of clustering of mosquito samples from the same locality </w:t>
      </w:r>
      <w:r w:rsidR="00D173DB" w:rsidRPr="00CD231A">
        <w:rPr>
          <w:rFonts w:ascii="Times New Roman" w:hAnsi="Times New Roman" w:cs="Times New Roman"/>
        </w:rPr>
        <w:t>in</w:t>
      </w:r>
      <w:r w:rsidRPr="00CD231A">
        <w:rPr>
          <w:rFonts w:ascii="Times New Roman" w:hAnsi="Times New Roman" w:cs="Times New Roman"/>
        </w:rPr>
        <w:t xml:space="preserve"> the ML </w:t>
      </w:r>
      <w:r w:rsidR="00D173DB" w:rsidRPr="00CD231A">
        <w:rPr>
          <w:rFonts w:ascii="Times New Roman" w:hAnsi="Times New Roman" w:cs="Times New Roman"/>
        </w:rPr>
        <w:t xml:space="preserve">tree </w:t>
      </w:r>
      <w:r w:rsidRPr="00CD231A">
        <w:rPr>
          <w:rFonts w:ascii="Times New Roman" w:hAnsi="Times New Roman" w:cs="Times New Roman"/>
        </w:rPr>
        <w:t xml:space="preserve">(Fig. 4c). The absence of correlation was further supported by the fact that polymorphism did not result into any amino acid change as well as the estimates of Tajima D and Fu and Li D* statistics, which were not statistically significant (Table 4). </w:t>
      </w:r>
    </w:p>
    <w:p w14:paraId="4D8D997D"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rPr>
      </w:pPr>
    </w:p>
    <w:p w14:paraId="4C462514"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rPr>
      </w:pPr>
      <w:r w:rsidRPr="00CD231A">
        <w:rPr>
          <w:rFonts w:ascii="Times New Roman" w:hAnsi="Times New Roman" w:cs="Times New Roman"/>
          <w:b/>
        </w:rPr>
        <w:t>Discussion</w:t>
      </w:r>
    </w:p>
    <w:p w14:paraId="3A0953D9" w14:textId="44D02308"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 xml:space="preserve">Consistent monitoring of insecticide resistance of malaria vectors through the provision of evidence-based information is key to tackle the insecticide resistance challenges facing malaria elimination in Africa. Understanding the mechanisms of insecticide resistance is imperative to improve insecticide-based resistance management strategies. </w:t>
      </w:r>
      <w:r w:rsidR="00D173DB" w:rsidRPr="00CD231A">
        <w:rPr>
          <w:rFonts w:ascii="Times New Roman" w:hAnsi="Times New Roman" w:cs="Times New Roman"/>
        </w:rPr>
        <w:t>Therefore</w:t>
      </w:r>
      <w:r w:rsidRPr="00CD231A">
        <w:rPr>
          <w:rFonts w:ascii="Times New Roman" w:hAnsi="Times New Roman" w:cs="Times New Roman"/>
        </w:rPr>
        <w:t xml:space="preserve">, providing the molecular basis of permethrin, DDT and dieldrin resistance in </w:t>
      </w:r>
      <w:r w:rsidRPr="00CD231A">
        <w:rPr>
          <w:rFonts w:ascii="Times New Roman" w:hAnsi="Times New Roman" w:cs="Times New Roman"/>
          <w:i/>
        </w:rPr>
        <w:t>Anopheles funestus s.s.,</w:t>
      </w:r>
      <w:r w:rsidRPr="00CD231A">
        <w:rPr>
          <w:rFonts w:ascii="Times New Roman" w:hAnsi="Times New Roman" w:cs="Times New Roman"/>
        </w:rPr>
        <w:t xml:space="preserve"> a major malaria vector in Nigeria will fill an important knowledge gap in the quest to fight malaria in the country. This study has successfully shown that metabolic enzymes are playing vital roles in insecticide resistance of </w:t>
      </w:r>
      <w:r w:rsidRPr="00CD231A">
        <w:rPr>
          <w:rFonts w:ascii="Times New Roman" w:hAnsi="Times New Roman" w:cs="Times New Roman"/>
          <w:i/>
          <w:iCs/>
        </w:rPr>
        <w:t xml:space="preserve">An. funestus s.s. </w:t>
      </w:r>
      <w:r w:rsidRPr="00CD231A">
        <w:rPr>
          <w:rFonts w:ascii="Times New Roman" w:hAnsi="Times New Roman" w:cs="Times New Roman"/>
        </w:rPr>
        <w:t xml:space="preserve">at Akaka-Remo. This was observed through the overexpression of several detoxification genes, especially the </w:t>
      </w:r>
      <w:r w:rsidRPr="00CD231A">
        <w:rPr>
          <w:rFonts w:ascii="Times New Roman" w:hAnsi="Times New Roman" w:cs="Times New Roman"/>
          <w:i/>
          <w:iCs/>
        </w:rPr>
        <w:t xml:space="preserve">GSTe2 </w:t>
      </w:r>
      <w:r w:rsidRPr="00CD231A">
        <w:rPr>
          <w:rFonts w:ascii="Times New Roman" w:hAnsi="Times New Roman" w:cs="Times New Roman"/>
        </w:rPr>
        <w:t>and</w:t>
      </w:r>
      <w:r w:rsidRPr="00CD231A">
        <w:rPr>
          <w:rFonts w:ascii="Times New Roman" w:hAnsi="Times New Roman" w:cs="Times New Roman"/>
          <w:i/>
          <w:iCs/>
        </w:rPr>
        <w:t xml:space="preserve"> </w:t>
      </w:r>
      <w:r w:rsidRPr="00CD231A">
        <w:rPr>
          <w:rFonts w:ascii="Times New Roman" w:hAnsi="Times New Roman" w:cs="Times New Roman"/>
        </w:rPr>
        <w:t xml:space="preserve">trypsin. Cuticular resistance was also highly implicated in the resistant mosquito population through the overexpression of cuticle proteins in resistant mosquitoes. </w:t>
      </w:r>
    </w:p>
    <w:p w14:paraId="12E26EAC"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iCs/>
        </w:rPr>
      </w:pPr>
    </w:p>
    <w:p w14:paraId="13BC70DD" w14:textId="2F4A90AB"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iCs/>
        </w:rPr>
      </w:pPr>
      <w:r w:rsidRPr="00CD231A">
        <w:rPr>
          <w:rFonts w:ascii="Times New Roman" w:hAnsi="Times New Roman" w:cs="Times New Roman"/>
          <w:b/>
          <w:iCs/>
        </w:rPr>
        <w:t xml:space="preserve">The upregulation of multiple metabolic genes is vital for permethrin resistance in </w:t>
      </w:r>
      <w:r w:rsidRPr="00CD231A">
        <w:rPr>
          <w:rFonts w:ascii="Times New Roman" w:hAnsi="Times New Roman" w:cs="Times New Roman"/>
          <w:b/>
          <w:i/>
        </w:rPr>
        <w:t>An</w:t>
      </w:r>
      <w:r w:rsidR="00D173DB" w:rsidRPr="00CD231A">
        <w:rPr>
          <w:rFonts w:ascii="Times New Roman" w:hAnsi="Times New Roman" w:cs="Times New Roman"/>
          <w:b/>
          <w:i/>
        </w:rPr>
        <w:t>.</w:t>
      </w:r>
      <w:r w:rsidRPr="00CD231A">
        <w:rPr>
          <w:rFonts w:ascii="Times New Roman" w:hAnsi="Times New Roman" w:cs="Times New Roman"/>
          <w:b/>
          <w:i/>
        </w:rPr>
        <w:t xml:space="preserve"> funestus s.s.</w:t>
      </w:r>
    </w:p>
    <w:p w14:paraId="3F42807D"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 xml:space="preserve">This study conducted for the first time on this mosquito population revealed that cytochrome P450 genes are slightly involved in the permethrin resistance of this mosquito population. However, it has clearly been previously shown in other </w:t>
      </w:r>
      <w:r w:rsidRPr="00CD231A">
        <w:rPr>
          <w:rFonts w:ascii="Times New Roman" w:hAnsi="Times New Roman" w:cs="Times New Roman"/>
          <w:i/>
          <w:iCs/>
        </w:rPr>
        <w:t xml:space="preserve">An. funestus s.s. </w:t>
      </w:r>
      <w:r w:rsidRPr="00CD231A">
        <w:rPr>
          <w:rFonts w:ascii="Times New Roman" w:hAnsi="Times New Roman" w:cs="Times New Roman"/>
        </w:rPr>
        <w:t xml:space="preserve">populations through metabolism assay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{"citationItems":[{"id":"ITEM-1","itemData":{"DOI":"10.1186/1471-2164-15-817","ISBN":"1471-2164","ISSN":"1471-2164","PMID":"25261072","abstract":"BACKGROUND: Pyrethroid resistance in the major malaria vector Anopheles funestus is rapidly expanding across Southern Africa. It remains unknown whether this resistance has a unique origin with the same molecular basis or is multifactorial. Knowledge of the origin, mechanisms and evolution of resistance are crucial to designing successful resistance management strategies.\\n\\nRESULTS: Here, we established the resistance profile of a Zambian An. funestus population at the northern range of the resistance front. Similar to other Southern African populations, Zambian An. funestus mosquitoes are resistant to pyrethroids and carbamate, but in contrast to populations in Mozambique and Malawi, these insects are also DDT resistant. Genome-wide microarray-based transcriptional profiling and qRT-PCR revealed that the cytochrome P450 gene CYP6M7 is responsible for extending pyrethroid resistance northwards. Indeed, CYP6M7 is more over-expressed in Zambia [fold-change (FC) 37.7; 13.2 for qRT-PCR] than CYP6P9a (FC15.6; 8.9 for qRT-PCR) and CYP6P9b (FC11.9; 6.5 for qRT-PCR), whereas CYP6P9a and CYP6P9b are more highly over-expressed in Malawi and Mozambique. Transgenic expression of CYP6M7 in Drosophila melanogaster coupled with in vitro assays using recombinant enzymes and assessments of kinetic properties demonstrated that CYP6M7 is as efficient as CYP6P9a and CYP6P9b in conferring pyrethroid resistance. Polymorphism patterns demonstrate that these genes are under contrasting selection forces: the exceptionally diverse CYP6M7 likely evolves neutrally, whereas CYP6P9a and CYP6P9b are directionally selected. The higher variability of CYP6P9a and CYP6P9b observed in Zambia supports their lesser role in resistance in this country.\\n\\nCONCLUSION: Pyrethroid resistance in Southern Africa probably has multiple origins under different evolutionary forces, which may necessitate the design of different resistance management strategies.","author":[{"dropping-particle":"","family":"Riveron","given":"Jacob M","non-dropping-particle":"","parse-names":false,"suffix":""},{"dropping-particle":"","family":"Ibrahim","given":"Sulaiman S","non-dropping-particle":"","parse-names":false,"suffix":""},{"dropping-particle":"","family":"Chanda","given":"Emmanuel","non-dropping-particle":"","parse-names":false,"suffix":""},{"dropping-particle":"","family":"Mzilahowa","given":"Themba","non-dropping-particle":"","parse-names":false,"suffix":""},{"dropping-particle":"","family":"Cuamba","given":"Nelson","non-dropping-particle":"","parse-names":false,"suffix":""},{"dropping-particle":"","family":"Irving","given":"Helen","non-dropping-particle":"","parse-names":false,"suffix":""},{"dropping-particle":"","family":"Barnes","given":"Kayla G","non-dropping-particle":"","parse-names":false,"suffix":""},{"dropping-particle":"","family":"Ndula","given":"Miranda","non-dropping-particle":"","parse-names":false,"suffix":""},{"dropping-particle":"","family":"Wondji","given":"Charles S","non-dropping-particle":"","parse-names":false,"suffix":""}],"container-title":"BMC Genomics","id":"ITEM-1","issue":"1","issued":{"date-parts":[["2014"]]},"page":"817","title":"The highly polymorphic CYP6M7 cytochrome P450 gene partners with the directionally selected CYP6P9a and CYP6P9b genes to expand the pyrethroid resistance front in the malaria vector Anopheles funestus in Africa","type":"article-journal","volume":"15"},"uris":["http://www.mendeley.com/documents/?uuid=ec4ac9b4-a303-467d-89f2-45e09dc98993","http://www.mendeley.com/documents/?uuid=d99b4da6-a484-4379-9cdf-15d4640adb3c"]}],"mendeley":{"formattedCitation":"[30]","plainTextFormattedCitation":"[30]","previouslyFormattedCitation":"(30)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[30]</w:t>
      </w:r>
      <w:r w:rsidRPr="00CD231A">
        <w:rPr>
          <w:rFonts w:ascii="Times New Roman" w:hAnsi="Times New Roman" w:cs="Times New Roman"/>
        </w:rPr>
        <w:fldChar w:fldCharType="end"/>
      </w:r>
      <w:r w:rsidRPr="00CD231A">
        <w:rPr>
          <w:rFonts w:ascii="Times New Roman" w:hAnsi="Times New Roman" w:cs="Times New Roman"/>
        </w:rPr>
        <w:t xml:space="preserve"> that </w:t>
      </w:r>
      <w:r w:rsidRPr="00CD231A">
        <w:rPr>
          <w:rFonts w:ascii="Times New Roman" w:hAnsi="Times New Roman" w:cs="Times New Roman"/>
          <w:i/>
        </w:rPr>
        <w:t>CYP6P9a</w:t>
      </w:r>
      <w:r w:rsidRPr="00CD231A">
        <w:rPr>
          <w:rFonts w:ascii="Times New Roman" w:hAnsi="Times New Roman" w:cs="Times New Roman"/>
        </w:rPr>
        <w:t xml:space="preserve"> can metabolize both types I and type II pyrethroids. The </w:t>
      </w:r>
      <w:r w:rsidRPr="00CD231A">
        <w:rPr>
          <w:rFonts w:ascii="Times New Roman" w:hAnsi="Times New Roman" w:cs="Times New Roman"/>
          <w:i/>
        </w:rPr>
        <w:t>CYP6P9a</w:t>
      </w:r>
      <w:r w:rsidRPr="00CD231A">
        <w:rPr>
          <w:rFonts w:ascii="Times New Roman" w:hAnsi="Times New Roman" w:cs="Times New Roman"/>
        </w:rPr>
        <w:t xml:space="preserve"> and </w:t>
      </w:r>
      <w:r w:rsidRPr="00CD231A">
        <w:rPr>
          <w:rFonts w:ascii="Times New Roman" w:hAnsi="Times New Roman" w:cs="Times New Roman"/>
          <w:i/>
        </w:rPr>
        <w:t>CYP6P9b</w:t>
      </w:r>
      <w:r w:rsidRPr="00CD231A">
        <w:rPr>
          <w:rFonts w:ascii="Times New Roman" w:hAnsi="Times New Roman" w:cs="Times New Roman"/>
        </w:rPr>
        <w:t xml:space="preserve"> duplicates have been associated with pyrethroid resistance in </w:t>
      </w:r>
      <w:r w:rsidRPr="00CD231A">
        <w:rPr>
          <w:rFonts w:ascii="Times New Roman" w:hAnsi="Times New Roman" w:cs="Times New Roman"/>
          <w:i/>
        </w:rPr>
        <w:t xml:space="preserve">An. funestus s.s. </w:t>
      </w:r>
      <w:r w:rsidRPr="00CD231A">
        <w:rPr>
          <w:rFonts w:ascii="Times New Roman" w:hAnsi="Times New Roman" w:cs="Times New Roman"/>
        </w:rPr>
        <w:t xml:space="preserve">across Africa; cases of resistant Fumoz strain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{"citationItems":[{"id":"ITEM-1","itemData":{"DOI":"10.1101/gr.087916.108","ISBN":"1088-9051 (Print)\\n1088-9051 (Linking)","ISSN":"10889051","PMID":"19196725","abstract":"Pyrethroid resistance in Anopheles funestus is a potential obstacle to malaria control in Africa. Tools are needed to detect resistance in field populations. We have been using a positional cloning approach to identify the major genes conferring pyrethroid resistance in this vector. A quantitative trait locus (QTL) named rp1 explains 87% of the genetic variance in pyrethroid susceptibility in two families from reciprocal crosses between susceptible and resistant strains. Two additional QTLs of minor effect, rp2 and rp3, were also detected. We sequenced a 120-kb BAC clone spanning the rp1 QTL and identified 14 protein-coding genes and one putative pseudogene. Ten of the 14 genes encoded cytochrome P450s, and expression analysis indicated that four of these P450s were differentially expressed between susceptible and resistant strains. Furthermore, two of these genes, CYP6P9 and CYP6P4, which are 25 and 51 times overexpressed in resistant females, are tandemly duplicated in the BAC clone as well as in laboratory and field samples, suggesting that P450 gene duplication could contribute to pyrethroid resistance in An. funestus. Single nucleotide polymorphisms (SNPs) were identified within CYP6P9 and CYP6P4, and genotyping of the progeny of the genetic crosses revealed a maximum penetrance value f(2) = 1, confirming that these SNPs are valid resistance markers in the laboratory strains. This serves as proof of principle that a DNA-based diagnostic test could be designed to trace metabolic resistance in field populations. This will be a major advance for insecticide resistance management in malaria vectors, which requires the early detection of resistance alleles.","author":[{"dropping-particle":"","family":"Wondji","given":"Charles S.","non-dropping-particle":"","parse-names":false,"suffix":""},{"dropping-particle":"","family":"Irving","given":"Helen","non-dropping-particle":"","parse-names":false,"suffix":""},{"dropping-particle":"","family":"Morgan","given":"John","non-dropping-particle":"","parse-names":false,"suffix":""},{"dropping-particle":"","family":"Lobo","given":"Neil F.","non-dropping-particle":"","parse-names":false,"suffix":""},{"dropping-particle":"","family":"Collins","given":"Frank H.","non-dropping-particle":"","parse-names":false,"suffix":""},{"dropping-particle":"","family":"Hunt","given":"Richard H.","non-dropping-particle":"","parse-names":false,"suffix":""},{"dropping-particle":"","family":"Coetzee","given":"Maureen","non-dropping-particle":"","parse-names":false,"suffix":""},{"dropping-particle":"","family":"Hemingway","given":"Janet","non-dropping-particle":"","parse-names":false,"suffix":""},{"dropping-particle":"","family":"Ranson","given":"Hilary","non-dropping-particle":"","parse-names":false,"suffix":""}],"container-title":"Genome Research","id":"ITEM-1","issue":"3","issued":{"date-parts":[["2009"]]},"page":"452-459","title":"Two duplicated P450 genes are associated with pyrethroid resistance in Anopheles funestus, a major malaria vector","type":"article-journal","volume":"19"},"uris":["http://www.mendeley.com/documents/?uuid=2fb61acd-b9d7-4dfb-bb94-17448dec4826","http://www.mendeley.com/documents/?uuid=494ef1ca-db1a-49cc-a85a-13b431d8d2f0"]}],"mendeley":{"formattedCitation":"[21]","plainTextFormattedCitation":"[21]","previouslyFormattedCitation":"(21)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[21]</w:t>
      </w:r>
      <w:r w:rsidRPr="00CD231A">
        <w:rPr>
          <w:rFonts w:ascii="Times New Roman" w:hAnsi="Times New Roman" w:cs="Times New Roman"/>
        </w:rPr>
        <w:fldChar w:fldCharType="end"/>
      </w:r>
      <w:r w:rsidRPr="00CD231A">
        <w:rPr>
          <w:rFonts w:ascii="Times New Roman" w:hAnsi="Times New Roman" w:cs="Times New Roman"/>
        </w:rPr>
        <w:t xml:space="preserve">, Uganda population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ONE","id":"ITEM-1","issue":"10","issued":{"date-parts":[["2014"]]},"page":"1-10","title":"Widespread pyrethroid and DDT resistance in the major malaria vector anopheles funestus in East Africa is driven by metabolic resistance mechanisms","type":"article-journal","volume":"9"},"uris":["http://www.mendeley.com/documents/?uuid=b7a90190-78fd-433b-ba9d-797f9b3dac6e"]}],"mendeley":{"formattedCitation":"[6]","plainTextFormattedCitation":"[6]","previouslyFormattedCitation":"(6)"},"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[6]</w:t>
      </w:r>
      <w:r w:rsidRPr="00CD231A">
        <w:rPr>
          <w:rFonts w:ascii="Times New Roman" w:hAnsi="Times New Roman" w:cs="Times New Roman"/>
        </w:rPr>
        <w:fldChar w:fldCharType="end"/>
      </w:r>
      <w:r w:rsidRPr="00CD231A">
        <w:rPr>
          <w:rFonts w:ascii="Times New Roman" w:hAnsi="Times New Roman" w:cs="Times New Roman"/>
        </w:rPr>
        <w:t xml:space="preserve">, in Malawi and Mozambique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mendeley":{"formattedCitation":"[10]","plainTextFormattedCitation":"[10]","previouslyFormattedCitation":"(10)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w:t>
      </w:r>
      <w:r w:rsidRPr="00CD231A">
        <w:rPr>
          <w:rFonts w:ascii="Times New Roman" w:hAnsi="Times New Roman" w:cs="Times New Roman"/>
        </w:rPr>
        <w:fldChar w:fldCharType="end"/>
      </w:r>
      <w:r w:rsidRPr="00CD231A">
        <w:rPr>
          <w:rFonts w:ascii="Times New Roman" w:hAnsi="Times New Roman" w:cs="Times New Roman"/>
        </w:rPr>
        <w:t xml:space="preserve"> and also in the Chikwawa district of Malawi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{"citationItems":[{"id":"ITEM-1","itemData":{"DOI":"10.1111/mec.13673","abstract":"Carbamates are increasingly used for vector control notably in areas with pyrethroid resistance. However, a cross-resistance between these insecticides in major malaria vec- tors such as Anopheles funestus could severely limit available resistance management options. Unfortunately, the molecular basis of such cross-resistance remains uncharac- terized in An. funestus, preventing effective resistance management. Here, using a gen- omewide transcription profiling, we revealed that metabolic resistance through upregulation of cytochrome P450 genes is driving carbamate resistance. The P450s CYP6P9a, CYP6P9b and CYP6Z1 were the most upregulated detoxification genes in the multiple resistant mosquitoes. However, in silico docking simulations predicted CYP6Z1 to metabolize both pyrethroids and carbamates, whereas CYP6P9a and CYP6P9b were predicted to metabolize only the pyrethroids. Using recombinant enzyme metabolism and inhibition assays, we demonstrated that CYP6Z1 metabolizes bendiocarb and pyrethroids, whereas CYP6P9a and CYP6P9b metabolize only the pyre- throids. Other upregulated gene families in resistant mosquitoes included several cuticular protein genes suggesting a possible reduced penetration resistance mecha- nism. Investigation of the target-site resistance in acetylcholinesterase 1 (ace-1) gene detected and established the association between the new N485I mutation and bendio- carb resistance (odds ratio 7.3; P &lt; 0.0001). The detection of multiple haplotypes in sin- gle mosquitoes after cloning suggested the duplication of ace-1. A TaqMan genotyping of the N485I in nine countries revealed that the mutation is located only in southern Africa with frequency of 10–15% suggesting its recent occurrence. These findings will help in monitoring the spread and evolution of carbamate resistance and improve the design of effective resistance management strategies to control this malaria vector.","author":[{"dropping-particle":"","family":"Ibrahim","given":"Sulaiman S","non-dropping-particle":"","parse-names":false,"suffix":""},{"dropping-particle":"","family":"Ndula","given":"Miranda","non-dropping-particle":"","parse-names":false,"suffix":""},{"dropping-particle":"","family":"Riveron","given":"Jacob M","non-dropping-particle":"","parse-names":false,"suffix":""},{"dropping-particle":"","family":"Irving","given":"Helen","non-dropping-particle":"","parse-names":false,"suffix":""},{"dropping-particle":"","family":"Wondji","given":"Charles S","non-dropping-particle":"","parse-names":false,"suffix":""}],"container-title":"Molecular Ecology","id":"ITEM-1","issued":{"date-parts":[["2016"]]},"page":"1-17","title":"The P450 CYP6Z1 confers carbamate / pyrethroid cross- resistance in a major African malaria vector beside a novel carbamate-insensitive N485I acetylcholinesterase-1 mutation","type":"article-journal"},"uris":["http://www.mendeley.com/documents/?uuid=6be7be0d-a1b1-4f52-962f-0a6cfb40245e","http://www.mendeley.com/documents/?uuid=975b92e0-8fab-4c1c-9e73-1b52e3d44e76"]}],"mendeley":{"formattedCitation":"[4]","plainTextFormattedCitation":"[4]","previouslyFormattedCitation":"(4)"},"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[4]</w:t>
      </w:r>
      <w:r w:rsidRPr="00CD231A">
        <w:rPr>
          <w:rFonts w:ascii="Times New Roman" w:hAnsi="Times New Roman" w:cs="Times New Roman"/>
        </w:rPr>
        <w:fldChar w:fldCharType="end"/>
      </w:r>
      <w:r w:rsidRPr="00CD231A">
        <w:rPr>
          <w:rFonts w:ascii="Times New Roman" w:hAnsi="Times New Roman" w:cs="Times New Roman"/>
        </w:rPr>
        <w:t xml:space="preserve">. The fact that </w:t>
      </w:r>
      <w:r w:rsidRPr="00CD231A">
        <w:rPr>
          <w:rFonts w:ascii="Times New Roman" w:hAnsi="Times New Roman" w:cs="Times New Roman"/>
          <w:i/>
        </w:rPr>
        <w:t>CYP6P9a</w:t>
      </w:r>
      <w:r w:rsidRPr="00CD231A">
        <w:rPr>
          <w:rFonts w:ascii="Times New Roman" w:hAnsi="Times New Roman" w:cs="Times New Roman"/>
        </w:rPr>
        <w:t xml:space="preserve"> was only upregulated in </w:t>
      </w:r>
      <w:r w:rsidRPr="00CD231A">
        <w:rPr>
          <w:rFonts w:ascii="Times New Roman" w:hAnsi="Times New Roman" w:cs="Times New Roman"/>
          <w:iCs/>
        </w:rPr>
        <w:t>Rperm-C</w:t>
      </w:r>
      <w:r w:rsidRPr="00CD231A">
        <w:rPr>
          <w:rFonts w:ascii="Times New Roman" w:hAnsi="Times New Roman" w:cs="Times New Roman"/>
          <w:i/>
        </w:rPr>
        <w:t xml:space="preserve"> </w:t>
      </w:r>
      <w:r w:rsidRPr="00CD231A">
        <w:rPr>
          <w:rFonts w:ascii="Times New Roman" w:hAnsi="Times New Roman" w:cs="Times New Roman"/>
        </w:rPr>
        <w:t xml:space="preserve">comparison in this study could suggest that it might not represent the best possible candidate gene for permethrin resistance of this mosquito population. However, its role in the resistance of this mosquito population is illustrious. The </w:t>
      </w:r>
      <w:r w:rsidRPr="00CD231A">
        <w:rPr>
          <w:rFonts w:ascii="Times New Roman" w:hAnsi="Times New Roman" w:cs="Times New Roman"/>
          <w:i/>
          <w:iCs/>
        </w:rPr>
        <w:t xml:space="preserve">CYP6P4a, </w:t>
      </w:r>
      <w:r w:rsidRPr="00CD231A">
        <w:rPr>
          <w:rFonts w:ascii="Times New Roman" w:hAnsi="Times New Roman" w:cs="Times New Roman"/>
          <w:i/>
        </w:rPr>
        <w:t>CYP6P2</w:t>
      </w:r>
      <w:r w:rsidRPr="00CD231A">
        <w:rPr>
          <w:rFonts w:ascii="Times New Roman" w:hAnsi="Times New Roman" w:cs="Times New Roman"/>
        </w:rPr>
        <w:t xml:space="preserve">, </w:t>
      </w:r>
      <w:r w:rsidRPr="00CD231A">
        <w:rPr>
          <w:rFonts w:ascii="Times New Roman" w:hAnsi="Times New Roman" w:cs="Times New Roman"/>
          <w:i/>
        </w:rPr>
        <w:t>CYP6AA4</w:t>
      </w:r>
      <w:r w:rsidRPr="00CD231A">
        <w:rPr>
          <w:rFonts w:ascii="Times New Roman" w:hAnsi="Times New Roman" w:cs="Times New Roman"/>
        </w:rPr>
        <w:t xml:space="preserve"> and </w:t>
      </w:r>
      <w:r w:rsidRPr="00CD231A">
        <w:rPr>
          <w:rFonts w:ascii="Times New Roman" w:hAnsi="Times New Roman" w:cs="Times New Roman"/>
          <w:i/>
        </w:rPr>
        <w:t>CYP9J3</w:t>
      </w:r>
      <w:r w:rsidRPr="00CD231A">
        <w:rPr>
          <w:rFonts w:ascii="Times New Roman" w:hAnsi="Times New Roman" w:cs="Times New Roman"/>
        </w:rPr>
        <w:t xml:space="preserve"> are the other potential P450 genes that could be playing a role in permethrin resistance of this mosquito population. In our previous study, the synergist test with PBO gave a 100% recovery of susceptibility as against 68% mortality with only permethrin exposure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This present study has also shown the full involvement of esterase and GSTs in permethrin resistance, with a record of 100% recovery from susceptibility when each of DEM and DEF was combined with permethrin. This observation highlights the comprehensive roles of oxidase, esterase and GSTs in pyrethroid resistance.</w:t>
      </w:r>
    </w:p>
    <w:p w14:paraId="754809B5" w14:textId="500921FB"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ab/>
        <w:t>The roles of epsilon (</w:t>
      </w:r>
      <w:r w:rsidRPr="00CD231A">
        <w:rPr>
          <w:rFonts w:ascii="Times New Roman" w:hAnsi="Times New Roman" w:cs="Times New Roman"/>
          <w:i/>
        </w:rPr>
        <w:t>GSTe2</w:t>
      </w:r>
      <w:r w:rsidRPr="00CD231A">
        <w:rPr>
          <w:rFonts w:ascii="Times New Roman" w:hAnsi="Times New Roman" w:cs="Times New Roman"/>
        </w:rPr>
        <w:t>) and delta (</w:t>
      </w:r>
      <w:r w:rsidRPr="00CD231A">
        <w:rPr>
          <w:rFonts w:ascii="Times New Roman" w:hAnsi="Times New Roman" w:cs="Times New Roman"/>
          <w:i/>
        </w:rPr>
        <w:t>GSTd3</w:t>
      </w:r>
      <w:r w:rsidRPr="00CD231A">
        <w:rPr>
          <w:rFonts w:ascii="Times New Roman" w:hAnsi="Times New Roman" w:cs="Times New Roman"/>
        </w:rPr>
        <w:t xml:space="preserve"> and </w:t>
      </w:r>
      <w:r w:rsidRPr="00CD231A">
        <w:rPr>
          <w:rFonts w:ascii="Times New Roman" w:hAnsi="Times New Roman" w:cs="Times New Roman"/>
          <w:i/>
        </w:rPr>
        <w:t>GSTd1-5</w:t>
      </w:r>
      <w:r w:rsidRPr="00CD231A">
        <w:rPr>
          <w:rFonts w:ascii="Times New Roman" w:hAnsi="Times New Roman" w:cs="Times New Roman"/>
        </w:rPr>
        <w:t xml:space="preserve">) GST gene families in permethrin resistance were also clearly displayed. The reason for the absence of these key resistant-associated genes in microarray and its presence in qPCR </w:t>
      </w:r>
      <w:r w:rsidRPr="00CD231A">
        <w:rPr>
          <w:rFonts w:ascii="Times New Roman" w:hAnsi="Times New Roman" w:cs="Times New Roman"/>
        </w:rPr>
        <w:lastRenderedPageBreak/>
        <w:t xml:space="preserve">could simply be as a result of biases in dyes used in microarray experiments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{"citationItems":[{"id":"ITEM-1","itemData":{"DOI":"10.1038/nrg863","ISBN":"1471-0056 (Print)","ISSN":"1471-0056","PMID":"12154381","abstract":"Microarray experiments are used to quantify and compare gene expression on a large scale. As with all large-scale experiments, they can be costly in terms of equipment, consumables and time. Therefore, careful design is particularly important if the resulting experiment is to be maximally informative, given the effort and the resources. What then are the issues that need to be addressed when planning microarray experiments? Which features of an experiment have the most impact on the accuracy and precision of the resulting measurements? How do we balance the different components of experimental design to reach a decision? For example, should we replicate, and if so, how?","author":[{"dropping-particle":"","family":"Yang","given":"Yee Hwa","non-dropping-particle":"","parse-names":false,"suffix":""},{"dropping-particle":"","family":"Speed","given":"Terry","non-dropping-particle":"","parse-names":false,"suffix":""}],"container-title":"Nature reviews. Genetics","id":"ITEM-1","issue":"8","issued":{"date-parts":[["2002"]]},"page":"579-588","title":"Design issues for cDNA microarray experiments.","type":"article-journal","volume":"3"},"uris":["http://www.mendeley.com/documents/?uuid=cc4efd77-c238-47f0-b4fb-b594198977be","http://www.mendeley.com/documents/?uuid=c86dc40c-b013-4390-be3b-851f38c05bc0"]}],"mendeley":{"formattedCitation":"[31]","plainTextFormattedCitation":"[31]","previouslyFormattedCitation":"(31)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[31]</w:t>
      </w:r>
      <w:r w:rsidRPr="00CD231A">
        <w:rPr>
          <w:rFonts w:ascii="Times New Roman" w:hAnsi="Times New Roman" w:cs="Times New Roman"/>
        </w:rPr>
        <w:fldChar w:fldCharType="end"/>
      </w:r>
      <w:r w:rsidRPr="00CD231A">
        <w:rPr>
          <w:rFonts w:ascii="Times New Roman" w:hAnsi="Times New Roman" w:cs="Times New Roman"/>
        </w:rPr>
        <w:t xml:space="preserve"> and cross hybridization or non-specific binding of labelled targets to array probes</w:t>
      </w:r>
      <w:r w:rsidR="00D173DB" w:rsidRPr="00CD231A">
        <w:rPr>
          <w:rFonts w:ascii="Times New Roman" w:hAnsi="Times New Roman" w:cs="Times New Roman"/>
        </w:rPr>
        <w:t xml:space="preserve"> as pointed out earlier</w:t>
      </w:r>
      <w:r w:rsidRPr="00CD231A">
        <w:rPr>
          <w:rFonts w:ascii="Times New Roman" w:hAnsi="Times New Roman" w:cs="Times New Roman"/>
        </w:rPr>
        <w:t xml:space="preserve"> </w:t>
      </w:r>
      <w:r w:rsidRPr="00CD231A">
        <w:rPr>
          <w:rFonts w:ascii="Times New Roman" w:hAnsi="Times New Roman" w:cs="Times New Roman"/>
          <w:color w:val="000000"/>
          <w:shd w:val="clear" w:color="auto" w:fill="FFFFFF"/>
          <w:lang w:val="en-GB"/>
        </w:rPr>
        <w:fldChar w:fldCharType="begin" w:fldLock="1"/>
      </w:r>
      <w:r w:rsidRPr="00CD231A">
        <w:rPr>
          <w:rFonts w:ascii="Times New Roman" w:hAnsi="Times New Roman" w:cs="Times New Roman"/>
          <w:color w:val="000000"/>
          <w:shd w:val="clear" w:color="auto" w:fill="FFFFFF"/>
          <w:lang w:val="en-GB"/>
        </w:rPr>
        <w:instrText>ADDIN CSL_CITATION {"citationItems":[{"id":"ITEM-1","itemData":{"author":[{"dropping-particle":"","family":"Chuaqui","given":"RF","non-dropping-particle":"","parse-names":false,"suffix":""},{"dropping-particle":"","family":"Bonner","given":"RF","non-dropping-particle":"","parse-names":false,"suffix":""},{"dropping-particle":"","family":"Best","given":"CJ","non-dropping-particle":"","parse-names":false,"suffix":""},{"dropping-particle":"","family":"Gillespie","given":"JW","non-dropping-particle":"","parse-names":false,"suffix":""},{"dropping-particle":"","family":"Flaig","given":"MJ","non-dropping-particle":"","parse-names":false,"suffix":""},{"dropping-particle":"","family":"Hewitt","given":"SM","non-dropping-particle":"","parse-names":false,"suffix":""},{"dropping-particle":"","family":"Phillips","given":"JL","non-dropping-particle":"","parse-names":false,"suffix":""},{"dropping-particle":"","family":"Krizman","given":"DB","non-dropping-particle":"","parse-names":false,"suffix":""},{"dropping-particle":"","family":"Tangrea","given":"MA","non-dropping-particle":"","parse-names":false,"suffix":""},{"dropping-particle":"","family":"Ahram","given":"M","non-dropping-particle":"","parse-names":false,"suffix":""},{"dropping-particle":"","family":"Linehan","given":"WM","non-dropping-particle":"","parse-names":false,"suffix":""},{"dropping-particle":"","family":"Knezevic","given":"V","non-dropping-particle":"","parse-names":false,"suffix":""},{"dropping-particle":"","family":"Emmert-Buck","given":"MR","non-dropping-particle":"","parse-names":false,"suffix":""}],"container-title":"Nat Genet","id":"ITEM-1","issued":{"date-parts":[["2002"]]},"page":"509-14","title":"Post-analysis follow-up and validation of microarray experiments.","type":"article-journal","volume":"32"},"uris":["http://www.mendeley.com/documents/?uuid=03726e16-715d-4451-9e31-87b0392a9867","http://www.mendeley.com/documents/?uuid=71ada4f4-5333-420b-bc64-c0cb8dd39467","http://www.mendeley.com/documents/?uuid=fe0ae6bb-547f-4c22-a27e-0c842f7278e5"]}],"mendeley":{"formattedCitation":"[32]","plainTextFormattedCitation":"[32]","previouslyFormattedCitation":"(32)"},"properties":{"noteIndex":0},"schema":"https://github.com/citation-style-language/schema/raw/master/csl-citation.json"}</w:instrText>
      </w:r>
      <w:r w:rsidRPr="00CD231A">
        <w:rPr>
          <w:rFonts w:ascii="Times New Roman" w:hAnsi="Times New Roman" w:cs="Times New Roman"/>
          <w:color w:val="000000"/>
          <w:shd w:val="clear" w:color="auto" w:fill="FFFFFF"/>
          <w:lang w:val="en-GB"/>
        </w:rPr>
        <w:fldChar w:fldCharType="separate"/>
      </w:r>
      <w:r w:rsidRPr="00CD231A">
        <w:rPr>
          <w:rFonts w:ascii="Times New Roman" w:hAnsi="Times New Roman" w:cs="Times New Roman"/>
          <w:noProof/>
          <w:color w:val="000000"/>
          <w:shd w:val="clear" w:color="auto" w:fill="FFFFFF"/>
          <w:lang w:val="en-GB"/>
        </w:rPr>
        <w:t>[32]</w:t>
      </w:r>
      <w:r w:rsidRPr="00CD231A">
        <w:rPr>
          <w:rFonts w:ascii="Times New Roman" w:hAnsi="Times New Roman" w:cs="Times New Roman"/>
          <w:color w:val="000000"/>
          <w:shd w:val="clear" w:color="auto" w:fill="FFFFFF"/>
          <w:lang w:val="en-GB"/>
        </w:rPr>
        <w:fldChar w:fldCharType="end"/>
      </w:r>
      <w:r w:rsidRPr="00CD231A">
        <w:rPr>
          <w:rFonts w:ascii="Times New Roman" w:hAnsi="Times New Roman" w:cs="Times New Roman"/>
          <w:b/>
        </w:rPr>
        <w:t xml:space="preserve">. </w:t>
      </w:r>
      <w:r w:rsidRPr="00CD231A">
        <w:rPr>
          <w:rFonts w:ascii="Times New Roman" w:hAnsi="Times New Roman" w:cs="Times New Roman"/>
        </w:rPr>
        <w:t xml:space="preserve">But the fact that specific primers with the RT-PCR experiment could amplify </w:t>
      </w:r>
      <w:r w:rsidR="00D173DB" w:rsidRPr="00CD231A">
        <w:rPr>
          <w:rFonts w:ascii="Times New Roman" w:hAnsi="Times New Roman" w:cs="Times New Roman"/>
        </w:rPr>
        <w:t xml:space="preserve">the </w:t>
      </w:r>
      <w:r w:rsidR="00D173DB" w:rsidRPr="00CD231A">
        <w:rPr>
          <w:rFonts w:ascii="Times New Roman" w:hAnsi="Times New Roman" w:cs="Times New Roman"/>
          <w:i/>
        </w:rPr>
        <w:t>GSTe2,</w:t>
      </w:r>
      <w:r w:rsidR="00D173DB" w:rsidRPr="00CD231A">
        <w:rPr>
          <w:rFonts w:ascii="Times New Roman" w:hAnsi="Times New Roman" w:cs="Times New Roman"/>
        </w:rPr>
        <w:t xml:space="preserve"> </w:t>
      </w:r>
      <w:r w:rsidR="00D173DB" w:rsidRPr="00CD231A">
        <w:rPr>
          <w:rFonts w:ascii="Times New Roman" w:hAnsi="Times New Roman" w:cs="Times New Roman"/>
          <w:i/>
        </w:rPr>
        <w:t>GSTd3</w:t>
      </w:r>
      <w:r w:rsidR="00D173DB" w:rsidRPr="00CD231A">
        <w:rPr>
          <w:rFonts w:ascii="Times New Roman" w:hAnsi="Times New Roman" w:cs="Times New Roman"/>
        </w:rPr>
        <w:t xml:space="preserve"> and </w:t>
      </w:r>
      <w:r w:rsidR="00D173DB" w:rsidRPr="00CD231A">
        <w:rPr>
          <w:rFonts w:ascii="Times New Roman" w:hAnsi="Times New Roman" w:cs="Times New Roman"/>
          <w:i/>
        </w:rPr>
        <w:t>GSTd1-5</w:t>
      </w:r>
      <w:r w:rsidR="00D173DB" w:rsidRPr="00CD231A">
        <w:rPr>
          <w:rFonts w:ascii="Times New Roman" w:hAnsi="Times New Roman" w:cs="Times New Roman"/>
        </w:rPr>
        <w:t xml:space="preserve"> genes</w:t>
      </w:r>
      <w:r w:rsidRPr="00CD231A">
        <w:rPr>
          <w:rFonts w:ascii="Times New Roman" w:hAnsi="Times New Roman" w:cs="Times New Roman"/>
        </w:rPr>
        <w:t xml:space="preserve"> in permethrin-resistant samples showed their contributions to permethrin resistance of this mosquito population. </w:t>
      </w:r>
    </w:p>
    <w:p w14:paraId="67A95DD6"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ab/>
        <w:t xml:space="preserve">The </w:t>
      </w:r>
      <w:r w:rsidRPr="00CD231A">
        <w:rPr>
          <w:rFonts w:ascii="Times New Roman" w:hAnsi="Times New Roman" w:cs="Times New Roman"/>
          <w:i/>
        </w:rPr>
        <w:t xml:space="preserve">GSTe2 </w:t>
      </w:r>
      <w:r w:rsidRPr="00CD231A">
        <w:rPr>
          <w:rFonts w:ascii="Times New Roman" w:hAnsi="Times New Roman" w:cs="Times New Roman"/>
        </w:rPr>
        <w:t xml:space="preserve">is a key detoxification gene associated with pyrethroids resistance in </w:t>
      </w:r>
      <w:r w:rsidRPr="00CD231A">
        <w:rPr>
          <w:rFonts w:ascii="Times New Roman" w:hAnsi="Times New Roman" w:cs="Times New Roman"/>
          <w:i/>
        </w:rPr>
        <w:t xml:space="preserve">An. funestus </w:t>
      </w:r>
      <w:r w:rsidRPr="00CD231A">
        <w:rPr>
          <w:rFonts w:ascii="Times New Roman" w:hAnsi="Times New Roman" w:cs="Times New Roman"/>
        </w:rPr>
        <w:t>populations</w:t>
      </w:r>
      <w:r w:rsidRPr="00CD231A">
        <w:rPr>
          <w:rFonts w:ascii="Times New Roman" w:hAnsi="Times New Roman" w:cs="Times New Roman"/>
          <w:i/>
        </w:rPr>
        <w:t>.</w:t>
      </w:r>
      <w:r w:rsidRPr="00CD231A">
        <w:rPr>
          <w:rFonts w:ascii="Times New Roman" w:hAnsi="Times New Roman" w:cs="Times New Roman"/>
        </w:rPr>
        <w:t xml:space="preserve"> This is not only because of its elevated expression in </w:t>
      </w:r>
      <w:r w:rsidRPr="00CD231A">
        <w:rPr>
          <w:rFonts w:ascii="Times New Roman" w:hAnsi="Times New Roman" w:cs="Times New Roman"/>
          <w:i/>
        </w:rPr>
        <w:t>An. funestus</w:t>
      </w:r>
      <w:r w:rsidRPr="00CD231A">
        <w:rPr>
          <w:rFonts w:ascii="Times New Roman" w:hAnsi="Times New Roman" w:cs="Times New Roman"/>
        </w:rPr>
        <w:t xml:space="preserve"> when exposed to pyrethroids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mendeley":{"formattedCitation":"[10]","plainTextFormattedCitation":"[10]","previouslyFormattedCitation":"(10)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w:t>
      </w:r>
      <w:r w:rsidRPr="00CD231A">
        <w:rPr>
          <w:rFonts w:ascii="Times New Roman" w:hAnsi="Times New Roman" w:cs="Times New Roman"/>
        </w:rPr>
        <w:fldChar w:fldCharType="end"/>
      </w:r>
      <w:r w:rsidRPr="00CD231A">
        <w:rPr>
          <w:rFonts w:ascii="Times New Roman" w:hAnsi="Times New Roman" w:cs="Times New Roman"/>
        </w:rPr>
        <w:t xml:space="preserve"> but also its capability to metabolize more pyrethroids after undergoing genetic modifications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mendeley":{"formattedCitation":"[11]","plainTextFormattedCitation":"[11]","previouslyFormattedCitation":"(11)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[11]</w:t>
      </w:r>
      <w:r w:rsidRPr="00CD231A">
        <w:rPr>
          <w:rFonts w:ascii="Times New Roman" w:hAnsi="Times New Roman" w:cs="Times New Roman"/>
        </w:rPr>
        <w:fldChar w:fldCharType="end"/>
      </w:r>
      <w:r w:rsidRPr="00CD231A">
        <w:rPr>
          <w:rFonts w:ascii="Times New Roman" w:hAnsi="Times New Roman" w:cs="Times New Roman"/>
        </w:rPr>
        <w:t xml:space="preserve">. </w:t>
      </w:r>
      <w:r w:rsidRPr="00CD231A">
        <w:rPr>
          <w:rFonts w:ascii="Times New Roman" w:hAnsi="Times New Roman" w:cs="Times New Roman"/>
          <w:lang w:val="en-GB"/>
        </w:rPr>
        <w:t xml:space="preserve">Elevated </w:t>
      </w:r>
      <w:r w:rsidRPr="00CD231A">
        <w:rPr>
          <w:rFonts w:ascii="Times New Roman" w:hAnsi="Times New Roman" w:cs="Times New Roman"/>
          <w:i/>
          <w:lang w:val="en-GB"/>
        </w:rPr>
        <w:t>GSTe2</w:t>
      </w:r>
      <w:r w:rsidRPr="00CD231A">
        <w:rPr>
          <w:rFonts w:ascii="Times New Roman" w:hAnsi="Times New Roman" w:cs="Times New Roman"/>
          <w:lang w:val="en-GB"/>
        </w:rPr>
        <w:t xml:space="preserve"> expression has previously been implicated in mosquito resistance by acting as a pyrethroid-binding protein and sequestering the insecticide </w:t>
      </w:r>
      <w:r w:rsidRPr="00CD231A">
        <w:rPr>
          <w:rFonts w:ascii="Times New Roman" w:hAnsi="Times New Roman" w:cs="Times New Roman"/>
          <w:lang w:val="en-GB"/>
        </w:rPr>
        <w:fldChar w:fldCharType="begin" w:fldLock="1"/>
      </w:r>
      <w:r w:rsidRPr="00CD231A">
        <w:rPr>
          <w:rFonts w:ascii="Times New Roman" w:hAnsi="Times New Roman" w:cs="Times New Roman"/>
          <w:lang w:val="en-GB"/>
        </w:rPr>
        <w:instrText>ADDIN CSL_CITATION {"citationItems":[{"id":"ITEM-1","itemData":{"author":[{"dropping-particle":"","family":"Kostaropoulos","given":"I.","non-dropping-particle":"","parse-names":false,"suffix":""},{"dropping-particle":"","family":"Papadopoulos","given":"A. I.","non-dropping-particle":"","parse-names":false,"suffix":""},{"dropping-particle":"","family":"Metaxakis","given":"A.","non-dropping-particle":"","parse-names":false,"suffix":""},{"dropping-particle":"","family":"Boukouvala","given":"E.","non-dropping-particle":"","parse-names":false,"suffix":""},{"dropping-particle":"","family":"Papadopoulou Mourkidou","given":"E.","non-dropping-particle":"","parse-names":false,"suffix":""}],"container-title":"Insect Biochem Mol Biol.","id":"ITEM-1","issue":"4-5","issued":{"date-parts":[["2001"]]},"page":"313-9.","title":"Glutathione S-transferase in the defence against pyrethroids in insects.","type":"article-journal","volume":"31"},"uris":["http://www.mendeley.com/documents/?uuid=cdde4dec-cd3a-488a-8e86-cbb0e13f667b","http://www.mendeley.com/documents/?uuid=32c0ff3f-e72f-4d0d-9b50-aab4f0316643","http://www.mendeley.com/documents/?uuid=b78caa88-22c8-4ec1-bbce-26b12c0c1817"]}],"mendeley":{"formattedCitation":"[33]","plainTextFormattedCitation":"[33]","previouslyFormattedCitation":"(33)"},"properties":{"noteIndex":0},"schema":"https://github.com/citation-style-language/schema/raw/master/csl-citation.json"}</w:instrText>
      </w:r>
      <w:r w:rsidRPr="00CD231A">
        <w:rPr>
          <w:rFonts w:ascii="Times New Roman" w:hAnsi="Times New Roman" w:cs="Times New Roman"/>
          <w:lang w:val="en-GB"/>
        </w:rPr>
        <w:fldChar w:fldCharType="separate"/>
      </w:r>
      <w:r w:rsidRPr="00CD231A">
        <w:rPr>
          <w:rFonts w:ascii="Times New Roman" w:hAnsi="Times New Roman" w:cs="Times New Roman"/>
          <w:noProof/>
          <w:lang w:val="en-GB"/>
        </w:rPr>
        <w:t>[33]</w:t>
      </w:r>
      <w:r w:rsidRPr="00CD231A">
        <w:rPr>
          <w:rFonts w:ascii="Times New Roman" w:hAnsi="Times New Roman" w:cs="Times New Roman"/>
          <w:lang w:val="en-GB"/>
        </w:rPr>
        <w:fldChar w:fldCharType="end"/>
      </w:r>
      <w:r w:rsidRPr="00CD231A">
        <w:rPr>
          <w:rFonts w:ascii="Times New Roman" w:hAnsi="Times New Roman" w:cs="Times New Roman"/>
          <w:lang w:val="en-GB"/>
        </w:rPr>
        <w:t xml:space="preserve"> or by protecting mosquitoes against oxidative stress and lipid peroxidation induced by pyrethroid exposure </w:t>
      </w:r>
      <w:r w:rsidRPr="00CD231A">
        <w:rPr>
          <w:rFonts w:ascii="Times New Roman" w:hAnsi="Times New Roman" w:cs="Times New Roman"/>
          <w:lang w:val="en-GB"/>
        </w:rPr>
        <w:fldChar w:fldCharType="begin" w:fldLock="1"/>
      </w:r>
      <w:r w:rsidRPr="00CD231A">
        <w:rPr>
          <w:rFonts w:ascii="Times New Roman" w:hAnsi="Times New Roman" w:cs="Times New Roman"/>
          <w:lang w:val="en-GB"/>
        </w:rPr>
        <w:instrText>ADDIN CSL_CITATION {"citationItems":[{"id":"ITEM-1","itemData":{"DOI":"10.1042/0264-6021:3570065","ISBN":"02646021","ISSN":"0264-6021","PMID":"11415437","abstract":"Selection of a laboratory colony of the brown planthopper Nilaparvata lugens with the pyrethroids permethrin and lambda-cyhalothrin increased its resistance to both insecticides. Biochemical analysis and synergistic studies with metabolic inhibitors indicated that elevated glutathione S-transferases (GSTs) with a predominant peroxidase activity conferred resistance to both pyrethroids, whereas esterases conferred part of the resistance to permethrin. Purified esterases hydrolysed permethrin at a slow rate, but incubation of either pyrethroid or their primary metabolites with partially purified GSTs had no effect on the metabolic profile. Although GSTs were sensitive to inhibition by both pyrethroids, they did not serve as binding proteins, as previously hypothesized [Grant and Matsumura (1988) Insect Biochem. 18, 615-622]. We demonstrate that pyrethroids, in addition to their neurotoxic effect, induce oxidative stress and lipid peroxidation in insects. Pyrethroid exposure induced lipid peroxides, protein oxidation and depleted reduced glutathione. Elevated GSTs in the resistant strains attenuated the pyrethroid-induced lipid peroxidation and reduced mortality, whereas their in vivo inhibition eliminated their protective role. We therefore hypothesize that the main role of elevated GSTs in conferring resistance in N. lugens is through protecting tissues from oxidative damage. Our study extends the GSTs' range of efficacy to pyrethroid insecticides and possibly explains the role of elevated GSTs in other pyrethroid-resistant insects.","author":[{"dropping-particle":"","family":"Vontas","given":"J G","non-dropping-particle":"","parse-names":false,"suffix":""},{"dropping-particle":"","family":"Small","given":"G J","non-dropping-particle":"","parse-names":false,"suffix":""},{"dropping-particle":"","family":"Hemingway","given":"J","non-dropping-particle":"","parse-names":false,"suffix":""}],"container-title":"The Biochemical journal","id":"ITEM-1","issue":"Pt 1","issued":{"date-parts":[["2001"]]},"page":"65-72","title":"Glutathione S-transferases as antioxidant defence agents confer pyrethroid resistance in Nilaparvata lugens.","type":"article-journal","volume":"357"},"uris":["http://www.mendeley.com/documents/?uuid=8ec0216d-4656-477c-9f7f-58abbbab50a2","http://www.mendeley.com/documents/?uuid=74b34c9c-a0ad-48f7-97e1-cbea0734dbda","http://www.mendeley.com/documents/?uuid=2248d208-069b-4711-86fd-6990eadf78d9"]}],"mendeley":{"formattedCitation":"[34]","plainTextFormattedCitation":"[34]","previouslyFormattedCitation":"(34)"},"properties":{"noteIndex":0},"schema":"https://github.com/citation-style-language/schema/raw/master/csl-citation.json"}</w:instrText>
      </w:r>
      <w:r w:rsidRPr="00CD231A">
        <w:rPr>
          <w:rFonts w:ascii="Times New Roman" w:hAnsi="Times New Roman" w:cs="Times New Roman"/>
          <w:lang w:val="en-GB"/>
        </w:rPr>
        <w:fldChar w:fldCharType="separate"/>
      </w:r>
      <w:r w:rsidRPr="00CD231A">
        <w:rPr>
          <w:rFonts w:ascii="Times New Roman" w:hAnsi="Times New Roman" w:cs="Times New Roman"/>
          <w:noProof/>
          <w:lang w:val="en-GB"/>
        </w:rPr>
        <w:t>[34]</w:t>
      </w:r>
      <w:r w:rsidRPr="00CD231A">
        <w:rPr>
          <w:rFonts w:ascii="Times New Roman" w:hAnsi="Times New Roman" w:cs="Times New Roman"/>
          <w:lang w:val="en-GB"/>
        </w:rPr>
        <w:fldChar w:fldCharType="end"/>
      </w:r>
      <w:r w:rsidRPr="00CD231A">
        <w:rPr>
          <w:rFonts w:ascii="Times New Roman" w:hAnsi="Times New Roman" w:cs="Times New Roman"/>
          <w:lang w:val="en-GB"/>
        </w:rPr>
        <w:t xml:space="preserve">. Also, a partial knockdown of an ortholog </w:t>
      </w:r>
      <w:r w:rsidRPr="00CD231A">
        <w:rPr>
          <w:rFonts w:ascii="Times New Roman" w:hAnsi="Times New Roman" w:cs="Times New Roman"/>
          <w:i/>
          <w:lang w:val="en-GB"/>
        </w:rPr>
        <w:t xml:space="preserve">GSTe2 </w:t>
      </w:r>
      <w:r w:rsidRPr="00CD231A">
        <w:rPr>
          <w:rFonts w:ascii="Times New Roman" w:hAnsi="Times New Roman" w:cs="Times New Roman"/>
          <w:lang w:val="en-GB"/>
        </w:rPr>
        <w:t xml:space="preserve">in </w:t>
      </w:r>
      <w:r w:rsidRPr="00CD231A">
        <w:rPr>
          <w:rFonts w:ascii="Times New Roman" w:hAnsi="Times New Roman" w:cs="Times New Roman"/>
          <w:i/>
          <w:lang w:val="en-GB"/>
        </w:rPr>
        <w:t>Ae. aegypti</w:t>
      </w:r>
      <w:r w:rsidRPr="00CD231A">
        <w:rPr>
          <w:rFonts w:ascii="Times New Roman" w:hAnsi="Times New Roman" w:cs="Times New Roman"/>
          <w:lang w:val="en-GB"/>
        </w:rPr>
        <w:t xml:space="preserve"> led to increasing pyrethroids (deltamethrin) mortality, which also linked </w:t>
      </w:r>
      <w:r w:rsidRPr="00CD231A">
        <w:rPr>
          <w:rFonts w:ascii="Times New Roman" w:hAnsi="Times New Roman" w:cs="Times New Roman"/>
          <w:i/>
          <w:lang w:val="en-GB"/>
        </w:rPr>
        <w:t>GSTe2</w:t>
      </w:r>
      <w:r w:rsidRPr="00CD231A">
        <w:rPr>
          <w:rFonts w:ascii="Times New Roman" w:hAnsi="Times New Roman" w:cs="Times New Roman"/>
          <w:lang w:val="en-GB"/>
        </w:rPr>
        <w:t xml:space="preserve"> with deltamethrin resistance in this species </w:t>
      </w:r>
      <w:r w:rsidRPr="00CD231A">
        <w:rPr>
          <w:rFonts w:ascii="Times New Roman" w:hAnsi="Times New Roman" w:cs="Times New Roman"/>
          <w:lang w:val="en-GB"/>
        </w:rPr>
        <w:fldChar w:fldCharType="begin" w:fldLock="1"/>
      </w:r>
      <w:r w:rsidRPr="00CD231A">
        <w:rPr>
          <w:rFonts w:ascii="Times New Roman" w:hAnsi="Times New Roman" w:cs="Times New Roman"/>
          <w:lang w:val="en-GB"/>
        </w:rPr>
        <w:instrText>ADDIN CSL_CITATION {"citationItems":[{"id":"ITEM-1","itemData":{"author":[{"dropping-particle":"","family":"Lumjuan","given":"N","non-dropping-particle":"","parse-names":false,"suffix":""},{"dropping-particle":"","family":"Rajatileka","given":"S","non-dropping-particle":"","parse-names":false,"suffix":""},{"dropping-particle":"","family":"Changsom","given":"D","non-dropping-particle":"","parse-names":false,"suffix":""},{"dropping-particle":"","family":"Wicheer","given":"J","non-dropping-particle":"","parse-names":false,"suffix":""},{"dropping-particle":"","family":"Leelapat","given":"P","non-dropping-particle":"","parse-names":false,"suffix":""},{"dropping-particle":"","family":"Prapanthadara, LA Somboon","given":"P","non-dropping-particle":"","parse-names":false,"suffix":""},{"dropping-particle":"","family":"Lycett","given":"G","non-dropping-particle":"","parse-names":false,"suffix":""},{"dropping-particle":"","family":"Ranson","given":"H","non-dropping-particle":"","parse-names":false,"suffix":""}],"container-title":"Insect Biochem Mol Biol","id":"ITEM-1","issue":"3","issued":{"date-parts":[["2011"]]},"page":"203-9","title":"The role of the Aedes aegypti Epsilon glutathione transferases in conferring resistance to DDT and pyrethroid insecticides.","type":"article-journal","volume":"41"},"uris":["http://www.mendeley.com/documents/?uuid=77859bfc-4b97-4ed0-bb96-ef1f0611925f","http://www.mendeley.com/documents/?uuid=a45109ab-6cec-49ce-be47-47b45107e276","http://www.mendeley.com/documents/?uuid=b7a2bd8a-0355-4307-84fe-38da14a3a56c"]}],"mendeley":{"formattedCitation":"[35]","plainTextFormattedCitation":"[35]","previouslyFormattedCitation":"(35)"},"properties":{"noteIndex":0},"schema":"https://github.com/citation-style-language/schema/raw/master/csl-citation.json"}</w:instrText>
      </w:r>
      <w:r w:rsidRPr="00CD231A">
        <w:rPr>
          <w:rFonts w:ascii="Times New Roman" w:hAnsi="Times New Roman" w:cs="Times New Roman"/>
          <w:lang w:val="en-GB"/>
        </w:rPr>
        <w:fldChar w:fldCharType="separate"/>
      </w:r>
      <w:r w:rsidRPr="00CD231A">
        <w:rPr>
          <w:rFonts w:ascii="Times New Roman" w:hAnsi="Times New Roman" w:cs="Times New Roman"/>
          <w:noProof/>
          <w:lang w:val="en-GB"/>
        </w:rPr>
        <w:t>[35]</w:t>
      </w:r>
      <w:r w:rsidRPr="00CD231A">
        <w:rPr>
          <w:rFonts w:ascii="Times New Roman" w:hAnsi="Times New Roman" w:cs="Times New Roman"/>
          <w:lang w:val="en-GB"/>
        </w:rPr>
        <w:fldChar w:fldCharType="end"/>
      </w:r>
      <w:r w:rsidRPr="00CD231A">
        <w:rPr>
          <w:rFonts w:ascii="Times New Roman" w:hAnsi="Times New Roman" w:cs="Times New Roman"/>
          <w:lang w:val="en-GB"/>
        </w:rPr>
        <w:t>.</w:t>
      </w:r>
      <w:r w:rsidRPr="00CD231A">
        <w:rPr>
          <w:rFonts w:ascii="Times New Roman" w:hAnsi="Times New Roman" w:cs="Times New Roman"/>
        </w:rPr>
        <w:t xml:space="preserve"> </w:t>
      </w:r>
    </w:p>
    <w:p w14:paraId="6781C8F6" w14:textId="036CA580"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ab/>
        <w:t xml:space="preserve">Carboxylesterases also showed a great involvement as well as trypsin, indicating that a myriad of several metabolic enzymes is triggered in resistant </w:t>
      </w:r>
      <w:r w:rsidRPr="00CD231A">
        <w:rPr>
          <w:rFonts w:ascii="Times New Roman" w:hAnsi="Times New Roman" w:cs="Times New Roman"/>
          <w:i/>
          <w:iCs/>
        </w:rPr>
        <w:t xml:space="preserve">An. funestus s.s. </w:t>
      </w:r>
      <w:r w:rsidRPr="00CD231A">
        <w:rPr>
          <w:rFonts w:ascii="Times New Roman" w:hAnsi="Times New Roman" w:cs="Times New Roman"/>
        </w:rPr>
        <w:t xml:space="preserve">population that empowers </w:t>
      </w:r>
      <w:r w:rsidR="00D173DB" w:rsidRPr="00CD231A">
        <w:rPr>
          <w:rFonts w:ascii="Times New Roman" w:hAnsi="Times New Roman" w:cs="Times New Roman"/>
        </w:rPr>
        <w:t>mosquitoes</w:t>
      </w:r>
      <w:r w:rsidRPr="00CD231A">
        <w:rPr>
          <w:rFonts w:ascii="Times New Roman" w:hAnsi="Times New Roman" w:cs="Times New Roman"/>
        </w:rPr>
        <w:t xml:space="preserve"> to survive permethrin exposure. Overall, our findings suggest that the </w:t>
      </w:r>
      <w:r w:rsidRPr="00CD231A">
        <w:rPr>
          <w:rFonts w:ascii="Times New Roman" w:hAnsi="Times New Roman" w:cs="Times New Roman"/>
          <w:i/>
          <w:iCs/>
        </w:rPr>
        <w:t xml:space="preserve">GSTe2 </w:t>
      </w:r>
      <w:r w:rsidRPr="00CD231A">
        <w:rPr>
          <w:rFonts w:ascii="Times New Roman" w:hAnsi="Times New Roman" w:cs="Times New Roman"/>
        </w:rPr>
        <w:t xml:space="preserve">could be playing a great role in insecticide resistance due to its expression level, but the key observation from the pattern of gene expression is that the observed resistance is powered by multiple detoxification processes. The other genes with lower expressions, nevertheless, would have played their own distinct and significant roles to achieve such a high level of insecticide resistance. Some of these metabolic proteins (cytochrome P450, carboxylesterase, trypsin) being a phase I machinery are very important first-line defense enzymes that </w:t>
      </w:r>
      <w:r w:rsidRPr="00CD231A">
        <w:rPr>
          <w:rFonts w:ascii="Times New Roman" w:hAnsi="Times New Roman" w:cs="Times New Roman"/>
        </w:rPr>
        <w:lastRenderedPageBreak/>
        <w:t>help in the hydrolysis of target insecticides for the phase II detoxification proteins (GSTs</w:t>
      </w:r>
      <w:r w:rsidRPr="00CD231A">
        <w:rPr>
          <w:rFonts w:ascii="Times New Roman" w:hAnsi="Times New Roman" w:cs="Times New Roman"/>
          <w:i/>
          <w:iCs/>
        </w:rPr>
        <w:t xml:space="preserve"> </w:t>
      </w:r>
      <w:r w:rsidRPr="00CD231A">
        <w:rPr>
          <w:rFonts w:ascii="Times New Roman" w:hAnsi="Times New Roman" w:cs="Times New Roman"/>
        </w:rPr>
        <w:t xml:space="preserve">and </w:t>
      </w:r>
      <w:r w:rsidRPr="00CD231A">
        <w:rPr>
          <w:rFonts w:ascii="Times New Roman" w:eastAsia="Times New Roman" w:hAnsi="Times New Roman" w:cs="Times New Roman"/>
          <w:color w:val="000000"/>
        </w:rPr>
        <w:t xml:space="preserve">glucosyl glucuronosyl transferases) to further process phase I metabolites for transport and excretion from the mosquito’s body system. </w:t>
      </w:r>
      <w:r w:rsidRPr="00CD231A">
        <w:rPr>
          <w:rFonts w:ascii="Times New Roman" w:hAnsi="Times New Roman" w:cs="Times New Roman"/>
        </w:rPr>
        <w:t>All these, however, need further investigation to examine the distinct role of each gene in resistance.</w:t>
      </w:r>
    </w:p>
    <w:p w14:paraId="7907669F" w14:textId="77777777" w:rsidR="00BF5696" w:rsidRPr="00CD231A" w:rsidRDefault="00BF5696" w:rsidP="00BF5696">
      <w:pPr>
        <w:widowControl w:val="0"/>
        <w:autoSpaceDE w:val="0"/>
        <w:autoSpaceDN w:val="0"/>
        <w:adjustRightInd w:val="0"/>
        <w:spacing w:line="480" w:lineRule="auto"/>
        <w:jc w:val="both"/>
        <w:rPr>
          <w:rFonts w:ascii="Times New Roman" w:hAnsi="Times New Roman" w:cs="Times New Roman"/>
          <w:b/>
          <w:iCs/>
        </w:rPr>
      </w:pPr>
    </w:p>
    <w:p w14:paraId="2BF8D920" w14:textId="0DA7BC06" w:rsidR="00BF5696" w:rsidRPr="00CD231A" w:rsidRDefault="00BF5696" w:rsidP="00BF5696">
      <w:pPr>
        <w:widowControl w:val="0"/>
        <w:autoSpaceDE w:val="0"/>
        <w:autoSpaceDN w:val="0"/>
        <w:adjustRightInd w:val="0"/>
        <w:spacing w:line="480" w:lineRule="auto"/>
        <w:jc w:val="both"/>
        <w:rPr>
          <w:rFonts w:ascii="Times New Roman" w:hAnsi="Times New Roman" w:cs="Times New Roman"/>
          <w:iCs/>
        </w:rPr>
      </w:pPr>
      <w:r w:rsidRPr="00CD231A">
        <w:rPr>
          <w:rFonts w:ascii="Times New Roman" w:hAnsi="Times New Roman" w:cs="Times New Roman"/>
          <w:b/>
          <w:iCs/>
        </w:rPr>
        <w:t xml:space="preserve">DDT resistance of </w:t>
      </w:r>
      <w:r w:rsidRPr="00CD231A">
        <w:rPr>
          <w:rFonts w:ascii="Times New Roman" w:hAnsi="Times New Roman" w:cs="Times New Roman"/>
          <w:b/>
          <w:i/>
        </w:rPr>
        <w:t>An</w:t>
      </w:r>
      <w:r w:rsidR="00D173DB" w:rsidRPr="00CD231A">
        <w:rPr>
          <w:rFonts w:ascii="Times New Roman" w:hAnsi="Times New Roman" w:cs="Times New Roman"/>
          <w:b/>
          <w:i/>
        </w:rPr>
        <w:t>.</w:t>
      </w:r>
      <w:r w:rsidRPr="00CD231A">
        <w:rPr>
          <w:rFonts w:ascii="Times New Roman" w:hAnsi="Times New Roman" w:cs="Times New Roman"/>
          <w:b/>
          <w:i/>
        </w:rPr>
        <w:t xml:space="preserve"> funestus s.s. </w:t>
      </w:r>
      <w:r w:rsidR="00D173DB" w:rsidRPr="00CD231A">
        <w:rPr>
          <w:rFonts w:ascii="Times New Roman" w:hAnsi="Times New Roman" w:cs="Times New Roman"/>
          <w:b/>
          <w:iCs/>
        </w:rPr>
        <w:t xml:space="preserve">is </w:t>
      </w:r>
      <w:r w:rsidRPr="00CD231A">
        <w:rPr>
          <w:rFonts w:ascii="Times New Roman" w:hAnsi="Times New Roman" w:cs="Times New Roman"/>
          <w:b/>
          <w:iCs/>
        </w:rPr>
        <w:t xml:space="preserve">driven by the upregulation of multiple metabolic </w:t>
      </w:r>
      <w:r w:rsidR="00D173DB" w:rsidRPr="00CD231A">
        <w:rPr>
          <w:rFonts w:ascii="Times New Roman" w:hAnsi="Times New Roman" w:cs="Times New Roman"/>
          <w:b/>
          <w:iCs/>
        </w:rPr>
        <w:t>genes</w:t>
      </w:r>
    </w:p>
    <w:p w14:paraId="04AE61BE" w14:textId="3069663F"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 xml:space="preserve">The elevated expressions of </w:t>
      </w:r>
      <w:r w:rsidRPr="00CD231A">
        <w:rPr>
          <w:rFonts w:ascii="Times New Roman" w:hAnsi="Times New Roman" w:cs="Times New Roman"/>
          <w:i/>
        </w:rPr>
        <w:t>GST</w:t>
      </w:r>
      <w:r w:rsidRPr="00CD231A">
        <w:rPr>
          <w:rFonts w:ascii="Times New Roman" w:hAnsi="Times New Roman" w:cs="Times New Roman"/>
          <w:i/>
          <w:vertAlign w:val="subscript"/>
        </w:rPr>
        <w:t>S</w:t>
      </w:r>
      <w:r w:rsidRPr="00CD231A">
        <w:rPr>
          <w:rFonts w:ascii="Times New Roman" w:hAnsi="Times New Roman" w:cs="Times New Roman"/>
          <w:i/>
        </w:rPr>
        <w:t>1</w:t>
      </w:r>
      <w:r w:rsidRPr="00CD231A">
        <w:rPr>
          <w:rFonts w:ascii="Times New Roman" w:hAnsi="Times New Roman" w:cs="Times New Roman"/>
        </w:rPr>
        <w:t xml:space="preserve"> and </w:t>
      </w:r>
      <w:r w:rsidRPr="00CD231A">
        <w:rPr>
          <w:rFonts w:ascii="Times New Roman" w:hAnsi="Times New Roman" w:cs="Times New Roman"/>
          <w:i/>
        </w:rPr>
        <w:t>GST</w:t>
      </w:r>
      <w:r w:rsidRPr="00CD231A">
        <w:rPr>
          <w:rFonts w:ascii="Times New Roman" w:hAnsi="Times New Roman" w:cs="Times New Roman"/>
          <w:i/>
          <w:vertAlign w:val="subscript"/>
        </w:rPr>
        <w:t>U</w:t>
      </w:r>
      <w:r w:rsidRPr="00CD231A">
        <w:rPr>
          <w:rFonts w:ascii="Times New Roman" w:hAnsi="Times New Roman" w:cs="Times New Roman"/>
          <w:i/>
        </w:rPr>
        <w:t>2</w:t>
      </w:r>
      <w:r w:rsidRPr="00CD231A">
        <w:rPr>
          <w:rFonts w:ascii="Times New Roman" w:hAnsi="Times New Roman" w:cs="Times New Roman"/>
        </w:rPr>
        <w:t xml:space="preserve"> suggest their contributions to DDT resistance. The </w:t>
      </w:r>
      <w:r w:rsidRPr="00CD231A">
        <w:rPr>
          <w:rFonts w:ascii="Times New Roman" w:hAnsi="Times New Roman" w:cs="Times New Roman"/>
          <w:i/>
        </w:rPr>
        <w:t>GST</w:t>
      </w:r>
      <w:r w:rsidRPr="00CD231A">
        <w:rPr>
          <w:rFonts w:ascii="Times New Roman" w:hAnsi="Times New Roman" w:cs="Times New Roman"/>
          <w:i/>
          <w:vertAlign w:val="subscript"/>
        </w:rPr>
        <w:t>S</w:t>
      </w:r>
      <w:r w:rsidRPr="00CD231A">
        <w:rPr>
          <w:rFonts w:ascii="Times New Roman" w:hAnsi="Times New Roman" w:cs="Times New Roman"/>
          <w:i/>
        </w:rPr>
        <w:t>1</w:t>
      </w:r>
      <w:r w:rsidRPr="00CD231A">
        <w:rPr>
          <w:rFonts w:ascii="Times New Roman" w:hAnsi="Times New Roman" w:cs="Times New Roman"/>
        </w:rPr>
        <w:t xml:space="preserve"> had earlier been shown to be associated with insecticide tolerance in mosquitoes. The sigma family of GST in insects possess a proline/alanine-rich N-terminal extension that helps to aid attachment to the flight muscle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{"citationItems":[{"id":"ITEM-1","itemData":{"DOI":"10.1023/A:1005304527563","ISSN":"01424319","PMID":"9536439","abstract":"Drosophila indirect flight muscles (IFMs) contain a 35 kDa protein which cross-reacts with antibodies to the IFM specific protein troponin-H isoform 34 (TnH-34). Peptide fingerprinting and peptide sequencing showed that this 35 kDa protein is glutathione S-transferase-2 (GST-2). GST-2 is present in the asynchronous indirect flight muscles but not in the synchronous tergal depressor of the trochanter (jump muscle). Genetic dissection of the sarcomere showed that GST-2 is stably associated with the thin filaments but the presence of myosin is required to achieve the correct stoichiometry, suggesting that there is also an interaction with the thick filament. The two Drosophila TnHs (isoforms 33 and 34) are naturally occurring fusion proteins in which a proline-rich extension of approximately 250 amino acids replaces the 27 C-terminal residues of the muscle-specific tropomyosin II isoform. The proteolytic enzyme, Igase, cleaves the hydrophobic C-terminal sequence of TnH-34 at three sites and TnH-33 at one site. This results in the release of GST-2 from the myofibril. The amount of GST-2 stably bound to the myofibril is directly proportional to the total amount of undigested TnH. It is concluded that GST-2 in the thin filament is stabilized there by interaction with TnH. We speculate that the hydrophobic N-terminal region of GST-2 interacts with the hydrophobic C-terminal extension of TnH, and that both are close to a myosin cross-bridge.","author":[{"dropping-particle":"","family":"Clayton","given":"Jonathan D.","non-dropping-particle":"","parse-names":false,"suffix":""},{"dropping-particle":"","family":"Cripps","given":"Richard M.","non-dropping-particle":"","parse-names":false,"suffix":""},{"dropping-particle":"","family":"Sparrow","given":"John C.","non-dropping-particle":"","parse-names":false,"suffix":""},{"dropping-particle":"","family":"Bullard","given":"Belinda","non-dropping-particle":"","parse-names":false,"suffix":""}],"container-title":"Journal of Muscle Research and Cell Motility","id":"ITEM-1","issue":"2","issued":{"date-parts":[["1998"]]},"page":"117-127","title":"Interaction of troponin-H and glutathione S-transferase-2 in the indirect flight muscles of Drosophila melanogaster","type":"article-journal","volume":"19"},"uris":["http://www.mendeley.com/documents/?uuid=3b617b03-3543-4352-b3fc-8c47b9217878","http://www.mendeley.com/documents/?uuid=e666d947-69c9-445c-af55-3e1656e63565"]}],"mendeley":{"formattedCitation":"[36]","plainTextFormattedCitation":"[36]","previouslyFormattedCitation":"(36)"},"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[36]</w:t>
      </w:r>
      <w:r w:rsidRPr="00CD231A">
        <w:rPr>
          <w:rFonts w:ascii="Times New Roman" w:hAnsi="Times New Roman" w:cs="Times New Roman"/>
        </w:rPr>
        <w:fldChar w:fldCharType="end"/>
      </w:r>
      <w:r w:rsidRPr="00CD231A">
        <w:rPr>
          <w:rFonts w:ascii="Times New Roman" w:hAnsi="Times New Roman" w:cs="Times New Roman"/>
        </w:rPr>
        <w:t xml:space="preserve">, which make them structurally effective for metabolism. In addition, </w:t>
      </w:r>
      <w:r w:rsidRPr="00CD231A">
        <w:rPr>
          <w:rFonts w:ascii="Times New Roman" w:hAnsi="Times New Roman" w:cs="Times New Roman"/>
          <w:i/>
        </w:rPr>
        <w:t>GSTs</w:t>
      </w:r>
      <w:r w:rsidRPr="00CD231A">
        <w:rPr>
          <w:rFonts w:ascii="Times New Roman" w:hAnsi="Times New Roman" w:cs="Times New Roman"/>
        </w:rPr>
        <w:t xml:space="preserve"> show low-level activities with the typical GST substrates and  have high affinity for the lipid peroxidation product 4-hydroxynonenal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{"citationItems":[{"id":"ITEM-1","itemData":{"DOI":"10.1186/1475-2875-10-59","ISBN":"1475-2875","ISSN":"1475-2875","PMID":"21401946","abstract":"Knockdown resistance (kdr) in insects, resulting from mutation(s) in the voltage-gated sodium channel (vgsc) gene is one of the mechanisms of resistance against DDT and pyrethroid-group of insecticides. The most common mutation(s) associated with knockdown resistance in insects, including anophelines, has been reported to be present at residue Leu1014 in the IIS6 transmembrane segment of the vgsc gene. This study reports the presence of two alternative kdr-like mutations, L1014S and L1014F, at this residue in a major malaria vector Anopheles stephensi and describes new PCR assays for their detection.","author":[{"dropping-particle":"","family":"Singh","given":"Om P","non-dropping-particle":"","parse-names":false,"suffix":""},{"dropping-particle":"","family":"Dykes","given":"Cherry L","non-dropping-particle":"","parse-names":false,"suffix":""},{"dropping-particle":"","family":"Lather","given":"Manila","non-dropping-particle":"","parse-names":false,"suffix":""},{"dropping-particle":"","family":"Agrawal","given":"Om P","non-dropping-particle":"","parse-names":false,"suffix":""},{"dropping-particle":"","family":"Adak","given":"Tridibes","non-dropping-particle":"","parse-names":false,"suffix":""}],"container-title":"Malaria journal","id":"ITEM-1","issue":"1","issued":{"date-parts":[["2011"]]},"page":"59","title":"Knockdown resistance (kdr)-like mutations in the voltage-gated sodium channel of a malaria vector Anopheles stephensi and PCR assays for their detection.","type":"article-journal","volume":"10"},"uris":["http://www.mendeley.com/documents/?uuid=ea8cee1d-5674-42e0-b608-ae3fcbbd66e0","http://www.mendeley.com/documents/?uuid=d8d9f2b4-cbc1-4e05-a8ab-2d0bc25a10b2"]}],"mendeley":{"formattedCitation":"[37]","plainTextFormattedCitation":"[37]","previouslyFormattedCitation":"(37)"},"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[37]</w:t>
      </w:r>
      <w:r w:rsidRPr="00CD231A">
        <w:rPr>
          <w:rFonts w:ascii="Times New Roman" w:hAnsi="Times New Roman" w:cs="Times New Roman"/>
        </w:rPr>
        <w:fldChar w:fldCharType="end"/>
      </w:r>
      <w:r w:rsidRPr="00CD231A">
        <w:rPr>
          <w:rFonts w:ascii="Times New Roman" w:hAnsi="Times New Roman" w:cs="Times New Roman"/>
        </w:rPr>
        <w:t xml:space="preserve">. As a result, sigma GST duplicates might also play important roles in eliminating the by-products of oxidative stress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{"citationItems":[{"id":"ITEM-1","itemData":{"ISSN":"1721-8861","abstract":"Glutathione S-transferases (GSTs) are a superfamily of multifunctional enzymes, widely distributed in living organisms. Recently, more and more insect genome sequences are available. Genomic characterizations and comparative analyses of insect GSTs have been performed. In addition, application of high-throughput technologies, such as microarray and next-generation sequencing technology, have accelerated the identification of inducible and resistant GSTs. In this review, we mainly discussed the progress in comparative genomic analysis of insect GSTs and identification of inducible and resistant GSTs using the high-throughput technologies.","author":[{"dropping-particle":"","family":"Fang","given":"Shou-Min","non-dropping-particle":"","parse-names":false,"suffix":""}],"container-title":"Bulletin of Insectology","id":"ITEM-1","issue":"2","issued":{"date-parts":[["2012"]]},"page":"265-271","title":"Insect glutathione S-transferase: a review of comparative genomic studies and response to xenobiotics","type":"article-journal","volume":"65"},"uris":["http://www.mendeley.com/documents/?uuid=42bf77fe-3fba-43bc-9c3e-ec557d3693e8","http://www.mendeley.com/documents/?uuid=8a6cb77a-afa2-4b9a-aad0-ee1805952631"]}],"mendeley":{"formattedCitation":"[38]","plainTextFormattedCitation":"[38]","previouslyFormattedCitation":"(38)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[38]</w:t>
      </w:r>
      <w:r w:rsidRPr="00CD231A">
        <w:rPr>
          <w:rFonts w:ascii="Times New Roman" w:hAnsi="Times New Roman" w:cs="Times New Roman"/>
        </w:rPr>
        <w:fldChar w:fldCharType="end"/>
      </w:r>
      <w:r w:rsidRPr="00CD231A">
        <w:rPr>
          <w:rFonts w:ascii="Times New Roman" w:hAnsi="Times New Roman" w:cs="Times New Roman"/>
        </w:rPr>
        <w:t xml:space="preserve">. Furthermore, the </w:t>
      </w:r>
      <w:r w:rsidRPr="00CD231A">
        <w:rPr>
          <w:rFonts w:ascii="Times New Roman" w:hAnsi="Times New Roman" w:cs="Times New Roman"/>
          <w:i/>
        </w:rPr>
        <w:t>GSTu2</w:t>
      </w:r>
      <w:r w:rsidRPr="00CD231A">
        <w:rPr>
          <w:rFonts w:ascii="Times New Roman" w:hAnsi="Times New Roman" w:cs="Times New Roman"/>
        </w:rPr>
        <w:t xml:space="preserve"> is yet to be classified into a definite family of GST but it has been shown to share similar phylogeny with the epsilon and delta families of GST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{"citationItems":[{"id":"ITEM-1","itemData":{"DOI":"10.1016/j.ibmb.2007.05.018","ISBN":"09651748","ISSN":"09651748","PMID":"17785190","abstract":"In this report, we describe the glutathione transferase (GST) gene family in the dengue vector Aedes aegypti and suggest a novel role for a new class of mosquito GSTs. Twenty-six GST genes are present in Ae. aegypti, two of which are alternatively spliced to give a total of 29 transcripts for cytosolic GSTs. The six classes identified in other insect species are all represented and, as in Anopheles gambiae, the majority of the mosquito GSTs belong to the insect-specific Delta and Epsilon classes with eight members each. Sixteen secure 1:1 orthologs were identified between GSTs in Ae. aegypti and An. gambiae, but only four of these have recognisable orthologs in Drosophila melanogaster. Three mosquito-specific GSTs were identified which did not belong to any previously recognised GST classes. One of these, GSTx2, has been previously implicated in conferring 1,1,1-trichloro-2,2-bis-(p-chlorophenyl)ethane (DDT) resistance in Ae. aegypti from South America. However, we found no evidence for increased levels of this GST protein in DDT/pyrethroid-resistant populations from Thailand. Furthermore, we show that the recombinant GSTX2-2 protein is unable to metabolise DDT. Interestingly, GSTX2-2 showed an affinity for hematin, and this, together with the restricted distribution of this class to haematophagous insects, may indicate a role for these enzymes in protecting mosquitoes against heme toxicity during blood feeding.","author":[{"dropping-particle":"","family":"Lumjuan","given":"Nongkran","non-dropping-particle":"","parse-names":false,"suffix":""},{"dropping-particle":"","family":"Stevenson","given":"Bradley J.","non-dropping-particle":"","parse-names":false,"suffix":""},{"dropping-particle":"","family":"Prapanthadara","given":"La aied","non-dropping-particle":"","parse-names":false,"suffix":""},{"dropping-particle":"","family":"Somboon","given":"Pradya","non-dropping-particle":"","parse-names":false,"suffix":""},{"dropping-particle":"","family":"Brophy","given":"Peter M.","non-dropping-particle":"","parse-names":false,"suffix":""},{"dropping-particle":"","family":"Loftus","given":"Brendan J.","non-dropping-particle":"","parse-names":false,"suffix":""},{"dropping-particle":"","family":"Severson","given":"David W.","non-dropping-particle":"","parse-names":false,"suffix":""},{"dropping-particle":"","family":"Ranson","given":"Hilary","non-dropping-particle":"","parse-names":false,"suffix":""}],"container-title":"Insect Biochemistry and Molecular Biology","id":"ITEM-1","issue":"10","issued":{"date-parts":[["2007"]]},"page":"1026-1035","title":"The Aedes aegypti glutathione transferase family","type":"article-journal","volume":"37"},"uris":["http://www.mendeley.com/documents/?uuid=c88ac1c5-6810-45fa-a8ec-c2bd8ce39739","http://www.mendeley.com/documents/?uuid=d59ab94b-94c5-43b5-aede-84b724a6c40e"]},{"id":"ITEM-2","itemData":{"DOI":"10.1016/j.ibmb.2008.08.002","abstract":"Glutathione S-transferases (GSTs) are a multifunctional supergene family and some play an important role in insecticide resistance. We have identified 23 putative cytosolic GSTs by searching the new assembly of the Bombyx mori genome sequence. Phylogenetic analyses on the amino acid sequences reveal that 21 of the B. mori GSTs fall into six classes represented in other insects, the other two being unclassified. The majority of the silkworm GSTs belong to the Delta, Epsilon, and Omega classes. Most members of each class are tandemly arranged in the genome, except for the Epsilon GSTs. Expressed sequence tags (ESTs) corresponding to 19 of the 23 GSTs were found in available databases. Furthermore RT-PCR experiments detected expression of all the GSTs in multiple tissues on day 3 of fifth instar larvae. Surprisingly, we found little or no expression of most Delta and Epsilon GSTs in the fat body, which is thought to be the main detoxification organ. This may explain the sensitivity of the silkworm to certain insecticides. Our data provide some insights into the evolution of the B. mori GST family and the functions of individual GST enzymes.","author":[{"dropping-particle":"","family":"Yu","given":"Quanyou","non-dropping-particle":"","parse-names":false,"suffix":""},{"dropping-particle":"","family":"Lu","given":"Cheng","non-dropping-particle":"","parse-names":false,"suffix":""},{"dropping-particle":"","family":"Li","given":"Bin","non-dropping-particle":"","parse-names":false,"suffix":""},{"dropping-particle":"","family":"Fang","given":"Shoumin","non-dropping-particle":"","parse-names":false,"suffix":""},{"dropping-particle":"","family":"Zuo","given":"Weidong","non-dropping-particle":"","parse-names":false,"suffix":""},{"dropping-particle":"","family":"Dai","given":"Fangyin","non-dropping-particle":"","parse-names":false,"suffix":""}],"container-title":"Insect Biochemistry and Molecular Biology","id":"ITEM-2","issue":"12","issued":{"date-parts":[["2008"]]},"page":"1158-1164","title":"Identification , genomic organization and expression pattern of glutathione S -transferase in the silkworm , Bombyx mori","type":"article-journal","volume":"38"},"uris":["http://www.mendeley.com/documents/?uuid=7c78487c-bf47-467a-8cc5-1e196e854635","http://www.mendeley.com/documents/?uuid=0373a037-ade1-40c1-a192-5163ab965d75"]}],"mendeley":{"formattedCitation":"[39,40]","plainTextFormattedCitation":"[39,40]","previouslyFormattedCitation":"(39,40)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[39,</w:t>
      </w:r>
      <w:r w:rsidR="00B213D5" w:rsidRPr="00CD231A">
        <w:rPr>
          <w:rFonts w:ascii="Times New Roman" w:hAnsi="Times New Roman" w:cs="Times New Roman"/>
          <w:noProof/>
        </w:rPr>
        <w:t xml:space="preserve"> </w:t>
      </w:r>
      <w:r w:rsidRPr="00CD231A">
        <w:rPr>
          <w:rFonts w:ascii="Times New Roman" w:hAnsi="Times New Roman" w:cs="Times New Roman"/>
          <w:noProof/>
        </w:rPr>
        <w:t>40]</w:t>
      </w:r>
      <w:r w:rsidRPr="00CD231A">
        <w:rPr>
          <w:rFonts w:ascii="Times New Roman" w:hAnsi="Times New Roman" w:cs="Times New Roman"/>
        </w:rPr>
        <w:fldChar w:fldCharType="end"/>
      </w:r>
      <w:r w:rsidRPr="00CD231A">
        <w:rPr>
          <w:rFonts w:ascii="Times New Roman" w:hAnsi="Times New Roman" w:cs="Times New Roman"/>
        </w:rPr>
        <w:t xml:space="preserve">, which could suggest its role in DDT resistance. </w:t>
      </w:r>
    </w:p>
    <w:p w14:paraId="30E86395" w14:textId="07A2139A"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rPr>
      </w:pPr>
      <w:r w:rsidRPr="00CD231A">
        <w:rPr>
          <w:rFonts w:ascii="Times New Roman" w:hAnsi="Times New Roman" w:cs="Times New Roman"/>
        </w:rPr>
        <w:tab/>
        <w:t xml:space="preserve">The role of </w:t>
      </w:r>
      <w:r w:rsidRPr="00CD231A">
        <w:rPr>
          <w:rFonts w:ascii="Times New Roman" w:hAnsi="Times New Roman" w:cs="Times New Roman"/>
          <w:i/>
        </w:rPr>
        <w:t>GSTe2</w:t>
      </w:r>
      <w:r w:rsidRPr="00CD231A">
        <w:rPr>
          <w:rFonts w:ascii="Times New Roman" w:hAnsi="Times New Roman" w:cs="Times New Roman"/>
        </w:rPr>
        <w:t xml:space="preserve"> in DDT resistance is obvious, considering the difference in expression that was recorded in DDT-resistant mosquitoes (FC=57.39) against the control population (FC=22.34) with the RT-PCR analysis. The role of </w:t>
      </w:r>
      <w:r w:rsidRPr="00CD231A">
        <w:rPr>
          <w:rFonts w:ascii="Times New Roman" w:hAnsi="Times New Roman" w:cs="Times New Roman"/>
          <w:i/>
        </w:rPr>
        <w:t>GSTe2</w:t>
      </w:r>
      <w:r w:rsidRPr="00CD231A">
        <w:rPr>
          <w:rFonts w:ascii="Times New Roman" w:hAnsi="Times New Roman" w:cs="Times New Roman"/>
        </w:rPr>
        <w:t xml:space="preserve"> in DDT resistance of </w:t>
      </w:r>
      <w:r w:rsidRPr="00CD231A">
        <w:rPr>
          <w:rFonts w:ascii="Times New Roman" w:hAnsi="Times New Roman" w:cs="Times New Roman"/>
          <w:i/>
        </w:rPr>
        <w:t xml:space="preserve">An. funestus s.s. </w:t>
      </w:r>
      <w:r w:rsidRPr="00CD231A">
        <w:rPr>
          <w:rFonts w:ascii="Times New Roman" w:hAnsi="Times New Roman" w:cs="Times New Roman"/>
        </w:rPr>
        <w:t xml:space="preserve">has been previously documented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vector.","type":"article-journal","volume":"15"},"uris":["http://www.mendeley.com/documents/?uuid=ad61132f-8dd2-4ce7-b57d-8e71e12ce404"]},{"id":"ITEM-2","itemData":{"DOI":"10.1186/s12936-016-1615-9","ISBN":"1293601616","ISSN":"14752875","abstract":"©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Journal","id":"ITEM-2","issue":"1","issued":{"date-parts":[["2016"]]},"page":"1-10","publisher":"BioMed Central","title":"Evidence of a multiple insecticide resistance in the malaria vector Anopheles funestus in South West Nigeria","type":"article-journal","volume":"15"},"uris":["http://www.mendeley.com/documents/?uuid=02cc8153-2890-4e61-96fa-4f00cd47cdc3"]},{"id":"ITEM-3","itemData":{"DOI":"10.1186/s13071-016-1723-y","ISSN":"17563305","abstract":"© 2016 The Author(s). Background: Knowledge on the spread and distribution of insecticide resistance in major malaria vectors such as Anopheles funestus is key to implement successful resistance management strategies across Africa. Here, by assessing the susceptibility status of an inland population of An. funestus Giles (Kpome) and investigating molecular basis of resistance, we show that multiple resistance and consistent plasmodium infection rate are present in Anopheles funestus populations from Kpome. Methods: The insecticide susceptibility level of collected Anopheles funestus was assessed. Synergist (PBO) was used to screen resistance mechanisms. The TaqMan technique was used for genotyping of insecticide resistant alleles and detecting plasmodium infection levels. The nested PCR was used to further assess the plasmodium infection rate. Results: The TaqMan analysis of plasmodial infections revealed an infection rate (18.2 %) of An. funestus in this locality. The WHO bioassays revealed a multiple phenotypic resistance profile for An. funestus in Kpome. This population is highly resistant to pyrethroids (permethrin and deltamethrin), organochlorines (DDT), and carbamates (bendiocarb). A reduced susceptibility was observed with dieldrin. Mortalities did not vary after pre-exposure to PBO for DDT indicating that cytochrome P450s play little role in DDT resistance in Kpome. In contrast, we noticed, a significant increase in mortalities when PBO was combined to permethrin suggesting the direct involvement of P450s in pyrethroid resistance. A high frequency of the L119F-GSTe2 DDT resistance marker was observed in the wild DDT resistant population (9 %RS and 91 %RR) whereas the A296S mutation was detected at a low frequency (1 %RS and 99 %SS). Conclusion: The presence of multiple resistance in An. funestus populations in the inland locality of Kpome is established in this study as recently documented in the costal locality of Pahou. Data from both localities suggest that resistance could be widespread in Benin and this highlights the need for further studies to assess the geographical distribution of insecticide resistance across Benin and neighboring countries as well as a more comprehensive analysis of the resistance mechanisms involved.","author":[{"dropping-particle":"","family":"Djouaka","given":"Rousseau","non-dropping-particle":"","parse-names":false,"suffix":""},{"dropping-particle":"","family":"Riveron","given":"Jacob M.","non-dropping-particle":"","parse-names":false,"suffix":""},{"dropping-particle":"","family":"Yessoufou","given":"Akadiri","non-dropping-particle":"","parse-names":false,"suffix":""},{"dropping-particle":"","family":"Tchigossou","given":"Genevieve","non-dropping-particle":"","parse-names":false,"suffix":""},{"dropping-particle":"","family":"Akoton","given":"Romaric","non-dropping-particle":"","parse-names":false,"suffix":""},{"dropping-particle":"","family":"Irving","given":"Helen","non-dropping-particle":"","parse-names":false,"suffix":""},{"dropping-particle":"","family":"Djegbe","given":"Innocent","non-dropping-particle":"","parse-names":false,"suffix":""},{"dropping-particle":"","family":"Moutairou","given":"Kabirou","non-dropping-particle":"","parse-names":false,"suffix":""},{"dropping-particle":"","family":"Adeoti","given":"Razack","non-dropping-particle":"","parse-names":false,"suffix":""},{"dropping-particle":"","family":"Tamò","given":"Manuele","non-dropping-particle":"","parse-names":false,"suffix":""},{"dropping-particle":"","family":"Manyong","given":"Victor","non-dropping-particle":"","parse-names":false,"suffix":""},{"dropping-particle":"","family":"Wondji","given":"Charles S.","non-dropping-particle":"","parse-names":false,"suffix":""}],"container-title":"Parasites and Vectors","id":"ITEM-3","issue":"1","issued":{"date-parts":[["2016"]]},"page":"453","publisher":"Parasites &amp; Vectors","title":"Multiple insecticide resistance in an infected population of the malaria vector Anopheles funestus in Benin","type":"article-journal","volume":"9"},"uris":["http://www.mendeley.com/documents/?uuid=3c41c1fe-ad90-4c74-8eb6-cd5d1f7c9cb5"]}],"mendeley":{"formattedCitation":"[1,3,11]","manualFormatting":"[1, 3, 11]","plainTextFormattedCitation":"[1,3,11]","previouslyFormattedCitation":"(1,3,11)"},"properties":{"noteIndex":0},"schema":"https://github.com/citation-style-language/schema/raw/master/csl-citation.json"}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 3, 11]</w:t>
      </w:r>
      <w:r w:rsidRPr="00CD231A">
        <w:rPr>
          <w:rFonts w:ascii="Times New Roman" w:hAnsi="Times New Roman" w:cs="Times New Roman"/>
        </w:rPr>
        <w:fldChar w:fldCharType="end"/>
      </w:r>
      <w:r w:rsidRPr="00CD231A">
        <w:rPr>
          <w:rFonts w:ascii="Times New Roman" w:hAnsi="Times New Roman" w:cs="Times New Roman"/>
        </w:rPr>
        <w:t xml:space="preserve">. Its elevated expression has been key to its capacity to confer resistance in this major malaria vector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vector.","type":"article-journal","volume":"15"},"uris":["http://www.mendeley.com/documents/?uuid=ad61132f-8dd2-4ce7-b57d-8e71e12ce404"]},{"id":"ITEM-2","itemData":{"DOI":"10.1186/s13071-018-3115-y","ISSN":"17563305","abstract":"Insecticide resistance in Anopheles mosquitoes is threatening the success of malaria control programmes. In order to implement suitable insecticide resistance management strategies, it is necessary to understand the underlying mechanisms involved. To achieve this, the molecular basis of permethrin and DDT resistance in the principal malaria vector, Anopheles funestus from inland Benin (Kpome), was investigated. Here, using a microarray-based genome-wide transcription and qRT-PCR analysis, we showed that metabolic resistance mechanisms through over-expression of cytochrome P450 and glutathione S-transferase genes (GSTs) are a major contributor to DDT and permethrin resistance in Anopheles funestus from Kpome. The GSTe2 gene was the most upregulated detoxification gene in both DDT- [fold-change (FC: 16.0)] and permethrin-resistant (FC: 18.1) mosquitoes suggesting that upregulation of this gene could contribute to DDT resistance and cross-resistance to permethrin. CYP6P9a and CYP6P9b genes that have been previously associated with pyrethroid resistance were also significantly overexpressed with FC 5.4 and 4.8, respectively, in a permethrin resistant population. Noticeably, the GSTs, GSTd1-5 and GSTd3, were more upregulated in DDT-resistant than in permethrin-resistant Anopheles funestus suggesting these genes are more implicated in DDT resistance. The absence of the L1014F or L1014S kdr mutations in the voltage-gated sodium channel gene coupled with the lack of directional selection at the gene further supported that knockdown resistance plays little role in this resistance. The major role played by metabolic resistance to pyrethroids in this An. funestus population in Benin suggests that using novel control tools combining the P450 synergist piperonyl butoxide (PBO), such as PBO-based bednets, could help manage the growing pyrethroid resistance in this malaria vector in Benin.","author":[{"dropping-particle":"","family":"Tchigossou","given":"Genevieve","non-dropping-particle":"","parse-names":false,"suffix":""},{"dropping-particle":"","family":"Djouaka","given":"Rousseau","non-dropping-particle":"","parse-names":false,"suffix":""},{"dropping-particle":"","family":"Akoton","given":"Romaric","non-dropping-particle":"","parse-names":false,"suffix":""},{"dropping-particle":"","family":"Riveron","given":"Jacob M.","non-dropping-particle":"","parse-names":false,"suffix":""},{"dropping-particle":"","family":"Irving","given":"Helen","non-dropping-particle":"","parse-names":false,"suffix":""},{"dropping-particle":"","family":"Atoyebi","given":"Seun","non-dropping-particle":"","parse-names":false,"suffix":""},{"dropping-particle":"","family":"Moutairou","given":"Kabirou","non-dropping-particle":"","parse-names":false,"suffix":""},{"dropping-particle":"","family":"Yessoufou","given":"Akadiri","non-dropping-particle":"","parse-names":false,"suffix":""},{"dropping-particle":"","family":"Wondji","given":"Charles S.","non-dropping-particle":"","parse-names":false,"suffix":""}],"container-title":"Parasites and Vectors","id":"ITEM-2","issue":"1","issued":{"date-parts":[["2018"]]},"page":"602","publisher":"Parasites &amp; Vectors","title":"Molecular basis of permethrin and DDT resistance in an Anopheles funestus population from Benin","type":"article-journal","volume":"11"},"uris":["http://www.mendeley.com/documents/?uuid=663a75bc-b5b8-455a-92f1-7c9ab66e9736"]}],"mendeley":{"formattedCitation":"[11,28]","plainTextFormattedCitation":"[11,28]","previouslyFormattedCitation":"(11,28)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[11, 28]</w:t>
      </w:r>
      <w:r w:rsidRPr="00CD231A">
        <w:rPr>
          <w:rFonts w:ascii="Times New Roman" w:hAnsi="Times New Roman" w:cs="Times New Roman"/>
        </w:rPr>
        <w:fldChar w:fldCharType="end"/>
      </w:r>
      <w:r w:rsidRPr="00CD231A">
        <w:rPr>
          <w:rFonts w:ascii="Times New Roman" w:hAnsi="Times New Roman" w:cs="Times New Roman"/>
        </w:rPr>
        <w:t xml:space="preserve">. The L119F-GSTe2 mutation, which has now become very common in different resistant </w:t>
      </w:r>
      <w:r w:rsidRPr="00CD231A">
        <w:rPr>
          <w:rFonts w:ascii="Times New Roman" w:hAnsi="Times New Roman" w:cs="Times New Roman"/>
          <w:i/>
        </w:rPr>
        <w:t>An. funestus</w:t>
      </w:r>
      <w:r w:rsidRPr="00CD231A">
        <w:rPr>
          <w:rFonts w:ascii="Times New Roman" w:hAnsi="Times New Roman" w:cs="Times New Roman"/>
        </w:rPr>
        <w:t xml:space="preserve"> populations in Africa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vector.","type":"article-journal","volume":"15"},"uris":["http://www.mendeley.com/documents/?uuid=ad61132f-8dd2-4ce7-b57d-8e71e12ce404"]},{"id":"ITEM-2","itemData":{"DOI":"10.1186/s12936-016-1615-9","ISBN":"1293601616","ISSN":"14752875","abstract":"©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Journal","id":"ITEM-2","issue":"1","issued":{"date-parts":[["2016"]]},"page":"1-10","publisher":"BioMed Central","title":"Evidence of a multiple insecticide resistance in the malaria vector Anopheles funestus in South West Nigeria","type":"article-journal","volume":"15"},"uris":["http://www.mendeley.com/documents/?uuid=02cc8153-2890-4e61-96fa-4f00cd47cdc3"]},{"id":"ITEM-3","itemData":{"DOI":"10.1186/s13071-016-1723-y","ISSN":"17563305","abstract":"© 2016 The Author(s). Background: Knowledge on the spread and distribution of insecticide resistance in major malaria vectors such as Anopheles funestus is key to implement successful resistance management strategies across Africa. Here, by assessing the susceptibility status of an inland population of An. funestus Giles (Kpome) and investigating molecular basis of resistance, we show that multiple resistance and consistent plasmodium infection rate are present in Anopheles funestus populations from Kpome. Methods: The insecticide susceptibility level of collected Anopheles funestus was assessed. Synergist (PBO) was used to screen resistance mechanisms. The TaqMan technique was used for genotyping of insecticide resistant alleles and detecting plasmodium infection levels. The nested PCR was used to further assess the plasmodium infection rate. Results: The TaqMan analysis of plasmodial infections revealed an infection rate (18.2 %) of An. funestus in this locality. The WHO bioassays revealed a multiple phenotypic resistance profile for An. funestus in Kpome. This population is highly resistant to pyrethroids (permethrin and deltamethrin), organochlorines (DDT), and carbamates (bendiocarb). A reduced susceptibility was observed with dieldrin. Mortalities did not vary after pre-exposure to PBO for DDT indicating that cytochrome P450s play little role in DDT resistance in Kpome. In contrast, we noticed, a significant increase in mortalities when PBO was combined to permethrin suggesting the direct involvement of P450s in pyrethroid resistance. A high frequency of the L119F-GSTe2 DDT resistance marker was observed in the wild DDT resistant population (9 %RS and 91 %RR) whereas the A296S mutation was detected at a low frequency (1 %RS and 99 %SS). Conclusion: The presence of multiple resistance in An. funestus populations in the inland locality of Kpome is established in this study as recently documented in the costal locality of Pahou. Data from both localities suggest that resistance could be widespread in Benin and this highlights the need for further studies to assess the geographical distribution of insecticide resistance across Benin and neighboring countries as well as a more comprehensive analysis of the resistance mechanisms involved.","author":[{"dropping-particle":"","family":"Djouaka","given":"Rousseau","non-dropping-particle":"","parse-names":false,"suffix":""},{"dropping-particle":"","family":"Riveron","given":"Jacob M.","non-dropping-particle":"","parse-names":false,"suffix":""},{"dropping-particle":"","family":"Yessoufou","given":"Akadiri","non-dropping-particle":"","parse-names":false,"suffix":""},{"dropping-particle":"","family":"Tchigossou","given":"Genevieve","non-dropping-particle":"","parse-names":false,"suffix":""},{"dropping-particle":"","family":"Akoton","given":"Romaric","non-dropping-particle":"","parse-names":false,"suffix":""},{"dropping-particle":"","family":"Irving","given":"Helen","non-dropping-particle":"","parse-names":false,"suffix":""},{"dropping-particle":"","family":"Djegbe","given":"Innocent","non-dropping-particle":"","parse-names":false,"suffix":""},{"dropping-particle":"","family":"Moutairou","given":"Kabirou","non-dropping-particle":"","parse-names":false,"suffix":""},{"dropping-particle":"","family":"Adeoti","given":"Razack","non-dropping-particle":"","parse-names":false,"suffix":""},{"dropping-particle":"","family":"Tamò","given":"Manuele","non-dropping-particle":"","parse-names":false,"suffix":""},{"dropping-particle":"","family":"Manyong","given":"Victor","non-dropping-particle":"","parse-names":false,"suffix":""},{"dropping-particle":"","family":"Wondji","given":"Charles S.","non-dropping-particle":"","parse-names":false,"suffix":""}],"container-title":"Parasites and Vectors","id":"ITEM-3","issue":"1","issued":{"date-parts":[["2016"]]},"page":"453","publisher":"Parasites &amp; Vectors","title":"Multiple insecticide resistance in an infected population of the malaria vector Anopheles funestus in Benin","type":"article-journal","volume":"9"},"uris":["http://www.mendeley.com/documents/?uuid=3c41c1fe-ad90-4c74-8eb6-cd5d1f7c9cb5"]}],"mendeley":{"formattedCitation":"[1,3,11]","manualFormatting":"[1, 3, 11]","plainTextFormattedCitation":"[1,3,11]","previouslyFormattedCitation":"(1,3,11)"},"properties":{"noteIndex":0},"schema":"https://github.com/citation-style-language/schema/raw/master/csl-citation.json"}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 3, 11]</w:t>
      </w:r>
      <w:r w:rsidRPr="00CD231A">
        <w:rPr>
          <w:rFonts w:ascii="Times New Roman" w:hAnsi="Times New Roman" w:cs="Times New Roman"/>
        </w:rPr>
        <w:fldChar w:fldCharType="end"/>
      </w:r>
      <w:r w:rsidRPr="00CD231A">
        <w:rPr>
          <w:rFonts w:ascii="Times New Roman" w:hAnsi="Times New Roman" w:cs="Times New Roman"/>
        </w:rPr>
        <w:t xml:space="preserve">  is known to be </w:t>
      </w:r>
      <w:r w:rsidRPr="00CD231A">
        <w:rPr>
          <w:rFonts w:ascii="Times New Roman" w:hAnsi="Times New Roman" w:cs="Times New Roman"/>
        </w:rPr>
        <w:lastRenderedPageBreak/>
        <w:t xml:space="preserve">strengthening the observed phenotypic DDT resistance. Generally, a mosquito carrying this mutation would have an enlarged DDT binding site, which helps to increase DDT access and metabolism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{"citationItems":[{"id":"ITEM-1","itemData":{"DOI":"10.1186/gb-2014-15-2-r27","ISBN":"1474-7596","ISSN":"1474-760X","PMID":"24565444","abstract":"BACKGROUND: Metabolic resistance to insecticides is the biggest threat to the continued effectiveness of malaria vector control. However, its underlying molecular basis, crucial for successful resistance management, remains poorly characterized.\\n\\nRESULTS: Here, we demonstrate that the single amino acid change L119F in an upregulated glutathione S-transferase gene, GSTe2, confers high levels of metabolic resistance to DDT in the malaria vector Anopheles funestus. Genome-wide transcription analysis revealed that GSTe2 was the most over-expressed detoxification gene in DDT and permethrin-resistant mosquitoes from Benin. Transgenic expression of GSTe2 in Drosophila melanogaster demonstrated that over-transcription of this gene alone confers DDT resistance and cross-resistance to pyrethroids. Analysis of GSTe2 polymorphism established that the point mutation is tightly associated with metabolic resistance to DDT and its geographical distribution strongly correlates with DDT resistance patterns across Africa. Functional characterization of recombinant GSTe2 further supports the role of the L119F mutation, with the resistant allele being more efficient at metabolizing DDT than the susceptible one. Importantly, we also show that GSTe2 directly metabolizes the pyrethroid permethrin. Structural analysis reveals that the mutation confers resistance by enlarging the GSTe2 DDT-binding cavity, leading to increased DDT access and metabolism. Furthermore, we show that GSTe2 is under strong directional selection in resistant populations, and a restriction of gene flow is observed between African regions, enabling the prediction of the future spread of this resistance.\\n\\nCONCLUSIONS: This first DNA-based metabolic resistance marker in mosquitoes provides an essential tool to track the evolution of resistance and to design suitable resistance management strategies.","author":[{"dropping-particle":"","family":"Riveron","given":"Jacob M","non-dropping-particle":"","parse-names":false,"suffix":""},{"dropping-particle":"","family":"Yunta","given":"Cristina","non-dropping-particle":"","parse-names":false,"suffix":""},{"dropping-particle":"","family":"Ibrahim","given":"Sulaiman S","non-dropping-particle":"","parse-names":false,"suffix":""},{"dropping-particle":"","family":"Djouaka","given":"Rousseau","non-dropping-particle":"","parse-names":false,"suffix":""},{"dropping-particle":"","family":"Irving","given":"Helen","non-dropping-particle":"","parse-names":false,"suffix":""},{"dropping-particle":"","family":"Menze","given":"Benjamin D","non-dropping-particle":"","parse-names":false,"suffix":""},{"dropping-particle":"","family":"Ismail","given":"Hanafy M","non-dropping-particle":"","parse-names":false,"suffix":""},{"dropping-particle":"","family":"Hemingway","given":"Janet","non-dropping-particle":"","parse-names":false,"suffix":""},{"dropping-particle":"","family":"Ranson","given":"Hilary","non-dropping-particle":"","parse-names":false,"suffix":""},{"dropping-particle":"","family":"Albert","given":"Armando","non-dropping-particle":"","parse-names":false,"suffix":""},{"dropping-particle":"","family":"Wondji","given":"Charles S","non-dropping-particle":"","parse-names":false,"suffix":""}],"container-title":"Genome biology","id":"ITEM-1","issue":"2","issued":{"date-parts":[["2014"]]},"page":"R27","title":"A single mutation in the GSTe2 gene allows tracking of metabolically based insecticide resistance in a major malaria vector.","type":"article-journal","volume":"15"},"uris":["http://www.mendeley.com/documents/?uuid=ad61132f-8dd2-4ce7-b57d-8e71e12ce404"]}],"mendeley":{"formattedCitation":"[11]","plainTextFormattedCitation":"[11]","previouslyFormattedCitation":"(11)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[11]</w:t>
      </w:r>
      <w:r w:rsidRPr="00CD231A">
        <w:rPr>
          <w:rFonts w:ascii="Times New Roman" w:hAnsi="Times New Roman" w:cs="Times New Roman"/>
        </w:rPr>
        <w:fldChar w:fldCharType="end"/>
      </w:r>
      <w:r w:rsidRPr="00CD231A">
        <w:rPr>
          <w:rFonts w:ascii="Times New Roman" w:hAnsi="Times New Roman" w:cs="Times New Roman"/>
        </w:rPr>
        <w:t xml:space="preserve">. Leucine (CTT) transformation to phenylalanine (TTT) on position 119 of </w:t>
      </w:r>
      <w:r w:rsidRPr="00CD231A">
        <w:rPr>
          <w:rFonts w:ascii="Times New Roman" w:hAnsi="Times New Roman" w:cs="Times New Roman"/>
          <w:i/>
          <w:iCs/>
        </w:rPr>
        <w:t>GSTe2</w:t>
      </w:r>
      <w:r w:rsidRPr="00CD231A">
        <w:rPr>
          <w:rFonts w:ascii="Times New Roman" w:hAnsi="Times New Roman" w:cs="Times New Roman"/>
        </w:rPr>
        <w:t xml:space="preserve"> gene is predominant and almost getting fixed in </w:t>
      </w:r>
      <w:r w:rsidRPr="00CD231A">
        <w:rPr>
          <w:rFonts w:ascii="Times New Roman" w:hAnsi="Times New Roman" w:cs="Times New Roman"/>
          <w:i/>
        </w:rPr>
        <w:t>An. funestus</w:t>
      </w:r>
      <w:r w:rsidRPr="00CD231A">
        <w:rPr>
          <w:rFonts w:ascii="Times New Roman" w:hAnsi="Times New Roman" w:cs="Times New Roman"/>
        </w:rPr>
        <w:t xml:space="preserve"> at Akaka-Remo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xml:space="preserve">. So, with mutant </w:t>
      </w:r>
      <w:r w:rsidRPr="00CD231A">
        <w:rPr>
          <w:rFonts w:ascii="Times New Roman" w:hAnsi="Times New Roman" w:cs="Times New Roman"/>
          <w:i/>
          <w:iCs/>
        </w:rPr>
        <w:t xml:space="preserve">GSTe2 </w:t>
      </w:r>
      <w:r w:rsidRPr="00CD231A">
        <w:rPr>
          <w:rFonts w:ascii="Times New Roman" w:hAnsi="Times New Roman" w:cs="Times New Roman"/>
        </w:rPr>
        <w:t xml:space="preserve">dominating the mosquito population, the mosquito would have expressed mainly mutant </w:t>
      </w:r>
      <w:r w:rsidRPr="00CD231A">
        <w:rPr>
          <w:rFonts w:ascii="Times New Roman" w:hAnsi="Times New Roman" w:cs="Times New Roman"/>
          <w:i/>
          <w:iCs/>
        </w:rPr>
        <w:t xml:space="preserve">GSTe2 </w:t>
      </w:r>
      <w:r w:rsidRPr="00CD231A">
        <w:rPr>
          <w:rFonts w:ascii="Times New Roman" w:hAnsi="Times New Roman" w:cs="Times New Roman"/>
        </w:rPr>
        <w:t xml:space="preserve">enzyme. It is therefore, possible that the overexpression of </w:t>
      </w:r>
      <w:r w:rsidRPr="00CD231A">
        <w:rPr>
          <w:rFonts w:ascii="Times New Roman" w:hAnsi="Times New Roman" w:cs="Times New Roman"/>
          <w:i/>
          <w:iCs/>
        </w:rPr>
        <w:t>GSTe2</w:t>
      </w:r>
      <w:r w:rsidRPr="00CD231A">
        <w:rPr>
          <w:rFonts w:ascii="Times New Roman" w:hAnsi="Times New Roman" w:cs="Times New Roman"/>
        </w:rPr>
        <w:t xml:space="preserve"> may have been influenced by the high L119F mutation in the mosquito population. However, it is necessary to conduct further investigations to fully establish this possible relationship.</w:t>
      </w:r>
    </w:p>
    <w:p w14:paraId="5E410F63" w14:textId="42E7107F"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i/>
        </w:rPr>
      </w:pPr>
      <w:r w:rsidRPr="00CD231A">
        <w:rPr>
          <w:rFonts w:ascii="Times New Roman" w:hAnsi="Times New Roman" w:cs="Times New Roman"/>
        </w:rPr>
        <w:tab/>
        <w:t xml:space="preserve">The delta family of the GSTs, </w:t>
      </w:r>
      <w:r w:rsidRPr="00CD231A">
        <w:rPr>
          <w:rFonts w:ascii="Times New Roman" w:hAnsi="Times New Roman" w:cs="Times New Roman"/>
          <w:i/>
        </w:rPr>
        <w:t xml:space="preserve">GSTd3 </w:t>
      </w:r>
      <w:r w:rsidRPr="00CD231A">
        <w:rPr>
          <w:rFonts w:ascii="Times New Roman" w:hAnsi="Times New Roman" w:cs="Times New Roman"/>
        </w:rPr>
        <w:t xml:space="preserve">and </w:t>
      </w:r>
      <w:r w:rsidRPr="00CD231A">
        <w:rPr>
          <w:rFonts w:ascii="Times New Roman" w:hAnsi="Times New Roman" w:cs="Times New Roman"/>
          <w:i/>
        </w:rPr>
        <w:t>GSTd1-5</w:t>
      </w:r>
      <w:r w:rsidRPr="00CD231A">
        <w:rPr>
          <w:rFonts w:ascii="Times New Roman" w:hAnsi="Times New Roman" w:cs="Times New Roman"/>
        </w:rPr>
        <w:t xml:space="preserve"> could also be offering vital metabolic contributions to DDT resistance of this mosquito population due to their higher expressions in resistant compared to control mosquitoes. The P450 genes (</w:t>
      </w:r>
      <w:r w:rsidRPr="00CD231A">
        <w:rPr>
          <w:rFonts w:ascii="Times New Roman" w:hAnsi="Times New Roman" w:cs="Times New Roman"/>
          <w:i/>
          <w:iCs/>
        </w:rPr>
        <w:t xml:space="preserve">CYP6P9a/b, CYP9K1, CYP6AK1, CYP4C27, CYP9J3, CYP6AA4 </w:t>
      </w:r>
      <w:r w:rsidRPr="00CD231A">
        <w:rPr>
          <w:rFonts w:ascii="Times New Roman" w:hAnsi="Times New Roman" w:cs="Times New Roman"/>
        </w:rPr>
        <w:t>and</w:t>
      </w:r>
      <w:r w:rsidRPr="00CD231A">
        <w:rPr>
          <w:rFonts w:ascii="Times New Roman" w:hAnsi="Times New Roman" w:cs="Times New Roman"/>
          <w:i/>
          <w:iCs/>
        </w:rPr>
        <w:t xml:space="preserve"> CYP6P4a</w:t>
      </w:r>
      <w:r w:rsidRPr="00CD231A">
        <w:rPr>
          <w:rFonts w:ascii="Times New Roman" w:hAnsi="Times New Roman" w:cs="Times New Roman"/>
        </w:rPr>
        <w:t xml:space="preserve">) also had elevated expressions in DDT-resistant samples compared to the control population but because they have been reported to lack the capacity to metabolise DDT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{"citationItems":[{"id":"ITEM-1","itemData":{"DOI":"10.1073/pnas.1216705110/-/DCSupplemental.www.pnas.org/cgi/doi/10.1073/pnas.1216705110","ISBN":"1091-6490 (Electronic)\\r0027-8424 (Linking)","ISSN":"1091-6490","PMID":"23248325","abstract":"Pyrethroid insecticides are critical for malaria control in Africa. However, resistance to this insecticide class in the malaria vector Anopheles funestus is spreading rapidly across Africa, threatening the success of ongoing and future malaria control programs. The underlying resistance mechanisms driving the spread of this resistance in wild populations remain largely unknown. Here, we show that increased expression of two tandemly duplicated P450 genes, CYP6P9a and CYP6P9b, is the main mechanism driving pyrethroid resistance in Malawi and Mozambique, two southern African countries where this insecticide class forms the mainstay of malaria control. Genome-wide transcription analysis using microarray and quantitative RT-PCR consistently revealed that CYP6P9a and CYP6P9b are the two genes most highly overexpressed (&gt;50-fold; q &lt; 0.01) in permethrin-resistant mosquitoes. Transgenic expression of CYP6P9a and CYP6P9b in Drosophila melanogaster demonstrated that elevated expression of either of these genes confers resistance to both type I (permethrin) and type II (deltamethrin) pyrethroids. Functional characterization of recombinant CYP6P9b confirmed that this protein metabolized both type I (permethrin and bifenthrin) and type II (deltamethrin and Lambda-cyhalothrin) pyrethroids but not DDT. Variability analysis identified that a single allele of each of these genes is predominantly associated with pyrethroid resistance in field populations from both countries, which is suggestive of a single origin of this resistance that has since spread across the region. Urgent resistance management strategies should be implemented in this region to limit a further spread of this resistance and minimize its impact on the success of ongoing malaria control programs.","author":[{"dropping-particle":"","family":"Riveron","given":"Jacob M","non-dropping-particle":"","parse-names":false,"suffix":""},{"dropping-particle":"","family":"Irving","given":"Helen","non-dropping-particle":"","parse-names":false,"suffix":""},{"dropping-particle":"","family":"Ndula","given":"Miranda","non-dropping-particle":"","parse-names":false,"suffix":""},{"dropping-particle":"","family":"Barnes","given":"Kayla G","non-dropping-particle":"","parse-names":false,"suffix":""},{"dropping-particle":"","family":"Ibrahim","given":"Sulaiman S","non-dropping-particle":"","parse-names":false,"suffix":""},{"dropping-particle":"","family":"Paine","given":"Mark J I","non-dropping-particle":"","parse-names":false,"suffix":""},{"dropping-particle":"","family":"Wondji","given":"Charles S","non-dropping-particle":"","parse-names":false,"suffix":""}],"container-title":"Proceedings of the National Academy of Sciences","id":"ITEM-1","issue":"1","issued":{"date-parts":[["2013"]]},"page":"252-257","title":"Directionally selected cytochrome P450 alleles are driving the spread of pyrethroid resistance in the major malaria vector Anopheles funestus","type":"article-journal","volume":"110"},"uris":["http://www.mendeley.com/documents/?uuid=bf11bcd6-e10e-4d8e-9192-8404af232ba8"]}],"mendeley":{"formattedCitation":"[10]","plainTextFormattedCitation":"[10]","previouslyFormattedCitation":"(10)"},"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[10]</w:t>
      </w:r>
      <w:r w:rsidRPr="00CD231A">
        <w:rPr>
          <w:rFonts w:ascii="Times New Roman" w:hAnsi="Times New Roman" w:cs="Times New Roman"/>
        </w:rPr>
        <w:fldChar w:fldCharType="end"/>
      </w:r>
      <w:r w:rsidRPr="00CD231A">
        <w:rPr>
          <w:rFonts w:ascii="Times New Roman" w:hAnsi="Times New Roman" w:cs="Times New Roman"/>
        </w:rPr>
        <w:t>, their roles in DDT resistance becomes trivial, although not to be neglected. The digestive enzyme, trypsin could also be playing some certain hydrolytic roles in DDT resistance, which will be clearer with more investigations.</w:t>
      </w:r>
      <w:r w:rsidRPr="00CD231A">
        <w:rPr>
          <w:rFonts w:ascii="Times New Roman" w:hAnsi="Times New Roman" w:cs="Times New Roman"/>
          <w:b/>
          <w:i/>
        </w:rPr>
        <w:t xml:space="preserve"> </w:t>
      </w:r>
    </w:p>
    <w:p w14:paraId="00F83504" w14:textId="77777777"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iCs/>
        </w:rPr>
      </w:pPr>
    </w:p>
    <w:p w14:paraId="4D168B15" w14:textId="6B35438C" w:rsidR="00BF5696" w:rsidRPr="00CD231A" w:rsidRDefault="00BF5696" w:rsidP="00BF5696">
      <w:pPr>
        <w:widowControl w:val="0"/>
        <w:autoSpaceDE w:val="0"/>
        <w:autoSpaceDN w:val="0"/>
        <w:adjustRightInd w:val="0"/>
        <w:spacing w:after="120" w:line="480" w:lineRule="auto"/>
        <w:jc w:val="both"/>
        <w:rPr>
          <w:rFonts w:ascii="Times New Roman" w:hAnsi="Times New Roman" w:cs="Times New Roman"/>
          <w:b/>
          <w:iCs/>
        </w:rPr>
      </w:pPr>
      <w:r w:rsidRPr="00CD231A">
        <w:rPr>
          <w:rFonts w:ascii="Times New Roman" w:hAnsi="Times New Roman" w:cs="Times New Roman"/>
          <w:b/>
          <w:iCs/>
        </w:rPr>
        <w:t xml:space="preserve">Dieldrin resistance of </w:t>
      </w:r>
      <w:r w:rsidRPr="00CD231A">
        <w:rPr>
          <w:rFonts w:ascii="Times New Roman" w:hAnsi="Times New Roman" w:cs="Times New Roman"/>
          <w:b/>
          <w:i/>
        </w:rPr>
        <w:t>An</w:t>
      </w:r>
      <w:r w:rsidR="00345E0E" w:rsidRPr="00CD231A">
        <w:rPr>
          <w:rFonts w:ascii="Times New Roman" w:hAnsi="Times New Roman" w:cs="Times New Roman"/>
          <w:b/>
          <w:i/>
        </w:rPr>
        <w:t>.</w:t>
      </w:r>
      <w:r w:rsidRPr="00CD231A">
        <w:rPr>
          <w:rFonts w:ascii="Times New Roman" w:hAnsi="Times New Roman" w:cs="Times New Roman"/>
          <w:b/>
          <w:i/>
        </w:rPr>
        <w:t xml:space="preserve"> funestus s.s.</w:t>
      </w:r>
      <w:r w:rsidRPr="00CD231A">
        <w:rPr>
          <w:rFonts w:ascii="Times New Roman" w:hAnsi="Times New Roman" w:cs="Times New Roman"/>
          <w:b/>
          <w:iCs/>
        </w:rPr>
        <w:t xml:space="preserve"> was also driven by the upregulation of multiple metabolic genes</w:t>
      </w:r>
    </w:p>
    <w:p w14:paraId="74E27A0C" w14:textId="7777777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rPr>
      </w:pPr>
      <w:r w:rsidRPr="00CD231A">
        <w:rPr>
          <w:rFonts w:ascii="Times New Roman" w:hAnsi="Times New Roman" w:cs="Times New Roman"/>
        </w:rPr>
        <w:t xml:space="preserve">The </w:t>
      </w:r>
      <w:r w:rsidRPr="00CD231A">
        <w:rPr>
          <w:rFonts w:ascii="Times New Roman" w:hAnsi="Times New Roman" w:cs="Times New Roman"/>
          <w:i/>
        </w:rPr>
        <w:t xml:space="preserve">GSTe2 </w:t>
      </w:r>
      <w:r w:rsidRPr="00CD231A">
        <w:rPr>
          <w:rFonts w:ascii="Times New Roman" w:hAnsi="Times New Roman" w:cs="Times New Roman"/>
          <w:iCs/>
        </w:rPr>
        <w:t xml:space="preserve">was observed to be the most overexpressed genes in RT-PCR analysis, suggesting its crucial involvement </w:t>
      </w:r>
      <w:r w:rsidRPr="00CD231A">
        <w:rPr>
          <w:rFonts w:ascii="Times New Roman" w:hAnsi="Times New Roman" w:cs="Times New Roman"/>
        </w:rPr>
        <w:t>in dieldrin resistance. Also, the elevated expressions recorded with P450 genes (</w:t>
      </w:r>
      <w:r w:rsidRPr="00CD231A">
        <w:rPr>
          <w:rFonts w:ascii="Times New Roman" w:hAnsi="Times New Roman" w:cs="Times New Roman"/>
          <w:i/>
          <w:iCs/>
        </w:rPr>
        <w:t>CYP6P9a/b and CYP6P4a</w:t>
      </w:r>
      <w:r w:rsidRPr="00CD231A">
        <w:rPr>
          <w:rFonts w:ascii="Times New Roman" w:hAnsi="Times New Roman" w:cs="Times New Roman"/>
        </w:rPr>
        <w:t xml:space="preserve">), aldehyde oxidase and trypsin </w:t>
      </w:r>
      <w:r w:rsidRPr="00CD231A">
        <w:rPr>
          <w:rFonts w:ascii="Times New Roman" w:hAnsi="Times New Roman" w:cs="Times New Roman"/>
        </w:rPr>
        <w:lastRenderedPageBreak/>
        <w:t xml:space="preserve">highlight their diverse roles in observed dieldrin resistance. Recently, there was a report of a possible target site resistance mechanism through the high frequency of A296S-RDL mutation in </w:t>
      </w:r>
      <w:r w:rsidRPr="00CD231A">
        <w:rPr>
          <w:rFonts w:ascii="Times New Roman" w:hAnsi="Times New Roman" w:cs="Times New Roman"/>
          <w:i/>
        </w:rPr>
        <w:t xml:space="preserve">An. funestus s.s. </w:t>
      </w:r>
      <w:r w:rsidRPr="00CD231A">
        <w:rPr>
          <w:rFonts w:ascii="Times New Roman" w:hAnsi="Times New Roman" w:cs="Times New Roman"/>
        </w:rPr>
        <w:t xml:space="preserve">from Akaka-Remo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{"citationItems":[{"id":"ITEM-1","itemData":{"DOI":"10.1186/s12936-016-1615-9","ISBN":"1293601616","ISSN":"14752875","abstract":"© 2016 The Author(s). Background: Knowing the extent and spread of insecticide resistance in malaria vectors is vital to successfully manage insecticide resistance in Africa. This information in the main malaria vector, Anopheles funestus sensu stricto, is completely lacking in the most populous country in Africa, Nigeria. This study reports the insecticide susceptibility status and the molecular basis of resistance of An. funestus as well as its involvement in malaria transmission in Akaka-Remo, a farm settlement village in southwest Nigeria. Results: Plasmodium infection analysis using TaqMan protocol coupled with a nested PCR revealed an infection rate of 8% in An. funestus s.s. from Akaka-Remo. WHO susceptibility tests showed this species has developed multiple resistance to insecticides in the study area. Anopheles funestus s.s. population in Akaka-Remo is highly resistant to organochlorines: dieldrin (8%) and DDT (10%). Resistance was also observed against pyrethroids: permethrin (68%) and deltamethrin (87%), and the carbamate bendiocarb (84%). Mortality rate with DDT slightly increased (from 10 to 30%, n = 45) after PBO pre-exposure indicating that cytochrome P450s play little role in DDT resistance while high mortalities were recorded after PBO pre-exposure with permethrin (from 68 to 100%, n = 70) and dieldrin (from 8 to 100%, n = 48) suggesting the implication of P450s in the observed permethrin and dieldrin resistance. High frequencies of resistant allele, 119F in F0 (77%) and F1 (80% in resistant and 72% in susceptible) populations with an odd ratio of 1.56 (P = 0.1859) show that L119F-GSTe2 mutation is almost fixed in the population. Genotyping of the A296S-RDL mutation in both F0 and F1 samples shows an association with dieldrin resistance with an odd ratio of 81 (P &lt; 0.0001) (allelic frequency (R) = 76% for F0; for F1, 90 and 10% were observed in resistant and susceptible populations, respectively) as this mutation is not yet fixed in the population. Conclusion: The study reports multiple insecticide resistance in An. funestus from Akaka Remo. It is, therefore, necessary to pay more attention to this major malaria vector for effective malaria control in Nigeria.","author":[{"dropping-particle":"","family":"Djouaka","given":"Rousseau J.","non-dropping-particle":"","parse-names":false,"suffix":""},{"dropping-particle":"","family":"Atoyebi","given":"Seun M.","non-dropping-particle":"","parse-names":false,"suffix":""},{"dropping-particle":"","family":"Tchigossou","given":"Genevieve M.","non-dropping-particle":"","parse-names":false,"suffix":""},{"dropping-particle":"","family":"Riveron","given":"Jacob M.","non-dropping-particle":"","parse-names":false,"suffix":""},{"dropping-particle":"","family":"Irving","given":"Helen","non-dropping-particle":"","parse-names":false,"suffix":""},{"dropping-particle":"","family":"Akoton","given":"Romaric","non-dropping-particle":"","parse-names":false,"suffix":""},{"dropping-particle":"","family":"Kusimo","given":"Michael O.","non-dropping-particle":"","parse-names":false,"suffix":""},{"dropping-particle":"","family":"Bakare","given":"Adekunle A.","non-dropping-particle":"","parse-names":false,"suffix":""},{"dropping-particle":"","family":"Wondji","given":"Charles S.","non-dropping-particle":"","parse-names":false,"suffix":""}],"container-title":"Malaria Journal","id":"ITEM-1","issue":"1","issued":{"date-parts":[["2016"]]},"page":"1-10","publisher":"BioMed Central","title":"Evidence of a multiple insecticide resistance in the malaria vector Anopheles funestus in South West Nigeria","type":"article-journal","volume":"15"},"uris":["http://www.mendeley.com/documents/?uuid=02cc8153-2890-4e61-96fa-4f00cd47cdc3"]}],"mendeley":{"formattedCitation":"[1]","plainTextFormattedCitation":"[1]","previouslyFormattedCitation":"(1)"},"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[1]</w:t>
      </w:r>
      <w:r w:rsidRPr="00CD231A">
        <w:rPr>
          <w:rFonts w:ascii="Times New Roman" w:hAnsi="Times New Roman" w:cs="Times New Roman"/>
        </w:rPr>
        <w:fldChar w:fldCharType="end"/>
      </w:r>
      <w:r w:rsidRPr="00CD231A">
        <w:rPr>
          <w:rFonts w:ascii="Times New Roman" w:hAnsi="Times New Roman" w:cs="Times New Roman"/>
        </w:rPr>
        <w:t>. Overall, it is possible that this mosquito population engage both target site and metabolic mechanisms to withstand the lethal dose (4%) of dieldrin. It is therefore important to conduct further experiments to validate this observation.</w:t>
      </w:r>
    </w:p>
    <w:p w14:paraId="2F71065C" w14:textId="7777777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bCs/>
        </w:rPr>
      </w:pPr>
    </w:p>
    <w:p w14:paraId="1E0DD5C2" w14:textId="59C66A7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bCs/>
        </w:rPr>
      </w:pPr>
      <w:r w:rsidRPr="00CD231A">
        <w:rPr>
          <w:rFonts w:ascii="Times New Roman" w:hAnsi="Times New Roman" w:cs="Times New Roman"/>
          <w:b/>
          <w:bCs/>
        </w:rPr>
        <w:t xml:space="preserve">The </w:t>
      </w:r>
      <w:r w:rsidR="00671794" w:rsidRPr="00CD231A">
        <w:rPr>
          <w:rFonts w:ascii="Times New Roman" w:hAnsi="Times New Roman" w:cs="Times New Roman"/>
          <w:b/>
          <w:bCs/>
        </w:rPr>
        <w:t>upregulation</w:t>
      </w:r>
      <w:r w:rsidRPr="00CD231A">
        <w:rPr>
          <w:rFonts w:ascii="Times New Roman" w:hAnsi="Times New Roman" w:cs="Times New Roman"/>
          <w:b/>
          <w:bCs/>
        </w:rPr>
        <w:t xml:space="preserve"> of cuticle proteins potentially reduced the penetration of insecticide molecules into </w:t>
      </w:r>
      <w:r w:rsidRPr="00CD231A">
        <w:rPr>
          <w:rFonts w:ascii="Times New Roman" w:hAnsi="Times New Roman" w:cs="Times New Roman"/>
          <w:b/>
          <w:bCs/>
          <w:i/>
          <w:iCs/>
        </w:rPr>
        <w:t>An</w:t>
      </w:r>
      <w:r w:rsidR="00345E0E" w:rsidRPr="00CD231A">
        <w:rPr>
          <w:rFonts w:ascii="Times New Roman" w:hAnsi="Times New Roman" w:cs="Times New Roman"/>
          <w:b/>
          <w:bCs/>
          <w:i/>
          <w:iCs/>
        </w:rPr>
        <w:t>.</w:t>
      </w:r>
      <w:r w:rsidRPr="00CD231A">
        <w:rPr>
          <w:rFonts w:ascii="Times New Roman" w:hAnsi="Times New Roman" w:cs="Times New Roman"/>
          <w:b/>
          <w:bCs/>
          <w:i/>
          <w:iCs/>
        </w:rPr>
        <w:t xml:space="preserve"> funestus s.s.</w:t>
      </w:r>
      <w:r w:rsidRPr="00CD231A">
        <w:rPr>
          <w:rFonts w:ascii="Times New Roman" w:hAnsi="Times New Roman" w:cs="Times New Roman"/>
          <w:b/>
          <w:bCs/>
        </w:rPr>
        <w:t xml:space="preserve">, </w:t>
      </w:r>
      <w:r w:rsidR="00671794" w:rsidRPr="00CD231A">
        <w:rPr>
          <w:rFonts w:ascii="Times New Roman" w:hAnsi="Times New Roman" w:cs="Times New Roman"/>
          <w:b/>
          <w:bCs/>
        </w:rPr>
        <w:t xml:space="preserve">contributing to </w:t>
      </w:r>
      <w:r w:rsidRPr="00CD231A">
        <w:rPr>
          <w:rFonts w:ascii="Times New Roman" w:hAnsi="Times New Roman" w:cs="Times New Roman"/>
          <w:b/>
          <w:bCs/>
        </w:rPr>
        <w:t xml:space="preserve">high insecticide resistance </w:t>
      </w:r>
    </w:p>
    <w:p w14:paraId="13CE4141" w14:textId="08EFF9DB"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lang w:val="fr-FR"/>
        </w:rPr>
      </w:pPr>
      <w:r w:rsidRPr="00CD231A">
        <w:rPr>
          <w:rFonts w:ascii="Times New Roman" w:hAnsi="Times New Roman" w:cs="Times New Roman"/>
        </w:rPr>
        <w:t xml:space="preserve">The observed permethrin and DDT resistance in the </w:t>
      </w:r>
      <w:r w:rsidRPr="00CD231A">
        <w:rPr>
          <w:rFonts w:ascii="Times New Roman" w:hAnsi="Times New Roman" w:cs="Times New Roman"/>
          <w:i/>
          <w:iCs/>
        </w:rPr>
        <w:t xml:space="preserve">An. funestus s.s. </w:t>
      </w:r>
      <w:r w:rsidRPr="00CD231A">
        <w:rPr>
          <w:rFonts w:ascii="Times New Roman" w:hAnsi="Times New Roman" w:cs="Times New Roman"/>
        </w:rPr>
        <w:t xml:space="preserve">population was not only driven by detoxifying enzymes but also by cuticular resistance. Cuticle proteins had the highest expression level with the microarray experiments, suggesting their prominent roles in both permethrin and DDT resistance. However, the overexpression of these proteins in unexposed mosquitoes could be the consequence of the high resistance in the mosquito population. This implies that cuticle-based resistance, through the thickened cuticle of the mosquito's membrane may be a very important resistance mechanism in </w:t>
      </w:r>
      <w:r w:rsidRPr="00CD231A">
        <w:rPr>
          <w:rFonts w:ascii="Times New Roman" w:hAnsi="Times New Roman" w:cs="Times New Roman"/>
          <w:i/>
          <w:iCs/>
        </w:rPr>
        <w:t>An. funestus</w:t>
      </w:r>
      <w:r w:rsidRPr="00CD231A">
        <w:rPr>
          <w:rFonts w:ascii="Times New Roman" w:hAnsi="Times New Roman" w:cs="Times New Roman"/>
        </w:rPr>
        <w:t xml:space="preserve"> </w:t>
      </w:r>
      <w:r w:rsidRPr="00CD231A">
        <w:rPr>
          <w:rFonts w:ascii="Times New Roman" w:hAnsi="Times New Roman" w:cs="Times New Roman"/>
          <w:i/>
          <w:iCs/>
        </w:rPr>
        <w:t>s.s.</w:t>
      </w:r>
      <w:r w:rsidRPr="00CD231A">
        <w:rPr>
          <w:rFonts w:ascii="Times New Roman" w:hAnsi="Times New Roman" w:cs="Times New Roman"/>
        </w:rPr>
        <w:t xml:space="preserve"> population. However, further experiments to determine the specific cuticle proteins and the extent of their impact on insecticide resistance of malaria vectors should be considered. It will also be important to measure the cuticle thickness of  resistant mosquitoes as against the susceptible ones to further describe the role of mosquito cuticles in resistance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{"citationItems":[{"id":"ITEM-1","itemData":{"DOI":"10.1186/1756-3305-3-67","ISSN":"17563305","abstract":"Background. Malaria in South Africa is primarily transmitted by Anopheles funestus Giles. Resistance to pyrethroid insecticides in An. funestus in northern Kwazulu/Natal, South Africa, and in neighbouring areas of southern Mozambique enabled populations of this species to increase their ranges into areas where pyrethroids were being exclusively used for malaria control. Pyrethroid resistance in southern African An. funestus is primarily conferred by monooxygenase enzyme metabolism. However, selection for this resistance mechanism is likely to have occurred in conjunction with other factors that improve production of the resistance phenotype. A strong candidate is cuticle thickening. This is because thicker cuticles lead to slower rates of insecticide absorption, which is likely to increase the efficiency of metabolic detoxification. Results. Measures of mean cuticle thickness in laboratory samples of female An. funestus were obtained using scanning electron microscopy (SEM). These females were drawn from a laboratory colony carrying the pyrethroid resistance phenotype at a stable rate, but not fixed. Prior to cuticle thickness measurements, these samples were characterised as either more or less tolerant to permethrin exposure in one experiment, and either permethrin resistant or susceptible in another experiment. There was a significant and positive correlation between mean cuticle thickness and time to knock down during exposure to permethrin. Mean cuticle thickness was significantly greater in those samples characterised either as more tolerant or resistant to permethrin exposure compared to those characterised as either less tolerant or permethrin susceptible. Further, insecticide susceptible female An. funestus have thicker cuticles than their male counterparts. Conclusion. Pyrethroid tolerant or resistant An. funestus females are likely to have thicker cuticles than less tolerant or susceptible females, and females generally have thicker cuticles than males. In pyrethroid resistant An. funestus, this increase in cuticle thickness is likely to have developed as an auxiliary to the primary mode of pyrethroid resistance which is based on enzyme-mediated detoxification. © 2010 Wood et al; licensee BioMed Central Ltd.","author":[{"dropping-particle":"","family":"Wood","given":"O. R.","non-dropping-particle":"","parse-names":false,"suffix":""},{"dropping-particle":"","family":"Hanrahan","given":"S.","non-dropping-particle":"","parse-names":false,"suffix":""},{"dropping-particle":"","family":"Coetzee","given":"M.","non-dropping-particle":"","parse-names":false,"suffix":""},{"dropping-particle":"","family":"Koekemoer","given":"L. L.","non-dropping-particle":"","parse-names":false,"suffix":""},{"dropping-particle":"","family":"Brooke","given":"B. D.","non-dropping-particle":"","parse-names":false,"suffix":""}],"container-title":"Parasites and Vectors","id":"ITEM-1","issue":"1","issued":{"date-parts":[["2010"]]},"page":"1-7","title":"Cuticle thickening associated with pyrethroid resistance in the major malaria vector Anopheles funestus","type":"article-journal","volume":"3"},"uris":["http://www.mendeley.com/documents/?uuid=dd27ccbf-d37a-46d5-9199-2f835ca5c227"]},{"id":"ITEM-2","itemData":{"DOI":"10.1038/s41598-017-11357-z","ISSN":"20452322","abstract":"To tackle the problem of insecticide resistance, all resistance mechanisms need to be studied. This study investigated the involvement of the cuticle in pyrethroid resistance in a strain of Anopheles gambiae, MRS, free of kdr mutations. Bioassays revealed MRS to be resistant to pyrethroids and DDT, indicated by increasing knockdown times and resistance ratios. Moreover, biochemical analysis indicated that metabolic resistance based on enhanced CYP450 activity may also play a role. Insecticide penetration assays showed that there were significantly lower amounts of insecticide in the MRS strain than in the susceptible control. Analysis of the levels of the selected transcripts by qPCR showed that CYP6M2, a major pyrethroid metaboliser, CYP4G16, a gene implicated in resistance via its contribution to the biosynthesis of elevated epicuticular hydrocarbons that delay insecticide uptake, and the cuticle genes CPAP3-E and CPLCX1 were upregulated after insecticide exposure. Other metabolic (CYP6P3, GSTe2) and cuticle (CPLCG3, CPRs) genes were also constitutively upregulated. Microscopic analysis showed that the cuticle layers of the MRS strain were significantly thicker than those of the susceptible strain. This study allowed us to assess the contribution made by the cuticle and metabolic mechanisms to pyrethroid resistance in Anopheles gambiae without target-site mutations.","author":[{"dropping-particle":"","family":"Yahouédo","given":"Gildas A.","non-dropping-particle":"","parse-names":false,"suffix":""},{"dropping-particle":"","family":"Chandre","given":"Fabrice","non-dropping-particle":"","parse-names":false,"suffix":""},{"dropping-particle":"","family":"Rossignol","given":"Marie","non-dropping-particle":"","parse-names":false,"suffix":""},{"dropping-particle":"","family":"Ginibre","given":"Carole","non-dropping-particle":"","parse-names":false,"suffix":""},{"dropping-particle":"","family":"Balabanidou","given":"Vasileia","non-dropping-particle":"","parse-names":false,"suffix":""},{"dropping-particle":"","family":"Mendez","given":"Natacha Garcia Albeniz","non-dropping-particle":"","parse-names":false,"suffix":""},{"dropping-particle":"","family":"Pigeon","given":"Olivier","non-dropping-particle":"","parse-names":false,"suffix":""},{"dropping-particle":"","family":"Vontas","given":"John","non-dropping-particle":"","parse-names":false,"suffix":""},{"dropping-particle":"","family":"Cornelie","given":"Sylvie","non-dropping-particle":"","parse-names":false,"suffix":""}],"container-title":"Scientific Reports","id":"ITEM-2","issue":"1","issued":{"date-parts":[["2017"]]},"page":"1-10","title":"Contributions of cuticle permeability and enzyme detoxification to pyrethroid resistance in the major malaria vector Anopheles gambiae","type":"article-journal","volume":"7"},"uris":["http://www.mendeley.com/documents/?uuid=50c158e2-3605-46f4-be4b-f2376dfb6ee7"]}],"mendeley":{"formattedCitation":"[41,42]","plainTextFormattedCitation":"[41,42]","previouslyFormattedCitation":"(41,42)"},"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lang w:val="fr-FR"/>
        </w:rPr>
        <w:t>[41,42]</w:t>
      </w:r>
      <w:r w:rsidRPr="00CD231A">
        <w:rPr>
          <w:rFonts w:ascii="Times New Roman" w:hAnsi="Times New Roman" w:cs="Times New Roman"/>
        </w:rPr>
        <w:fldChar w:fldCharType="end"/>
      </w:r>
      <w:r w:rsidRPr="00CD231A">
        <w:rPr>
          <w:rFonts w:ascii="Times New Roman" w:hAnsi="Times New Roman" w:cs="Times New Roman"/>
          <w:lang w:val="fr-FR"/>
        </w:rPr>
        <w:t>.</w:t>
      </w:r>
    </w:p>
    <w:p w14:paraId="6AAA22EB" w14:textId="22B7EA39" w:rsidR="00BF5696" w:rsidRPr="00CD231A" w:rsidRDefault="00712FFC" w:rsidP="00BF5696">
      <w:pPr>
        <w:widowControl w:val="0"/>
        <w:autoSpaceDE w:val="0"/>
        <w:autoSpaceDN w:val="0"/>
        <w:adjustRightInd w:val="0"/>
        <w:spacing w:after="240" w:line="480" w:lineRule="auto"/>
        <w:jc w:val="both"/>
        <w:rPr>
          <w:rFonts w:ascii="Times New Roman" w:hAnsi="Times New Roman" w:cs="Times New Roman"/>
        </w:rPr>
      </w:pPr>
      <w:r w:rsidRPr="00CD231A">
        <w:rPr>
          <w:rFonts w:ascii="Times New Roman" w:hAnsi="Times New Roman" w:cs="Times New Roman"/>
          <w:lang w:val="fr-FR"/>
        </w:rPr>
        <w:tab/>
      </w:r>
      <w:r w:rsidR="00BF5696" w:rsidRPr="00CD231A">
        <w:rPr>
          <w:rFonts w:ascii="Times New Roman" w:hAnsi="Times New Roman" w:cs="Times New Roman"/>
          <w:lang w:val="fr-FR"/>
        </w:rPr>
        <w:t xml:space="preserve">Nkya </w:t>
      </w:r>
      <w:r w:rsidR="00BF5696" w:rsidRPr="00CD231A">
        <w:rPr>
          <w:rFonts w:ascii="Times New Roman" w:hAnsi="Times New Roman" w:cs="Times New Roman"/>
          <w:i/>
          <w:iCs/>
          <w:lang w:val="fr-FR"/>
        </w:rPr>
        <w:t>et al</w:t>
      </w:r>
      <w:r w:rsidR="00BF5696" w:rsidRPr="00CD231A">
        <w:rPr>
          <w:rFonts w:ascii="Times New Roman" w:hAnsi="Times New Roman" w:cs="Times New Roman"/>
          <w:lang w:val="fr-FR"/>
        </w:rPr>
        <w:t xml:space="preserve">. </w:t>
      </w:r>
      <w:r w:rsidR="00BF5696" w:rsidRPr="00CD231A">
        <w:rPr>
          <w:rFonts w:ascii="Times New Roman" w:hAnsi="Times New Roman" w:cs="Times New Roman"/>
        </w:rPr>
        <w:fldChar w:fldCharType="begin" w:fldLock="1"/>
      </w:r>
      <w:r w:rsidR="00BF5696" w:rsidRPr="00CD231A">
        <w:rPr>
          <w:rFonts w:ascii="Times New Roman" w:hAnsi="Times New Roman" w:cs="Times New Roman"/>
          <w:lang w:val="fr-FR"/>
        </w:rPr>
        <w:instrText>ADDIN CSL_CITATION {"citationItems":[{"id":"ITEM-1","itemData":{"DOI":"10.1016/j.ibmb.2012.10.006","ISSN":"18790240","abstract":"By transmitting major human diseases such as malaria, dengue fever and filariasis, mosquito species represent a serious threat worldwide in terms of public health, and pose a significant economic burden for the African continent and developing tropical regions. Most vector control programmes aiming at controlling life-threatening mosquitoes rely on the use of chemical insecticides, mainly belonging to the pyrethroid class. However, resistance of mosquito populations to pyrethroids is increasing at a dramatic rate, threatening the efficacy of control programmes throughout insecticide-treated areas, where mosquito-borne diseases are still prevalent. In the absence of new insecticides and efficient alternative vector control methods, resistance management strategies are therefore critical, but these require a deep understanding of adaptive mechanisms underlying resistance. Although insecticide resistance mechanisms are intensively studied in mosquitoes, such adaptation is often considered as the unique result of the selection pressure caused by insecticides used for vector control. Indeed, additional environmental parameters, such as insecticides/pesticides usage in agriculture, the presence of anthropogenic or natural xenobiotics, and biotic interactions between vectors and other organisms, may affect both the overall mosquito responses to pyrethroids and the selection of resistance mechanisms. In this context, the present work aims at updating current knowledge on pyrethroid resistance mechanisms in mosquitoes and compiling available data, often from different research fields, on the impact of the environment on mosquito response to pyrethroids. Key environmental factors, such as the presence of urban or agricultural pollutants and biotic interactions between mosquitoes and their microbiome are discussed, and research perspectives to fill in knowledge gaps are suggested.","author":[{"dropping-particle":"","family":"Nkya","given":"Theresia Estomih","non-dropping-particle":"","parse-names":false,"suffix":""},{"dropping-particle":"","family":"Akhouayri","given":"Idir","non-dropping-particle":"","parse-names":false,"suffix":""},{"dropping-particle":"","family":"Kisinza","given":"William","non-dropping-particle":"","parse-names":false,"suffix":""},{"dropping-particle":"","family":"David","given":"Jean Philippe","non-dropping-particle":"","parse-names":false,"suffix":""}],"container-title":"Insect Biochemistry and Molecular Biology","id":"ITEM-1","issue":"4","issued":{"date-parts":[["2013"]]},"page":"407-416","publisher":"Elsevier Ltd","title":"Impact of environment on mosquito response to pyrethroid insecticides: Facts, evidences and prospects","type":"article-journal","volume":"43"},"uris":["http://www.mendeley.com/documents/?uuid=3cfc1983-08f5-4349-8112-d65940ad2690"]}],"mendeley":{"formattedCitation":"[43]","plainTextFormattedCitation":"[43]","previouslyFormattedCitation":"(43)"},"properties":{"noteIndex":0},"schema":"https://github.com/citation-style-language/schema/raw/master/csl-citation.json"}</w:instrText>
      </w:r>
      <w:r w:rsidR="00BF5696" w:rsidRPr="00CD231A">
        <w:rPr>
          <w:rFonts w:ascii="Times New Roman" w:hAnsi="Times New Roman" w:cs="Times New Roman"/>
        </w:rPr>
        <w:fldChar w:fldCharType="separate"/>
      </w:r>
      <w:r w:rsidR="00BF5696" w:rsidRPr="00CD231A">
        <w:rPr>
          <w:rFonts w:ascii="Times New Roman" w:hAnsi="Times New Roman" w:cs="Times New Roman"/>
          <w:noProof/>
          <w:lang w:val="fr-FR"/>
        </w:rPr>
        <w:t>[43]</w:t>
      </w:r>
      <w:r w:rsidR="00BF5696" w:rsidRPr="00CD231A">
        <w:rPr>
          <w:rFonts w:ascii="Times New Roman" w:hAnsi="Times New Roman" w:cs="Times New Roman"/>
        </w:rPr>
        <w:fldChar w:fldCharType="end"/>
      </w:r>
      <w:r w:rsidR="00BF5696" w:rsidRPr="00CD231A">
        <w:rPr>
          <w:rFonts w:ascii="Times New Roman" w:hAnsi="Times New Roman" w:cs="Times New Roman"/>
          <w:lang w:val="fr-FR"/>
        </w:rPr>
        <w:t xml:space="preserve"> highlighted the contributions of other factors, such as anthropogenic and industrial chemical xenobiotics as well as microbial compositions </w:t>
      </w:r>
      <w:r w:rsidR="00BF5696" w:rsidRPr="00CD231A">
        <w:rPr>
          <w:rFonts w:ascii="Times New Roman" w:hAnsi="Times New Roman" w:cs="Times New Roman"/>
          <w:lang w:val="fr-FR"/>
        </w:rPr>
        <w:lastRenderedPageBreak/>
        <w:t xml:space="preserve">resident in mosquito breeding site, to mosquito resistance. </w:t>
      </w:r>
      <w:r w:rsidR="00BF5696" w:rsidRPr="00CD231A">
        <w:rPr>
          <w:rFonts w:ascii="Times New Roman" w:hAnsi="Times New Roman" w:cs="Times New Roman"/>
        </w:rPr>
        <w:t xml:space="preserve">It may also be important to  investigate the roles of chemical xenobiotics, especially the common ones that mosquito larvae interact with during feeding and breeding in their breeding sites, and to also explore the contribution of microbiota to </w:t>
      </w:r>
      <w:r w:rsidR="00BF5696" w:rsidRPr="00CD231A">
        <w:rPr>
          <w:rFonts w:ascii="Times New Roman" w:hAnsi="Times New Roman" w:cs="Times New Roman"/>
          <w:i/>
          <w:iCs/>
        </w:rPr>
        <w:t xml:space="preserve">Anopheles </w:t>
      </w:r>
      <w:r w:rsidR="00BF5696" w:rsidRPr="00CD231A">
        <w:rPr>
          <w:rFonts w:ascii="Times New Roman" w:hAnsi="Times New Roman" w:cs="Times New Roman"/>
        </w:rPr>
        <w:t>mosquitoes’ resistance; this information will help to further manage and holistically strategize on proper and the most suitable insecticide resistance management tools.</w:t>
      </w:r>
    </w:p>
    <w:p w14:paraId="1C0A7614" w14:textId="7777777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rPr>
      </w:pPr>
    </w:p>
    <w:p w14:paraId="58609589" w14:textId="24A99411"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rPr>
      </w:pPr>
      <w:r w:rsidRPr="00CD231A">
        <w:rPr>
          <w:rFonts w:ascii="Times New Roman" w:hAnsi="Times New Roman" w:cs="Times New Roman"/>
          <w:b/>
        </w:rPr>
        <w:t xml:space="preserve">Insecticide resistance of </w:t>
      </w:r>
      <w:r w:rsidRPr="00CD231A">
        <w:rPr>
          <w:rFonts w:ascii="Times New Roman" w:hAnsi="Times New Roman" w:cs="Times New Roman"/>
          <w:b/>
          <w:i/>
          <w:iCs/>
        </w:rPr>
        <w:t>An</w:t>
      </w:r>
      <w:r w:rsidR="00345E0E" w:rsidRPr="00CD231A">
        <w:rPr>
          <w:rFonts w:ascii="Times New Roman" w:hAnsi="Times New Roman" w:cs="Times New Roman"/>
          <w:b/>
          <w:i/>
          <w:iCs/>
        </w:rPr>
        <w:t>.</w:t>
      </w:r>
      <w:r w:rsidRPr="00CD231A">
        <w:rPr>
          <w:rFonts w:ascii="Times New Roman" w:hAnsi="Times New Roman" w:cs="Times New Roman"/>
          <w:b/>
          <w:i/>
          <w:iCs/>
        </w:rPr>
        <w:t xml:space="preserve"> funestus s.s. </w:t>
      </w:r>
      <w:r w:rsidRPr="00CD231A">
        <w:rPr>
          <w:rFonts w:ascii="Times New Roman" w:hAnsi="Times New Roman" w:cs="Times New Roman"/>
          <w:b/>
        </w:rPr>
        <w:t xml:space="preserve">population is not driven by </w:t>
      </w:r>
      <w:r w:rsidR="00345E0E" w:rsidRPr="00CD231A">
        <w:rPr>
          <w:rFonts w:ascii="Times New Roman" w:hAnsi="Times New Roman" w:cs="Times New Roman"/>
          <w:b/>
          <w:i/>
          <w:iCs/>
        </w:rPr>
        <w:t>k</w:t>
      </w:r>
      <w:r w:rsidRPr="00CD231A">
        <w:rPr>
          <w:rFonts w:ascii="Times New Roman" w:hAnsi="Times New Roman" w:cs="Times New Roman"/>
          <w:b/>
          <w:i/>
          <w:iCs/>
        </w:rPr>
        <w:t>dr</w:t>
      </w:r>
      <w:r w:rsidRPr="00CD231A">
        <w:rPr>
          <w:rFonts w:ascii="Times New Roman" w:hAnsi="Times New Roman" w:cs="Times New Roman"/>
          <w:b/>
        </w:rPr>
        <w:t xml:space="preserve"> mutations</w:t>
      </w:r>
    </w:p>
    <w:p w14:paraId="0C55926C" w14:textId="31B7379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rPr>
      </w:pPr>
      <w:r w:rsidRPr="00CD231A">
        <w:rPr>
          <w:rFonts w:ascii="Times New Roman" w:hAnsi="Times New Roman" w:cs="Times New Roman"/>
        </w:rPr>
        <w:t>The knockdown resistance mutation is unlikely to be playing a part in the insecticide resistance observed in</w:t>
      </w:r>
      <w:r w:rsidR="00345E0E" w:rsidRPr="00CD231A">
        <w:rPr>
          <w:rFonts w:ascii="Times New Roman" w:hAnsi="Times New Roman" w:cs="Times New Roman"/>
        </w:rPr>
        <w:t xml:space="preserve"> the</w:t>
      </w:r>
      <w:r w:rsidRPr="00CD231A">
        <w:rPr>
          <w:rFonts w:ascii="Times New Roman" w:hAnsi="Times New Roman" w:cs="Times New Roman"/>
        </w:rPr>
        <w:t xml:space="preserve"> </w:t>
      </w:r>
      <w:r w:rsidRPr="00CD231A">
        <w:rPr>
          <w:rFonts w:ascii="Times New Roman" w:hAnsi="Times New Roman" w:cs="Times New Roman"/>
          <w:i/>
        </w:rPr>
        <w:t xml:space="preserve">An. funestus </w:t>
      </w:r>
      <w:r w:rsidRPr="00CD231A">
        <w:rPr>
          <w:rFonts w:ascii="Times New Roman" w:hAnsi="Times New Roman" w:cs="Times New Roman"/>
        </w:rPr>
        <w:t xml:space="preserve">population. Both L1014F and L1014S mutations that are common to </w:t>
      </w:r>
      <w:r w:rsidRPr="00CD231A">
        <w:rPr>
          <w:rFonts w:ascii="Times New Roman" w:hAnsi="Times New Roman" w:cs="Times New Roman"/>
          <w:i/>
        </w:rPr>
        <w:t xml:space="preserve">An. gambiae </w:t>
      </w:r>
      <w:r w:rsidRPr="00CD231A">
        <w:rPr>
          <w:rFonts w:ascii="Times New Roman" w:hAnsi="Times New Roman" w:cs="Times New Roman"/>
        </w:rPr>
        <w:t xml:space="preserve">in West and East Africa were absent in all the mosquitoes analysed, as the case of other </w:t>
      </w:r>
      <w:r w:rsidRPr="00CD231A">
        <w:rPr>
          <w:rFonts w:ascii="Times New Roman" w:hAnsi="Times New Roman" w:cs="Times New Roman"/>
          <w:i/>
        </w:rPr>
        <w:t>An. funestus</w:t>
      </w:r>
      <w:r w:rsidRPr="00CD231A">
        <w:rPr>
          <w:rFonts w:ascii="Times New Roman" w:hAnsi="Times New Roman" w:cs="Times New Roman"/>
        </w:rPr>
        <w:t xml:space="preserve"> populations in Africa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{"citationItems":[{"id":"ITEM-1","itemData":{"DOI":"10.1371/journal.pone.0027760","ISBN":"1932-6203 (Electronic)\\n1932-6203 (Linking)","ISSN":"19326203","PMID":"22110757","abstract":"BACKGROUND: The insecticide resistance status of the malaria vector Anopheles funestus and the underlying resistance mechanisms remain uncharacterised in many parts of Africa, notably in Benin, West Africa. To fill this gap in our knowledge, we assessed the susceptibility status of a population of this species in Pahou, Southern Benin and investigated the potential resistance mechanisms.\\n\\nMETHODOLOGY/PRINCIPAL FINDINGS: WHO bioassays revealed a multiple resistance profile for An. funestus in Pahou. This population is highly resistant to DDT with no mortality in females after 1h exposure to 4%DDT. Resistance was observed against the Type I pyrethroid permethrin and the carbamate bendiocarb. A moderate resistance was detected against deltamethrin (type II pyrethroids). A total susceptibility was observed against malathion, an organophosphate. Pre-exposure to PBO did not change the mortality rates for DDT indicating that cytochrome P450s play no role in DDT resistance in Pahou. No L1014F kdr mutation was detected but a correlation between haplotypes of two fragments of the Voltage-Gated Sodium Channel gene and resistance was observed suggesting that mutations in other exons may confer the knockdown resistance in this species. Biochemical assays revealed elevated levels of GSTs and cytochrome mono-oxygenases in Pahou. No G119S mutation and no altered acetylcholinesterase gene were detected in the Pahou population. qPCR analysis of five detoxification genes revealed that the GSTe2 is associated to the DDT resistance in this population with a significantly higher expression in DDT resistant samples. A significant over-expression of CYP6P9a and CYP6P9b previously associated with pyrethroid resistance was also seen but at a lower fold change than in southern Africa.\\n\\nCONCLUSION: The multiple insecticide resistance profile of this An. funestus population in Benin shows that more attention should be paid to this important malaria vector for the implementation and management of current and future malaria vector control programs in this country.","author":[{"dropping-particle":"","family":"Djouaka","given":"Rousseau","non-dropping-particle":"","parse-names":false,"suffix":""},{"dropping-particle":"","family":"Irving","given":"Helen","non-dropping-particle":"","parse-names":false,"suffix":""},{"dropping-particle":"","family":"Tukur","given":"Zainab","non-dropping-particle":"","parse-names":false,"suffix":""},{"dropping-particle":"","family":"Wondji","given":"Charles S.","non-dropping-particle":"","parse-names":false,"suffix":""}],"container-title":"PLoS ONE","id":"ITEM-1","issue":"11","issued":{"date-parts":[["2011"]]},"title":"Exploring mechanisms of multiple insecticide resistance in a population of the malaria vector Anopheles funestus in Benin","type":"article-journal","volume":"6"},"uris":["http://www.mendeley.com/documents/?uuid=abad980f-1ef2-467e-b8d4-b54e4c3bb2ac"]},{"id":"ITEM-2","itemData":{"DOI":"10.1371/journal.pone.0110058","ISBN":"1932-6203","ISSN":"19326203","PMID":"25333491","abstract":"BACKGROUND: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ONE","id":"ITEM-2","issue":"10","issued":{"date-parts":[["2014"]]},"page":"1-10","title":"Widespread pyrethroid and DDT resistance in the major malaria vector anopheles funestus in East Africa is driven by metabolic resistance mechanisms","type":"article-journal","volume":"9"},"uris":["http://www.mendeley.com/documents/?uuid=b7a90190-78fd-433b-ba9d-797f9b3dac6e"]},{"id":"ITEM-3","itemData":{"DOI":"10.1371/journal.pone.0163261","ISSN":"1932-6203","abstract":"Background Despite the recent progress in establishing the patterns of insecticide resistance in the major malaria vector Anopheles funestus, Central African populations of this species remain largely uncharacterised. To bridge this important gap and facilitate the implementa- tion of suitable control strategies against this vector, we characterised the resistance pat- terns of An. funestus population from northern Cameroon. Methods and Findings Collection of indoor-resting female mosquitoes in Gounougou (northern Cameroon) in 2012 and 2015 revealed a predominance of An. funestus during dry season.WHObioas- says performed using F1 An. funestus revealed that the population was multiple resistant to several insecticide classes including pyrethroids (permethrin, deltamethrin, lambda-cyhalo- thrin and etofenprox), carbamates (bendiocarb) and organochlorines (DDT and dieldrin). However, a full susceptibility was observed against the organophosphate malathion. Bioas- says performed with 2015 collection revealed that resistance against pyrethroids and DDT is increasing. PBO synergist assays revealed a significant recovery of susceptibility for all pyrethroids but less for DDT. Analysis of the polymorphismof a portion of the voltage-gated sodium channel gene (VGSC) revealed the absence of the L1014F/S kdr mutation but iden- tified 3 novel amino acid changes I877L, V881L and A1007S. However, no association was established between VGSC polymorphismand pyrethroid/DDT resistance. The DDT resis- tant 119F-GSTe2 allele (52%) and the dieldrin resistant 296S-RDL allele (45%) were detected in Gounougou. Temporal analysis between 2006, 2012 and 2015 collections revealed that the 119F-GSTe2 allele was relatively stable whereas a significant decrease is observed for 296S-RDL allele. Conclusion This multiple resistance coupled with the temporal increased in resistance intensity high- lights the need to take urgent measures to prolong the efficacy of current insecticide-based interventions against An. funestus in this African region.","author":[{"dropping-particle":"","family":"Menze","given":"Benjamin D","non-dropping-particle":"","parse-names":false,"suffix":""},{"dropping-particle":"","family":"Riveron","given":"Jacob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Antonio-Nkondjio","given":"Christophe","non-dropping-particle":"","parse-names":false,"suffix":""},{"dropping-particle":"","family":"Awono-Ambene","given":"Parfait H","non-dropping-particle":"","parse-names":false,"suffix":""},{"dropping-particle":"","family":"Wondji","given":"Charles S","non-dropping-particle":"","parse-names":false,"suffix":""}],"container-title":"PLoS ONE","id":"ITEM-3","issue":"10","issued":{"date-parts":[["2016"]]},"page":"1-14","title":"Multiple Insecticide Resistance in the Malaria Vector Anopheles funestus from Northern Cameroon Is Mediated by Metabolic Resistance Alongside Potential Target Site Insensitivity Mutations","type":"article-journal","volume":"11"},"uris":["http://www.mendeley.com/documents/?uuid=39f9c38d-4162-4f2c-b94a-6af3028c10b4"]},{"id":"ITEM-4","itemData":{"DOI":"10.1186/s13071-016-1735-7","ISSN":"1756-3305","abstract":"Anopheles funestus is one of the major malaria vectors in tropical Africa, notably in Senegal. The highly anthropophilic and endophilic behaviours of this mosquito make it a good target for vector control operations through the use of insecticide treated nets, long-lasting insecticide nets and indoor residual spraying. However, little is known about patterns of resistance to insecticides and the underlying resistance mechanisms in field populations of this vector in Senegal. Here, we assessed the susceptibility status of An. funestus populations from Gankette Balla, located in northern Senegal and investigated the potential resistance mechanisms. WHO bioassays indicated that An. funestus is resistant to lambda-cyhalothrin 0.05 % (74.64 % mortality), DDT 4 % (83.36 % mortality) and deltamethrin 0.05 % (88.53 % mortality). Suspected resistance was observed to permethrin 0.75 % (91.19 % mortality), bendiocarb 0.1 % (94.13 % mortality) and dieldrin 4 % (96.41 % mortality). However, this population is fully susceptible to malathion 5 % (100 % mortality) and fenitrothion 1 % (100 % mortality). The microarray and qRT-PCR analysis indicated that the lambda-cyhalothrin resistance in Gankette Balla is conferred by metabolic resistance mechanisms under the probable control of cytochrome P450 genes among which CYP6M7 is the most overexpressed. The absence of overexpression of the P450 gene, CYP6P9a, indicates that the resistance mechanism in Senegal is different to that observed in southern Africa. This study represents the first report of pyrethroid and DDT resistance in An. funestus from Senegal and shows that resistance to insecticides is not only confined to An. gambiae as previously thought. Therefore, urgent action should be taken to manage the resistance in this species to ensure the continued effectiveness of malaria control.","author":[{"dropping-particle":"","family":"Samb","given":"Badara","non-dropping-particle":"","parse-names":false,"suffix":""},{"dropping-particle":"","family":"Konate","given":"Lassana","non-dropping-particle":"","parse-names":false,"suffix":""},{"dropping-particle":"","family":"Irving","given":"Helen","non-dropping-particle":"","parse-names":false,"suffix":""},{"dropping-particle":"","family":"Riveron","given":"Jacob M.","non-dropping-particle":"","parse-names":false,"suffix":""},{"dropping-particle":"","family":"Dia","given":"Ibrahima","non-dropping-particle":"","parse-names":false,"suffix":""},{"dropping-particle":"","family":"Faye","given":"Ousmane","non-dropping-particle":"","parse-names":false,"suffix":""},{"dropping-particle":"","family":"Wondji","given":"Charles S.","non-dropping-particle":"","parse-names":false,"suffix":""},{"dropping-particle":"","family":"Riveron","given":"JM","non-dropping-particle":"","parse-names":false,"suffix":""},{"dropping-particle":"","family":"Irving","given":"H","non-dropping-particle":"","parse-names":false,"suffix":""},{"dropping-particle":"","family":"Ndula","given":"M","non-dropping-particle":"","parse-names":false,"suffix":""},{"dropping-particle":"","family":"Barnes","given":"KG","non-dropping-particle":"","parse-names":false,"suffix":""},{"dropping-particle":"","family":"Ibrahim","given":"SS","non-dropping-particle":"","parse-names":false,"suffix":""},{"dropping-particle":"","family":"Paine","given":"MJ","non-dropping-particle":"","parse-names":false,"suffix":""},{"dropping-particle":"","family":"Wondji","given":"CS","non-dropping-particle":"","parse-names":false,"suffix":""},{"dropping-particle":"","family":"Riveron","given":"JM","non-dropping-particle":"","parse-names":false,"suffix":""},{"dropping-particle":"","family":"Yunta","given":"C","non-dropping-particle":"","parse-names":false,"suffix":""},{"dropping-particle":"","family":"Ibrahim","given":"SS","non-dropping-particle":"","parse-names":false,"suffix":""},{"dropping-particle":"","family":"Djouaka","given":"R","non-dropping-particle":"","parse-names":false,"suffix":""},{"dropping-particle":"","family":"Irving","given":"H","non-dropping-particle":"","parse-names":false,"suffix":""},{"dropping-particle":"","family":"Menze","given":"BD","non-dropping-particle":"","parse-names":false,"suffix":""},{"dropping-particle":"","family":"Ismail","given":"HM","non-dropping-particle":"","parse-names":false,"suffix":""},{"dropping-particle":"","family":"Hemingway","given":"J","non-dropping-particle":"","parse-names":false,"suffix":""},{"dropping-particle":"","family":"Ranson","given":"H","non-dropping-particle":"","parse-names":false,"suffix":""},{"dropping-particle":"","family":"Albert","given":"A","non-dropping-particle":"","parse-names":false,"suffix":""},{"dropping-particle":"","family":"Choi","given":"KS","non-dropping-particle":"","parse-names":false,"suffix":""},{"dropping-particle":"","family":"Christian","given":"R","non-dropping-particle":"","parse-names":false,"suffix":""},{"dropping-particle":"","family":"Nardini","given":"L","non-dropping-particle":"","parse-names":false,"suffix":""},{"dropping-particle":"","family":"Wood","given":"OR","non-dropping-particle":"","parse-names":false,"suffix":""},{"dropping-particle":"","family":"Agubuzo","given":"E","non-dropping-particle":"","parse-names":false,"suffix":""},{"dropping-particle":"","family":"Muleba","given":"M","non-dropping-particle":"","parse-names":false,"suffix":""},{"dropping-particle":"","family":"Munyati","given":"S","non-dropping-particle":"","parse-names":false,"suffix":""},{"dropping-particle":"","family":"Makuwaza","given":"A","non-dropping-particle":"","parse-names":false,"suffix":""},{"dropping-particle":"","family":"Koekemoer","given":"LL","non-dropping-particle":"","parse-names":false,"suffix":""},{"dropping-particle":"","family":"Brooke","given":"BD","non-dropping-particle":"","parse-names":false,"suffix":""},{"dropping-particle":"","family":"Thomsen","given":"EK","non-dropping-particle":"","parse-names":false,"suffix":""},{"dropping-particle":"","family":"Strode","given":"C","non-dropping-particle":"","parse-names":false,"suffix":""},{"dropping-particle":"","family":"Hemmings","given":"K","non-dropping-particle":"","parse-names":false,"suffix":""},{"dropping-particle":"","family":"Hughes","given":"AJ","non-dropping-particle":"","parse-names":false,"suffix":""},{"dropping-particle":"","family":"Chanda","given":"E","non-dropping-particle":"","parse-names":false,"suffix":""},{"dropping-particle":"","family":"Musapa","given":"M","non-dropping-particle":"","parse-names":false,"suffix":""},{"dropping-particle":"","family":"Kamuliwo","given":"M","non-dropping-particle":"","parse-names":false,"suffix":""},{"dropping-particle":"","family":"Phiri","given":"FN","non-dropping-particle":"","parse-names":false,"suffix":""},{"dropping-particle":"","family":"Muzia","given":"L","non-dropping-particle":"","parse-names":false,"suffix":""},{"dropping-particle":"","family":"Chanda","given":"J","non-dropping-particle":"","parse-names":false,"suffix":""},{"dropping-particle":"","family":"Wondji","given":"CS","non-dropping-particle":"","parse-names":false,"suffix":""},{"dropping-particle":"","family":"Dabire","given":"RK","non-dropping-particle":"","parse-names":false,"suffix":""},{"dropping-particle":"","family":"Tukur","given":"Z","non-dropping-particle":"","parse-names":false,"suffix":""},{"dropping-particle":"","family":"Irving","given":"H","non-dropping-particle":"","parse-names":false,"suffix":""},{"dropping-particle":"","family":"Djouaka","given":"R","non-dropping-particle":"","parse-names":false,"suffix":""},{"dropping-particle":"","family":"Morgan","given":"JC","non-dropping-particle":"","parse-names":false,"suffix":""},{"dropping-particle":"","family":"Kawada","given":"H","non-dropping-particle":"","parse-names":false,"suffix":""},{"dropping-particle":"","family":"Dida","given":"GO","non-dropping-particle":"","parse-names":false,"suffix":""},{"dropping-particle":"","family":"Ohashi","given":"K","non-dropping-particle":"","parse-names":false,"suffix":""},{"dropping-particle":"","family":"Komagata","given":"O","non-dropping-particle":"","parse-names":false,"suffix":""},{"dropping-particle":"","family":"Kasai","given":"S","non-dropping-particle":"","parse-names":false,"suffix":""},{"dropping-particle":"","family":"Tomita","given":"T","non-dropping-particle":"","parse-names":false,"suffix":""},{"dropping-particle":"","family":"Sonye","given":"G","non-dropping-particle":"","parse-names":false,"suffix":""},{"dropping-particle":"","family":"Maekawa","given":"Y","non-dropping-particle":"","parse-names":false,"suffix":""},{"dropping-particle":"","family":"Mwatele","given":"C","non-dropping-particle":"","parse-names":false,"suffix":""},{"dropping-particle":"","family":"Njenga","given":"SM","non-dropping-particle":"","parse-names":false,"suffix":""},{"dropping-particle":"","family":"Mulamba","given":"C","non-dropping-particle":"","parse-names":false,"suffix":""},{"dropping-particle":"","family":"Riveron","given":"JM","non-dropping-particle":"","parse-names":false,"suffix":""},{"dropping-particle":"","family":"Ibrahim","given":"SS","non-dropping-particle":"","parse-names":false,"suffix":""},{"dropping-particle":"","family":"Irving","given":"H","non-dropping-particle":"","parse-names":false,"suffix":""},{"dropping-particle":"","family":"Barnes","given":"KG","non-dropping-particle":"","parse-names":false,"suffix":""},{"dropping-particle":"","family":"Mukwaya","given":"LG","non-dropping-particle":"","parse-names":false,"suffix":""},{"dropping-particle":"","family":"Birungi","given":"J","non-dropping-particle":"","parse-names":false,"suffix":""},{"dropping-particle":"","family":"Wondji","given":"CS","non-dropping-particle":"","parse-names":false,"suffix":""},{"dropping-particle":"","family":"Okoye","given":"PN","non-dropping-particle":"","parse-names":false,"suffix":""},{"dropping-particle":"","family":"Brooke","given":"BD","non-dropping-particle":"","parse-names":false,"suffix":""},{"dropping-particle":"","family":"Koekemoer","given":"LL","non-dropping-particle":"","parse-names":false,"suffix":""},{"dropping-particle":"","family":"Hunt","given":"RH","non-dropping-particle":"","parse-names":false,"suffix":""},{"dropping-particle":"","family":"Coetzee","given":"M","non-dropping-particle":"","parse-names":false,"suffix":""},{"dropping-particle":"","family":"Djouaka","given":"R","non-dropping-particle":"","parse-names":false,"suffix":""},{"dropping-particle":"","family":"Irving","given":"H","non-dropping-particle":"","parse-names":false,"suffix":""},{"dropping-particle":"","family":"Tukur","given":"Z","non-dropping-particle":"","parse-names":false,"suffix":""},{"dropping-particle":"","family":"Wondji","given":"CS","non-dropping-particle":"","parse-names":false,"suffix":""},{"dropping-particle":"","family":"Ndiath","given":"MO","non-dropping-particle":"","parse-names":false,"suffix":""},{"dropping-particle":"","family":"Sougoufara","given":"S","non-dropping-particle":"","parse-names":false,"suffix":""},{"dropping-particle":"","family":"Gaye","given":"A","non-dropping-particle":"","parse-names":false,"suffix":""},{"dropping-particle":"","family":"Mazenot","given":"C","non-dropping-particle":"","parse-names":false,"suffix":""},{"dropping-particle":"","family":"Konate","given":"L","non-dropping-particle":"","parse-names":false,"suffix":""},{"dropping-particle":"","family":"Faye","given":"O","non-dropping-particle":"","parse-names":false,"suffix":""},{"dropping-particle":"","family":"Sokhna","given":"C","non-dropping-particle":"","parse-names":false,"suffix":""},{"dropping-particle":"","family":"Trape","given":"JF","non-dropping-particle":"","parse-names":false,"suffix":""},{"dropping-particle":"","family":"Ndiath","given":"MO","non-dropping-particle":"","parse-names":false,"suffix":""},{"dropping-particle":"","family":"Cailleau","given":"A","non-dropping-particle":"","parse-names":false,"suffix":""},{"dropping-particle":"","family":"Orlandi-Pradines","given":"E","non-dropping-particle":"","parse-names":false,"suffix":""},{"dropping-particle":"","family":"Bessell","given":"P","non-dropping-particle":"","parse-names":false,"suffix":""},{"dropping-particle":"","family":"Pages","given":"F","non-dropping-particle":"","parse-names":false,"suffix":""},{"dropping-particle":"","family":"Trape","given":"JF","non-dropping-particle":"","parse-names":false,"suffix":""},{"dropping-particle":"","family":"Rogier","given":"C","non-dropping-particle":"","parse-names":false,"suffix":""},{"dropping-particle":"","family":"Thwing","given":"JI","non-dropping-particle":"","parse-names":false,"suffix":""},{"dropping-particle":"","family":"Perry","given":"RT","non-dropping-particle":"","parse-names":false,"suffix":""},{"dropping-particle":"","family":"Townes","given":"DA","non-dropping-particle":"","parse-names":false,"suffix":""},{"dropping-particle":"","family":"Diouf","given":"MB","non-dropping-particle":"","parse-names":false,"suffix":""},{"dropping-particle":"","family":"Ndiaye","given":"S","non-dropping-particle":"","parse-names":false,"suffix":""},{"dropping-particle":"","family":"Thior","given":"M","non-dropping-particle":"","parse-names":false,"suffix":""},{"dropping-particle":"","family":"Morgan","given":"JC","non-dropping-particle":"","parse-names":false,"suffix":""},{"dropping-particle":"","family":"Irving","given":"H","non-dropping-particle":"","parse-names":false,"suffix":""},{"dropping-particle":"","family":"Okedi","given":"LM","non-dropping-particle":"","parse-names":false,"suffix":""},{"dropping-particle":"","family":"Steven","given":"A","non-dropping-particle":"","parse-names":false,"suffix":""},{"dropping-particle":"","family":"Wondji","given":"CS","non-dropping-particle":"","parse-names":false,"suffix":""},{"dropping-particle":"","family":"Gillies","given":"MT","non-dropping-particle":"","parse-names":false,"suffix":""},{"dropping-particle":"","family":"Coetzee","given":"M","non-dropping-particle":"","parse-names":false,"suffix":""},{"dropping-particle":"","family":"Livak","given":"KJ","non-dropping-particle":"","parse-names":false,"suffix":""},{"dropping-particle":"","family":"Koekemoer","given":"LL","non-dropping-particle":"","parse-names":false,"suffix":""},{"dropping-particle":"","family":"Kamau","given":"L","non-dropping-particle":"","parse-names":false,"suffix":""},{"dropping-particle":"","family":"Hunt","given":"RH","non-dropping-particle":"","parse-names":false,"suffix":""},{"dropping-particle":"","family":"Coetzee","given":"M","non-dropping-particle":"","parse-names":false,"suffix":""},{"dropping-particle":"","family":"Crawford","given":"JE","non-dropping-particle":"","parse-names":false,"suffix":""},{"dropping-particle":"","family":"Guelbeogo","given":"WM","non-dropping-particle":"","parse-names":false,"suffix":""},{"dropping-particle":"","family":"Sanou","given":"A","non-dropping-particle":"","parse-names":false,"suffix":""},{"dropping-particle":"","family":"Traore","given":"A","non-dropping-particle":"","parse-names":false,"suffix":""},{"dropping-particle":"","family":"Vernick","given":"KD","non-dropping-particle":"","parse-names":false,"suffix":""},{"dropping-particle":"","family":"Sagnon","given":"N","non-dropping-particle":"","parse-names":false,"suffix":""},{"dropping-particle":"","family":"Lazzaro","given":"BP","non-dropping-particle":"","parse-names":false,"suffix":""},{"dropping-particle":"","family":"Schmittgen","given":"TD","non-dropping-particle":"","parse-names":false,"suffix":""},{"dropping-particle":"","family":"Livak","given":"KJ","non-dropping-particle":"","parse-names":false,"suffix":""},{"dropping-particle":"","family":"Cuamba","given":"N","non-dropping-particle":"","parse-names":false,"suffix":""},{"dropping-particle":"","family":"Morgan","given":"JC","non-dropping-particle":"","parse-names":false,"suffix":""},{"dropping-particle":"","family":"Irving","given":"H","non-dropping-particle":"","parse-names":false,"suffix":""},{"dropping-particle":"","family":"Steven","given":"A","non-dropping-particle":"","parse-names":false,"suffix":""},{"dropping-particle":"","family":"Wondji","given":"CS","non-dropping-particle":"","parse-names":false,"suffix":""},{"dropping-particle":"","family":"Riveron","given":"JM","non-dropping-particle":"","parse-names":false,"suffix":""},{"dropping-particle":"","family":"Chiumia","given":"M","non-dropping-particle":"","parse-names":false,"suffix":""},{"dropping-particle":"","family":"Menze","given":"BD","non-dropping-particle":"","parse-names":false,"suffix":""},{"dropping-particle":"","family":"Barnes","given":"KG","non-dropping-particle":"","parse-names":false,"suffix":""},{"dropping-particle":"","family":"Irving","given":"H","non-dropping-particle":"","parse-names":false,"suffix":""},{"dropping-particle":"","family":"Ibrahim","given":"SS","non-dropping-particle":"","parse-names":false,"suffix":""},{"dropping-particle":"","family":"Weedall","given":"GD","non-dropping-particle":"","parse-names":false,"suffix":""},{"dropping-particle":"","family":"Mzilahowa","given":"T","non-dropping-particle":"","parse-names":false,"suffix":""},{"dropping-particle":"","family":"Wondji","given":"CS","non-dropping-particle":"","parse-names":false,"suffix":""},{"dropping-particle":"","family":"Coetzee","given":"M","non-dropping-particle":"","parse-names":false,"suffix":""},{"dropping-particle":"","family":"Wyk","given":"P","non-dropping-particle":"","parse-names":false,"suffix":""},{"dropping-particle":"","family":"Booman","given":"M","non-dropping-particle":"","parse-names":false,"suffix":""},{"dropping-particle":"","family":"Koekemoer","given":"LL","non-dropping-particle":"","parse-names":false,"suffix":""},{"dropping-particle":"","family":"Hunt","given":"RH","non-dropping-particle":"","parse-names":false,"suffix":""},{"dropping-particle":"","family":"Kloke","given":"RG","non-dropping-particle":"","parse-names":false,"suffix":""},{"dropping-particle":"","family":"Nhamahanga","given":"E","non-dropping-particle":"","parse-names":false,"suffix":""},{"dropping-particle":"","family":"Hunt","given":"RH","non-dropping-particle":"","parse-names":false,"suffix":""},{"dropping-particle":"","family":"Coetzee","given":"M","non-dropping-particle":"","parse-names":false,"suffix":""},{"dropping-particle":"","family":"Scollon","given":"EJ","non-dropping-particle":"","parse-names":false,"suffix":""},{"dropping-particle":"","family":"Starr","given":"JM","non-dropping-particle":"","parse-names":false,"suffix":""},{"dropping-particle":"","family":"Godin","given":"SJ","non-dropping-particle":"","parse-names":false,"suffix":""},{"dropping-particle":"","family":"DeVito","given":"MJ","non-dropping-particle":"","parse-names":false,"suffix":""},{"dropping-particle":"","family":"Hughes","given":"MF","non-dropping-particle":"","parse-names":false,"suffix":""},{"dropping-particle":"","family":"Ibrahim","given":"SS","non-dropping-particle":"","parse-names":false,"suffix":""},{"dropping-particle":"","family":"Riveron","given":"JM","non-dropping-particle":"","parse-names":false,"suffix":""},{"dropping-particle":"","family":"Stott","given":"R","non-dropping-particle":"","parse-names":false,"suffix":""},{"dropping-particle":"","family":"Irving","given":"H","non-dropping-particle":"","parse-names":false,"suffix":""},{"dropping-particle":"","family":"Wondji","given":"CS","non-dropping-particle":"","parse-names":false,"suffix":""},{"dropping-particle":"","family":"Hargreaves","given":"K","non-dropping-particle":"","parse-names":false,"suffix":""},{"dropping-particle":"","family":"Coetzee","given":"M","non-dropping-particle":"","parse-names":false,"suffix":""},{"dropping-particle":"","family":"Koekemoer","given":"LL","non-dropping-particle":"","parse-names":false,"suffix":""},{"dropping-particle":"","family":"Diabate","given":"A","non-dropping-particle":"","parse-names":false,"suffix":""},{"dropping-particle":"","family":"Baldet","given":"T","non-dropping-particle":"","parse-names":false,"suffix":""},{"dropping-particle":"","family":"Chandre","given":"F","non-dropping-particle":"","parse-names":false,"suffix":""},{"dropping-particle":"","family":"Akoobeto","given":"M","non-dropping-particle":"","parse-names":false,"suffix":""},{"dropping-particle":"","family":"Guiguemde","given":"TR","non-dropping-particle":"","parse-names":false,"suffix":""},{"dropping-particle":"","family":"Darriet","given":"F","non-dropping-particle":"","parse-names":false,"suffix":""},{"dropping-particle":"","family":"Brengues","given":"C","non-dropping-particle":"","parse-names":false,"suffix":""},{"dropping-particle":"","family":"Guillet","given":"P","non-dropping-particle":"","parse-names":false,"suffix":""},{"dropping-particle":"","family":"Hemingway","given":"J","non-dropping-particle":"","parse-names":false,"suffix":""},{"dropping-particle":"","family":"Small","given":"GJ","non-dropping-particle":"","parse-names":false,"suffix":""},{"dropping-particle":"","family":"Djegbe","given":"I","non-dropping-particle":"","parse-names":false,"suffix":""},{"dropping-particle":"","family":"Boussari","given":"O","non-dropping-particle":"","parse-names":false,"suffix":""},{"dropping-particle":"","family":"Sidick","given":"A","non-dropping-particle":"","parse-names":false,"suffix":""},{"dropping-particle":"","family":"Martin","given":"T","non-dropping-particle":"","parse-names":false,"suffix":""},{"dropping-particle":"","family":"Ranson","given":"H","non-dropping-particle":"","parse-names":false,"suffix":""},{"dropping-particle":"","family":"Chandre","given":"F","non-dropping-particle":"","parse-names":false,"suffix":""},{"dropping-particle":"","family":"Akogbeto","given":"M","non-dropping-particle":"","parse-names":false,"suffix":""},{"dropping-particle":"","family":"Corbel","given":"V","non-dropping-particle":"","parse-names":false,"suffix":""},{"dropping-particle":"","family":"Dabire","given":"RK","non-dropping-particle":"","parse-names":false,"suffix":""},{"dropping-particle":"","family":"Namountougou","given":"M","non-dropping-particle":"","parse-names":false,"suffix":""},{"dropping-particle":"","family":"Sawadogo","given":"SP","non-dropping-particle":"","parse-names":false,"suffix":""},{"dropping-particle":"","family":"Yaro","given":"LB","non-dropping-particle":"","parse-names":false,"suffix":""},{"dropping-particle":"","family":"Toe","given":"HK","non-dropping-particle":"","parse-names":false,"suffix":""},{"dropping-particle":"","family":"Ouari","given":"A","non-dropping-particle":"","parse-names":false,"suffix":""},{"dropping-particle":"","family":"Gouagna","given":"LC","non-dropping-particle":"","parse-names":false,"suffix":""},{"dropping-particle":"","family":"Simard","given":"F","non-dropping-particle":"","parse-names":false,"suffix":""},{"dropping-particle":"","family":"Chandre","given":"F","non-dropping-particle":"","parse-names":false,"suffix":""},{"dropping-particle":"","family":"Baldet","given":"T","non-dropping-particle":"","parse-names":false,"suffix":""},{"dropping-particle":"","family":"Samb","given":"B","non-dropping-particle":"","parse-names":false,"suffix":""},{"dropping-particle":"","family":"Dia","given":"I","non-dropping-particle":"","parse-names":false,"suffix":""},{"dropping-particle":"","family":"Konate","given":"L","non-dropping-particle":"","parse-names":false,"suffix":""},{"dropping-particle":"","family":"Ayala","given":"D","non-dropping-particle":"","parse-names":false,"suffix":""},{"dropping-particle":"","family":"Fontenille","given":"D","non-dropping-particle":"","parse-names":false,"suffix":""},{"dropping-particle":"","family":"Cohuet","given":"A","non-dropping-particle":"","parse-names":false,"suffix":""},{"dropping-particle":"","family":"Riveron","given":"JM","non-dropping-particle":"","parse-names":false,"suffix":""},{"dropping-particle":"","family":"Ibrahim","given":"SS","non-dropping-particle":"","parse-names":false,"suffix":""},{"dropping-particle":"","family":"Chanda","given":"E","non-dropping-particle":"","parse-names":false,"suffix":""},{"dropping-particle":"","family":"Mzilahowa","given":"T","non-dropping-particle":"","parse-names":false,"suffix":""},{"dropping-particle":"","family":"Cuamba","given":"N","non-dropping-particle":"","parse-names":false,"suffix":""},{"dropping-particle":"","family":"Irving","given":"H","non-dropping-particle":"","parse-names":false,"suffix":""},{"dropping-particle":"","family":"Barnes","given":"KG","non-dropping-particle":"","parse-names":false,"suffix":""},{"dropping-particle":"","family":"Ndula","given":"M","non-dropping-particle":"","parse-names":false,"suffix":""},{"dropping-particle":"","family":"Wondji","given":"CS","non-dropping-particle":"","parse-names":false,"suffix":""},{"dropping-particle":"","family":"Amenya","given":"DA","non-dropping-particle":"","parse-names":false,"suffix":""},{"dropping-particle":"","family":"Naguran","given":"R","non-dropping-particle":"","parse-names":false,"suffix":""},{"dropping-particle":"","family":"Lo","given":"TC","non-dropping-particle":"","parse-names":false,"suffix":""},{"dropping-particle":"","family":"Ranson","given":"H","non-dropping-particle":"","parse-names":false,"suffix":""},{"dropping-particle":"","family":"Spillings","given":"BL","non-dropping-particle":"","parse-names":false,"suffix":""},{"dropping-particle":"","family":"Wood","given":"OR","non-dropping-particle":"","parse-names":false,"suffix":""},{"dropping-particle":"","family":"Brooke","given":"BD","non-dropping-particle":"","parse-names":false,"suffix":""},{"dropping-particle":"","family":"Coetzee","given":"M","non-dropping-particle":"","parse-names":false,"suffix":""},{"dropping-particle":"","family":"Koekemoer","given":"LL","non-dropping-particle":"","parse-names":false,"suffix":""},{"dropping-particle":"","family":"Wondji","given":"CS","non-dropping-particle":"","parse-names":false,"suffix":""},{"dropping-particle":"","family":"Irving","given":"H","non-dropping-particle":"","parse-names":false,"suffix":""},{"dropping-particle":"","family":"Morgan","given":"J","non-dropping-particle":"","parse-names":false,"suffix":""},{"dropping-particle":"","family":"Lobo","given":"NF","non-dropping-particle":"","parse-names":false,"suffix":""},{"dropping-particle":"","family":"Collins","given":"FH","non-dropping-particle":"","parse-names":false,"suffix":""},{"dropping-particle":"","family":"Hunt","given":"RH","non-dropping-particle":"","parse-names":false,"suffix":""},{"dropping-particle":"","family":"Coetzee","given":"M","non-dropping-particle":"","parse-names":false,"suffix":""},{"dropping-particle":"","family":"Hemingway","given":"J","non-dropping-particle":"","parse-names":false,"suffix":""},{"dropping-particle":"","family":"Ranson","given":"H","non-dropping-particle":"","parse-names":false,"suffix":""},{"dropping-particle":"","family":"Mitchell","given":"SN","non-dropping-particle":"","parse-names":false,"suffix":""},{"dropping-particle":"","family":"Stevenson","given":"BJ","non-dropping-particle":"","parse-names":false,"suffix":""},{"dropping-particle":"","family":"Müller","given":"P","non-dropping-particle":"","parse-names":false,"suffix":""},{"dropping-particle":"","family":"Wilding","given":"CS","non-dropping-particle":"","parse-names":false,"suffix":""},{"dropping-particle":"","family":"Egyir-Yawson","given":"A","non-dropping-particle":"","parse-names":false,"suffix":""},{"dropping-particle":"","family":"Field","given":"SG","non-dropping-particle":"","parse-names":false,"suffix":""},{"dropping-particle":"","family":"Hemingway","given":"J","non-dropping-particle":"","parse-names":false,"suffix":""},{"dropping-particle":"","family":"Paine","given":"MJI","non-dropping-particle":"","parse-names":false,"suffix":""},{"dropping-particle":"","family":"Ranson","given":"H","non-dropping-particle":"","parse-names":false,"suffix":""},{"dropping-particle":"","family":"Donnelly","given":"MJ","non-dropping-particle":"","parse-names":false,"suffix":""},{"dropping-particle":"","family":"Rongnoparut","given":"P","non-dropping-particle":"","parse-names":false,"suffix":""},{"dropping-particle":"","family":"Boonsuepsakul","given":"S","non-dropping-particle":"","parse-names":false,"suffix":""},{"dropping-particle":"","family":"Chareonviriyaphap","given":"T","non-dropping-particle":"","parse-names":false,"suffix":""},{"dropping-particle":"","family":"Thanomsing","given":"N","non-dropping-particle":"","parse-names":false,"suffix":""},{"dropping-particle":"","family":"Rodpradit","given":"P","non-dropping-particle":"","parse-names":false,"suffix":""},{"dropping-particle":"","family":"Boonsuepsakul","given":"S","non-dropping-particle":"","parse-names":false,"suffix":""},{"dropping-particle":"","family":"Chareonviriyaphap","given":"T","non-dropping-particle":"","parse-names":false,"suffix":""},{"dropping-particle":"","family":"Bangs","given":"MJ","non-dropping-particle":"","parse-names":false,"suffix":""},{"dropping-particle":"","family":"Rongnoparut","given":"P","non-dropping-particle":"","parse-names":false,"suffix":""},{"dropping-particle":"","family":"Kasai","given":"S","non-dropping-particle":"","parse-names":false,"suffix":""},{"dropping-particle":"","family":"Scott","given":"JG","non-dropping-particle":"","parse-names":false,"suffix":""},{"dropping-particle":"","family":"Zhu","given":"F","non-dropping-particle":"","parse-names":false,"suffix":""},{"dropping-particle":"","family":"Parthasarathy","given":"R","non-dropping-particle":"","parse-names":false,"suffix":""},{"dropping-particle":"","family":"Bai","given":"H","non-dropping-particle":"","parse-names":false,"suffix":""},{"dropping-particle":"","family":"Woithe","given":"K","non-dropping-particle":"","parse-names":false,"suffix":""},{"dropping-particle":"","family":"Kaussmann","given":"M","non-dropping-particle":"","parse-names":false,"suffix":""},{"dropping-particle":"","family":"Nauen","given":"R","non-dropping-particle":"","parse-names":false,"suffix":""},{"dropping-particle":"","family":"Harrison","given":"DA","non-dropping-particle":"","parse-names":false,"suffix":""},{"dropping-particle":"","family":"Palli","given":"SR","non-dropping-particle":"","parse-names":false,"suffix":""},{"dropping-particle":"","family":"Feyereisen","given":"R","non-dropping-particle":"","parse-names":false,"suffix":""},{"dropping-particle":"","family":"Brooke","given":"BD","non-dropping-particle":"","parse-names":false,"suffix":""},{"dropping-particle":"","family":"Kloke","given":"G","non-dropping-particle":"","parse-names":false,"suffix":""},{"dropping-particle":"","family":"Hunt","given":"RH","non-dropping-particle":"","parse-names":false,"suffix":""},{"dropping-particle":"","family":"Koekemoer","given":"LL","non-dropping-particle":"","parse-names":false,"suffix":""},{"dropping-particle":"","family":"Temu","given":"EA","non-dropping-particle":"","parse-names":false,"suffix":""},{"dropping-particle":"","family":"Taylor","given":"ME","non-dropping-particle":"","parse-names":false,"suffix":""},{"dropping-particle":"","family":"Small","given":"G","non-dropping-particle":"","parse-names":false,"suffix":""},{"dropping-particle":"","family":"Hemingway","given":"J","non-dropping-particle":"","parse-names":false,"suffix":""},{"dropping-particle":"","family":"Coetzee","given":"M","non-dropping-particle":"","parse-names":false,"suffix":""},{"dropping-particle":"","family":"Casimiro","given":"SL","non-dropping-particle":"","parse-names":false,"suffix":""},{"dropping-particle":"","family":"Hemingway","given":"J","non-dropping-particle":"","parse-names":false,"suffix":""},{"dropping-particle":"","family":"Sharp","given":"BL","non-dropping-particle":"","parse-names":false,"suffix":""},{"dropping-particle":"","family":"Coleman","given":"M","non-dropping-particle":"","parse-names":false,"suffix":""},{"dropping-particle":"","family":"Hunt","given":"RH","non-dropping-particle":"","parse-names":false,"suffix":""},{"dropping-particle":"","family":"Brooke","given":"BD","non-dropping-particle":"","parse-names":false,"suffix":""},{"dropping-particle":"","family":"Pillay","given":"C","non-dropping-particle":"","parse-names":false,"suffix":""},{"dropping-particle":"","family":"Koekemoer","given":"LL","non-dropping-particle":"","parse-names":false,"suffix":""},{"dropping-particle":"","family":"Coetzee","given":"M","non-dropping-particle":"","parse-names":false,"suffix":""},{"dropping-particle":"","family":"Christian","given":"RN","non-dropping-particle":"","parse-names":false,"suffix":""},{"dropping-particle":"","family":"Matambo","given":"TS","non-dropping-particle":"","parse-names":false,"suffix":""},{"dropping-particle":"","family":"Spillings","given":"BL","non-dropping-particle":"","parse-names":false,"suffix":""},{"dropping-particle":"","family":"Brooke","given":"BD","non-dropping-particle":"","parse-names":false,"suffix":""},{"dropping-particle":"","family":"Coetzee","given":"M","non-dropping-particle":"","parse-names":false,"suffix":""},{"dropping-particle":"","family":"Koekemoer","given":"LL","non-dropping-particle":"","parse-names":false,"suffix":""}],"container-title":"Parasites &amp; Vectors","id":"ITEM-4","issue":"1","issued":{"date-parts":[["2016"]]},"page":"449","title":"Investigating molecular basis of lambda-cyhalothrin resistance in an Anopheles funestus population from Senegal","type":"article-journal","volume":"9"},"uris":["http://www.mendeley.com/documents/?uuid=7acaa159-64c8-4eb6-8256-06a5e0a1a9ca"]},{"id":"ITEM-5","itemData":{"DOI":"10.1186/s13071-018-3115-y","ISSN":"17563305","abstract":"Insecticide resistance in Anopheles mosquitoes is threatening the success of malaria control programmes. In order to implement suitable insecticide resistance management strategies, it is necessary to understand the underlying mechanisms involved. To achieve this, the molecular basis of permethrin and DDT resistance in the principal malaria vector, Anopheles funestus from inland Benin (Kpome), was investigated. Here, using a microarray-based genome-wide transcription and qRT-PCR analysis, we showed that metabolic resistance mechanisms through over-expression of cytochrome P450 and glutathione S-transferase genes (GSTs) are a major contributor to DDT and permethrin resistance in Anopheles funestus from Kpome. The GSTe2 gene was the most upregulated detoxification gene in both DDT- [fold-change (FC: 16.0)] and permethrin-resistant (FC: 18.1) mosquitoes suggesting that upregulation of this gene could contribute to DDT resistance and cross-resistance to permethrin. CYP6P9a and CYP6P9b genes that have been previously associated with pyrethroid resistance were also significantly overexpressed with FC 5.4 and 4.8, respectively, in a permethrin resistant population. Noticeably, the GSTs, GSTd1-5 and GSTd3, were more upregulated in DDT-resistant than in permethrin-resistant Anopheles funestus suggesting these genes are more implicated in DDT resistance. The absence of the L1014F or L1014S kdr mutations in the voltage-gated sodium channel gene coupled with the lack of directional selection at the gene further supported that knockdown resistance plays little role in this resistance. The major role played by metabolic resistance to pyrethroids in this An. funestus population in Benin suggests that using novel control tools combining the P450 synergist piperonyl butoxide (PBO), such as PBO-based bednets, could help manage the growing pyrethroid resistance in this malaria vector in Benin.","author":[{"dropping-particle":"","family":"Tchigossou","given":"Genevieve","non-dropping-particle":"","parse-names":false,"suffix":""},{"dropping-particle":"","family":"Djouaka","given":"Rousseau","non-dropping-particle":"","parse-names":false,"suffix":""},{"dropping-particle":"","family":"Akoton","given":"Romaric","non-dropping-particle":"","parse-names":false,"suffix":""},{"dropping-particle":"","family":"Riveron","given":"Jacob M.","non-dropping-particle":"","parse-names":false,"suffix":""},{"dropping-particle":"","family":"Irving","given":"Helen","non-dropping-particle":"","parse-names":false,"suffix":""},{"dropping-particle":"","family":"Atoyebi","given":"Seun","non-dropping-particle":"","parse-names":false,"suffix":""},{"dropping-particle":"","family":"Moutairou","given":"Kabirou","non-dropping-particle":"","parse-names":false,"suffix":""},{"dropping-particle":"","family":"Yessoufou","given":"Akadiri","non-dropping-particle":"","parse-names":false,"suffix":""},{"dropping-particle":"","family":"Wondji","given":"Charles S.","non-dropping-particle":"","parse-names":false,"suffix":""}],"container-title":"Parasites and Vectors","id":"ITEM-5","issue":"1","issued":{"date-parts":[["2018"]]},"page":"602","publisher":"Parasites &amp; Vectors","title":"Molecular basis of permethrin and DDT resistance in an Anopheles funestus population from Benin","type":"article-journal","volume":"11"},"uris":["http://www.mendeley.com/documents/?uuid=663a75bc-b5b8-455a-92f1-7c9ab66e9736"]}],"mendeley":{"formattedCitation":"[5,6,8,24,28]","manualFormatting":"[5-,6,8,24,28]","plainTextFormattedCitation":"[5,6,8,24,28]","previouslyFormattedCitation":"(5,6,8,24,28)"},"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[5 ,6, 8, 24, 28]</w:t>
      </w:r>
      <w:r w:rsidRPr="00CD231A">
        <w:rPr>
          <w:rFonts w:ascii="Times New Roman" w:hAnsi="Times New Roman" w:cs="Times New Roman"/>
        </w:rPr>
        <w:fldChar w:fldCharType="end"/>
      </w:r>
      <w:r w:rsidRPr="00CD231A">
        <w:rPr>
          <w:rFonts w:ascii="Times New Roman" w:hAnsi="Times New Roman" w:cs="Times New Roman"/>
        </w:rPr>
        <w:t xml:space="preserve">. The VGSC polymorphisms observed could be as a result of evolution through mutation, genetic drift, migration or natural selection in the mosquito population. These genetic processes could lead to different genome constitution of </w:t>
      </w:r>
      <w:r w:rsidRPr="00CD231A">
        <w:rPr>
          <w:rFonts w:ascii="Times New Roman" w:hAnsi="Times New Roman" w:cs="Times New Roman"/>
          <w:i/>
        </w:rPr>
        <w:t xml:space="preserve">An. funestus </w:t>
      </w:r>
      <w:r w:rsidRPr="00CD231A">
        <w:rPr>
          <w:rFonts w:ascii="Times New Roman" w:hAnsi="Times New Roman" w:cs="Times New Roman"/>
        </w:rPr>
        <w:t xml:space="preserve">species in the same population, and consequently could help some mosquitoes to survive insecticide exposure. It is appeasing that the diversity of nucleotide sequence observed might not eventually affect the genetic determinant in this mosquito species. However, the potential role of </w:t>
      </w:r>
      <w:r w:rsidR="00345E0E" w:rsidRPr="00CD231A">
        <w:rPr>
          <w:rFonts w:ascii="Times New Roman" w:hAnsi="Times New Roman" w:cs="Times New Roman"/>
          <w:i/>
          <w:iCs/>
        </w:rPr>
        <w:t>k</w:t>
      </w:r>
      <w:r w:rsidRPr="00CD231A">
        <w:rPr>
          <w:rFonts w:ascii="Times New Roman" w:hAnsi="Times New Roman" w:cs="Times New Roman"/>
          <w:i/>
          <w:iCs/>
        </w:rPr>
        <w:t>dr</w:t>
      </w:r>
      <w:r w:rsidRPr="00CD231A">
        <w:rPr>
          <w:rFonts w:ascii="Times New Roman" w:hAnsi="Times New Roman" w:cs="Times New Roman"/>
        </w:rPr>
        <w:t xml:space="preserve"> (L1014F/S) in insecticide resistance of </w:t>
      </w:r>
      <w:r w:rsidRPr="00CD231A">
        <w:rPr>
          <w:rFonts w:ascii="Times New Roman" w:hAnsi="Times New Roman" w:cs="Times New Roman"/>
          <w:i/>
        </w:rPr>
        <w:t xml:space="preserve">An. funestus </w:t>
      </w:r>
      <w:r w:rsidRPr="00CD231A">
        <w:rPr>
          <w:rFonts w:ascii="Times New Roman" w:hAnsi="Times New Roman" w:cs="Times New Roman"/>
          <w:iCs/>
        </w:rPr>
        <w:t>group</w:t>
      </w:r>
      <w:r w:rsidRPr="00CD231A">
        <w:rPr>
          <w:rFonts w:ascii="Times New Roman" w:hAnsi="Times New Roman" w:cs="Times New Roman"/>
        </w:rPr>
        <w:t xml:space="preserve"> should be monitored since genetic polymorphism in this mosquito species is always high  and it could also help to detect other potential resistance-associated mutations </w:t>
      </w:r>
      <w:r w:rsidRPr="00CD231A">
        <w:rPr>
          <w:rFonts w:ascii="Times New Roman" w:hAnsi="Times New Roman" w:cs="Times New Roman"/>
        </w:rPr>
        <w:fldChar w:fldCharType="begin" w:fldLock="1"/>
      </w:r>
      <w:r w:rsidRPr="00CD231A">
        <w:rPr>
          <w:rFonts w:ascii="Times New Roman" w:hAnsi="Times New Roman" w:cs="Times New Roman"/>
        </w:rPr>
        <w:instrText>ADDIN CSL_CITATION {"citationItems":[{"id":"ITEM-1","itemData":{"DOI":"10.1371/journal.pone.0110058","ISBN":"1932-6203","ISSN":"19326203","PMID":"25333491","abstract":"BACKGROUND: Establishing the extent, geographical distribution and mechanisms of insecticide resistance in malaria vectors is a prerequisite for resistance management. Here, we report a widespread distribution of insecticide resistance in the major malaria vector An. funestus across Uganda and western Kenya under the control of metabolic resistance mechanisms.\\n\\nMETHODOLOGY/PRINCIPAL FINDINGS: Female An. funestus collected throughout Uganda and western Kenya exhibited a Plasmodium infection rate between 4.2 to 10.4%. Widespread resistance against both type I (permethrin) and II (deltamethrin) pyrethroids and DDT was observed across Uganda and western Kenya. All populations remain highly susceptible to carbamate, organophosphate and dieldrin insecticides. Knockdown resistance plays no role in the pyrethroid and DDT resistance as no kdr mutation associated with resistance was detected despite the presence of a F1021C replacement. Additionally, no signature of selection was observed on the sodium channel gene. Synergist assays and qRT-PCR indicated that metabolic resistance plays a major role notably through elevated expression of cytochrome P450s. DDT resistance mechanisms differ from West Africa as the L119F-GSTe2 mutation only explains a small proportion of the genetic variance to DDT resistance.\\n\\nCONCLUSION: The extensive distribution of pyrethroid and DDT resistance in East African An. funestus populations represents a challenge to the control of this vector. However, the observed carbamate and organophosphate susceptibility offers alternative solutions for resistance management.","author":[{"dropping-particle":"","family":"Mulamba","given":"Charles","non-dropping-particle":"","parse-names":false,"suffix":""},{"dropping-particle":"","family":"Riveron","given":"Jacob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S.","non-dropping-particle":"","parse-names":false,"suffix":""},{"dropping-particle":"","family":"Irving","given":"Helen","non-dropping-particle":"","parse-names":false,"suffix":""},{"dropping-particle":"","family":"Barnes","given":"Kayla G.","non-dropping-particle":"","parse-names":false,"suffix":""},{"dropping-particle":"","family":"Mukwaya","given":"Louis G.","non-dropping-particle":"","parse-names":false,"suffix":""},{"dropping-particle":"","family":"Birungi","given":"Josephine","non-dropping-particle":"","parse-names":false,"suffix":""},{"dropping-particle":"","family":"Wondji","given":"Charles S.","non-dropping-particle":"","parse-names":false,"suffix":""}],"container-title":"PLoS ONE","id":"ITEM-1","issue":"10","issued":{"date-parts":[["2014"]]},"page":"1-10","title":"Widespread pyrethroid and DDT resistance in the major malaria vector anopheles funestus in East Africa is driven by metabolic resistance mechanisms","type":"article-journal","volume":"9"},"uris":["http://www.mendeley.com/documents/?uuid=b7a90190-78fd-433b-ba9d-797f9b3dac6e"]},{"id":"ITEM-2","itemData":{"DOI":"10.1371/journal.pone.0163261","ISSN":"1932-6203","abstract":"Background Despite the recent progress in establishing the patterns of insecticide resistance in the major malaria vector Anopheles funestus, Central African populations of this species remain largely uncharacterised. To bridge this important gap and facilitate the implementa- tion of suitable control strategies against this vector, we characterised the resistance pat- terns of An. funestus population from northern Cameroon. Methods and Findings Collection of indoor-resting female mosquitoes in Gounougou (northern Cameroon) in 2012 and 2015 revealed a predominance of An. funestus during dry season.WHObioas- says performed using F1 An. funestus revealed that the population was multiple resistant to several insecticide classes including pyrethroids (permethrin, deltamethrin, lambda-cyhalo- thrin and etofenprox), carbamates (bendiocarb) and organochlorines (DDT and dieldrin). However, a full susceptibility was observed against the organophosphate malathion. Bioas- says performed with 2015 collection revealed that resistance against pyrethroids and DDT is increasing. PBO synergist assays revealed a significant recovery of susceptibility for all pyrethroids but less for DDT. Analysis of the polymorphismof a portion of the voltage-gated sodium channel gene (VGSC) revealed the absence of the L1014F/S kdr mutation but iden- tified 3 novel amino acid changes I877L, V881L and A1007S. However, no association was established between VGSC polymorphismand pyrethroid/DDT resistance. The DDT resis- tant 119F-GSTe2 allele (52%) and the dieldrin resistant 296S-RDL allele (45%) were detected in Gounougou. Temporal analysis between 2006, 2012 and 2015 collections revealed that the 119F-GSTe2 allele was relatively stable whereas a significant decrease is observed for 296S-RDL allele. Conclusion This multiple resistance coupled with the temporal increased in resistance intensity high- lights the need to take urgent measures to prolong the efficacy of current insecticide-based interventions against An. funestus in this African region.","author":[{"dropping-particle":"","family":"Menze","given":"Benjamin D","non-dropping-particle":"","parse-names":false,"suffix":""},{"dropping-particle":"","family":"Riveron","given":"Jacob M","non-dropping-particle":"","parse-names":false,"suffix":""},{"dropping-particle":"","family":"Ibrahim","given":"Sulaiman S","non-dropping-particle":"","parse-names":false,"suffix":""},{"dropping-particle":"","family":"Irving","given":"Helen","non-dropping-particle":"","parse-names":false,"suffix":""},{"dropping-particle":"","family":"Antonio-Nkondjio","given":"Christophe","non-dropping-particle":"","parse-names":false,"suffix":""},{"dropping-particle":"","family":"Awono-Ambene","given":"Parfait H","non-dropping-particle":"","parse-names":false,"suffix":""},{"dropping-particle":"","family":"Wondji","given":"Charles S","non-dropping-particle":"","parse-names":false,"suffix":""}],"container-title":"PLoS ONE","id":"ITEM-2","issue":"10","issued":{"date-parts":[["2016"]]},"page":"1-14","title":"Multiple Insecticide Resistance in the Malaria Vector Anopheles funestus from Northern Cameroon Is Mediated by Metabolic Resistance Alongside Potential Target Site Insensitivity Mutations","type":"article-journal","volume":"11"},"uris":["http://www.mendeley.com/documents/?uuid=39f9c38d-4162-4f2c-b94a-6af3028c10b4","http://www.mendeley.com/documents/?uuid=ee7998a1-4ce0-4738-ae2f-355c591e6d68","http://www.mendeley.com/documents/?uuid=f07249ed-c5ae-4578-89c3-123fdf3ee379"]}],"mendeley":{"formattedCitation":"[5,6]","manualFormatting":"[5, 6]","plainTextFormattedCitation":"[5,6]","previouslyFormattedCitation":"(5,6)"},"properties":{"noteIndex":0},"schema":"https://github.com/citation-style-language/schema/raw/master/csl-citation.json"}</w:instrText>
      </w:r>
      <w:r w:rsidRPr="00CD231A">
        <w:rPr>
          <w:rFonts w:ascii="Times New Roman" w:hAnsi="Times New Roman" w:cs="Times New Roman"/>
        </w:rPr>
        <w:fldChar w:fldCharType="separate"/>
      </w:r>
      <w:r w:rsidRPr="00CD231A">
        <w:rPr>
          <w:rFonts w:ascii="Times New Roman" w:hAnsi="Times New Roman" w:cs="Times New Roman"/>
          <w:noProof/>
        </w:rPr>
        <w:t>[5, 6]</w:t>
      </w:r>
      <w:r w:rsidRPr="00CD231A">
        <w:rPr>
          <w:rFonts w:ascii="Times New Roman" w:hAnsi="Times New Roman" w:cs="Times New Roman"/>
        </w:rPr>
        <w:fldChar w:fldCharType="end"/>
      </w:r>
      <w:r w:rsidRPr="00CD231A">
        <w:rPr>
          <w:rFonts w:ascii="Times New Roman" w:hAnsi="Times New Roman" w:cs="Times New Roman"/>
        </w:rPr>
        <w:t>.</w:t>
      </w:r>
    </w:p>
    <w:p w14:paraId="49DEF10E" w14:textId="06A40EA1"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rPr>
      </w:pPr>
    </w:p>
    <w:p w14:paraId="5ED1DB6D" w14:textId="77777777" w:rsidR="00066302" w:rsidRPr="00CD231A" w:rsidRDefault="00066302" w:rsidP="00BF5696">
      <w:pPr>
        <w:widowControl w:val="0"/>
        <w:autoSpaceDE w:val="0"/>
        <w:autoSpaceDN w:val="0"/>
        <w:adjustRightInd w:val="0"/>
        <w:spacing w:after="240" w:line="480" w:lineRule="auto"/>
        <w:jc w:val="both"/>
        <w:rPr>
          <w:rFonts w:ascii="Times New Roman" w:hAnsi="Times New Roman" w:cs="Times New Roman"/>
          <w:b/>
        </w:rPr>
      </w:pPr>
    </w:p>
    <w:p w14:paraId="08D28C4B" w14:textId="7777777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rPr>
      </w:pPr>
      <w:r w:rsidRPr="00CD231A">
        <w:rPr>
          <w:rFonts w:ascii="Times New Roman" w:hAnsi="Times New Roman" w:cs="Times New Roman"/>
          <w:b/>
        </w:rPr>
        <w:t>Conclusions</w:t>
      </w:r>
    </w:p>
    <w:p w14:paraId="105CC36F" w14:textId="57CDFEC7"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rPr>
      </w:pPr>
      <w:r w:rsidRPr="00CD231A">
        <w:rPr>
          <w:rFonts w:ascii="Times New Roman" w:hAnsi="Times New Roman" w:cs="Times New Roman"/>
        </w:rPr>
        <w:t>This study, which is</w:t>
      </w:r>
      <w:r w:rsidR="00345E0E" w:rsidRPr="00CD231A">
        <w:rPr>
          <w:rFonts w:ascii="Times New Roman" w:hAnsi="Times New Roman" w:cs="Times New Roman"/>
        </w:rPr>
        <w:t>, to our knowledge,</w:t>
      </w:r>
      <w:r w:rsidRPr="00CD231A">
        <w:rPr>
          <w:rFonts w:ascii="Times New Roman" w:hAnsi="Times New Roman" w:cs="Times New Roman"/>
        </w:rPr>
        <w:t xml:space="preserve"> the first to depict the molecular basis of </w:t>
      </w:r>
      <w:r w:rsidRPr="00CD231A">
        <w:rPr>
          <w:rFonts w:ascii="Times New Roman" w:hAnsi="Times New Roman" w:cs="Times New Roman"/>
          <w:i/>
        </w:rPr>
        <w:t>Anopheles funestus sensu stricto</w:t>
      </w:r>
      <w:r w:rsidRPr="00CD231A">
        <w:rPr>
          <w:rFonts w:ascii="Times New Roman" w:hAnsi="Times New Roman" w:cs="Times New Roman"/>
        </w:rPr>
        <w:t xml:space="preserve"> in Nigeria, highlights the vital role of </w:t>
      </w:r>
      <w:r w:rsidRPr="00CD231A">
        <w:rPr>
          <w:rFonts w:ascii="Times New Roman" w:hAnsi="Times New Roman" w:cs="Times New Roman"/>
          <w:i/>
        </w:rPr>
        <w:t>GSTe2</w:t>
      </w:r>
      <w:r w:rsidRPr="00CD231A">
        <w:rPr>
          <w:rFonts w:ascii="Times New Roman" w:hAnsi="Times New Roman" w:cs="Times New Roman"/>
        </w:rPr>
        <w:t xml:space="preserve"> in permethrin, DDT and dieldrin resistance. The roles played by the cytochrome P450s were also depicted in the multiple metabolic strategies adopted by this mosquito population. In reality, the P450 genes including the carboxylesterase would have acted on toxic insecticides and make them water-soluble before activating the phase II genes (</w:t>
      </w:r>
      <w:r w:rsidRPr="00CD231A">
        <w:rPr>
          <w:rFonts w:ascii="Times New Roman" w:hAnsi="Times New Roman" w:cs="Times New Roman"/>
          <w:i/>
        </w:rPr>
        <w:t>GSTe2</w:t>
      </w:r>
      <w:r w:rsidRPr="00CD231A">
        <w:rPr>
          <w:rFonts w:ascii="Times New Roman" w:hAnsi="Times New Roman" w:cs="Times New Roman"/>
        </w:rPr>
        <w:t xml:space="preserve">) to completely render the resulting metabolites harmless. However, </w:t>
      </w:r>
      <w:r w:rsidR="00345E0E" w:rsidRPr="00CD231A">
        <w:rPr>
          <w:rFonts w:ascii="Times New Roman" w:hAnsi="Times New Roman" w:cs="Times New Roman"/>
        </w:rPr>
        <w:t>further</w:t>
      </w:r>
      <w:r w:rsidRPr="00CD231A">
        <w:rPr>
          <w:rFonts w:ascii="Times New Roman" w:hAnsi="Times New Roman" w:cs="Times New Roman"/>
        </w:rPr>
        <w:t xml:space="preserve"> investigations including functional assays will help to ascertain the definite roles of these genes in permethrin and DDT resistance. Reduced insecticide penetration into the mosquito through cuticle thickening could also be in operation and contributed greatly to permethrin and DDT resistance of </w:t>
      </w:r>
      <w:r w:rsidR="00345E0E" w:rsidRPr="00CD231A">
        <w:rPr>
          <w:rFonts w:ascii="Times New Roman" w:hAnsi="Times New Roman" w:cs="Times New Roman"/>
        </w:rPr>
        <w:t xml:space="preserve">the </w:t>
      </w:r>
      <w:r w:rsidRPr="00CD231A">
        <w:rPr>
          <w:rFonts w:ascii="Times New Roman" w:hAnsi="Times New Roman" w:cs="Times New Roman"/>
          <w:i/>
        </w:rPr>
        <w:t xml:space="preserve">An. funestus </w:t>
      </w:r>
      <w:r w:rsidRPr="00CD231A">
        <w:rPr>
          <w:rFonts w:ascii="Times New Roman" w:hAnsi="Times New Roman" w:cs="Times New Roman"/>
          <w:iCs/>
        </w:rPr>
        <w:t>population</w:t>
      </w:r>
      <w:r w:rsidRPr="00CD231A">
        <w:rPr>
          <w:rFonts w:ascii="Times New Roman" w:hAnsi="Times New Roman" w:cs="Times New Roman"/>
        </w:rPr>
        <w:t xml:space="preserve">, which also requires further validation through identifying specific cuticle proteins playing this role in resistant mosquitoes. The resistance mechanisms identified in this mosquito species seems to be peculiar to this mosquito population, so there is need to focus investigations of </w:t>
      </w:r>
      <w:r w:rsidRPr="00CD231A">
        <w:rPr>
          <w:rFonts w:ascii="Times New Roman" w:hAnsi="Times New Roman" w:cs="Times New Roman"/>
          <w:i/>
          <w:iCs/>
        </w:rPr>
        <w:t>An</w:t>
      </w:r>
      <w:r w:rsidR="00345E0E" w:rsidRPr="00CD231A">
        <w:rPr>
          <w:rFonts w:ascii="Times New Roman" w:hAnsi="Times New Roman" w:cs="Times New Roman"/>
          <w:i/>
          <w:iCs/>
        </w:rPr>
        <w:t>.</w:t>
      </w:r>
      <w:r w:rsidRPr="00CD231A">
        <w:rPr>
          <w:rFonts w:ascii="Times New Roman" w:hAnsi="Times New Roman" w:cs="Times New Roman"/>
          <w:i/>
          <w:iCs/>
        </w:rPr>
        <w:t xml:space="preserve"> funestus </w:t>
      </w:r>
      <w:r w:rsidRPr="00CD231A">
        <w:rPr>
          <w:rFonts w:ascii="Times New Roman" w:hAnsi="Times New Roman" w:cs="Times New Roman"/>
        </w:rPr>
        <w:t>populations per region for suitable improvements of insecticide-based malaria control interventions. Exploring other factors that could potentially contribute to insecticide resistance development in mosquito vectors is also very important at this point that insecticide-resistant mosquitoes are rapidly spreading in Africa.</w:t>
      </w:r>
    </w:p>
    <w:p w14:paraId="3357763C" w14:textId="33DBD37E" w:rsidR="00712FFC" w:rsidRPr="00CD231A" w:rsidRDefault="00712FFC" w:rsidP="00BF5696">
      <w:pPr>
        <w:widowControl w:val="0"/>
        <w:autoSpaceDE w:val="0"/>
        <w:autoSpaceDN w:val="0"/>
        <w:adjustRightInd w:val="0"/>
        <w:spacing w:after="240" w:line="480" w:lineRule="auto"/>
        <w:jc w:val="both"/>
        <w:rPr>
          <w:rFonts w:ascii="Times New Roman" w:hAnsi="Times New Roman" w:cs="Times New Roman"/>
          <w:b/>
          <w:bCs/>
        </w:rPr>
      </w:pPr>
    </w:p>
    <w:p w14:paraId="134D5C06" w14:textId="77777777" w:rsidR="00066302" w:rsidRPr="00CD231A" w:rsidRDefault="00066302" w:rsidP="00BF5696">
      <w:pPr>
        <w:widowControl w:val="0"/>
        <w:autoSpaceDE w:val="0"/>
        <w:autoSpaceDN w:val="0"/>
        <w:adjustRightInd w:val="0"/>
        <w:spacing w:after="240" w:line="480" w:lineRule="auto"/>
        <w:jc w:val="both"/>
        <w:rPr>
          <w:rFonts w:ascii="Times New Roman" w:hAnsi="Times New Roman" w:cs="Times New Roman"/>
          <w:b/>
          <w:bCs/>
        </w:rPr>
      </w:pPr>
    </w:p>
    <w:p w14:paraId="51C236EA" w14:textId="6BBC56B6" w:rsidR="00BF5696" w:rsidRPr="00CD231A" w:rsidRDefault="00BF5696" w:rsidP="00BF5696">
      <w:pPr>
        <w:widowControl w:val="0"/>
        <w:autoSpaceDE w:val="0"/>
        <w:autoSpaceDN w:val="0"/>
        <w:adjustRightInd w:val="0"/>
        <w:spacing w:after="240" w:line="480" w:lineRule="auto"/>
        <w:jc w:val="both"/>
        <w:rPr>
          <w:rFonts w:ascii="Times New Roman" w:hAnsi="Times New Roman" w:cs="Times New Roman"/>
          <w:b/>
          <w:bCs/>
        </w:rPr>
      </w:pPr>
      <w:r w:rsidRPr="00CD231A">
        <w:rPr>
          <w:rFonts w:ascii="Times New Roman" w:hAnsi="Times New Roman" w:cs="Times New Roman"/>
          <w:b/>
          <w:bCs/>
        </w:rPr>
        <w:t>Abbreviations</w:t>
      </w:r>
    </w:p>
    <w:p w14:paraId="0389C56D" w14:textId="529B1F91" w:rsidR="00345E0E" w:rsidRPr="00CD231A" w:rsidRDefault="00345E0E" w:rsidP="00345E0E">
      <w:pPr>
        <w:spacing w:line="480" w:lineRule="auto"/>
        <w:jc w:val="both"/>
        <w:rPr>
          <w:rFonts w:ascii="Times New Roman" w:hAnsi="Times New Roman" w:cs="Times New Roman"/>
          <w:bCs/>
          <w:lang w:val="en-GB"/>
        </w:rPr>
      </w:pPr>
      <w:r w:rsidRPr="00CD231A">
        <w:rPr>
          <w:rFonts w:ascii="Times New Roman" w:hAnsi="Times New Roman" w:cs="Times New Roman"/>
          <w:bCs/>
          <w:lang w:val="en-GB"/>
        </w:rPr>
        <w:lastRenderedPageBreak/>
        <w:t xml:space="preserve">GST: gluathione S-transferase; DDT: dichlorodiphenyltrichloroethane; ITNs: insecticide-treated nets; IRS: indoor residual spraying; P450: cytochrome P450 genes; VGSC: voltage-gated sodium channel; </w:t>
      </w:r>
      <w:r w:rsidRPr="00CD231A">
        <w:rPr>
          <w:rFonts w:ascii="Times New Roman" w:hAnsi="Times New Roman" w:cs="Times New Roman"/>
          <w:bCs/>
          <w:i/>
          <w:iCs/>
          <w:lang w:val="en-GB"/>
        </w:rPr>
        <w:t>kdr</w:t>
      </w:r>
      <w:r w:rsidRPr="00CD231A">
        <w:rPr>
          <w:rFonts w:ascii="Times New Roman" w:hAnsi="Times New Roman" w:cs="Times New Roman"/>
          <w:bCs/>
          <w:lang w:val="en-GB"/>
        </w:rPr>
        <w:t>: knockdown resistance; RT-PCR: reverse transcriptase polymerase chain reactions; LSTM: Liverpool School of Tropical Medicine; DEF: S,S,S-tributylphosphorotrithioate; DEM: diethyl maleate; ESTs: expressed sequence tags; DNA: deoxyribonucleic acid; cDNA: complementary deoxyribonucleic acid; RNA: ribonucleic acid; Rperm: permethrin-resistant; R</w:t>
      </w:r>
      <w:r w:rsidRPr="00CD231A">
        <w:rPr>
          <w:rFonts w:ascii="Times New Roman" w:hAnsi="Times New Roman" w:cs="Times New Roman"/>
          <w:bCs/>
          <w:vertAlign w:val="subscript"/>
          <w:lang w:val="en-GB"/>
        </w:rPr>
        <w:t>DDT</w:t>
      </w:r>
      <w:r w:rsidRPr="00CD231A">
        <w:rPr>
          <w:rFonts w:ascii="Times New Roman" w:hAnsi="Times New Roman" w:cs="Times New Roman"/>
          <w:bCs/>
          <w:lang w:val="en-GB"/>
        </w:rPr>
        <w:t xml:space="preserve">: DDT-resistant; C: control; FANG/S: fully susceptible strain of </w:t>
      </w:r>
      <w:r w:rsidRPr="00CD231A">
        <w:rPr>
          <w:rFonts w:ascii="Times New Roman" w:hAnsi="Times New Roman" w:cs="Times New Roman"/>
          <w:bCs/>
          <w:i/>
          <w:iCs/>
          <w:lang w:val="en-GB"/>
        </w:rPr>
        <w:t>An. funestus</w:t>
      </w:r>
      <w:r w:rsidRPr="00CD231A">
        <w:rPr>
          <w:rFonts w:ascii="Times New Roman" w:hAnsi="Times New Roman" w:cs="Times New Roman"/>
          <w:bCs/>
          <w:lang w:val="en-GB"/>
        </w:rPr>
        <w:t xml:space="preserve"> mosquito; FC: fold change; </w:t>
      </w:r>
      <w:r w:rsidRPr="00CD231A">
        <w:rPr>
          <w:rFonts w:ascii="Times New Roman" w:hAnsi="Times New Roman" w:cs="Times New Roman"/>
          <w:bCs/>
          <w:i/>
          <w:iCs/>
          <w:lang w:val="en-GB"/>
        </w:rPr>
        <w:t>Ald oxi</w:t>
      </w:r>
      <w:r w:rsidRPr="00CD231A">
        <w:rPr>
          <w:rFonts w:ascii="Times New Roman" w:hAnsi="Times New Roman" w:cs="Times New Roman"/>
          <w:bCs/>
          <w:lang w:val="en-GB"/>
        </w:rPr>
        <w:t>: aldehyde oxidase; cRNA: complementary ribonucleic acid; NJ: Neighbour-Joining; ML: Maximum Likelihood; PBO: piperonyl butoxide</w:t>
      </w:r>
    </w:p>
    <w:p w14:paraId="058107C4" w14:textId="77777777" w:rsidR="00345E0E" w:rsidRPr="00CD231A" w:rsidRDefault="00345E0E" w:rsidP="00B02F12">
      <w:pPr>
        <w:spacing w:line="480" w:lineRule="auto"/>
        <w:jc w:val="both"/>
        <w:rPr>
          <w:rFonts w:ascii="Times New Roman" w:hAnsi="Times New Roman" w:cs="Times New Roman"/>
          <w:bCs/>
          <w:lang w:val="en-GB"/>
        </w:rPr>
      </w:pPr>
    </w:p>
    <w:p w14:paraId="682D8EFA" w14:textId="77777777" w:rsidR="00BF5696" w:rsidRPr="00CD231A" w:rsidRDefault="00BF5696" w:rsidP="00BF5696">
      <w:pPr>
        <w:spacing w:line="480" w:lineRule="auto"/>
        <w:jc w:val="both"/>
        <w:rPr>
          <w:rFonts w:ascii="Times New Roman" w:hAnsi="Times New Roman" w:cs="Times New Roman"/>
          <w:b/>
          <w:lang w:val="en-GB"/>
        </w:rPr>
      </w:pPr>
    </w:p>
    <w:p w14:paraId="36D2EFF4" w14:textId="77777777" w:rsidR="00BF5696" w:rsidRPr="00CD231A" w:rsidRDefault="00BF5696" w:rsidP="00BF5696">
      <w:pPr>
        <w:spacing w:line="480" w:lineRule="auto"/>
        <w:jc w:val="both"/>
        <w:rPr>
          <w:rFonts w:ascii="Times New Roman" w:hAnsi="Times New Roman" w:cs="Times New Roman"/>
          <w:b/>
          <w:lang w:val="en-GB"/>
        </w:rPr>
      </w:pPr>
      <w:r w:rsidRPr="00CD231A">
        <w:rPr>
          <w:rFonts w:ascii="Times New Roman" w:hAnsi="Times New Roman" w:cs="Times New Roman"/>
          <w:b/>
          <w:lang w:val="en-GB"/>
        </w:rPr>
        <w:t>Acknowledgements</w:t>
      </w:r>
    </w:p>
    <w:p w14:paraId="554C2307" w14:textId="77777777" w:rsidR="00BF5696" w:rsidRPr="00CD231A" w:rsidRDefault="00BF5696" w:rsidP="00BF5696">
      <w:pPr>
        <w:autoSpaceDE w:val="0"/>
        <w:autoSpaceDN w:val="0"/>
        <w:adjustRightInd w:val="0"/>
        <w:spacing w:line="480" w:lineRule="auto"/>
        <w:jc w:val="both"/>
        <w:rPr>
          <w:rFonts w:ascii="Times New Roman" w:hAnsi="Times New Roman" w:cs="Times New Roman"/>
          <w:lang w:val="en-GB"/>
        </w:rPr>
      </w:pPr>
      <w:r w:rsidRPr="00CD231A">
        <w:rPr>
          <w:rFonts w:ascii="Times New Roman" w:hAnsi="Times New Roman" w:cs="Times New Roman"/>
          <w:lang w:val="en-GB"/>
        </w:rPr>
        <w:t xml:space="preserve">We appreciate the residents of Akaka-Remo and the staff/management of the community health centre for their selfless support during fieldwork, especially Mr Tunde that helped with mosquito collection throughout the study. We thank Claude Gande and Murielle Soglo for their technical involvements in the study. </w:t>
      </w:r>
      <w:r w:rsidRPr="00CD231A">
        <w:rPr>
          <w:rFonts w:ascii="Times New Roman" w:hAnsi="Times New Roman" w:cs="Times New Roman"/>
          <w:color w:val="222222"/>
          <w:shd w:val="clear" w:color="auto" w:fill="FFFFFF"/>
        </w:rPr>
        <w:t>We also acknowledge Bernard Bett, Jo Lines, Jeff Waage of the Fp5-A4NH and Nafomon Sogoba of the Faculté de Médecine et d’Odontostomatologie (FMOS), Bamako, Mali. for their support</w:t>
      </w:r>
      <w:r w:rsidRPr="00CD231A">
        <w:rPr>
          <w:rFonts w:ascii="Times New Roman" w:eastAsiaTheme="minorHAnsi" w:hAnsi="Times New Roman" w:cs="Times New Roman"/>
        </w:rPr>
        <w:t xml:space="preserve">. </w:t>
      </w:r>
    </w:p>
    <w:p w14:paraId="64E8B701" w14:textId="77777777" w:rsidR="00BF5696" w:rsidRPr="00CD231A" w:rsidRDefault="00BF5696" w:rsidP="00BF5696">
      <w:pPr>
        <w:spacing w:line="480" w:lineRule="auto"/>
        <w:rPr>
          <w:rFonts w:ascii="Times New Roman" w:hAnsi="Times New Roman" w:cs="Times New Roman"/>
          <w:b/>
          <w:lang w:val="en-GB"/>
        </w:rPr>
      </w:pPr>
    </w:p>
    <w:p w14:paraId="4EC19E0B"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b/>
          <w:lang w:val="en-GB"/>
        </w:rPr>
        <w:t>Ethical approval and consent to participate</w:t>
      </w:r>
    </w:p>
    <w:p w14:paraId="74D8EF6C" w14:textId="2416E2C2"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lang w:val="en-GB"/>
        </w:rPr>
        <w:t>Not applicable</w:t>
      </w:r>
      <w:r w:rsidR="00345E0E" w:rsidRPr="00CD231A">
        <w:rPr>
          <w:rFonts w:ascii="Times New Roman" w:hAnsi="Times New Roman" w:cs="Times New Roman"/>
          <w:lang w:val="en-GB"/>
        </w:rPr>
        <w:t>.</w:t>
      </w:r>
    </w:p>
    <w:p w14:paraId="416603DC" w14:textId="77777777" w:rsidR="00BF5696" w:rsidRPr="00CD231A" w:rsidRDefault="00BF5696" w:rsidP="00BF5696">
      <w:pPr>
        <w:spacing w:line="480" w:lineRule="auto"/>
        <w:rPr>
          <w:rFonts w:ascii="Times New Roman" w:hAnsi="Times New Roman" w:cs="Times New Roman"/>
          <w:b/>
          <w:lang w:val="en-GB"/>
        </w:rPr>
      </w:pPr>
    </w:p>
    <w:p w14:paraId="01AEF20E"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b/>
          <w:lang w:val="en-GB"/>
        </w:rPr>
        <w:t>Consent for publication</w:t>
      </w:r>
    </w:p>
    <w:p w14:paraId="2F88C27A" w14:textId="1D05E13B" w:rsidR="00BF5696" w:rsidRPr="00CD231A" w:rsidRDefault="00BF5696" w:rsidP="00BF5696">
      <w:pPr>
        <w:spacing w:line="480" w:lineRule="auto"/>
        <w:rPr>
          <w:rFonts w:ascii="Times New Roman" w:hAnsi="Times New Roman" w:cs="Times New Roman"/>
          <w:bCs/>
          <w:lang w:val="en-GB"/>
        </w:rPr>
      </w:pPr>
      <w:r w:rsidRPr="00CD231A">
        <w:rPr>
          <w:rFonts w:ascii="Times New Roman" w:hAnsi="Times New Roman" w:cs="Times New Roman"/>
          <w:bCs/>
          <w:lang w:val="en-GB"/>
        </w:rPr>
        <w:lastRenderedPageBreak/>
        <w:t>Not applicable</w:t>
      </w:r>
      <w:r w:rsidR="00345E0E" w:rsidRPr="00CD231A">
        <w:rPr>
          <w:rFonts w:ascii="Times New Roman" w:hAnsi="Times New Roman" w:cs="Times New Roman"/>
          <w:bCs/>
          <w:lang w:val="en-GB"/>
        </w:rPr>
        <w:t>.</w:t>
      </w:r>
    </w:p>
    <w:p w14:paraId="2C998F6D" w14:textId="77777777" w:rsidR="00BF5696" w:rsidRPr="00CD231A" w:rsidRDefault="00BF5696" w:rsidP="00BF5696">
      <w:pPr>
        <w:spacing w:line="480" w:lineRule="auto"/>
        <w:rPr>
          <w:rFonts w:ascii="Times New Roman" w:hAnsi="Times New Roman" w:cs="Times New Roman"/>
          <w:b/>
          <w:lang w:val="en-GB"/>
        </w:rPr>
      </w:pPr>
    </w:p>
    <w:p w14:paraId="1A200F8F"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b/>
          <w:lang w:val="en-GB"/>
        </w:rPr>
        <w:t>Availability of data and materials</w:t>
      </w:r>
    </w:p>
    <w:p w14:paraId="5B0194F3" w14:textId="059E431E" w:rsidR="00BF5696" w:rsidRPr="00CD231A" w:rsidRDefault="00BF5696" w:rsidP="00BF5696">
      <w:pPr>
        <w:spacing w:line="480" w:lineRule="auto"/>
        <w:jc w:val="both"/>
        <w:rPr>
          <w:rFonts w:ascii="Times New Roman" w:hAnsi="Times New Roman" w:cs="Times New Roman"/>
          <w:lang w:val="en-GB"/>
        </w:rPr>
      </w:pPr>
      <w:r w:rsidRPr="00CD231A">
        <w:rPr>
          <w:rFonts w:ascii="Times New Roman" w:hAnsi="Times New Roman" w:cs="Times New Roman"/>
          <w:lang w:val="en-GB"/>
        </w:rPr>
        <w:t>The data set</w:t>
      </w:r>
      <w:r w:rsidR="00345E0E" w:rsidRPr="00CD231A">
        <w:rPr>
          <w:rFonts w:ascii="Times New Roman" w:hAnsi="Times New Roman" w:cs="Times New Roman"/>
          <w:lang w:val="en-GB"/>
        </w:rPr>
        <w:t>s</w:t>
      </w:r>
      <w:r w:rsidRPr="00CD231A">
        <w:rPr>
          <w:rFonts w:ascii="Times New Roman" w:hAnsi="Times New Roman" w:cs="Times New Roman"/>
          <w:lang w:val="en-GB"/>
        </w:rPr>
        <w:t xml:space="preserve"> supporting the findings herein are included in the article. The DNA data have been deposited in the National Center for Biotechnology Information (NCBI) with the following accession numbers: </w:t>
      </w:r>
      <w:r w:rsidRPr="00CD231A">
        <w:rPr>
          <w:rFonts w:ascii="Times New Roman" w:hAnsi="Times New Roman" w:cs="Times New Roman"/>
          <w:color w:val="222222"/>
          <w:shd w:val="clear" w:color="auto" w:fill="FFFFFF"/>
        </w:rPr>
        <w:t>MT731748, MT731749, MT731750, MT731751, MT731752.</w:t>
      </w:r>
      <w:r w:rsidRPr="00CD231A">
        <w:rPr>
          <w:rFonts w:ascii="Times New Roman" w:hAnsi="Times New Roman" w:cs="Times New Roman"/>
          <w:lang w:val="en-GB"/>
        </w:rPr>
        <w:t xml:space="preserve"> </w:t>
      </w:r>
    </w:p>
    <w:p w14:paraId="66BC0A5D" w14:textId="77777777" w:rsidR="00BF5696" w:rsidRPr="00CD231A" w:rsidRDefault="00BF5696" w:rsidP="00BF5696">
      <w:pPr>
        <w:spacing w:line="480" w:lineRule="auto"/>
        <w:rPr>
          <w:rFonts w:ascii="Times New Roman" w:hAnsi="Times New Roman" w:cs="Times New Roman"/>
          <w:b/>
          <w:lang w:val="en-GB"/>
        </w:rPr>
      </w:pPr>
    </w:p>
    <w:p w14:paraId="56E674B0"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b/>
          <w:lang w:val="en-GB"/>
        </w:rPr>
        <w:t>Competing interests</w:t>
      </w:r>
    </w:p>
    <w:p w14:paraId="62177B26"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lang w:val="en-GB"/>
        </w:rPr>
        <w:t>The authors declare that they have no competing interests.</w:t>
      </w:r>
    </w:p>
    <w:p w14:paraId="39DC3A45" w14:textId="77777777" w:rsidR="00BF5696" w:rsidRPr="00CD231A" w:rsidRDefault="00BF5696" w:rsidP="00BF5696">
      <w:pPr>
        <w:spacing w:line="480" w:lineRule="auto"/>
        <w:rPr>
          <w:rFonts w:ascii="Times New Roman" w:hAnsi="Times New Roman" w:cs="Times New Roman"/>
          <w:b/>
          <w:lang w:val="en-GB"/>
        </w:rPr>
      </w:pPr>
    </w:p>
    <w:p w14:paraId="50B43E42" w14:textId="77777777" w:rsidR="00BF5696" w:rsidRPr="00CD231A" w:rsidRDefault="00BF5696" w:rsidP="00BF5696">
      <w:pPr>
        <w:spacing w:line="480" w:lineRule="auto"/>
        <w:rPr>
          <w:rFonts w:ascii="Times New Roman" w:hAnsi="Times New Roman" w:cs="Times New Roman"/>
          <w:b/>
          <w:lang w:val="en-GB"/>
        </w:rPr>
      </w:pPr>
      <w:r w:rsidRPr="00CD231A">
        <w:rPr>
          <w:rFonts w:ascii="Times New Roman" w:hAnsi="Times New Roman" w:cs="Times New Roman"/>
          <w:b/>
          <w:lang w:val="en-GB"/>
        </w:rPr>
        <w:t>Funding</w:t>
      </w:r>
    </w:p>
    <w:p w14:paraId="06CCB7D0" w14:textId="06E5EB4F" w:rsidR="00BF5696" w:rsidRPr="00CD231A" w:rsidRDefault="00BF5696" w:rsidP="00462A45">
      <w:pPr>
        <w:spacing w:line="480" w:lineRule="auto"/>
        <w:jc w:val="both"/>
        <w:rPr>
          <w:rFonts w:ascii="Times New Roman" w:hAnsi="Times New Roman" w:cs="Times New Roman"/>
          <w:lang w:val="en-GB"/>
        </w:rPr>
      </w:pPr>
      <w:r w:rsidRPr="00CD231A">
        <w:rPr>
          <w:rFonts w:ascii="Times New Roman" w:hAnsi="Times New Roman" w:cs="Times New Roman"/>
          <w:lang w:val="en-GB"/>
        </w:rPr>
        <w:t xml:space="preserve">This work was mainly funded with the Wellcome Trust grants </w:t>
      </w:r>
      <w:r w:rsidR="00345E0E" w:rsidRPr="00CD231A">
        <w:rPr>
          <w:rFonts w:ascii="Times New Roman" w:hAnsi="Times New Roman" w:cs="Times New Roman"/>
          <w:lang w:val="en-GB"/>
        </w:rPr>
        <w:t>(</w:t>
      </w:r>
      <w:r w:rsidRPr="00CD231A">
        <w:rPr>
          <w:rFonts w:ascii="Times New Roman" w:hAnsi="Times New Roman" w:cs="Times New Roman"/>
          <w:lang w:val="en-GB"/>
        </w:rPr>
        <w:t xml:space="preserve">Ref: 099864/Z/12/Z and </w:t>
      </w:r>
      <w:r w:rsidRPr="00CD231A">
        <w:rPr>
          <w:rFonts w:ascii="Times New Roman" w:eastAsiaTheme="minorHAnsi" w:hAnsi="Times New Roman" w:cs="Times New Roman"/>
          <w:lang w:val="en-GB"/>
        </w:rPr>
        <w:t>214201/Z/18/Z</w:t>
      </w:r>
      <w:r w:rsidR="00345E0E" w:rsidRPr="00CD231A">
        <w:rPr>
          <w:rFonts w:ascii="Times New Roman" w:hAnsi="Times New Roman" w:cs="Times New Roman"/>
          <w:lang w:val="en-GB"/>
        </w:rPr>
        <w:t>)</w:t>
      </w:r>
      <w:r w:rsidRPr="00CD231A">
        <w:rPr>
          <w:rFonts w:ascii="Times New Roman" w:hAnsi="Times New Roman" w:cs="Times New Roman"/>
          <w:lang w:val="en-GB"/>
        </w:rPr>
        <w:t xml:space="preserve"> awarded to RD and the Wellcome Trust Senior Research Fellowship in Biomedical Sciences awarded to CSW (101893/Z/13/Z). It also received support from the World Health Organization-Tropical Diseases Research (WHO-TDR) grant [B20388] and </w:t>
      </w:r>
      <w:r w:rsidRPr="00CD231A">
        <w:rPr>
          <w:rFonts w:ascii="Times New Roman" w:eastAsiaTheme="minorHAnsi" w:hAnsi="Times New Roman" w:cs="Times New Roman"/>
        </w:rPr>
        <w:t>the Fp5-A4NH programme of the CGIAR.</w:t>
      </w:r>
      <w:r w:rsidRPr="00CD231A">
        <w:rPr>
          <w:rFonts w:ascii="Times New Roman" w:hAnsi="Times New Roman" w:cs="Times New Roman"/>
          <w:lang w:val="en-GB"/>
        </w:rPr>
        <w:t xml:space="preserve"> Wellcome Trust, WHO and A4NH/CGIAR did not play a role in the design of the study, collection, analysis and interpretation of data as well as the writing of the manuscript</w:t>
      </w:r>
      <w:r w:rsidRPr="00CD231A">
        <w:rPr>
          <w:rFonts w:ascii="Times New Roman" w:hAnsi="Times New Roman" w:cs="Times New Roman"/>
          <w:color w:val="222222"/>
          <w:shd w:val="clear" w:color="auto" w:fill="FFFFFF"/>
        </w:rPr>
        <w:t>.</w:t>
      </w:r>
      <w:r w:rsidRPr="00CD231A">
        <w:rPr>
          <w:rFonts w:ascii="Times New Roman" w:eastAsiaTheme="minorHAnsi" w:hAnsi="Times New Roman" w:cs="Times New Roman"/>
        </w:rPr>
        <w:t xml:space="preserve"> </w:t>
      </w:r>
    </w:p>
    <w:p w14:paraId="76B45D8F" w14:textId="77777777" w:rsidR="00BF5696" w:rsidRPr="00CD231A" w:rsidRDefault="00BF5696" w:rsidP="00BF5696">
      <w:pPr>
        <w:spacing w:line="480" w:lineRule="auto"/>
        <w:jc w:val="both"/>
        <w:rPr>
          <w:rFonts w:ascii="Times New Roman" w:hAnsi="Times New Roman" w:cs="Times New Roman"/>
          <w:b/>
          <w:lang w:val="en-GB"/>
        </w:rPr>
      </w:pPr>
    </w:p>
    <w:p w14:paraId="00761D3B" w14:textId="3D80E9C6" w:rsidR="00BF5696" w:rsidRPr="00CD231A" w:rsidRDefault="00BF5696" w:rsidP="00BF5696">
      <w:pPr>
        <w:spacing w:line="480" w:lineRule="auto"/>
        <w:jc w:val="both"/>
        <w:rPr>
          <w:rFonts w:ascii="Times New Roman" w:hAnsi="Times New Roman" w:cs="Times New Roman"/>
          <w:b/>
          <w:lang w:val="en-GB"/>
        </w:rPr>
      </w:pPr>
      <w:r w:rsidRPr="00CD231A">
        <w:rPr>
          <w:rFonts w:ascii="Times New Roman" w:hAnsi="Times New Roman" w:cs="Times New Roman"/>
          <w:b/>
          <w:lang w:val="en-GB"/>
        </w:rPr>
        <w:t>Authors’ contribution</w:t>
      </w:r>
      <w:r w:rsidR="00345E0E" w:rsidRPr="00CD231A">
        <w:rPr>
          <w:rFonts w:ascii="Times New Roman" w:hAnsi="Times New Roman" w:cs="Times New Roman"/>
          <w:b/>
          <w:lang w:val="en-GB"/>
        </w:rPr>
        <w:t>s</w:t>
      </w:r>
    </w:p>
    <w:p w14:paraId="4E4C11A9" w14:textId="159533FD" w:rsidR="00BF5696" w:rsidRPr="00CD231A" w:rsidRDefault="00BF5696" w:rsidP="00BF5696">
      <w:pPr>
        <w:spacing w:line="480" w:lineRule="auto"/>
        <w:jc w:val="both"/>
        <w:rPr>
          <w:rFonts w:ascii="Times New Roman" w:hAnsi="Times New Roman" w:cs="Times New Roman"/>
          <w:lang w:val="en-GB"/>
        </w:rPr>
      </w:pPr>
      <w:r w:rsidRPr="00CD231A">
        <w:rPr>
          <w:rFonts w:ascii="Times New Roman" w:hAnsi="Times New Roman" w:cs="Times New Roman"/>
          <w:lang w:val="en-GB"/>
        </w:rPr>
        <w:t>RD and CSW designed the study; SMA, RA, ET and ID collected mosquito sample</w:t>
      </w:r>
      <w:r w:rsidR="00345E0E" w:rsidRPr="00CD231A">
        <w:rPr>
          <w:rFonts w:ascii="Times New Roman" w:hAnsi="Times New Roman" w:cs="Times New Roman"/>
          <w:lang w:val="en-GB"/>
        </w:rPr>
        <w:t>s</w:t>
      </w:r>
      <w:r w:rsidRPr="00CD231A">
        <w:rPr>
          <w:rFonts w:ascii="Times New Roman" w:hAnsi="Times New Roman" w:cs="Times New Roman"/>
          <w:lang w:val="en-GB"/>
        </w:rPr>
        <w:t xml:space="preserve">; IO assisted in the identification of study site and mosquito collections; SMA, HI and GT performed microarray, qRT-PCR and sequencing assays; GW assisted with the design of primers used for sequencing; SMA and GT analyzed data with the guidance </w:t>
      </w:r>
      <w:r w:rsidRPr="00CD231A">
        <w:rPr>
          <w:rFonts w:ascii="Times New Roman" w:hAnsi="Times New Roman" w:cs="Times New Roman"/>
          <w:lang w:val="en-GB"/>
        </w:rPr>
        <w:lastRenderedPageBreak/>
        <w:t>of GW, JR and CSW; JR and AAB gave advise on the study design and contributed to the implementation of activities; SMA wrote while RD, AAB and CSW reviewed the manuscript. All authors read and approved the final manuscript.</w:t>
      </w:r>
    </w:p>
    <w:p w14:paraId="574E6732" w14:textId="77777777" w:rsidR="00BF5696" w:rsidRPr="00CD231A" w:rsidRDefault="00BF5696" w:rsidP="00BF5696">
      <w:pPr>
        <w:spacing w:line="480" w:lineRule="auto"/>
        <w:jc w:val="both"/>
        <w:rPr>
          <w:rFonts w:ascii="Times New Roman" w:hAnsi="Times New Roman" w:cs="Times New Roman"/>
          <w:lang w:val="en-GB"/>
        </w:rPr>
      </w:pPr>
    </w:p>
    <w:p w14:paraId="5B537CC3" w14:textId="77777777" w:rsidR="00066302" w:rsidRPr="00CD231A" w:rsidRDefault="00066302" w:rsidP="00BF5696">
      <w:pPr>
        <w:spacing w:line="480" w:lineRule="auto"/>
        <w:jc w:val="both"/>
        <w:rPr>
          <w:rFonts w:ascii="Times New Roman" w:hAnsi="Times New Roman" w:cs="Times New Roman"/>
          <w:b/>
          <w:bCs/>
          <w:lang w:val="en-GB"/>
        </w:rPr>
      </w:pPr>
    </w:p>
    <w:p w14:paraId="75D9D68E" w14:textId="19CFFE17" w:rsidR="00BF5696" w:rsidRPr="00CD231A" w:rsidRDefault="00BF5696" w:rsidP="00BF5696">
      <w:pPr>
        <w:spacing w:line="480" w:lineRule="auto"/>
        <w:jc w:val="both"/>
        <w:rPr>
          <w:rFonts w:ascii="Times New Roman" w:hAnsi="Times New Roman" w:cs="Times New Roman"/>
          <w:b/>
          <w:bCs/>
          <w:lang w:val="en-GB"/>
        </w:rPr>
      </w:pPr>
      <w:r w:rsidRPr="00CD231A">
        <w:rPr>
          <w:rFonts w:ascii="Times New Roman" w:hAnsi="Times New Roman" w:cs="Times New Roman"/>
          <w:b/>
          <w:bCs/>
          <w:lang w:val="en-GB"/>
        </w:rPr>
        <w:t>Author details</w:t>
      </w:r>
    </w:p>
    <w:p w14:paraId="41090D48" w14:textId="77777777" w:rsidR="00BF5696" w:rsidRPr="00CD231A" w:rsidRDefault="00BF5696" w:rsidP="00BF5696">
      <w:pPr>
        <w:spacing w:line="480" w:lineRule="auto"/>
        <w:jc w:val="both"/>
        <w:rPr>
          <w:rFonts w:ascii="Times New Roman" w:hAnsi="Times New Roman" w:cs="Times New Roman"/>
          <w:lang w:val="en-GB"/>
        </w:rPr>
      </w:pPr>
      <w:r w:rsidRPr="00CD231A">
        <w:rPr>
          <w:rFonts w:ascii="Times New Roman" w:hAnsi="Times New Roman"/>
          <w:color w:val="1C1E29"/>
          <w:vertAlign w:val="superscript"/>
        </w:rPr>
        <w:t>1</w:t>
      </w:r>
      <w:r w:rsidRPr="00CD231A">
        <w:rPr>
          <w:rFonts w:ascii="Times New Roman" w:hAnsi="Times New Roman"/>
          <w:color w:val="1C1E29"/>
        </w:rPr>
        <w:t xml:space="preserve">International Institute of Tropical Agriculture 08 BP 0932, Cotonou, Benin. </w:t>
      </w:r>
      <w:r w:rsidRPr="00CD231A">
        <w:rPr>
          <w:rFonts w:ascii="Times New Roman" w:hAnsi="Times New Roman"/>
          <w:color w:val="1C1E29"/>
          <w:vertAlign w:val="superscript"/>
        </w:rPr>
        <w:t>2</w:t>
      </w:r>
      <w:r w:rsidRPr="00CD231A">
        <w:rPr>
          <w:rFonts w:ascii="Times New Roman" w:hAnsi="Times New Roman"/>
          <w:color w:val="1C1E29"/>
        </w:rPr>
        <w:t xml:space="preserve">Cell Biology &amp; Genetics Unit, Department of Zoology, University of Ibadan, Nigeria. </w:t>
      </w:r>
      <w:r w:rsidRPr="00CD231A">
        <w:rPr>
          <w:rFonts w:ascii="Times New Roman" w:hAnsi="Times New Roman"/>
          <w:color w:val="1C1E29"/>
          <w:vertAlign w:val="superscript"/>
        </w:rPr>
        <w:t>3</w:t>
      </w:r>
      <w:r w:rsidRPr="00CD231A">
        <w:rPr>
          <w:rFonts w:ascii="Times New Roman" w:hAnsi="Times New Roman"/>
          <w:color w:val="1C1E29"/>
        </w:rPr>
        <w:t xml:space="preserve">University of Abomey Calavi, BP 526, Cotonou, Benin. </w:t>
      </w:r>
      <w:r w:rsidRPr="00CD231A">
        <w:rPr>
          <w:rFonts w:ascii="Times New Roman" w:hAnsi="Times New Roman"/>
          <w:color w:val="1C1E29"/>
          <w:vertAlign w:val="superscript"/>
        </w:rPr>
        <w:t>4</w:t>
      </w:r>
      <w:r w:rsidRPr="00CD231A">
        <w:rPr>
          <w:rFonts w:ascii="Times New Roman" w:hAnsi="Times New Roman"/>
          <w:color w:val="1C1E29"/>
        </w:rPr>
        <w:t xml:space="preserve">Liverpool School of Tropical Medicine, Pembroke Place, Liverpool L3 5QA, UK. </w:t>
      </w:r>
      <w:r w:rsidRPr="00CD231A">
        <w:rPr>
          <w:rFonts w:ascii="Times New Roman" w:hAnsi="Times New Roman"/>
          <w:color w:val="1C1E29"/>
          <w:vertAlign w:val="superscript"/>
        </w:rPr>
        <w:t>5</w:t>
      </w:r>
      <w:r w:rsidRPr="00CD231A">
        <w:rPr>
          <w:rFonts w:ascii="Times New Roman" w:hAnsi="Times New Roman"/>
          <w:color w:val="1C1E29"/>
        </w:rPr>
        <w:t xml:space="preserve">Insecticide Bioscience Department, Syngenta, Toulouse, UK. </w:t>
      </w:r>
      <w:r w:rsidRPr="00CD231A">
        <w:rPr>
          <w:rFonts w:ascii="Times New Roman" w:hAnsi="Times New Roman"/>
          <w:color w:val="1C1E29"/>
          <w:vertAlign w:val="superscript"/>
        </w:rPr>
        <w:t>6</w:t>
      </w:r>
      <w:r w:rsidRPr="00CD231A">
        <w:rPr>
          <w:rFonts w:ascii="Times New Roman" w:hAnsi="Times New Roman"/>
          <w:color w:val="1C1E29"/>
        </w:rPr>
        <w:t xml:space="preserve">Liverpool John Moores University, Liverpool L3 3AF, U.K. </w:t>
      </w:r>
      <w:r w:rsidRPr="00CD231A">
        <w:rPr>
          <w:rFonts w:ascii="Times New Roman" w:hAnsi="Times New Roman"/>
          <w:color w:val="1C1E29"/>
          <w:vertAlign w:val="superscript"/>
        </w:rPr>
        <w:t>7</w:t>
      </w:r>
      <w:r w:rsidRPr="00CD231A">
        <w:rPr>
          <w:rFonts w:ascii="Times New Roman" w:hAnsi="Times New Roman"/>
        </w:rPr>
        <w:t xml:space="preserve">National University of Sciences, Technologies, Engineering and Mathematics, Ecole Normale Supérieure de Natitingou, Natitingou, BP 123, Benin. </w:t>
      </w:r>
      <w:r w:rsidRPr="00CD231A">
        <w:rPr>
          <w:rFonts w:ascii="Times New Roman" w:hAnsi="Times New Roman"/>
          <w:color w:val="1C1E29"/>
          <w:vertAlign w:val="superscript"/>
        </w:rPr>
        <w:t>8</w:t>
      </w:r>
      <w:r w:rsidRPr="00CD231A">
        <w:rPr>
          <w:rFonts w:ascii="Times New Roman" w:hAnsi="Times New Roman"/>
          <w:color w:val="1C1E29"/>
        </w:rPr>
        <w:t xml:space="preserve">Biology Department, Babcock University, Ilisan Remo, Ogun State, Nigeria. </w:t>
      </w:r>
      <w:r w:rsidRPr="00CD231A">
        <w:rPr>
          <w:rFonts w:ascii="Times New Roman" w:hAnsi="Times New Roman" w:cs="Times New Roman"/>
          <w:shd w:val="clear" w:color="auto" w:fill="FFFFFF"/>
          <w:vertAlign w:val="superscript"/>
          <w:lang w:val="en-GB"/>
        </w:rPr>
        <w:t>9</w:t>
      </w:r>
      <w:r w:rsidRPr="00CD231A">
        <w:rPr>
          <w:rFonts w:ascii="Times New Roman" w:hAnsi="Times New Roman" w:cs="Times New Roman"/>
          <w:shd w:val="clear" w:color="auto" w:fill="FFFFFF"/>
          <w:lang w:val="en-GB"/>
        </w:rPr>
        <w:t>Centre for Research in Infectious Diseases (</w:t>
      </w:r>
      <w:r w:rsidRPr="00CD231A">
        <w:rPr>
          <w:rStyle w:val="Emphasis"/>
          <w:rFonts w:ascii="Times New Roman" w:hAnsi="Times New Roman" w:cs="Times New Roman"/>
          <w:bCs/>
          <w:i w:val="0"/>
          <w:iCs w:val="0"/>
          <w:shd w:val="clear" w:color="auto" w:fill="FFFFFF"/>
          <w:lang w:val="en-GB"/>
        </w:rPr>
        <w:t>CRID</w:t>
      </w:r>
      <w:r w:rsidRPr="00CD231A">
        <w:rPr>
          <w:rFonts w:ascii="Times New Roman" w:hAnsi="Times New Roman" w:cs="Times New Roman"/>
          <w:shd w:val="clear" w:color="auto" w:fill="FFFFFF"/>
          <w:lang w:val="en-GB"/>
        </w:rPr>
        <w:t xml:space="preserve">), </w:t>
      </w:r>
      <w:r w:rsidRPr="00CD231A">
        <w:rPr>
          <w:rStyle w:val="Emphasis"/>
          <w:rFonts w:ascii="Times New Roman" w:hAnsi="Times New Roman" w:cs="Times New Roman"/>
          <w:bCs/>
          <w:i w:val="0"/>
          <w:iCs w:val="0"/>
          <w:shd w:val="clear" w:color="auto" w:fill="FFFFFF"/>
          <w:lang w:val="en-GB"/>
        </w:rPr>
        <w:t>Cameroon.</w:t>
      </w:r>
    </w:p>
    <w:p w14:paraId="134F5B33" w14:textId="77777777" w:rsidR="00BF5696" w:rsidRPr="00CD231A" w:rsidRDefault="00BF5696" w:rsidP="00BF5696">
      <w:pPr>
        <w:pStyle w:val="NormalWeb"/>
        <w:spacing w:before="0" w:beforeAutospacing="0" w:after="0" w:afterAutospacing="0" w:line="480" w:lineRule="auto"/>
        <w:jc w:val="both"/>
        <w:rPr>
          <w:rFonts w:ascii="Times New Roman" w:hAnsi="Times New Roman"/>
          <w:color w:val="1C1E29"/>
          <w:sz w:val="24"/>
          <w:szCs w:val="24"/>
        </w:rPr>
      </w:pPr>
    </w:p>
    <w:p w14:paraId="1D73E6B7" w14:textId="77777777" w:rsidR="00BF5696" w:rsidRPr="00CD231A" w:rsidRDefault="00BF5696" w:rsidP="00BF5696">
      <w:pPr>
        <w:spacing w:line="480" w:lineRule="auto"/>
        <w:jc w:val="both"/>
        <w:rPr>
          <w:rFonts w:ascii="Times New Roman" w:hAnsi="Times New Roman" w:cs="Times New Roman"/>
          <w:b/>
          <w:lang w:val="en-GB"/>
        </w:rPr>
      </w:pPr>
      <w:r w:rsidRPr="00CD231A">
        <w:rPr>
          <w:rFonts w:ascii="Times New Roman" w:hAnsi="Times New Roman" w:cs="Times New Roman"/>
          <w:b/>
          <w:lang w:val="en-GB"/>
        </w:rPr>
        <w:t>References</w:t>
      </w:r>
    </w:p>
    <w:p w14:paraId="2A08D194" w14:textId="77777777" w:rsidR="00CD231A" w:rsidRPr="00CD231A" w:rsidRDefault="00BF5696"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b/>
          <w:lang w:val="en-GB"/>
        </w:rPr>
        <w:fldChar w:fldCharType="begin" w:fldLock="1"/>
      </w:r>
      <w:r w:rsidRPr="00CD231A">
        <w:rPr>
          <w:rFonts w:ascii="Times New Roman" w:hAnsi="Times New Roman" w:cs="Times New Roman"/>
          <w:b/>
          <w:lang w:val="en-GB"/>
        </w:rPr>
        <w:instrText xml:space="preserve">ADDIN Mendeley Bibliography CSL_BIBLIOGRAPHY </w:instrText>
      </w:r>
      <w:r w:rsidRPr="00CD231A">
        <w:rPr>
          <w:rFonts w:ascii="Times New Roman" w:hAnsi="Times New Roman" w:cs="Times New Roman"/>
          <w:b/>
          <w:lang w:val="en-GB"/>
        </w:rPr>
        <w:fldChar w:fldCharType="separate"/>
      </w:r>
      <w:r w:rsidR="00CD231A" w:rsidRPr="00CD231A">
        <w:rPr>
          <w:rFonts w:ascii="Times New Roman" w:hAnsi="Times New Roman" w:cs="Times New Roman"/>
          <w:noProof/>
        </w:rPr>
        <w:t xml:space="preserve">1. Djouaka RJ, Atoyebi SM, Tchigossou GM, Riveron JM, Irving H, Akoton R, et al. Evidence of a multiple insecticide resistance in the malaria vector </w:t>
      </w:r>
      <w:r w:rsidR="00CD231A" w:rsidRPr="00CD231A">
        <w:rPr>
          <w:rFonts w:ascii="Times New Roman" w:hAnsi="Times New Roman" w:cs="Times New Roman"/>
          <w:i/>
          <w:iCs/>
          <w:noProof/>
        </w:rPr>
        <w:t>Anopheles funestus</w:t>
      </w:r>
      <w:r w:rsidR="00CD231A" w:rsidRPr="00CD231A">
        <w:rPr>
          <w:rFonts w:ascii="Times New Roman" w:hAnsi="Times New Roman" w:cs="Times New Roman"/>
          <w:noProof/>
        </w:rPr>
        <w:t xml:space="preserve"> in South West Nigeria. Malar J.  2016;15:565. </w:t>
      </w:r>
    </w:p>
    <w:p w14:paraId="2F5CD390"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 WHO. World malaria report. 2016. Geneva, Switzerland: World Health Organization; 2016. </w:t>
      </w:r>
      <w:hyperlink r:id="rId8" w:history="1">
        <w:r w:rsidRPr="00CD231A">
          <w:rPr>
            <w:rStyle w:val="Hyperlink"/>
            <w:rFonts w:ascii="Times New Roman" w:hAnsi="Times New Roman" w:cs="Times New Roman"/>
          </w:rPr>
          <w:t>https://www.who.int/malaria/media/world-malaria-report-2016/en/</w:t>
        </w:r>
      </w:hyperlink>
      <w:r w:rsidRPr="00CD231A">
        <w:rPr>
          <w:rFonts w:ascii="Times New Roman" w:hAnsi="Times New Roman" w:cs="Times New Roman"/>
          <w:noProof/>
        </w:rPr>
        <w:t>.</w:t>
      </w:r>
    </w:p>
    <w:p w14:paraId="172D0904"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 Djouaka R, Riveron JM, Yessoufou A, Tchigossou G, Akoton R, Irving H, et al. Multiple insecticide resistance in an infected population of the malaria vector </w:t>
      </w:r>
      <w:r w:rsidRPr="00CD231A">
        <w:rPr>
          <w:rFonts w:ascii="Times New Roman" w:hAnsi="Times New Roman" w:cs="Times New Roman"/>
          <w:i/>
          <w:iCs/>
          <w:noProof/>
        </w:rPr>
        <w:lastRenderedPageBreak/>
        <w:t>Anopheles funestus</w:t>
      </w:r>
      <w:r w:rsidRPr="00CD231A">
        <w:rPr>
          <w:rFonts w:ascii="Times New Roman" w:hAnsi="Times New Roman" w:cs="Times New Roman"/>
          <w:noProof/>
        </w:rPr>
        <w:t xml:space="preserve"> in Benin. Parasit Vectors. 2016;9:453. </w:t>
      </w:r>
    </w:p>
    <w:p w14:paraId="35BF9FCB"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4. Ibrahim SS, Ndula M, Riveron JM, Irving H, Wondji CS. The P450 </w:t>
      </w:r>
      <w:r w:rsidRPr="00CD231A">
        <w:rPr>
          <w:rFonts w:ascii="Times New Roman" w:hAnsi="Times New Roman" w:cs="Times New Roman"/>
          <w:i/>
          <w:iCs/>
          <w:noProof/>
        </w:rPr>
        <w:t>CYP6Z1</w:t>
      </w:r>
      <w:r w:rsidRPr="00CD231A">
        <w:rPr>
          <w:rFonts w:ascii="Times New Roman" w:hAnsi="Times New Roman" w:cs="Times New Roman"/>
          <w:noProof/>
        </w:rPr>
        <w:t xml:space="preserve"> confers carbamate/pyrethroid cross- resistance in a major African malaria vector beside a novel carbamate-insensitive N485I acetylcholinesterase-1 mutation. Mol Ecol. 2016;25(14):3436-3452. </w:t>
      </w:r>
    </w:p>
    <w:p w14:paraId="1361F136"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5. Menze BD, Riveron JM, Ibrahim SS, Irving H, Antonio-Nkondjio C, Awono-Ambene PH, et al. Multiple insecticide resistance in the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from northern Cameroon is mediated by metabolic resistance alongside potential target site insensitivity mutations. PLoS One. 2016;11</w:t>
      </w:r>
      <w:r w:rsidRPr="00CD231A">
        <w:rPr>
          <w:rFonts w:ascii="Times New Roman" w:hAnsi="Times New Roman" w:cs="Times New Roman"/>
          <w:color w:val="000000"/>
          <w:shd w:val="clear" w:color="auto" w:fill="FFFFFF"/>
        </w:rPr>
        <w:t>(10):e0163261.</w:t>
      </w:r>
    </w:p>
    <w:p w14:paraId="2F6F5C84"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6. Mulamba C, Riveron JM, Ibrahim SS, Irving H, Barnes KG, Mukwaya LG, et al. Widespread pyrethroid and DDT resistance in the major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in East Africa is driven by metabolic resistance mechanisms. PLoS One. 2014;9(10):e110058. </w:t>
      </w:r>
    </w:p>
    <w:p w14:paraId="5E3CFAC2"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7. Riveron JM, Chiumia M, Menze BD, Barnes KG, Irving H, Ibrahim SS, et al. Rise of multiple insecticide resistance in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in Malawi: a major concern for malaria vector control. Malar J. 2015;14:344. </w:t>
      </w:r>
    </w:p>
    <w:p w14:paraId="646CD744"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8. Samb B, Konate L, Irving H, Riveron JM, Dia I, Faye O, et al. Investigating molecular basis of lambda-cyhalothrin resistance in an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population from Senegal. Parasit Vectors. 2016;9:449. </w:t>
      </w:r>
    </w:p>
    <w:p w14:paraId="3E8B300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9. Riveron JM, Ibrahim SS, Mulamba C, Djouaka R, Irving H, Wondji MJ, et al. Genome-wide transcription and functional analyses reveal heterogeneous molecular mechanisms driving pyrethroids resistance in the major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across Africa. G3-Genes Genom Genet. 2017;7:1819–32. </w:t>
      </w:r>
    </w:p>
    <w:p w14:paraId="7CBE850F"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10. Riveron JM, Irving H, Ndula M, Barnes KG, Ibrahim SS, Paine MJI, et al. Directionally selected cytochrome P450 alleles are driving the spread of pyrethroid </w:t>
      </w:r>
      <w:r w:rsidRPr="00CD231A">
        <w:rPr>
          <w:rFonts w:ascii="Times New Roman" w:hAnsi="Times New Roman" w:cs="Times New Roman"/>
          <w:noProof/>
        </w:rPr>
        <w:lastRenderedPageBreak/>
        <w:t xml:space="preserve">resistance in the major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Proc Natl Acad Sci USA. 2013;110:252–7. </w:t>
      </w:r>
    </w:p>
    <w:p w14:paraId="34038EB4"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11. Riveron JM, Yunta C, Ibrahim SS, Djouaka R, Irving H, Menze BD, et al. A single mutation in the </w:t>
      </w:r>
      <w:r w:rsidRPr="00CD231A">
        <w:rPr>
          <w:rFonts w:ascii="Times New Roman" w:hAnsi="Times New Roman" w:cs="Times New Roman"/>
          <w:i/>
          <w:iCs/>
          <w:noProof/>
        </w:rPr>
        <w:t>GSTe2</w:t>
      </w:r>
      <w:r w:rsidRPr="00CD231A">
        <w:rPr>
          <w:rFonts w:ascii="Times New Roman" w:hAnsi="Times New Roman" w:cs="Times New Roman"/>
          <w:noProof/>
        </w:rPr>
        <w:t xml:space="preserve"> gene allows tracking of metabolically based insecticide resistance in a major malaria vector. Genome Biol. 2014;15:R27. </w:t>
      </w:r>
    </w:p>
    <w:p w14:paraId="07866BC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12. Morgan JC, Irving H, Okedi LM, Steven A, Wondji CS. Pyrethroid resistance in an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population from uganda. PLoS One. 2010;5(7):e11872. </w:t>
      </w:r>
    </w:p>
    <w:p w14:paraId="4AE189B5"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13. WHO. Test procedures for insecticide resistance monitoring in malaria vector mosquitoes: second edition. Global Malaria Program. Geneva: World Health Organization; 2016. </w:t>
      </w:r>
    </w:p>
    <w:p w14:paraId="496CCB7B" w14:textId="4BE6F78B"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14. Gillies MT, Coetzee M. A Supplement to the Anophelinae of Africa South of the Sahara. Publications of the South African Institute for Medical Research. South Africa; 1987;55:1-143. </w:t>
      </w:r>
    </w:p>
    <w:p w14:paraId="6DC708A5"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15. Koekemoer LL, Kamau L, Hunt RH, Coetzee M. A cocktail polymerase chain reaction assay to identify members of the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(Diptera: Culicidae) group. Am J Trop Med Hyg. 2002;66:804–11. </w:t>
      </w:r>
    </w:p>
    <w:p w14:paraId="07A38F6A"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16. Oliver S V., Kaiser ML, Wood OR, Coetzee M, Rowland M, Brooke BD. Evaluation of the pyrrole insecticide chlorfenapyr against pyrethroid resistant and susceptible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(Diptera: Culicidae). Trop Med Int Heal. 2010;15:127–31. </w:t>
      </w:r>
    </w:p>
    <w:p w14:paraId="28C19785"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17. Lo TM, Coetzee M. Marked biological differences between insecticide resistant and susceptible strains of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infected with the murine parasite </w:t>
      </w:r>
      <w:r w:rsidRPr="00CD231A">
        <w:rPr>
          <w:rFonts w:ascii="Times New Roman" w:hAnsi="Times New Roman" w:cs="Times New Roman"/>
          <w:i/>
          <w:iCs/>
          <w:noProof/>
        </w:rPr>
        <w:t>Plasmodium berghei</w:t>
      </w:r>
      <w:r w:rsidRPr="00CD231A">
        <w:rPr>
          <w:rFonts w:ascii="Times New Roman" w:hAnsi="Times New Roman" w:cs="Times New Roman"/>
          <w:noProof/>
        </w:rPr>
        <w:t xml:space="preserve">. Parasit Vectors. 2013;6:1. </w:t>
      </w:r>
    </w:p>
    <w:p w14:paraId="25DEA422"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18. Cuamba N, Morgan JC, Irving H, Steven A, Wondji CS. High level of pyrethroid resistance in an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population of the chokwe district in mozambique. </w:t>
      </w:r>
      <w:r w:rsidRPr="00CD231A">
        <w:rPr>
          <w:rFonts w:ascii="Times New Roman" w:hAnsi="Times New Roman" w:cs="Times New Roman"/>
          <w:noProof/>
        </w:rPr>
        <w:lastRenderedPageBreak/>
        <w:t xml:space="preserve">PLoS One. 2010;5(6):e11010. </w:t>
      </w:r>
    </w:p>
    <w:p w14:paraId="694B6585"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19. Crawford JE, Guelbeogo WM, Sanou A, Traoré A, Vernick KD, Sagnon N, et al. De novo transcriptome sequencing in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using illumina RNA-seq technology. PLoS One. 2010;5(12):e14202. </w:t>
      </w:r>
    </w:p>
    <w:p w14:paraId="0C828FDD"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20. Gregory R, Darby AC, Irving H, Coulibaly MB, Hughes M, Koekemoer LL, et al. A De Novo expression profiling of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malaria vector in Africa, using 454 pyrosequencing. PLoS One. 2011;6(2):e17418. </w:t>
      </w:r>
    </w:p>
    <w:p w14:paraId="07D5BE05"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21. Wondji CS, Irving H, Morgan J, Lobo NF, Collins FH, Hunt RH, et al. Two duplicated P450 genes are associated with pyrethroid resistance in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a major malaria vector. Genome Res. 2009;19:452–9. </w:t>
      </w:r>
    </w:p>
    <w:p w14:paraId="2DE78A27"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22. Irving H, Riveron JM, Ibrahim S, Lobo NF, Wondji CS, Ibrahim SS, et al. Positional cloning of rpl2 QTL associates the P450 genes </w:t>
      </w:r>
      <w:r w:rsidRPr="00CD231A">
        <w:rPr>
          <w:rFonts w:ascii="Times New Roman" w:hAnsi="Times New Roman" w:cs="Times New Roman"/>
          <w:i/>
          <w:iCs/>
          <w:noProof/>
        </w:rPr>
        <w:t>CYP6Z1, CYP6Z3</w:t>
      </w:r>
      <w:r w:rsidRPr="00CD231A">
        <w:rPr>
          <w:rFonts w:ascii="Times New Roman" w:hAnsi="Times New Roman" w:cs="Times New Roman"/>
          <w:noProof/>
        </w:rPr>
        <w:t xml:space="preserve"> and </w:t>
      </w:r>
      <w:r w:rsidRPr="00CD231A">
        <w:rPr>
          <w:rFonts w:ascii="Times New Roman" w:hAnsi="Times New Roman" w:cs="Times New Roman"/>
          <w:i/>
          <w:iCs/>
          <w:noProof/>
        </w:rPr>
        <w:t>CYP6M7</w:t>
      </w:r>
      <w:r w:rsidRPr="00CD231A">
        <w:rPr>
          <w:rFonts w:ascii="Times New Roman" w:hAnsi="Times New Roman" w:cs="Times New Roman"/>
          <w:noProof/>
        </w:rPr>
        <w:t xml:space="preserve"> with pyrethroid resistance in the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Heredity. 2012;109(6):383-392. </w:t>
      </w:r>
    </w:p>
    <w:p w14:paraId="26ABC6D2"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23. David J-P, Strode C, Vontas J, Nikou D, Vaughan A, Pignatelli PM, et al. The </w:t>
      </w:r>
      <w:r w:rsidRPr="00CD231A">
        <w:rPr>
          <w:rFonts w:ascii="Times New Roman" w:hAnsi="Times New Roman" w:cs="Times New Roman"/>
          <w:i/>
          <w:iCs/>
          <w:noProof/>
        </w:rPr>
        <w:t>Anopheles gambiae</w:t>
      </w:r>
      <w:r w:rsidRPr="00CD231A">
        <w:rPr>
          <w:rFonts w:ascii="Times New Roman" w:hAnsi="Times New Roman" w:cs="Times New Roman"/>
          <w:noProof/>
        </w:rPr>
        <w:t xml:space="preserve"> detoxification chip: a highly specific microarray to study metabolic-based insecticide resistance in malaria vectors. Proc Natl Acad Sci USA. 2005;102:4080–4. </w:t>
      </w:r>
    </w:p>
    <w:p w14:paraId="26F73929"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24. Djouaka R, Irving H, Tukur Z, Wondji CS. Exploring mechanisms of multiple insecticide resistance in a population of the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in Benin. PLoS One. 2011;6(11):e27760. </w:t>
      </w:r>
    </w:p>
    <w:p w14:paraId="7558AFAF"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25. Schmittgen TD, Livak KJ. Analyzing real-time PCR data by the comparative CT method. Nat Protoc. 2008;3:1101–8. </w:t>
      </w:r>
    </w:p>
    <w:p w14:paraId="6658CBF3"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26. Thompson JD, Higgins DG, Gibson TJ. CLUSTAL W: Improving the sensitivity of progressive multiple sequence alignment through sequence weighting, position-</w:t>
      </w:r>
      <w:r w:rsidRPr="00CD231A">
        <w:rPr>
          <w:rFonts w:ascii="Times New Roman" w:hAnsi="Times New Roman" w:cs="Times New Roman"/>
          <w:noProof/>
        </w:rPr>
        <w:lastRenderedPageBreak/>
        <w:t xml:space="preserve">specific gap penalties and weight matrix choice. Nucleic Acids Res. 1994;22:4673–80. </w:t>
      </w:r>
    </w:p>
    <w:p w14:paraId="77952162"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27. Librado P, Rozas J. DnaSP v5: A software for comprehensive analysis of DNA polymorphism data. Bioinformatics. 2009;25:1451–2. </w:t>
      </w:r>
    </w:p>
    <w:p w14:paraId="2F2EB353"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28. Tchigossou G, Djouaka R, Akoton R, Riveron JM, Irving H, Atoyebi S, et al. Molecular basis of permethrin and DDT resistance in an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population from Benin. Parasit Vectors. 2018;11:602. </w:t>
      </w:r>
    </w:p>
    <w:p w14:paraId="2DA2416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29. Tamura K, Peterson D, Peterson N, Stecher G, Nei M, Kumar S. MEGA5: Molecular Evolutionary Genetics Analysis using maximum likelihood, evolutionary distance, and maximum parsimony methods. Mol Biol Evol. 2011;28:2731–9. </w:t>
      </w:r>
    </w:p>
    <w:p w14:paraId="44B40CD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30. Riveron JM, Ibrahim SS, Chanda E, Mzilahowa T, Cuamba N, Irving H, et al. The highly polymorphic </w:t>
      </w:r>
      <w:r w:rsidRPr="00CD231A">
        <w:rPr>
          <w:rFonts w:ascii="Times New Roman" w:hAnsi="Times New Roman" w:cs="Times New Roman"/>
          <w:i/>
          <w:iCs/>
          <w:noProof/>
        </w:rPr>
        <w:t>CYP6M7</w:t>
      </w:r>
      <w:r w:rsidRPr="00CD231A">
        <w:rPr>
          <w:rFonts w:ascii="Times New Roman" w:hAnsi="Times New Roman" w:cs="Times New Roman"/>
          <w:noProof/>
        </w:rPr>
        <w:t xml:space="preserve"> cytochrome P450 gene partners with the directionally selected </w:t>
      </w:r>
      <w:r w:rsidRPr="00CD231A">
        <w:rPr>
          <w:rFonts w:ascii="Times New Roman" w:hAnsi="Times New Roman" w:cs="Times New Roman"/>
          <w:i/>
          <w:iCs/>
          <w:noProof/>
        </w:rPr>
        <w:t>CYP6P9a</w:t>
      </w:r>
      <w:r w:rsidRPr="00CD231A">
        <w:rPr>
          <w:rFonts w:ascii="Times New Roman" w:hAnsi="Times New Roman" w:cs="Times New Roman"/>
          <w:noProof/>
        </w:rPr>
        <w:t xml:space="preserve"> and </w:t>
      </w:r>
      <w:r w:rsidRPr="00CD231A">
        <w:rPr>
          <w:rFonts w:ascii="Times New Roman" w:hAnsi="Times New Roman" w:cs="Times New Roman"/>
          <w:i/>
          <w:iCs/>
          <w:noProof/>
        </w:rPr>
        <w:t>CYP6P9b</w:t>
      </w:r>
      <w:r w:rsidRPr="00CD231A">
        <w:rPr>
          <w:rFonts w:ascii="Times New Roman" w:hAnsi="Times New Roman" w:cs="Times New Roman"/>
          <w:noProof/>
        </w:rPr>
        <w:t xml:space="preserve"> genes to expand the pyrethroid resistance front in the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in Africa. BMC Genomics. 2014;15:817. </w:t>
      </w:r>
    </w:p>
    <w:p w14:paraId="4A5DA10C"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31. Yang YH, Speed T. Design issues for cDNA microarray experiments. Nat Rev Genet. 2002;3:579–88. </w:t>
      </w:r>
    </w:p>
    <w:p w14:paraId="04F81664"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32. Chuaqui R, Bonner R, Best C, Gillespie J, Flaig M, Hewitt S, et al. Post-analysis follow-up and validation of microarray experiments. Nat Genet. 2002;32:509–14. </w:t>
      </w:r>
    </w:p>
    <w:p w14:paraId="3C7FA350"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33. Kostaropoulos I, Papadopoulos AI, Metaxakis A, Boukouvala E, Papadopoulou Mourkidou E. Glutathione S-transferase in the defence against pyrethroids in insects. Insect Biochem Mol Biol. 2001;31:313–9. </w:t>
      </w:r>
    </w:p>
    <w:p w14:paraId="07A91B9E"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34. Vontas JG, Small GJ, Hemingway J. Glutathione S-transferases as antioxidant defence agents confer pyrethroid resistance in </w:t>
      </w:r>
      <w:r w:rsidRPr="00CD231A">
        <w:rPr>
          <w:rFonts w:ascii="Times New Roman" w:hAnsi="Times New Roman" w:cs="Times New Roman"/>
          <w:i/>
          <w:iCs/>
          <w:noProof/>
        </w:rPr>
        <w:t>Nilaparvata lugens</w:t>
      </w:r>
      <w:r w:rsidRPr="00CD231A">
        <w:rPr>
          <w:rFonts w:ascii="Times New Roman" w:hAnsi="Times New Roman" w:cs="Times New Roman"/>
          <w:noProof/>
        </w:rPr>
        <w:t xml:space="preserve">. Biochem J. 2001;357:65–72. </w:t>
      </w:r>
    </w:p>
    <w:p w14:paraId="7D9530EB"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35. Lumjuan N, Rajatileka S, Changsom D, Wicheer J, Leelapat P, Prapanthadara, LA  et al. The role of the </w:t>
      </w:r>
      <w:r w:rsidRPr="00CD231A">
        <w:rPr>
          <w:rFonts w:ascii="Times New Roman" w:hAnsi="Times New Roman" w:cs="Times New Roman"/>
          <w:i/>
          <w:iCs/>
          <w:noProof/>
        </w:rPr>
        <w:t>Aedes aegypti</w:t>
      </w:r>
      <w:r w:rsidRPr="00CD231A">
        <w:rPr>
          <w:rFonts w:ascii="Times New Roman" w:hAnsi="Times New Roman" w:cs="Times New Roman"/>
          <w:noProof/>
        </w:rPr>
        <w:t xml:space="preserve"> Epsilon glutathione transferases is conferring </w:t>
      </w:r>
      <w:r w:rsidRPr="00CD231A">
        <w:rPr>
          <w:rFonts w:ascii="Times New Roman" w:hAnsi="Times New Roman" w:cs="Times New Roman"/>
          <w:noProof/>
        </w:rPr>
        <w:lastRenderedPageBreak/>
        <w:t xml:space="preserve">resistance to DDT and pyrethroid insecticides. Insect Biochem Mol Biol. 2011;41:203–9. </w:t>
      </w:r>
    </w:p>
    <w:p w14:paraId="5F82B43C"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36. Clayton JD, Cripps RM, Sparrow JC, Bullard B. Interaction of troponin-H and glutathione S-transferase-2 in the indirect flight muscles of </w:t>
      </w:r>
      <w:r w:rsidRPr="00CD231A">
        <w:rPr>
          <w:rFonts w:ascii="Times New Roman" w:hAnsi="Times New Roman" w:cs="Times New Roman"/>
          <w:i/>
          <w:iCs/>
          <w:noProof/>
        </w:rPr>
        <w:t>Drosophila melanogaster</w:t>
      </w:r>
      <w:r w:rsidRPr="00CD231A">
        <w:rPr>
          <w:rFonts w:ascii="Times New Roman" w:hAnsi="Times New Roman" w:cs="Times New Roman"/>
          <w:noProof/>
        </w:rPr>
        <w:t xml:space="preserve">. J Muscle Res Cell Motil. 1998;19:117–27. </w:t>
      </w:r>
    </w:p>
    <w:p w14:paraId="34494E3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37. Singh OP, Dykes CL, Lather M, Agrawal OP, Adak T. Knockdown resistance (kdr)-like mutations in the voltage-gated sodium channel of a malaria vector </w:t>
      </w:r>
      <w:r w:rsidRPr="00CD231A">
        <w:rPr>
          <w:rFonts w:ascii="Times New Roman" w:hAnsi="Times New Roman" w:cs="Times New Roman"/>
          <w:i/>
          <w:iCs/>
          <w:noProof/>
        </w:rPr>
        <w:t>Anopheles stephensi</w:t>
      </w:r>
      <w:r w:rsidRPr="00CD231A">
        <w:rPr>
          <w:rFonts w:ascii="Times New Roman" w:hAnsi="Times New Roman" w:cs="Times New Roman"/>
          <w:noProof/>
        </w:rPr>
        <w:t xml:space="preserve"> and PCR assays for their detection. Malar J. 2011;10:59. </w:t>
      </w:r>
    </w:p>
    <w:p w14:paraId="7B4A8DD0"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38. Fang S-M. Insect glutathione S-transferase: a review of comparative genomic studies and response to xenobiotics. Bull Insectology. 2012;65:265–71. </w:t>
      </w:r>
    </w:p>
    <w:p w14:paraId="762F4BBC"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39. Lumjuan N, Stevenson BJ, Prapanthadara L aied, Somboon P, Brophy PM, Loftus BJ, et al. The </w:t>
      </w:r>
      <w:r w:rsidRPr="00CD231A">
        <w:rPr>
          <w:rFonts w:ascii="Times New Roman" w:hAnsi="Times New Roman" w:cs="Times New Roman"/>
          <w:i/>
          <w:iCs/>
          <w:noProof/>
        </w:rPr>
        <w:t>Aedes aegypti</w:t>
      </w:r>
      <w:r w:rsidRPr="00CD231A">
        <w:rPr>
          <w:rFonts w:ascii="Times New Roman" w:hAnsi="Times New Roman" w:cs="Times New Roman"/>
          <w:noProof/>
        </w:rPr>
        <w:t xml:space="preserve"> glutathione transferase family. Insect Biochem Mol Biol. 2007;37:1026–35. </w:t>
      </w:r>
    </w:p>
    <w:p w14:paraId="0F797026"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40. Yu Q, Lu C, Li B, Fang S, Zuo W, Dai F. Identification, genomic organization and expression pattern of glutathione -S -transferase in the silkworm, </w:t>
      </w:r>
      <w:r w:rsidRPr="00CD231A">
        <w:rPr>
          <w:rFonts w:ascii="Times New Roman" w:hAnsi="Times New Roman" w:cs="Times New Roman"/>
          <w:i/>
          <w:iCs/>
          <w:noProof/>
        </w:rPr>
        <w:t>Bombyx mori</w:t>
      </w:r>
      <w:r w:rsidRPr="00CD231A">
        <w:rPr>
          <w:rFonts w:ascii="Times New Roman" w:hAnsi="Times New Roman" w:cs="Times New Roman"/>
          <w:noProof/>
        </w:rPr>
        <w:t xml:space="preserve">. Insect Biochem Mol Biol. 2008;38:1158–64. </w:t>
      </w:r>
    </w:p>
    <w:p w14:paraId="40D0173B"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41. Wood OR, Hanrahan S, Coetzee M, Koekemoer LL, Brooke BD. Cuticle thickening associated with pyrethroid resistance in the major malaria vector </w:t>
      </w:r>
      <w:r w:rsidRPr="00CD231A">
        <w:rPr>
          <w:rFonts w:ascii="Times New Roman" w:hAnsi="Times New Roman" w:cs="Times New Roman"/>
          <w:i/>
          <w:iCs/>
          <w:noProof/>
        </w:rPr>
        <w:t>Anopheles funestus</w:t>
      </w:r>
      <w:r w:rsidRPr="00CD231A">
        <w:rPr>
          <w:rFonts w:ascii="Times New Roman" w:hAnsi="Times New Roman" w:cs="Times New Roman"/>
          <w:noProof/>
        </w:rPr>
        <w:t xml:space="preserve">. Parasit Vectors. 2010;3:67. </w:t>
      </w:r>
    </w:p>
    <w:p w14:paraId="0A17F978" w14:textId="77777777" w:rsidR="00CD231A"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42. Yahouédo GA, Chandre F, Rossignol M, Ginibre C, Balabanidou V, Mendez NGA, et al. Contributions of cuticle permeability and enzyme detoxification to pyrethroid resistance in the major malaria vector </w:t>
      </w:r>
      <w:r w:rsidRPr="00CD231A">
        <w:rPr>
          <w:rFonts w:ascii="Times New Roman" w:hAnsi="Times New Roman" w:cs="Times New Roman"/>
          <w:i/>
          <w:iCs/>
          <w:noProof/>
        </w:rPr>
        <w:t>Anopheles gambiae</w:t>
      </w:r>
      <w:r w:rsidRPr="00CD231A">
        <w:rPr>
          <w:rFonts w:ascii="Times New Roman" w:hAnsi="Times New Roman" w:cs="Times New Roman"/>
          <w:noProof/>
        </w:rPr>
        <w:t xml:space="preserve">. Sci Rep. 2017;7(1):11091. </w:t>
      </w:r>
    </w:p>
    <w:p w14:paraId="3F7AD6F2" w14:textId="1B73FE14" w:rsidR="00BF5696" w:rsidRPr="00CD231A" w:rsidRDefault="00CD231A" w:rsidP="00CD231A">
      <w:pPr>
        <w:widowControl w:val="0"/>
        <w:autoSpaceDE w:val="0"/>
        <w:autoSpaceDN w:val="0"/>
        <w:adjustRightInd w:val="0"/>
        <w:spacing w:line="480" w:lineRule="auto"/>
        <w:jc w:val="both"/>
        <w:rPr>
          <w:rFonts w:ascii="Times New Roman" w:hAnsi="Times New Roman" w:cs="Times New Roman"/>
          <w:noProof/>
        </w:rPr>
      </w:pPr>
      <w:r w:rsidRPr="00CD231A">
        <w:rPr>
          <w:rFonts w:ascii="Times New Roman" w:hAnsi="Times New Roman" w:cs="Times New Roman"/>
          <w:noProof/>
        </w:rPr>
        <w:t xml:space="preserve">43. Nkya TE, Akhouayri I, Kisinza W, David JP. Impact of environment on mosquito response to pyrethroid insecticides: Facts, evidences and prospects. Insect Biochem Mol Biol. 2013;43:407–16. </w:t>
      </w:r>
    </w:p>
    <w:p w14:paraId="6694C5CC" w14:textId="77777777" w:rsidR="00BF5696" w:rsidRPr="00CD231A" w:rsidRDefault="00BF5696" w:rsidP="00CD231A">
      <w:pPr>
        <w:spacing w:line="480" w:lineRule="auto"/>
        <w:jc w:val="both"/>
        <w:rPr>
          <w:rFonts w:ascii="Times New Roman" w:hAnsi="Times New Roman" w:cs="Times New Roman"/>
          <w:b/>
          <w:lang w:val="en-GB"/>
        </w:rPr>
      </w:pPr>
      <w:r w:rsidRPr="00CD231A">
        <w:rPr>
          <w:rFonts w:ascii="Times New Roman" w:hAnsi="Times New Roman" w:cs="Times New Roman"/>
          <w:b/>
          <w:lang w:val="en-GB"/>
        </w:rPr>
        <w:lastRenderedPageBreak/>
        <w:fldChar w:fldCharType="end"/>
      </w:r>
    </w:p>
    <w:p w14:paraId="2CB65D5E" w14:textId="77777777" w:rsidR="00FE471A" w:rsidRDefault="00FE471A" w:rsidP="00FE471A">
      <w:pPr>
        <w:spacing w:line="360" w:lineRule="auto"/>
        <w:rPr>
          <w:rFonts w:ascii="Times New Roman" w:hAnsi="Times New Roman" w:cs="Times New Roman"/>
          <w:b/>
          <w:u w:val="single"/>
          <w:lang w:val="en-GB"/>
        </w:rPr>
      </w:pPr>
    </w:p>
    <w:p w14:paraId="6B28BAB5" w14:textId="77777777" w:rsidR="00FE471A" w:rsidRDefault="00FE471A" w:rsidP="00FE471A">
      <w:pPr>
        <w:spacing w:line="360" w:lineRule="auto"/>
        <w:rPr>
          <w:rFonts w:ascii="Times New Roman" w:hAnsi="Times New Roman" w:cs="Times New Roman"/>
          <w:b/>
          <w:u w:val="single"/>
          <w:lang w:val="en-GB"/>
        </w:rPr>
      </w:pPr>
    </w:p>
    <w:p w14:paraId="148FB09C" w14:textId="77777777" w:rsidR="00FE471A" w:rsidRDefault="00FE471A" w:rsidP="00FE471A">
      <w:pPr>
        <w:spacing w:line="360" w:lineRule="auto"/>
        <w:rPr>
          <w:rFonts w:ascii="Times New Roman" w:hAnsi="Times New Roman" w:cs="Times New Roman"/>
          <w:b/>
          <w:u w:val="single"/>
          <w:lang w:val="en-GB"/>
        </w:rPr>
      </w:pPr>
    </w:p>
    <w:p w14:paraId="67771814" w14:textId="77777777" w:rsidR="00FE471A" w:rsidRDefault="00FE471A" w:rsidP="00FE471A">
      <w:pPr>
        <w:spacing w:line="360" w:lineRule="auto"/>
        <w:rPr>
          <w:rFonts w:ascii="Times New Roman" w:hAnsi="Times New Roman" w:cs="Times New Roman"/>
          <w:b/>
          <w:u w:val="single"/>
          <w:lang w:val="en-GB"/>
        </w:rPr>
      </w:pPr>
      <w:r>
        <w:rPr>
          <w:noProof/>
        </w:rPr>
        <w:drawing>
          <wp:inline distT="0" distB="0" distL="0" distR="0" wp14:anchorId="23EFBC5F" wp14:editId="3F1A45F4">
            <wp:extent cx="5585552" cy="3073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6955" cy="3074614"/>
                    </a:xfrm>
                    <a:prstGeom prst="rect">
                      <a:avLst/>
                    </a:prstGeom>
                    <a:noFill/>
                    <a:ln>
                      <a:noFill/>
                    </a:ln>
                  </pic:spPr>
                </pic:pic>
              </a:graphicData>
            </a:graphic>
          </wp:inline>
        </w:drawing>
      </w:r>
    </w:p>
    <w:p w14:paraId="5EE39513" w14:textId="77777777" w:rsidR="00FE471A" w:rsidRPr="00CD6F94" w:rsidRDefault="00FE471A" w:rsidP="00FE471A">
      <w:pPr>
        <w:spacing w:line="360" w:lineRule="auto"/>
        <w:rPr>
          <w:rFonts w:ascii="Times New Roman" w:hAnsi="Times New Roman" w:cs="Times New Roman"/>
          <w:b/>
          <w:lang w:val="en-GB"/>
        </w:rPr>
      </w:pPr>
      <w:r w:rsidRPr="00CD6F94">
        <w:rPr>
          <w:rFonts w:ascii="Times New Roman" w:hAnsi="Times New Roman" w:cs="Times New Roman"/>
          <w:b/>
          <w:lang w:val="en-GB"/>
        </w:rPr>
        <w:t>Graphical abstract</w:t>
      </w:r>
    </w:p>
    <w:p w14:paraId="5BDAE3A0" w14:textId="77777777" w:rsidR="00FE471A" w:rsidRDefault="00FE471A" w:rsidP="00FE471A">
      <w:pPr>
        <w:spacing w:line="360" w:lineRule="auto"/>
        <w:rPr>
          <w:rFonts w:ascii="Times New Roman" w:hAnsi="Times New Roman" w:cs="Times New Roman"/>
          <w:b/>
          <w:u w:val="single"/>
          <w:lang w:val="en-GB"/>
        </w:rPr>
      </w:pPr>
    </w:p>
    <w:p w14:paraId="775B5646" w14:textId="77777777" w:rsidR="00FE471A" w:rsidRDefault="00FE471A" w:rsidP="00FE471A">
      <w:pPr>
        <w:spacing w:line="360" w:lineRule="auto"/>
        <w:rPr>
          <w:rFonts w:ascii="Times New Roman" w:hAnsi="Times New Roman" w:cs="Times New Roman"/>
          <w:b/>
          <w:u w:val="single"/>
          <w:lang w:val="en-GB"/>
        </w:rPr>
      </w:pPr>
    </w:p>
    <w:p w14:paraId="0609C3E1" w14:textId="77777777" w:rsidR="00FE471A" w:rsidRDefault="00FE471A" w:rsidP="00FE471A">
      <w:pPr>
        <w:spacing w:line="360" w:lineRule="auto"/>
        <w:rPr>
          <w:rFonts w:ascii="Times New Roman" w:hAnsi="Times New Roman" w:cs="Times New Roman"/>
          <w:b/>
          <w:u w:val="single"/>
          <w:lang w:val="en-GB"/>
        </w:rPr>
      </w:pPr>
    </w:p>
    <w:p w14:paraId="3FAC395F" w14:textId="77777777" w:rsidR="00FE471A" w:rsidRDefault="00FE471A" w:rsidP="00FE471A">
      <w:pPr>
        <w:spacing w:line="360" w:lineRule="auto"/>
        <w:rPr>
          <w:rFonts w:ascii="Times New Roman" w:hAnsi="Times New Roman" w:cs="Times New Roman"/>
          <w:b/>
          <w:u w:val="single"/>
          <w:lang w:val="en-GB"/>
        </w:rPr>
      </w:pPr>
    </w:p>
    <w:p w14:paraId="4D21D8EA" w14:textId="77777777" w:rsidR="00FE471A" w:rsidRDefault="00FE471A" w:rsidP="00FE471A">
      <w:pPr>
        <w:spacing w:line="360" w:lineRule="auto"/>
        <w:rPr>
          <w:rFonts w:ascii="Times New Roman" w:hAnsi="Times New Roman" w:cs="Times New Roman"/>
          <w:b/>
          <w:u w:val="single"/>
          <w:lang w:val="en-GB"/>
        </w:rPr>
      </w:pPr>
    </w:p>
    <w:p w14:paraId="268B55F6" w14:textId="77777777" w:rsidR="00FE471A" w:rsidRDefault="00FE471A" w:rsidP="00FE471A">
      <w:pPr>
        <w:spacing w:line="360" w:lineRule="auto"/>
        <w:rPr>
          <w:rFonts w:ascii="Times New Roman" w:hAnsi="Times New Roman" w:cs="Times New Roman"/>
          <w:b/>
          <w:u w:val="single"/>
          <w:lang w:val="en-GB"/>
        </w:rPr>
      </w:pPr>
    </w:p>
    <w:p w14:paraId="4A6D86BF" w14:textId="77777777" w:rsidR="00FE471A" w:rsidRDefault="00FE471A" w:rsidP="00FE471A">
      <w:pPr>
        <w:spacing w:line="360" w:lineRule="auto"/>
        <w:rPr>
          <w:rFonts w:ascii="Times New Roman" w:hAnsi="Times New Roman" w:cs="Times New Roman"/>
          <w:b/>
          <w:u w:val="single"/>
          <w:lang w:val="en-GB"/>
        </w:rPr>
      </w:pPr>
    </w:p>
    <w:p w14:paraId="66D7390E" w14:textId="77777777" w:rsidR="00FE471A" w:rsidRDefault="00FE471A" w:rsidP="00FE471A">
      <w:pPr>
        <w:spacing w:line="360" w:lineRule="auto"/>
        <w:rPr>
          <w:rFonts w:ascii="Times New Roman" w:hAnsi="Times New Roman" w:cs="Times New Roman"/>
          <w:b/>
          <w:u w:val="single"/>
          <w:lang w:val="en-GB"/>
        </w:rPr>
      </w:pPr>
    </w:p>
    <w:p w14:paraId="69B4CEF6" w14:textId="77777777" w:rsidR="00FE471A" w:rsidRDefault="00FE471A" w:rsidP="00FE471A">
      <w:pPr>
        <w:spacing w:line="360" w:lineRule="auto"/>
        <w:rPr>
          <w:rFonts w:ascii="Times New Roman" w:hAnsi="Times New Roman" w:cs="Times New Roman"/>
          <w:b/>
          <w:u w:val="single"/>
          <w:lang w:val="en-GB"/>
        </w:rPr>
      </w:pPr>
    </w:p>
    <w:p w14:paraId="58749D64" w14:textId="77777777" w:rsidR="00FE471A" w:rsidRPr="00493F9D" w:rsidRDefault="00FE471A" w:rsidP="00FE471A">
      <w:pPr>
        <w:spacing w:line="360" w:lineRule="auto"/>
        <w:rPr>
          <w:rFonts w:ascii="Times New Roman" w:hAnsi="Times New Roman" w:cs="Times New Roman"/>
          <w:b/>
          <w:u w:val="single"/>
          <w:lang w:val="en-GB"/>
        </w:rPr>
      </w:pPr>
    </w:p>
    <w:p w14:paraId="191E2AB1" w14:textId="77777777" w:rsidR="00FE471A" w:rsidRDefault="00FE471A" w:rsidP="00FE471A">
      <w:pPr>
        <w:spacing w:line="360" w:lineRule="auto"/>
        <w:rPr>
          <w:rFonts w:ascii="Times New Roman" w:hAnsi="Times New Roman" w:cs="Times New Roman"/>
          <w:b/>
          <w:lang w:val="en-GB"/>
        </w:rPr>
      </w:pPr>
    </w:p>
    <w:p w14:paraId="211815DE" w14:textId="77777777" w:rsidR="00FE471A" w:rsidRDefault="00FE471A" w:rsidP="00FE471A">
      <w:pPr>
        <w:spacing w:line="360" w:lineRule="auto"/>
        <w:rPr>
          <w:rFonts w:ascii="Times New Roman" w:hAnsi="Times New Roman" w:cs="Times New Roman"/>
          <w:b/>
          <w:lang w:val="en-GB"/>
        </w:rPr>
      </w:pPr>
    </w:p>
    <w:p w14:paraId="40B29C1C" w14:textId="77777777" w:rsidR="00FE471A" w:rsidRDefault="00FE471A" w:rsidP="00FE471A">
      <w:pPr>
        <w:spacing w:line="360" w:lineRule="auto"/>
        <w:rPr>
          <w:rFonts w:ascii="Times New Roman" w:hAnsi="Times New Roman" w:cs="Times New Roman"/>
          <w:b/>
          <w:lang w:val="en-GB"/>
        </w:rPr>
      </w:pPr>
    </w:p>
    <w:p w14:paraId="054F7E30" w14:textId="77777777" w:rsidR="00FE471A" w:rsidRDefault="00FE471A" w:rsidP="00FE471A">
      <w:pPr>
        <w:spacing w:line="360" w:lineRule="auto"/>
        <w:rPr>
          <w:rFonts w:ascii="Times New Roman" w:hAnsi="Times New Roman" w:cs="Times New Roman"/>
          <w:b/>
          <w:lang w:val="en-GB"/>
        </w:rPr>
      </w:pPr>
    </w:p>
    <w:p w14:paraId="43ABB96E" w14:textId="77777777" w:rsidR="00FE471A" w:rsidRDefault="00FE471A" w:rsidP="00FE471A">
      <w:pPr>
        <w:spacing w:line="360" w:lineRule="auto"/>
        <w:rPr>
          <w:rFonts w:ascii="Times New Roman" w:hAnsi="Times New Roman" w:cs="Times New Roman"/>
          <w:b/>
          <w:lang w:val="en-GB"/>
        </w:rPr>
      </w:pPr>
    </w:p>
    <w:p w14:paraId="3DCCA3D0" w14:textId="77777777" w:rsidR="00FE471A" w:rsidRDefault="00FE471A" w:rsidP="00FE471A">
      <w:pPr>
        <w:spacing w:line="360" w:lineRule="auto"/>
        <w:rPr>
          <w:rFonts w:ascii="Times New Roman" w:hAnsi="Times New Roman" w:cs="Times New Roman"/>
          <w:b/>
          <w:lang w:val="en-GB"/>
        </w:rPr>
      </w:pPr>
    </w:p>
    <w:p w14:paraId="0CC6DFFF" w14:textId="6EB52ED6" w:rsidR="00FE471A" w:rsidRPr="00493F9D" w:rsidRDefault="00FE471A" w:rsidP="00FE471A">
      <w:pPr>
        <w:spacing w:line="360" w:lineRule="auto"/>
        <w:rPr>
          <w:rFonts w:ascii="Times New Roman" w:hAnsi="Times New Roman" w:cs="Times New Roman"/>
          <w:b/>
          <w:lang w:val="en-GB"/>
        </w:rPr>
      </w:pPr>
      <w:r>
        <w:rPr>
          <w:rFonts w:ascii="Times New Roman" w:hAnsi="Times New Roman" w:cs="Times New Roman"/>
          <w:b/>
          <w:lang w:val="en-GB"/>
        </w:rPr>
        <w:lastRenderedPageBreak/>
        <w:t>List of f</w:t>
      </w:r>
      <w:r w:rsidRPr="00493F9D">
        <w:rPr>
          <w:rFonts w:ascii="Times New Roman" w:hAnsi="Times New Roman" w:cs="Times New Roman"/>
          <w:b/>
          <w:lang w:val="en-GB"/>
        </w:rPr>
        <w:t>igure</w:t>
      </w:r>
      <w:r>
        <w:rPr>
          <w:rFonts w:ascii="Times New Roman" w:hAnsi="Times New Roman" w:cs="Times New Roman"/>
          <w:b/>
          <w:lang w:val="en-GB"/>
        </w:rPr>
        <w:t>s</w:t>
      </w:r>
      <w:r w:rsidRPr="00493F9D">
        <w:rPr>
          <w:rFonts w:ascii="Times New Roman" w:hAnsi="Times New Roman" w:cs="Times New Roman"/>
          <w:b/>
          <w:lang w:val="en-GB"/>
        </w:rPr>
        <w:t xml:space="preserve"> </w:t>
      </w:r>
    </w:p>
    <w:p w14:paraId="448BE4DF" w14:textId="77777777" w:rsidR="00FE471A" w:rsidRPr="00493F9D" w:rsidRDefault="00FE471A" w:rsidP="00FE471A">
      <w:pPr>
        <w:widowControl w:val="0"/>
        <w:autoSpaceDE w:val="0"/>
        <w:autoSpaceDN w:val="0"/>
        <w:adjustRightInd w:val="0"/>
        <w:spacing w:line="360" w:lineRule="auto"/>
        <w:contextualSpacing/>
        <w:rPr>
          <w:b/>
          <w:bCs/>
        </w:rPr>
      </w:pPr>
    </w:p>
    <w:p w14:paraId="45D8116F" w14:textId="77777777" w:rsidR="00FE471A" w:rsidRPr="00493F9D" w:rsidRDefault="00FE471A" w:rsidP="00FE471A">
      <w:pPr>
        <w:widowControl w:val="0"/>
        <w:autoSpaceDE w:val="0"/>
        <w:autoSpaceDN w:val="0"/>
        <w:adjustRightInd w:val="0"/>
        <w:spacing w:line="360" w:lineRule="auto"/>
        <w:contextualSpacing/>
        <w:rPr>
          <w:rFonts w:ascii="Times New Roman" w:hAnsi="Times New Roman" w:cs="Times New Roman"/>
          <w:noProof/>
        </w:rPr>
      </w:pPr>
      <w:r w:rsidRPr="00875932">
        <w:rPr>
          <w:noProof/>
        </w:rPr>
        <w:drawing>
          <wp:inline distT="0" distB="0" distL="0" distR="0" wp14:anchorId="6DFA7961" wp14:editId="3D0F72FA">
            <wp:extent cx="5270500" cy="23274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2327447"/>
                    </a:xfrm>
                    <a:prstGeom prst="rect">
                      <a:avLst/>
                    </a:prstGeom>
                    <a:noFill/>
                    <a:ln>
                      <a:noFill/>
                    </a:ln>
                  </pic:spPr>
                </pic:pic>
              </a:graphicData>
            </a:graphic>
          </wp:inline>
        </w:drawing>
      </w:r>
      <w:r w:rsidRPr="00493F9D">
        <w:rPr>
          <w:rFonts w:ascii="Times New Roman" w:hAnsi="Times New Roman" w:cs="Times New Roman"/>
          <w:b/>
          <w:noProof/>
        </w:rPr>
        <w:t xml:space="preserve">Fig. 1 </w:t>
      </w:r>
      <w:r w:rsidRPr="00493F9D">
        <w:rPr>
          <w:rFonts w:ascii="Times New Roman" w:hAnsi="Times New Roman" w:cs="Times New Roman"/>
          <w:noProof/>
        </w:rPr>
        <w:t>DEM and DEF synergist assessment of permethrin and DDT insecticides</w:t>
      </w:r>
    </w:p>
    <w:p w14:paraId="0D21A1AD" w14:textId="77777777" w:rsidR="00FE471A" w:rsidRDefault="00FE471A" w:rsidP="00FE471A">
      <w:pPr>
        <w:spacing w:line="360" w:lineRule="auto"/>
        <w:rPr>
          <w:rFonts w:ascii="Times New Roman" w:hAnsi="Times New Roman" w:cs="Times New Roman"/>
          <w:lang w:val="en-GB"/>
        </w:rPr>
      </w:pPr>
    </w:p>
    <w:p w14:paraId="5E440EDC" w14:textId="77777777" w:rsidR="00FE471A" w:rsidRDefault="00FE471A" w:rsidP="00FE471A">
      <w:pPr>
        <w:spacing w:line="360" w:lineRule="auto"/>
        <w:rPr>
          <w:rFonts w:ascii="Times New Roman" w:hAnsi="Times New Roman" w:cs="Times New Roman"/>
          <w:lang w:val="en-GB"/>
        </w:rPr>
      </w:pPr>
    </w:p>
    <w:p w14:paraId="73FB03C8" w14:textId="77777777" w:rsidR="00FE471A" w:rsidRDefault="00FE471A" w:rsidP="00FE471A">
      <w:pPr>
        <w:spacing w:line="360" w:lineRule="auto"/>
        <w:rPr>
          <w:rFonts w:ascii="Times New Roman" w:hAnsi="Times New Roman" w:cs="Times New Roman"/>
          <w:lang w:val="en-GB"/>
        </w:rPr>
      </w:pPr>
    </w:p>
    <w:p w14:paraId="7FCD0524" w14:textId="77777777" w:rsidR="00FE471A" w:rsidRDefault="00FE471A" w:rsidP="00FE471A">
      <w:pPr>
        <w:spacing w:line="360" w:lineRule="auto"/>
        <w:rPr>
          <w:rFonts w:ascii="Times New Roman" w:hAnsi="Times New Roman" w:cs="Times New Roman"/>
          <w:lang w:val="en-GB"/>
        </w:rPr>
      </w:pPr>
    </w:p>
    <w:p w14:paraId="774B2F16" w14:textId="77777777" w:rsidR="00FE471A" w:rsidRDefault="00FE471A" w:rsidP="00FE471A">
      <w:pPr>
        <w:spacing w:line="360" w:lineRule="auto"/>
        <w:rPr>
          <w:rFonts w:ascii="Times New Roman" w:hAnsi="Times New Roman" w:cs="Times New Roman"/>
          <w:lang w:val="en-GB"/>
        </w:rPr>
      </w:pPr>
    </w:p>
    <w:p w14:paraId="1A5A4652" w14:textId="77777777" w:rsidR="00FE471A" w:rsidRDefault="00FE471A" w:rsidP="00FE471A">
      <w:pPr>
        <w:spacing w:line="360" w:lineRule="auto"/>
        <w:rPr>
          <w:rFonts w:ascii="Times New Roman" w:hAnsi="Times New Roman" w:cs="Times New Roman"/>
          <w:lang w:val="en-GB"/>
        </w:rPr>
      </w:pPr>
    </w:p>
    <w:p w14:paraId="14487DDA" w14:textId="77777777" w:rsidR="00FE471A" w:rsidRDefault="00FE471A" w:rsidP="00FE471A">
      <w:pPr>
        <w:spacing w:line="360" w:lineRule="auto"/>
        <w:rPr>
          <w:rFonts w:ascii="Times New Roman" w:hAnsi="Times New Roman" w:cs="Times New Roman"/>
          <w:lang w:val="en-GB"/>
        </w:rPr>
      </w:pPr>
    </w:p>
    <w:p w14:paraId="3C10C14D" w14:textId="77777777" w:rsidR="00FE471A" w:rsidRDefault="00FE471A" w:rsidP="00FE471A">
      <w:pPr>
        <w:spacing w:line="360" w:lineRule="auto"/>
        <w:rPr>
          <w:rFonts w:ascii="Times New Roman" w:hAnsi="Times New Roman" w:cs="Times New Roman"/>
          <w:lang w:val="en-GB"/>
        </w:rPr>
      </w:pPr>
    </w:p>
    <w:p w14:paraId="69D48E26" w14:textId="77777777" w:rsidR="00FE471A" w:rsidRDefault="00FE471A" w:rsidP="00FE471A">
      <w:pPr>
        <w:spacing w:line="360" w:lineRule="auto"/>
        <w:rPr>
          <w:rFonts w:ascii="Times New Roman" w:hAnsi="Times New Roman" w:cs="Times New Roman"/>
          <w:lang w:val="en-GB"/>
        </w:rPr>
      </w:pPr>
    </w:p>
    <w:p w14:paraId="1A5E2638" w14:textId="77777777" w:rsidR="00FE471A" w:rsidRDefault="00FE471A" w:rsidP="00FE471A">
      <w:pPr>
        <w:spacing w:line="360" w:lineRule="auto"/>
        <w:rPr>
          <w:rFonts w:ascii="Times New Roman" w:hAnsi="Times New Roman" w:cs="Times New Roman"/>
          <w:lang w:val="en-GB"/>
        </w:rPr>
      </w:pPr>
    </w:p>
    <w:p w14:paraId="28ECE0BA" w14:textId="77777777" w:rsidR="00FE471A" w:rsidRDefault="00FE471A" w:rsidP="00FE471A">
      <w:pPr>
        <w:spacing w:line="360" w:lineRule="auto"/>
        <w:rPr>
          <w:rFonts w:ascii="Times New Roman" w:hAnsi="Times New Roman" w:cs="Times New Roman"/>
          <w:lang w:val="en-GB"/>
        </w:rPr>
      </w:pPr>
    </w:p>
    <w:p w14:paraId="227603C2" w14:textId="77777777" w:rsidR="00FE471A" w:rsidRDefault="00FE471A" w:rsidP="00FE471A">
      <w:pPr>
        <w:spacing w:line="360" w:lineRule="auto"/>
        <w:rPr>
          <w:rFonts w:ascii="Times New Roman" w:hAnsi="Times New Roman" w:cs="Times New Roman"/>
          <w:lang w:val="en-GB"/>
        </w:rPr>
      </w:pPr>
    </w:p>
    <w:p w14:paraId="247AE832" w14:textId="77777777" w:rsidR="00FE471A" w:rsidRDefault="00FE471A" w:rsidP="00FE471A">
      <w:pPr>
        <w:spacing w:line="360" w:lineRule="auto"/>
        <w:rPr>
          <w:rFonts w:ascii="Times New Roman" w:hAnsi="Times New Roman" w:cs="Times New Roman"/>
          <w:lang w:val="en-GB"/>
        </w:rPr>
      </w:pPr>
    </w:p>
    <w:p w14:paraId="1A2A7AEB" w14:textId="77777777" w:rsidR="00FE471A" w:rsidRDefault="00FE471A" w:rsidP="00FE471A">
      <w:pPr>
        <w:spacing w:line="360" w:lineRule="auto"/>
        <w:rPr>
          <w:rFonts w:ascii="Times New Roman" w:hAnsi="Times New Roman" w:cs="Times New Roman"/>
          <w:lang w:val="en-GB"/>
        </w:rPr>
      </w:pPr>
    </w:p>
    <w:p w14:paraId="6ABA380D" w14:textId="77777777" w:rsidR="00FE471A" w:rsidRDefault="00FE471A" w:rsidP="00FE471A">
      <w:pPr>
        <w:spacing w:line="360" w:lineRule="auto"/>
        <w:rPr>
          <w:rFonts w:ascii="Times New Roman" w:hAnsi="Times New Roman" w:cs="Times New Roman"/>
          <w:lang w:val="en-GB"/>
        </w:rPr>
      </w:pPr>
    </w:p>
    <w:p w14:paraId="05052AC9" w14:textId="77777777" w:rsidR="00FE471A" w:rsidRDefault="00FE471A" w:rsidP="00FE471A">
      <w:pPr>
        <w:spacing w:line="360" w:lineRule="auto"/>
        <w:rPr>
          <w:rFonts w:ascii="Times New Roman" w:hAnsi="Times New Roman" w:cs="Times New Roman"/>
          <w:lang w:val="en-GB"/>
        </w:rPr>
      </w:pPr>
    </w:p>
    <w:p w14:paraId="32470F40" w14:textId="77777777" w:rsidR="00FE471A" w:rsidRDefault="00FE471A" w:rsidP="00FE471A">
      <w:pPr>
        <w:spacing w:line="360" w:lineRule="auto"/>
        <w:rPr>
          <w:rFonts w:ascii="Times New Roman" w:hAnsi="Times New Roman" w:cs="Times New Roman"/>
          <w:lang w:val="en-GB"/>
        </w:rPr>
      </w:pPr>
    </w:p>
    <w:p w14:paraId="6B20E6DC" w14:textId="77777777" w:rsidR="00FE471A" w:rsidRDefault="00FE471A" w:rsidP="00FE471A">
      <w:pPr>
        <w:spacing w:line="360" w:lineRule="auto"/>
        <w:rPr>
          <w:rFonts w:ascii="Times New Roman" w:hAnsi="Times New Roman" w:cs="Times New Roman"/>
          <w:lang w:val="en-GB"/>
        </w:rPr>
      </w:pPr>
    </w:p>
    <w:p w14:paraId="6845733D" w14:textId="77777777" w:rsidR="00FE471A" w:rsidRDefault="00FE471A" w:rsidP="00FE471A">
      <w:pPr>
        <w:spacing w:line="360" w:lineRule="auto"/>
        <w:rPr>
          <w:rFonts w:ascii="Times New Roman" w:hAnsi="Times New Roman" w:cs="Times New Roman"/>
          <w:lang w:val="en-GB"/>
        </w:rPr>
      </w:pPr>
    </w:p>
    <w:p w14:paraId="4B62EBF6" w14:textId="77777777" w:rsidR="00FE471A" w:rsidRDefault="00FE471A" w:rsidP="00FE471A">
      <w:pPr>
        <w:spacing w:line="360" w:lineRule="auto"/>
        <w:rPr>
          <w:rFonts w:ascii="Times New Roman" w:hAnsi="Times New Roman" w:cs="Times New Roman"/>
          <w:lang w:val="en-GB"/>
        </w:rPr>
      </w:pPr>
    </w:p>
    <w:p w14:paraId="2D031F6D" w14:textId="77777777" w:rsidR="00FE471A" w:rsidRDefault="00FE471A" w:rsidP="00FE471A">
      <w:pPr>
        <w:spacing w:line="360" w:lineRule="auto"/>
        <w:rPr>
          <w:rFonts w:ascii="Times New Roman" w:hAnsi="Times New Roman" w:cs="Times New Roman"/>
          <w:lang w:val="en-GB"/>
        </w:rPr>
      </w:pPr>
    </w:p>
    <w:p w14:paraId="6BD95104" w14:textId="77777777" w:rsidR="00FE471A" w:rsidRPr="00493F9D" w:rsidRDefault="00FE471A" w:rsidP="00FE471A">
      <w:pPr>
        <w:spacing w:line="360" w:lineRule="auto"/>
        <w:rPr>
          <w:rFonts w:ascii="Times New Roman" w:hAnsi="Times New Roman" w:cs="Times New Roman"/>
          <w:lang w:val="en-GB"/>
        </w:rPr>
      </w:pPr>
      <w:r w:rsidRPr="00875932">
        <w:rPr>
          <w:noProof/>
        </w:rPr>
        <w:lastRenderedPageBreak/>
        <w:drawing>
          <wp:inline distT="0" distB="0" distL="0" distR="0" wp14:anchorId="14BABAAA" wp14:editId="5A97B711">
            <wp:extent cx="5270500" cy="1538454"/>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0500" cy="1538454"/>
                    </a:xfrm>
                    <a:prstGeom prst="rect">
                      <a:avLst/>
                    </a:prstGeom>
                    <a:noFill/>
                    <a:ln>
                      <a:noFill/>
                    </a:ln>
                  </pic:spPr>
                </pic:pic>
              </a:graphicData>
            </a:graphic>
          </wp:inline>
        </w:drawing>
      </w:r>
    </w:p>
    <w:p w14:paraId="0B05FE0B" w14:textId="77777777" w:rsidR="00FE471A" w:rsidRPr="00493F9D" w:rsidRDefault="00FE471A" w:rsidP="00FE471A">
      <w:pPr>
        <w:spacing w:line="360" w:lineRule="auto"/>
        <w:rPr>
          <w:lang w:val="en-GB"/>
        </w:rPr>
      </w:pPr>
      <w:r w:rsidRPr="00493F9D">
        <w:rPr>
          <w:rFonts w:ascii="Times New Roman" w:hAnsi="Times New Roman"/>
          <w:b/>
          <w:bCs/>
        </w:rPr>
        <w:t xml:space="preserve">Fig. 2 a </w:t>
      </w:r>
      <w:r w:rsidRPr="00493F9D">
        <w:rPr>
          <w:rFonts w:ascii="Times New Roman" w:hAnsi="Times New Roman"/>
          <w:lang w:val="en-GB"/>
        </w:rPr>
        <w:t xml:space="preserve">Transcripts differentially expressed in permethrin resistance. </w:t>
      </w:r>
      <w:r w:rsidRPr="00493F9D">
        <w:rPr>
          <w:rFonts w:ascii="Times New Roman" w:hAnsi="Times New Roman"/>
          <w:b/>
          <w:bCs/>
          <w:lang w:val="en-GB"/>
        </w:rPr>
        <w:t>b</w:t>
      </w:r>
      <w:r w:rsidRPr="00493F9D">
        <w:rPr>
          <w:rFonts w:ascii="Times New Roman" w:hAnsi="Times New Roman"/>
          <w:lang w:val="en-GB"/>
        </w:rPr>
        <w:t xml:space="preserve"> Transcripts differentially expressed in </w:t>
      </w:r>
      <w:bookmarkStart w:id="7" w:name="_Hlk45175969"/>
      <w:r w:rsidRPr="00493F9D">
        <w:rPr>
          <w:rFonts w:ascii="Times New Roman" w:hAnsi="Times New Roman"/>
          <w:lang w:val="en-GB"/>
        </w:rPr>
        <w:t>the cross-analysis of</w:t>
      </w:r>
      <w:bookmarkEnd w:id="7"/>
      <w:r w:rsidRPr="00493F9D">
        <w:rPr>
          <w:rFonts w:ascii="Times New Roman" w:hAnsi="Times New Roman"/>
          <w:lang w:val="en-GB"/>
        </w:rPr>
        <w:t xml:space="preserve"> DDT and permethrin resistance. Venn diagram displays the number of significantly (P </w:t>
      </w:r>
      <w:r w:rsidRPr="00493F9D">
        <w:rPr>
          <w:rFonts w:ascii="Times New Roman" w:hAnsi="Times New Roman" w:cs="Times New Roman"/>
          <w:lang w:val="en-GB"/>
        </w:rPr>
        <w:t xml:space="preserve">≤ </w:t>
      </w:r>
      <w:r w:rsidRPr="00493F9D">
        <w:rPr>
          <w:rFonts w:ascii="Times New Roman" w:hAnsi="Times New Roman"/>
          <w:lang w:val="en-GB"/>
        </w:rPr>
        <w:t xml:space="preserve">0.05) up or down-regulated transcripts, and the commonly expressed transcripts (FC </w:t>
      </w:r>
      <w:r w:rsidRPr="00493F9D">
        <w:rPr>
          <w:rFonts w:ascii="Times New Roman" w:hAnsi="Times New Roman" w:cs="Times New Roman"/>
          <w:lang w:val="en-GB"/>
        </w:rPr>
        <w:t>≥</w:t>
      </w:r>
      <w:r w:rsidRPr="00493F9D">
        <w:rPr>
          <w:rFonts w:ascii="Times New Roman" w:hAnsi="Times New Roman"/>
          <w:lang w:val="en-GB"/>
        </w:rPr>
        <w:t xml:space="preserve"> 2) in each comparison</w:t>
      </w:r>
    </w:p>
    <w:p w14:paraId="7FEF9B92" w14:textId="77777777" w:rsidR="00FE471A" w:rsidRDefault="00FE471A" w:rsidP="00FE471A">
      <w:pPr>
        <w:spacing w:line="360" w:lineRule="auto"/>
        <w:rPr>
          <w:rFonts w:ascii="Times New Roman" w:hAnsi="Times New Roman" w:cs="Times New Roman"/>
          <w:lang w:val="en-GB"/>
        </w:rPr>
      </w:pPr>
    </w:p>
    <w:p w14:paraId="26303D5B" w14:textId="77777777" w:rsidR="00FE471A" w:rsidRDefault="00FE471A" w:rsidP="00FE471A">
      <w:pPr>
        <w:spacing w:line="360" w:lineRule="auto"/>
        <w:rPr>
          <w:rFonts w:ascii="Times New Roman" w:hAnsi="Times New Roman" w:cs="Times New Roman"/>
          <w:lang w:val="en-GB"/>
        </w:rPr>
      </w:pPr>
    </w:p>
    <w:p w14:paraId="23AE95B7" w14:textId="77777777" w:rsidR="00FE471A" w:rsidRDefault="00FE471A" w:rsidP="00FE471A">
      <w:pPr>
        <w:spacing w:line="360" w:lineRule="auto"/>
        <w:rPr>
          <w:rFonts w:ascii="Times New Roman" w:hAnsi="Times New Roman" w:cs="Times New Roman"/>
          <w:lang w:val="en-GB"/>
        </w:rPr>
      </w:pPr>
    </w:p>
    <w:p w14:paraId="7BB25628" w14:textId="77777777" w:rsidR="00FE471A" w:rsidRDefault="00FE471A" w:rsidP="00FE471A">
      <w:pPr>
        <w:spacing w:line="360" w:lineRule="auto"/>
        <w:rPr>
          <w:rFonts w:ascii="Times New Roman" w:hAnsi="Times New Roman" w:cs="Times New Roman"/>
          <w:lang w:val="en-GB"/>
        </w:rPr>
      </w:pPr>
    </w:p>
    <w:p w14:paraId="03A04415" w14:textId="77777777" w:rsidR="00FE471A" w:rsidRDefault="00FE471A" w:rsidP="00FE471A">
      <w:pPr>
        <w:spacing w:line="360" w:lineRule="auto"/>
        <w:rPr>
          <w:rFonts w:ascii="Times New Roman" w:hAnsi="Times New Roman" w:cs="Times New Roman"/>
          <w:lang w:val="en-GB"/>
        </w:rPr>
      </w:pPr>
    </w:p>
    <w:p w14:paraId="36607D5F" w14:textId="77777777" w:rsidR="00FE471A" w:rsidRDefault="00FE471A" w:rsidP="00FE471A">
      <w:pPr>
        <w:spacing w:line="360" w:lineRule="auto"/>
        <w:rPr>
          <w:rFonts w:ascii="Times New Roman" w:hAnsi="Times New Roman" w:cs="Times New Roman"/>
          <w:lang w:val="en-GB"/>
        </w:rPr>
      </w:pPr>
    </w:p>
    <w:p w14:paraId="2EB671A4" w14:textId="77777777" w:rsidR="00FE471A" w:rsidRDefault="00FE471A" w:rsidP="00FE471A">
      <w:pPr>
        <w:spacing w:line="360" w:lineRule="auto"/>
        <w:rPr>
          <w:rFonts w:ascii="Times New Roman" w:hAnsi="Times New Roman" w:cs="Times New Roman"/>
          <w:lang w:val="en-GB"/>
        </w:rPr>
      </w:pPr>
    </w:p>
    <w:p w14:paraId="28326909" w14:textId="77777777" w:rsidR="00FE471A" w:rsidRDefault="00FE471A" w:rsidP="00FE471A">
      <w:pPr>
        <w:spacing w:line="360" w:lineRule="auto"/>
        <w:rPr>
          <w:rFonts w:ascii="Times New Roman" w:hAnsi="Times New Roman" w:cs="Times New Roman"/>
          <w:lang w:val="en-GB"/>
        </w:rPr>
      </w:pPr>
    </w:p>
    <w:p w14:paraId="30F44A8C" w14:textId="77777777" w:rsidR="00FE471A" w:rsidRDefault="00FE471A" w:rsidP="00FE471A">
      <w:pPr>
        <w:spacing w:line="360" w:lineRule="auto"/>
        <w:rPr>
          <w:rFonts w:ascii="Times New Roman" w:hAnsi="Times New Roman" w:cs="Times New Roman"/>
          <w:lang w:val="en-GB"/>
        </w:rPr>
      </w:pPr>
    </w:p>
    <w:p w14:paraId="26DCB341" w14:textId="77777777" w:rsidR="00FE471A" w:rsidRDefault="00FE471A" w:rsidP="00FE471A">
      <w:pPr>
        <w:spacing w:line="360" w:lineRule="auto"/>
        <w:rPr>
          <w:rFonts w:ascii="Times New Roman" w:hAnsi="Times New Roman" w:cs="Times New Roman"/>
          <w:lang w:val="en-GB"/>
        </w:rPr>
      </w:pPr>
    </w:p>
    <w:p w14:paraId="7BD588A5" w14:textId="77777777" w:rsidR="00FE471A" w:rsidRDefault="00FE471A" w:rsidP="00FE471A">
      <w:pPr>
        <w:spacing w:line="360" w:lineRule="auto"/>
        <w:rPr>
          <w:rFonts w:ascii="Times New Roman" w:hAnsi="Times New Roman" w:cs="Times New Roman"/>
          <w:lang w:val="en-GB"/>
        </w:rPr>
      </w:pPr>
    </w:p>
    <w:p w14:paraId="49E81F72" w14:textId="77777777" w:rsidR="00FE471A" w:rsidRDefault="00FE471A" w:rsidP="00FE471A">
      <w:pPr>
        <w:spacing w:line="360" w:lineRule="auto"/>
        <w:rPr>
          <w:rFonts w:ascii="Times New Roman" w:hAnsi="Times New Roman" w:cs="Times New Roman"/>
          <w:lang w:val="en-GB"/>
        </w:rPr>
      </w:pPr>
    </w:p>
    <w:p w14:paraId="690B3BD7" w14:textId="77777777" w:rsidR="00FE471A" w:rsidRDefault="00FE471A" w:rsidP="00FE471A">
      <w:pPr>
        <w:spacing w:line="360" w:lineRule="auto"/>
        <w:rPr>
          <w:rFonts w:ascii="Times New Roman" w:hAnsi="Times New Roman" w:cs="Times New Roman"/>
          <w:lang w:val="en-GB"/>
        </w:rPr>
      </w:pPr>
    </w:p>
    <w:p w14:paraId="6F03A8BB" w14:textId="77777777" w:rsidR="00FE471A" w:rsidRDefault="00FE471A" w:rsidP="00FE471A">
      <w:pPr>
        <w:spacing w:line="360" w:lineRule="auto"/>
        <w:rPr>
          <w:rFonts w:ascii="Times New Roman" w:hAnsi="Times New Roman" w:cs="Times New Roman"/>
          <w:lang w:val="en-GB"/>
        </w:rPr>
      </w:pPr>
    </w:p>
    <w:p w14:paraId="7A6CF0E9" w14:textId="77777777" w:rsidR="00FE471A" w:rsidRDefault="00FE471A" w:rsidP="00FE471A">
      <w:pPr>
        <w:spacing w:line="360" w:lineRule="auto"/>
        <w:rPr>
          <w:rFonts w:ascii="Times New Roman" w:hAnsi="Times New Roman" w:cs="Times New Roman"/>
          <w:lang w:val="en-GB"/>
        </w:rPr>
      </w:pPr>
    </w:p>
    <w:p w14:paraId="406318E6" w14:textId="77777777" w:rsidR="00FE471A" w:rsidRDefault="00FE471A" w:rsidP="00FE471A">
      <w:pPr>
        <w:spacing w:line="360" w:lineRule="auto"/>
        <w:rPr>
          <w:rFonts w:ascii="Times New Roman" w:hAnsi="Times New Roman" w:cs="Times New Roman"/>
          <w:lang w:val="en-GB"/>
        </w:rPr>
      </w:pPr>
    </w:p>
    <w:p w14:paraId="34BF0BF1" w14:textId="77777777" w:rsidR="00FE471A" w:rsidRDefault="00FE471A" w:rsidP="00FE471A">
      <w:pPr>
        <w:spacing w:line="360" w:lineRule="auto"/>
        <w:rPr>
          <w:rFonts w:ascii="Times New Roman" w:hAnsi="Times New Roman" w:cs="Times New Roman"/>
          <w:lang w:val="en-GB"/>
        </w:rPr>
      </w:pPr>
    </w:p>
    <w:p w14:paraId="2039F4F8" w14:textId="77777777" w:rsidR="00FE471A" w:rsidRDefault="00FE471A" w:rsidP="00FE471A">
      <w:pPr>
        <w:spacing w:line="360" w:lineRule="auto"/>
        <w:rPr>
          <w:rFonts w:ascii="Times New Roman" w:hAnsi="Times New Roman" w:cs="Times New Roman"/>
          <w:lang w:val="en-GB"/>
        </w:rPr>
      </w:pPr>
    </w:p>
    <w:p w14:paraId="6A778E74" w14:textId="77777777" w:rsidR="00FE471A" w:rsidRDefault="00FE471A" w:rsidP="00FE471A">
      <w:pPr>
        <w:spacing w:line="360" w:lineRule="auto"/>
        <w:rPr>
          <w:rFonts w:ascii="Times New Roman" w:hAnsi="Times New Roman" w:cs="Times New Roman"/>
          <w:lang w:val="en-GB"/>
        </w:rPr>
      </w:pPr>
    </w:p>
    <w:p w14:paraId="07A0F978" w14:textId="77777777" w:rsidR="00FE471A" w:rsidRDefault="00FE471A" w:rsidP="00FE471A">
      <w:pPr>
        <w:spacing w:line="360" w:lineRule="auto"/>
        <w:rPr>
          <w:rFonts w:ascii="Times New Roman" w:hAnsi="Times New Roman" w:cs="Times New Roman"/>
          <w:lang w:val="en-GB"/>
        </w:rPr>
      </w:pPr>
    </w:p>
    <w:p w14:paraId="458F37B3" w14:textId="77777777" w:rsidR="00FE471A" w:rsidRDefault="00FE471A" w:rsidP="00FE471A">
      <w:pPr>
        <w:spacing w:line="360" w:lineRule="auto"/>
        <w:rPr>
          <w:rFonts w:ascii="Times New Roman" w:hAnsi="Times New Roman" w:cs="Times New Roman"/>
          <w:lang w:val="en-GB"/>
        </w:rPr>
      </w:pPr>
    </w:p>
    <w:p w14:paraId="2258B654" w14:textId="77777777" w:rsidR="00FE471A" w:rsidRDefault="00FE471A" w:rsidP="00FE471A">
      <w:pPr>
        <w:spacing w:line="360" w:lineRule="auto"/>
        <w:rPr>
          <w:rFonts w:ascii="Times New Roman" w:hAnsi="Times New Roman" w:cs="Times New Roman"/>
          <w:lang w:val="en-GB"/>
        </w:rPr>
      </w:pPr>
    </w:p>
    <w:p w14:paraId="4057885C" w14:textId="77777777" w:rsidR="00FE471A" w:rsidRPr="00493F9D" w:rsidRDefault="00FE471A" w:rsidP="00FE471A">
      <w:pPr>
        <w:spacing w:line="360" w:lineRule="auto"/>
        <w:rPr>
          <w:rFonts w:ascii="Times New Roman" w:hAnsi="Times New Roman" w:cs="Times New Roman"/>
          <w:bCs/>
          <w:iCs/>
          <w:lang w:val="en-GB"/>
        </w:rPr>
      </w:pPr>
      <w:r w:rsidRPr="00875932">
        <w:rPr>
          <w:noProof/>
        </w:rPr>
        <w:lastRenderedPageBreak/>
        <w:drawing>
          <wp:inline distT="0" distB="0" distL="0" distR="0" wp14:anchorId="0956E092" wp14:editId="64F1E8E6">
            <wp:extent cx="5270500" cy="381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0500" cy="3816750"/>
                    </a:xfrm>
                    <a:prstGeom prst="rect">
                      <a:avLst/>
                    </a:prstGeom>
                    <a:noFill/>
                    <a:ln>
                      <a:noFill/>
                    </a:ln>
                  </pic:spPr>
                </pic:pic>
              </a:graphicData>
            </a:graphic>
          </wp:inline>
        </w:drawing>
      </w:r>
      <w:r w:rsidRPr="00493F9D">
        <w:rPr>
          <w:rFonts w:ascii="Times New Roman" w:hAnsi="Times New Roman" w:cs="Times New Roman"/>
          <w:b/>
        </w:rPr>
        <w:t xml:space="preserve">Fig. 3 </w:t>
      </w:r>
      <w:r w:rsidRPr="00493F9D">
        <w:rPr>
          <w:rFonts w:ascii="Times New Roman" w:hAnsi="Times New Roman" w:cs="Times New Roman"/>
          <w:lang w:val="en-GB"/>
        </w:rPr>
        <w:t xml:space="preserve">Gene expression analysis of selected candidate genes in </w:t>
      </w:r>
      <w:r w:rsidRPr="00493F9D">
        <w:rPr>
          <w:rFonts w:ascii="Times New Roman" w:hAnsi="Times New Roman" w:cs="Times New Roman"/>
          <w:i/>
          <w:iCs/>
          <w:lang w:val="en-GB"/>
        </w:rPr>
        <w:t>An. funestus</w:t>
      </w:r>
      <w:r w:rsidRPr="00493F9D">
        <w:rPr>
          <w:rFonts w:ascii="Times New Roman" w:hAnsi="Times New Roman" w:cs="Times New Roman"/>
          <w:lang w:val="en-GB"/>
        </w:rPr>
        <w:t xml:space="preserve"> that are resistant to DDT (</w:t>
      </w:r>
      <w:r w:rsidRPr="00493F9D">
        <w:rPr>
          <w:rFonts w:ascii="Times New Roman" w:hAnsi="Times New Roman" w:cs="Times New Roman"/>
          <w:b/>
          <w:bCs/>
          <w:lang w:val="en-GB"/>
        </w:rPr>
        <w:t>a</w:t>
      </w:r>
      <w:r w:rsidRPr="00493F9D">
        <w:rPr>
          <w:rFonts w:ascii="Times New Roman" w:hAnsi="Times New Roman" w:cs="Times New Roman"/>
          <w:lang w:val="en-GB"/>
        </w:rPr>
        <w:t>), permethrin (</w:t>
      </w:r>
      <w:r w:rsidRPr="00493F9D">
        <w:rPr>
          <w:rFonts w:ascii="Times New Roman" w:hAnsi="Times New Roman" w:cs="Times New Roman"/>
          <w:b/>
          <w:bCs/>
          <w:lang w:val="en-GB"/>
        </w:rPr>
        <w:t>b</w:t>
      </w:r>
      <w:r w:rsidRPr="00493F9D">
        <w:rPr>
          <w:rFonts w:ascii="Times New Roman" w:hAnsi="Times New Roman" w:cs="Times New Roman"/>
          <w:lang w:val="en-GB"/>
        </w:rPr>
        <w:t>) and dieldrin (</w:t>
      </w:r>
      <w:r w:rsidRPr="00493F9D">
        <w:rPr>
          <w:rFonts w:ascii="Times New Roman" w:hAnsi="Times New Roman" w:cs="Times New Roman"/>
          <w:b/>
          <w:bCs/>
          <w:lang w:val="en-GB"/>
        </w:rPr>
        <w:t>c</w:t>
      </w:r>
      <w:r w:rsidRPr="00493F9D">
        <w:rPr>
          <w:rFonts w:ascii="Times New Roman" w:hAnsi="Times New Roman" w:cs="Times New Roman"/>
          <w:lang w:val="en-GB"/>
        </w:rPr>
        <w:t xml:space="preserve">) using the RT-PCR. </w:t>
      </w:r>
      <w:r w:rsidRPr="00493F9D">
        <w:rPr>
          <w:rFonts w:ascii="Times New Roman" w:hAnsi="Times New Roman" w:cs="Times New Roman"/>
          <w:i/>
          <w:iCs/>
          <w:lang w:val="en-GB"/>
        </w:rPr>
        <w:t>Abbreviations</w:t>
      </w:r>
      <w:r w:rsidRPr="00493F9D">
        <w:rPr>
          <w:rFonts w:ascii="Times New Roman" w:hAnsi="Times New Roman" w:cs="Times New Roman"/>
          <w:lang w:val="en-GB"/>
        </w:rPr>
        <w:t xml:space="preserve">: </w:t>
      </w:r>
      <w:r w:rsidRPr="00493F9D">
        <w:rPr>
          <w:rFonts w:ascii="Times New Roman" w:hAnsi="Times New Roman"/>
          <w:b/>
          <w:i/>
          <w:sz w:val="20"/>
          <w:szCs w:val="20"/>
          <w:lang w:val="en-GB"/>
        </w:rPr>
        <w:t>Unexp=unexposed/control population (Control); perm-Res=permethrin resistant population; DDT-Res=DDT resistant population; Diel-Res=dieldrin resistant population</w:t>
      </w:r>
      <w:r w:rsidRPr="00493F9D">
        <w:rPr>
          <w:rFonts w:ascii="Times New Roman" w:hAnsi="Times New Roman" w:cs="Times New Roman"/>
          <w:bCs/>
          <w:iCs/>
          <w:lang w:val="en-GB"/>
        </w:rPr>
        <w:t>Unexp, unexposed/control population; perm-Res, permethrin-resistant population; DDT-Res, DDT-resistant population; Diel-Res, dieldrin-resistant population</w:t>
      </w:r>
    </w:p>
    <w:p w14:paraId="79171513" w14:textId="77777777" w:rsidR="00FE471A" w:rsidRDefault="00FE471A" w:rsidP="00FE471A">
      <w:pPr>
        <w:spacing w:line="360" w:lineRule="auto"/>
        <w:rPr>
          <w:rFonts w:ascii="Times New Roman" w:hAnsi="Times New Roman" w:cs="Times New Roman"/>
          <w:lang w:val="en-GB"/>
        </w:rPr>
      </w:pPr>
    </w:p>
    <w:p w14:paraId="05906A13" w14:textId="77777777" w:rsidR="00FE471A" w:rsidRDefault="00FE471A" w:rsidP="00FE471A">
      <w:pPr>
        <w:spacing w:line="360" w:lineRule="auto"/>
        <w:rPr>
          <w:rFonts w:ascii="Times New Roman" w:hAnsi="Times New Roman" w:cs="Times New Roman"/>
          <w:lang w:val="en-GB"/>
        </w:rPr>
      </w:pPr>
    </w:p>
    <w:p w14:paraId="10420B3C" w14:textId="77777777" w:rsidR="00FE471A" w:rsidRPr="00493F9D" w:rsidRDefault="00FE471A" w:rsidP="00FE471A">
      <w:pPr>
        <w:spacing w:line="360" w:lineRule="auto"/>
        <w:rPr>
          <w:rFonts w:ascii="Times New Roman" w:hAnsi="Times New Roman" w:cs="Times New Roman"/>
          <w:lang w:val="en-GB"/>
        </w:rPr>
      </w:pPr>
      <w:r w:rsidRPr="00875932">
        <w:rPr>
          <w:noProof/>
        </w:rPr>
        <w:lastRenderedPageBreak/>
        <w:drawing>
          <wp:inline distT="0" distB="0" distL="0" distR="0" wp14:anchorId="2F80B1AC" wp14:editId="772CDF75">
            <wp:extent cx="5270500" cy="3815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3815420"/>
                    </a:xfrm>
                    <a:prstGeom prst="rect">
                      <a:avLst/>
                    </a:prstGeom>
                    <a:noFill/>
                    <a:ln>
                      <a:noFill/>
                    </a:ln>
                  </pic:spPr>
                </pic:pic>
              </a:graphicData>
            </a:graphic>
          </wp:inline>
        </w:drawing>
      </w:r>
    </w:p>
    <w:p w14:paraId="50B5B657" w14:textId="77777777" w:rsidR="00FE471A" w:rsidRPr="006333D3" w:rsidRDefault="00FE471A" w:rsidP="00FE471A">
      <w:pPr>
        <w:autoSpaceDE w:val="0"/>
        <w:autoSpaceDN w:val="0"/>
        <w:adjustRightInd w:val="0"/>
        <w:spacing w:line="360" w:lineRule="auto"/>
        <w:rPr>
          <w:rFonts w:ascii="Times New Roman" w:hAnsi="Times New Roman" w:cs="Times New Roman"/>
          <w:lang w:val="en-GB"/>
        </w:rPr>
      </w:pPr>
      <w:r w:rsidRPr="00493F9D">
        <w:rPr>
          <w:rFonts w:ascii="Times New Roman" w:hAnsi="Times New Roman" w:cs="Times New Roman"/>
          <w:b/>
        </w:rPr>
        <w:t>Fig. 4</w:t>
      </w:r>
      <w:r w:rsidRPr="00493F9D">
        <w:rPr>
          <w:rFonts w:ascii="Times New Roman" w:hAnsi="Times New Roman" w:cs="Times New Roman"/>
        </w:rPr>
        <w:t xml:space="preserve"> </w:t>
      </w:r>
      <w:r w:rsidRPr="00493F9D">
        <w:rPr>
          <w:rFonts w:ascii="Times New Roman" w:hAnsi="Times New Roman" w:cs="Times New Roman"/>
          <w:i/>
          <w:iCs/>
          <w:lang w:val="en-GB"/>
        </w:rPr>
        <w:t>kdr</w:t>
      </w:r>
      <w:r w:rsidRPr="00493F9D">
        <w:rPr>
          <w:rFonts w:ascii="Times New Roman" w:hAnsi="Times New Roman" w:cs="Times New Roman"/>
          <w:lang w:val="en-GB"/>
        </w:rPr>
        <w:t xml:space="preserve"> polymorphism in </w:t>
      </w:r>
      <w:r w:rsidRPr="00493F9D">
        <w:rPr>
          <w:rFonts w:ascii="Times New Roman" w:hAnsi="Times New Roman" w:cs="Times New Roman"/>
          <w:i/>
          <w:lang w:val="en-GB"/>
        </w:rPr>
        <w:t>Anopheles funestus</w:t>
      </w:r>
      <w:r w:rsidRPr="00493F9D">
        <w:rPr>
          <w:rFonts w:ascii="Times New Roman" w:hAnsi="Times New Roman" w:cs="Times New Roman"/>
          <w:lang w:val="en-GB"/>
        </w:rPr>
        <w:t xml:space="preserve"> from Akaka-Remo. </w:t>
      </w:r>
      <w:r w:rsidRPr="00493F9D">
        <w:rPr>
          <w:rFonts w:ascii="Times New Roman" w:hAnsi="Times New Roman" w:cs="Times New Roman"/>
          <w:b/>
          <w:bCs/>
          <w:lang w:val="en-GB"/>
        </w:rPr>
        <w:t>a</w:t>
      </w:r>
      <w:r w:rsidRPr="00493F9D">
        <w:rPr>
          <w:rFonts w:ascii="Times New Roman" w:hAnsi="Times New Roman" w:cs="Times New Roman"/>
          <w:lang w:val="en-GB"/>
        </w:rPr>
        <w:t xml:space="preserve"> Schematic representation of haplotypes of Exon20 fragment of the Voltage-gated sodium channel gene (VGSC) observed in wild type </w:t>
      </w:r>
      <w:r w:rsidRPr="00493F9D">
        <w:rPr>
          <w:rFonts w:ascii="Times New Roman" w:hAnsi="Times New Roman" w:cs="Times New Roman"/>
          <w:i/>
          <w:lang w:val="en-GB"/>
        </w:rPr>
        <w:t>An. funestus</w:t>
      </w:r>
      <w:r w:rsidRPr="00493F9D">
        <w:rPr>
          <w:rFonts w:ascii="Times New Roman" w:hAnsi="Times New Roman" w:cs="Times New Roman"/>
          <w:lang w:val="en-GB"/>
        </w:rPr>
        <w:t xml:space="preserve"> from Akaka-Remo. Only the polymorphic sites are shown in the aligned sequence. Dots mean identity with the parent (first) sequence. The column (N) indicates the number of individuals sharing the haplotype. </w:t>
      </w:r>
      <w:r w:rsidRPr="00493F9D">
        <w:rPr>
          <w:rFonts w:ascii="Times New Roman" w:hAnsi="Times New Roman" w:cs="Times New Roman"/>
          <w:b/>
          <w:bCs/>
          <w:lang w:val="en-GB"/>
        </w:rPr>
        <w:t>b</w:t>
      </w:r>
      <w:r w:rsidRPr="00493F9D">
        <w:rPr>
          <w:rFonts w:ascii="Times New Roman" w:hAnsi="Times New Roman" w:cs="Times New Roman"/>
          <w:lang w:val="en-GB"/>
        </w:rPr>
        <w:t xml:space="preserve"> Neighbour joining tree of the voltage gated sodium channel (VGSC) gene between Akaka-Remo, Kpome, Pahou and Cameroon. </w:t>
      </w:r>
      <w:r w:rsidRPr="00493F9D">
        <w:rPr>
          <w:rFonts w:ascii="Times New Roman" w:hAnsi="Times New Roman" w:cs="Times New Roman"/>
          <w:b/>
          <w:bCs/>
          <w:lang w:val="en-GB"/>
        </w:rPr>
        <w:t>c</w:t>
      </w:r>
      <w:r w:rsidRPr="00493F9D">
        <w:rPr>
          <w:rFonts w:ascii="Times New Roman" w:hAnsi="Times New Roman" w:cs="Times New Roman"/>
          <w:lang w:val="en-GB"/>
        </w:rPr>
        <w:t xml:space="preserve"> Maximum likelihood tree of </w:t>
      </w:r>
      <w:r w:rsidRPr="00493F9D">
        <w:rPr>
          <w:rFonts w:ascii="Times New Roman" w:hAnsi="Times New Roman" w:cs="Times New Roman"/>
          <w:i/>
          <w:iCs/>
          <w:lang w:val="en-GB"/>
        </w:rPr>
        <w:t>kdr</w:t>
      </w:r>
      <w:r w:rsidRPr="00493F9D">
        <w:rPr>
          <w:rFonts w:ascii="Times New Roman" w:hAnsi="Times New Roman" w:cs="Times New Roman"/>
          <w:lang w:val="en-GB"/>
        </w:rPr>
        <w:t xml:space="preserve"> in Akaka-Remo, Kpome, Pahou and Cameroon</w:t>
      </w:r>
    </w:p>
    <w:p w14:paraId="662114A0" w14:textId="77777777" w:rsidR="00FE471A" w:rsidRDefault="00FE471A" w:rsidP="00FE471A">
      <w:pPr>
        <w:spacing w:line="360" w:lineRule="auto"/>
        <w:rPr>
          <w:b/>
          <w:noProof/>
        </w:rPr>
      </w:pPr>
    </w:p>
    <w:p w14:paraId="1E2122FB" w14:textId="77777777" w:rsidR="00FE471A" w:rsidRDefault="00FE471A" w:rsidP="00FE471A">
      <w:pPr>
        <w:spacing w:line="360" w:lineRule="auto"/>
        <w:rPr>
          <w:b/>
          <w:noProof/>
        </w:rPr>
      </w:pPr>
    </w:p>
    <w:p w14:paraId="7847BD63" w14:textId="77777777" w:rsidR="00FE471A" w:rsidRDefault="00FE471A" w:rsidP="00FE471A">
      <w:pPr>
        <w:spacing w:line="360" w:lineRule="auto"/>
        <w:rPr>
          <w:b/>
          <w:noProof/>
        </w:rPr>
      </w:pPr>
    </w:p>
    <w:p w14:paraId="733986BB" w14:textId="77777777" w:rsidR="00FE471A" w:rsidRDefault="00FE471A" w:rsidP="00FE471A">
      <w:pPr>
        <w:spacing w:line="360" w:lineRule="auto"/>
        <w:rPr>
          <w:b/>
          <w:noProof/>
        </w:rPr>
      </w:pPr>
    </w:p>
    <w:p w14:paraId="00F2B93C" w14:textId="77777777" w:rsidR="00FE471A" w:rsidRDefault="00FE471A" w:rsidP="00FE471A">
      <w:pPr>
        <w:spacing w:line="360" w:lineRule="auto"/>
        <w:rPr>
          <w:b/>
          <w:noProof/>
        </w:rPr>
      </w:pPr>
    </w:p>
    <w:p w14:paraId="7AB8EBAA" w14:textId="77777777" w:rsidR="00FE471A" w:rsidRDefault="00FE471A" w:rsidP="00FE471A">
      <w:pPr>
        <w:rPr>
          <w:rFonts w:ascii="Times New Roman" w:hAnsi="Times New Roman" w:cs="Times New Roman"/>
          <w:b/>
          <w:sz w:val="20"/>
          <w:szCs w:val="20"/>
        </w:rPr>
      </w:pPr>
    </w:p>
    <w:p w14:paraId="2335D3CB" w14:textId="77777777" w:rsidR="00FE471A" w:rsidRDefault="00FE471A" w:rsidP="00FE471A">
      <w:pPr>
        <w:rPr>
          <w:rFonts w:ascii="Times New Roman" w:hAnsi="Times New Roman" w:cs="Times New Roman"/>
          <w:b/>
          <w:sz w:val="20"/>
          <w:szCs w:val="20"/>
        </w:rPr>
      </w:pPr>
    </w:p>
    <w:p w14:paraId="630ADB80" w14:textId="77777777" w:rsidR="00FE471A" w:rsidRDefault="00FE471A" w:rsidP="00FE471A">
      <w:pPr>
        <w:rPr>
          <w:rFonts w:ascii="Times New Roman" w:hAnsi="Times New Roman" w:cs="Times New Roman"/>
          <w:b/>
          <w:sz w:val="20"/>
          <w:szCs w:val="20"/>
        </w:rPr>
      </w:pPr>
    </w:p>
    <w:p w14:paraId="3293A5A7" w14:textId="77777777" w:rsidR="00FE471A" w:rsidRDefault="00FE471A" w:rsidP="00FE471A">
      <w:pPr>
        <w:rPr>
          <w:rFonts w:ascii="Times New Roman" w:hAnsi="Times New Roman" w:cs="Times New Roman"/>
          <w:b/>
          <w:sz w:val="20"/>
          <w:szCs w:val="20"/>
        </w:rPr>
      </w:pPr>
    </w:p>
    <w:p w14:paraId="6546BD93" w14:textId="77777777" w:rsidR="00FE471A" w:rsidRDefault="00FE471A" w:rsidP="00FE471A">
      <w:pPr>
        <w:rPr>
          <w:rFonts w:ascii="Times New Roman" w:hAnsi="Times New Roman" w:cs="Times New Roman"/>
          <w:b/>
          <w:sz w:val="20"/>
          <w:szCs w:val="20"/>
        </w:rPr>
      </w:pPr>
    </w:p>
    <w:p w14:paraId="65E39C4C" w14:textId="77777777" w:rsidR="00FE471A" w:rsidRDefault="00FE471A" w:rsidP="00FE471A">
      <w:pPr>
        <w:rPr>
          <w:rFonts w:ascii="Times New Roman" w:hAnsi="Times New Roman" w:cs="Times New Roman"/>
          <w:b/>
          <w:sz w:val="20"/>
          <w:szCs w:val="20"/>
        </w:rPr>
      </w:pPr>
    </w:p>
    <w:p w14:paraId="67EFFF07" w14:textId="77777777" w:rsidR="00FE471A" w:rsidRDefault="00FE471A" w:rsidP="00FE471A">
      <w:pPr>
        <w:rPr>
          <w:rFonts w:ascii="Times New Roman" w:hAnsi="Times New Roman" w:cs="Times New Roman"/>
          <w:b/>
          <w:sz w:val="20"/>
          <w:szCs w:val="20"/>
        </w:rPr>
      </w:pPr>
    </w:p>
    <w:p w14:paraId="7D178D33" w14:textId="77777777" w:rsidR="00FE471A" w:rsidRDefault="00FE471A" w:rsidP="00FE471A">
      <w:pPr>
        <w:rPr>
          <w:rFonts w:ascii="Times New Roman" w:hAnsi="Times New Roman" w:cs="Times New Roman"/>
          <w:b/>
          <w:sz w:val="20"/>
          <w:szCs w:val="20"/>
        </w:rPr>
      </w:pPr>
    </w:p>
    <w:p w14:paraId="0B90DFAE" w14:textId="77777777" w:rsidR="00FE471A" w:rsidRDefault="00FE471A" w:rsidP="00FE471A">
      <w:pPr>
        <w:rPr>
          <w:rFonts w:ascii="Times New Roman" w:hAnsi="Times New Roman" w:cs="Times New Roman"/>
          <w:b/>
          <w:sz w:val="20"/>
          <w:szCs w:val="20"/>
        </w:rPr>
      </w:pPr>
    </w:p>
    <w:p w14:paraId="4FE1DD51" w14:textId="77777777" w:rsidR="00FE471A" w:rsidRDefault="00FE471A" w:rsidP="00FE471A">
      <w:pPr>
        <w:rPr>
          <w:rFonts w:ascii="Times New Roman" w:hAnsi="Times New Roman" w:cs="Times New Roman"/>
          <w:b/>
          <w:sz w:val="20"/>
          <w:szCs w:val="20"/>
        </w:rPr>
        <w:sectPr w:rsidR="00FE471A" w:rsidSect="00B02F12">
          <w:footerReference w:type="default" r:id="rId14"/>
          <w:pgSz w:w="11900" w:h="16840"/>
          <w:pgMar w:top="1440" w:right="1800" w:bottom="1440" w:left="1800" w:header="708" w:footer="708" w:gutter="0"/>
          <w:cols w:space="708"/>
          <w:docGrid w:linePitch="360"/>
        </w:sectPr>
      </w:pPr>
    </w:p>
    <w:p w14:paraId="26F454BA" w14:textId="77777777" w:rsidR="00FE471A" w:rsidRPr="00AA6AB4" w:rsidRDefault="00FE471A" w:rsidP="00FE471A">
      <w:pPr>
        <w:rPr>
          <w:rFonts w:ascii="Times New Roman" w:hAnsi="Times New Roman" w:cs="Times New Roman"/>
          <w:bCs/>
          <w:sz w:val="20"/>
          <w:szCs w:val="20"/>
        </w:rPr>
      </w:pPr>
      <w:r w:rsidRPr="009D77BD">
        <w:rPr>
          <w:rFonts w:ascii="Times New Roman" w:hAnsi="Times New Roman" w:cs="Times New Roman"/>
          <w:b/>
          <w:sz w:val="20"/>
          <w:szCs w:val="20"/>
        </w:rPr>
        <w:lastRenderedPageBreak/>
        <w:t xml:space="preserve">Table 1 </w:t>
      </w:r>
      <w:r w:rsidRPr="00AA6AB4">
        <w:rPr>
          <w:rFonts w:ascii="Times New Roman" w:hAnsi="Times New Roman" w:cs="Times New Roman"/>
          <w:bCs/>
          <w:sz w:val="20"/>
          <w:szCs w:val="20"/>
        </w:rPr>
        <w:t>List of primers used for the reverse transcriptase PCR</w:t>
      </w:r>
    </w:p>
    <w:p w14:paraId="0663376B" w14:textId="77777777" w:rsidR="00FE471A" w:rsidRPr="009D77BD" w:rsidRDefault="00FE471A" w:rsidP="00FE471A">
      <w:pPr>
        <w:rPr>
          <w:rFonts w:ascii="Times New Roman" w:hAnsi="Times New Roman" w:cs="Times New Roman"/>
          <w:b/>
          <w:sz w:val="20"/>
          <w:szCs w:val="20"/>
          <w:u w:val="single"/>
        </w:rPr>
      </w:pPr>
    </w:p>
    <w:tbl>
      <w:tblPr>
        <w:tblpPr w:leftFromText="180" w:rightFromText="180" w:vertAnchor="page" w:horzAnchor="margin" w:tblpY="2618"/>
        <w:tblW w:w="1078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31"/>
        <w:gridCol w:w="4095"/>
        <w:gridCol w:w="4858"/>
      </w:tblGrid>
      <w:tr w:rsidR="00FE471A" w:rsidRPr="009D77BD" w14:paraId="6C6B62E6" w14:textId="77777777" w:rsidTr="0059169E">
        <w:trPr>
          <w:trHeight w:val="130"/>
        </w:trPr>
        <w:tc>
          <w:tcPr>
            <w:tcW w:w="1831" w:type="dxa"/>
            <w:tcBorders>
              <w:top w:val="single" w:sz="4" w:space="0" w:color="auto"/>
              <w:bottom w:val="single" w:sz="4" w:space="0" w:color="auto"/>
            </w:tcBorders>
            <w:shd w:val="clear" w:color="auto" w:fill="auto"/>
            <w:noWrap/>
            <w:vAlign w:val="center"/>
            <w:hideMark/>
          </w:tcPr>
          <w:p w14:paraId="2751C12A" w14:textId="77777777" w:rsidR="00FE471A" w:rsidRPr="009D77BD" w:rsidRDefault="00FE471A" w:rsidP="0059169E">
            <w:pPr>
              <w:spacing w:line="360" w:lineRule="auto"/>
              <w:rPr>
                <w:rFonts w:ascii="Times New Roman" w:eastAsia="Times New Roman" w:hAnsi="Times New Roman" w:cs="Times New Roman"/>
                <w:b/>
                <w:bCs/>
                <w:color w:val="000000"/>
                <w:sz w:val="20"/>
                <w:szCs w:val="20"/>
                <w:lang w:eastAsia="fr-FR"/>
              </w:rPr>
            </w:pPr>
            <w:r w:rsidRPr="009D77BD">
              <w:rPr>
                <w:rFonts w:ascii="Times New Roman" w:eastAsia="Times New Roman" w:hAnsi="Times New Roman" w:cs="Times New Roman"/>
                <w:b/>
                <w:bCs/>
                <w:color w:val="000000"/>
                <w:sz w:val="20"/>
                <w:szCs w:val="20"/>
                <w:lang w:eastAsia="fr-FR"/>
              </w:rPr>
              <w:t xml:space="preserve">Gene </w:t>
            </w:r>
            <w:r>
              <w:rPr>
                <w:rFonts w:ascii="Times New Roman" w:eastAsia="Times New Roman" w:hAnsi="Times New Roman" w:cs="Times New Roman"/>
                <w:b/>
                <w:bCs/>
                <w:color w:val="000000"/>
                <w:sz w:val="20"/>
                <w:szCs w:val="20"/>
                <w:lang w:eastAsia="fr-FR"/>
              </w:rPr>
              <w:t>p</w:t>
            </w:r>
            <w:r w:rsidRPr="009D77BD">
              <w:rPr>
                <w:rFonts w:ascii="Times New Roman" w:eastAsia="Times New Roman" w:hAnsi="Times New Roman" w:cs="Times New Roman"/>
                <w:b/>
                <w:bCs/>
                <w:color w:val="000000"/>
                <w:sz w:val="20"/>
                <w:szCs w:val="20"/>
                <w:lang w:eastAsia="fr-FR"/>
              </w:rPr>
              <w:t>rimer</w:t>
            </w:r>
          </w:p>
        </w:tc>
        <w:tc>
          <w:tcPr>
            <w:tcW w:w="4095" w:type="dxa"/>
            <w:tcBorders>
              <w:top w:val="single" w:sz="4" w:space="0" w:color="auto"/>
              <w:bottom w:val="single" w:sz="4" w:space="0" w:color="auto"/>
            </w:tcBorders>
            <w:shd w:val="clear" w:color="auto" w:fill="auto"/>
            <w:noWrap/>
            <w:vAlign w:val="center"/>
            <w:hideMark/>
          </w:tcPr>
          <w:p w14:paraId="066C3211" w14:textId="77777777" w:rsidR="00FE471A" w:rsidRPr="009D77BD" w:rsidRDefault="00FE471A" w:rsidP="0059169E">
            <w:pPr>
              <w:spacing w:line="360" w:lineRule="auto"/>
              <w:rPr>
                <w:rFonts w:ascii="Times New Roman" w:eastAsia="Times New Roman" w:hAnsi="Times New Roman" w:cs="Times New Roman"/>
                <w:b/>
                <w:bCs/>
                <w:color w:val="000000"/>
                <w:sz w:val="20"/>
                <w:szCs w:val="20"/>
                <w:lang w:eastAsia="fr-FR"/>
              </w:rPr>
            </w:pPr>
            <w:r w:rsidRPr="009D77BD">
              <w:rPr>
                <w:rFonts w:ascii="Times New Roman" w:eastAsia="Times New Roman" w:hAnsi="Times New Roman" w:cs="Times New Roman"/>
                <w:b/>
                <w:bCs/>
                <w:color w:val="000000"/>
                <w:sz w:val="20"/>
                <w:szCs w:val="20"/>
                <w:lang w:eastAsia="fr-FR"/>
              </w:rPr>
              <w:t>Forward</w:t>
            </w:r>
            <w:r>
              <w:rPr>
                <w:rFonts w:ascii="Times New Roman" w:eastAsia="Times New Roman" w:hAnsi="Times New Roman" w:cs="Times New Roman"/>
                <w:b/>
                <w:bCs/>
                <w:color w:val="000000"/>
                <w:sz w:val="20"/>
                <w:szCs w:val="20"/>
                <w:lang w:eastAsia="fr-FR"/>
              </w:rPr>
              <w:t xml:space="preserve"> (5'-3')</w:t>
            </w:r>
          </w:p>
        </w:tc>
        <w:tc>
          <w:tcPr>
            <w:tcW w:w="4858" w:type="dxa"/>
            <w:tcBorders>
              <w:top w:val="single" w:sz="4" w:space="0" w:color="auto"/>
              <w:bottom w:val="single" w:sz="4" w:space="0" w:color="auto"/>
            </w:tcBorders>
            <w:shd w:val="clear" w:color="auto" w:fill="auto"/>
            <w:noWrap/>
            <w:vAlign w:val="center"/>
            <w:hideMark/>
          </w:tcPr>
          <w:p w14:paraId="7FC9666D" w14:textId="77777777" w:rsidR="00FE471A" w:rsidRPr="009D77BD" w:rsidRDefault="00FE471A" w:rsidP="0059169E">
            <w:pPr>
              <w:spacing w:line="360" w:lineRule="auto"/>
              <w:rPr>
                <w:rFonts w:ascii="Times New Roman" w:eastAsia="Times New Roman" w:hAnsi="Times New Roman" w:cs="Times New Roman"/>
                <w:b/>
                <w:bCs/>
                <w:color w:val="000000"/>
                <w:sz w:val="20"/>
                <w:szCs w:val="20"/>
                <w:lang w:eastAsia="fr-FR"/>
              </w:rPr>
            </w:pPr>
            <w:r w:rsidRPr="009D77BD">
              <w:rPr>
                <w:rFonts w:ascii="Times New Roman" w:eastAsia="Times New Roman" w:hAnsi="Times New Roman" w:cs="Times New Roman"/>
                <w:b/>
                <w:bCs/>
                <w:color w:val="000000"/>
                <w:sz w:val="20"/>
                <w:szCs w:val="20"/>
                <w:lang w:eastAsia="fr-FR"/>
              </w:rPr>
              <w:t>Reverse</w:t>
            </w:r>
            <w:r>
              <w:rPr>
                <w:rFonts w:ascii="Times New Roman" w:eastAsia="Times New Roman" w:hAnsi="Times New Roman" w:cs="Times New Roman"/>
                <w:b/>
                <w:bCs/>
                <w:color w:val="000000"/>
                <w:sz w:val="20"/>
                <w:szCs w:val="20"/>
                <w:lang w:eastAsia="fr-FR"/>
              </w:rPr>
              <w:t xml:space="preserve"> (5'-3')</w:t>
            </w:r>
          </w:p>
        </w:tc>
      </w:tr>
      <w:tr w:rsidR="00FE471A" w:rsidRPr="009D77BD" w14:paraId="1353C59A" w14:textId="77777777" w:rsidTr="0059169E">
        <w:trPr>
          <w:trHeight w:val="66"/>
        </w:trPr>
        <w:tc>
          <w:tcPr>
            <w:tcW w:w="1831" w:type="dxa"/>
            <w:tcBorders>
              <w:top w:val="single" w:sz="4" w:space="0" w:color="auto"/>
            </w:tcBorders>
            <w:shd w:val="clear" w:color="auto" w:fill="auto"/>
            <w:noWrap/>
            <w:vAlign w:val="center"/>
            <w:hideMark/>
          </w:tcPr>
          <w:p w14:paraId="6EBE02C5"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CYP6M7</w:t>
            </w:r>
          </w:p>
        </w:tc>
        <w:tc>
          <w:tcPr>
            <w:tcW w:w="4095" w:type="dxa"/>
            <w:tcBorders>
              <w:top w:val="single" w:sz="4" w:space="0" w:color="auto"/>
            </w:tcBorders>
            <w:shd w:val="clear" w:color="auto" w:fill="auto"/>
            <w:noWrap/>
            <w:vAlign w:val="center"/>
            <w:hideMark/>
          </w:tcPr>
          <w:p w14:paraId="0A7D2B18" w14:textId="77777777" w:rsidR="00FE471A" w:rsidRPr="009D77BD" w:rsidRDefault="00FE471A" w:rsidP="0059169E">
            <w:pPr>
              <w:spacing w:line="360" w:lineRule="auto"/>
              <w:rPr>
                <w:rFonts w:ascii="Times New Roman" w:eastAsia="Times New Roman" w:hAnsi="Times New Roman" w:cs="Times New Roman"/>
                <w:color w:val="000000"/>
                <w:sz w:val="20"/>
                <w:szCs w:val="20"/>
                <w:lang w:val="en-GB" w:eastAsia="fr-FR"/>
              </w:rPr>
            </w:pPr>
            <w:r w:rsidRPr="009D77BD">
              <w:rPr>
                <w:rFonts w:ascii="Times New Roman" w:eastAsia="Times New Roman" w:hAnsi="Times New Roman" w:cs="Times New Roman"/>
                <w:color w:val="000000"/>
                <w:sz w:val="20"/>
                <w:szCs w:val="20"/>
                <w:lang w:val="en-GB" w:eastAsia="fr-FR"/>
              </w:rPr>
              <w:t>CCAGATACTGAAAGAGAGCCTTCG</w:t>
            </w:r>
          </w:p>
        </w:tc>
        <w:tc>
          <w:tcPr>
            <w:tcW w:w="4858" w:type="dxa"/>
            <w:tcBorders>
              <w:top w:val="single" w:sz="4" w:space="0" w:color="auto"/>
            </w:tcBorders>
            <w:shd w:val="clear" w:color="auto" w:fill="auto"/>
            <w:noWrap/>
            <w:vAlign w:val="center"/>
            <w:hideMark/>
          </w:tcPr>
          <w:p w14:paraId="7EEADE01"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CAAGCACTGTCTTCGTACCG</w:t>
            </w:r>
          </w:p>
        </w:tc>
      </w:tr>
      <w:tr w:rsidR="00FE471A" w:rsidRPr="009D77BD" w14:paraId="2FD70B2B" w14:textId="77777777" w:rsidTr="0059169E">
        <w:trPr>
          <w:trHeight w:val="136"/>
        </w:trPr>
        <w:tc>
          <w:tcPr>
            <w:tcW w:w="1831" w:type="dxa"/>
            <w:shd w:val="clear" w:color="auto" w:fill="auto"/>
            <w:noWrap/>
            <w:vAlign w:val="center"/>
            <w:hideMark/>
          </w:tcPr>
          <w:p w14:paraId="0FD05487"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CYP6P9a</w:t>
            </w:r>
          </w:p>
        </w:tc>
        <w:tc>
          <w:tcPr>
            <w:tcW w:w="4095" w:type="dxa"/>
            <w:shd w:val="clear" w:color="auto" w:fill="auto"/>
            <w:noWrap/>
            <w:vAlign w:val="center"/>
            <w:hideMark/>
          </w:tcPr>
          <w:p w14:paraId="46477FA2"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CAGCGCGTACACCAGATTGTGTAA</w:t>
            </w:r>
          </w:p>
        </w:tc>
        <w:tc>
          <w:tcPr>
            <w:tcW w:w="4858" w:type="dxa"/>
            <w:shd w:val="clear" w:color="auto" w:fill="auto"/>
            <w:vAlign w:val="center"/>
            <w:hideMark/>
          </w:tcPr>
          <w:p w14:paraId="3FF8335B"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TCACAATTTTTCCACCTTCAAGTAATTACCCGC</w:t>
            </w:r>
          </w:p>
        </w:tc>
      </w:tr>
      <w:tr w:rsidR="00FE471A" w:rsidRPr="009D77BD" w14:paraId="3421A244" w14:textId="77777777" w:rsidTr="0059169E">
        <w:trPr>
          <w:trHeight w:val="136"/>
        </w:trPr>
        <w:tc>
          <w:tcPr>
            <w:tcW w:w="1831" w:type="dxa"/>
            <w:shd w:val="clear" w:color="auto" w:fill="auto"/>
            <w:noWrap/>
            <w:vAlign w:val="center"/>
            <w:hideMark/>
          </w:tcPr>
          <w:p w14:paraId="67D433AE"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CYP6P9b</w:t>
            </w:r>
          </w:p>
        </w:tc>
        <w:tc>
          <w:tcPr>
            <w:tcW w:w="4095" w:type="dxa"/>
            <w:shd w:val="clear" w:color="auto" w:fill="auto"/>
            <w:noWrap/>
            <w:vAlign w:val="center"/>
            <w:hideMark/>
          </w:tcPr>
          <w:p w14:paraId="52CF89DA"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CAGCGCGTACACCAGATTGTGTAA</w:t>
            </w:r>
          </w:p>
        </w:tc>
        <w:tc>
          <w:tcPr>
            <w:tcW w:w="4858" w:type="dxa"/>
            <w:shd w:val="clear" w:color="auto" w:fill="auto"/>
            <w:vAlign w:val="center"/>
            <w:hideMark/>
          </w:tcPr>
          <w:p w14:paraId="7EE862C2"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TTACACCTTTTCTACCTTCAAGTAATTACCCGC</w:t>
            </w:r>
          </w:p>
        </w:tc>
      </w:tr>
      <w:tr w:rsidR="00FE471A" w:rsidRPr="009D77BD" w14:paraId="5FB75A89" w14:textId="77777777" w:rsidTr="0059169E">
        <w:trPr>
          <w:trHeight w:val="136"/>
        </w:trPr>
        <w:tc>
          <w:tcPr>
            <w:tcW w:w="1831" w:type="dxa"/>
            <w:shd w:val="clear" w:color="auto" w:fill="auto"/>
            <w:noWrap/>
            <w:vAlign w:val="center"/>
          </w:tcPr>
          <w:p w14:paraId="095AD2DD"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hAnsi="Times New Roman" w:cs="Times New Roman"/>
                <w:sz w:val="20"/>
                <w:szCs w:val="20"/>
                <w:lang w:eastAsia="en-GB"/>
              </w:rPr>
              <w:t>CYP6P4a</w:t>
            </w:r>
          </w:p>
        </w:tc>
        <w:tc>
          <w:tcPr>
            <w:tcW w:w="4095" w:type="dxa"/>
            <w:shd w:val="clear" w:color="auto" w:fill="auto"/>
            <w:noWrap/>
            <w:vAlign w:val="center"/>
          </w:tcPr>
          <w:p w14:paraId="7C5818AF" w14:textId="77777777" w:rsidR="00FE471A" w:rsidRPr="009D77BD" w:rsidRDefault="00FE471A" w:rsidP="0059169E">
            <w:pPr>
              <w:spacing w:line="360" w:lineRule="auto"/>
              <w:rPr>
                <w:rFonts w:ascii="Times New Roman" w:hAnsi="Times New Roman" w:cs="Times New Roman"/>
                <w:sz w:val="20"/>
                <w:szCs w:val="20"/>
                <w:lang w:eastAsia="en-GB"/>
              </w:rPr>
            </w:pPr>
            <w:r w:rsidRPr="009D77BD">
              <w:rPr>
                <w:rFonts w:ascii="Times New Roman" w:hAnsi="Times New Roman" w:cs="Times New Roman"/>
                <w:sz w:val="20"/>
                <w:szCs w:val="20"/>
                <w:lang w:eastAsia="en-GB"/>
              </w:rPr>
              <w:t>AACTCGTATTCGACCCCAAA</w:t>
            </w:r>
          </w:p>
        </w:tc>
        <w:tc>
          <w:tcPr>
            <w:tcW w:w="4858" w:type="dxa"/>
            <w:shd w:val="clear" w:color="auto" w:fill="auto"/>
            <w:vAlign w:val="center"/>
          </w:tcPr>
          <w:p w14:paraId="5AB7FED0"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CGTTTCCATGGAATTACATTTTCTG</w:t>
            </w:r>
          </w:p>
        </w:tc>
      </w:tr>
      <w:tr w:rsidR="00FE471A" w:rsidRPr="009D77BD" w14:paraId="07993F54" w14:textId="77777777" w:rsidTr="0059169E">
        <w:trPr>
          <w:trHeight w:val="136"/>
        </w:trPr>
        <w:tc>
          <w:tcPr>
            <w:tcW w:w="1831" w:type="dxa"/>
            <w:shd w:val="clear" w:color="auto" w:fill="auto"/>
            <w:noWrap/>
            <w:vAlign w:val="center"/>
          </w:tcPr>
          <w:p w14:paraId="181925F8"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hAnsi="Times New Roman" w:cs="Times New Roman"/>
                <w:sz w:val="20"/>
                <w:szCs w:val="20"/>
                <w:lang w:eastAsia="en-GB"/>
              </w:rPr>
              <w:t>CYP6P4b</w:t>
            </w:r>
          </w:p>
        </w:tc>
        <w:tc>
          <w:tcPr>
            <w:tcW w:w="4095" w:type="dxa"/>
            <w:shd w:val="clear" w:color="auto" w:fill="auto"/>
            <w:noWrap/>
            <w:vAlign w:val="center"/>
          </w:tcPr>
          <w:p w14:paraId="17D259A9"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AACTCGTATTCGACCCCAAA</w:t>
            </w:r>
          </w:p>
        </w:tc>
        <w:tc>
          <w:tcPr>
            <w:tcW w:w="4858" w:type="dxa"/>
            <w:shd w:val="clear" w:color="auto" w:fill="auto"/>
            <w:vAlign w:val="center"/>
          </w:tcPr>
          <w:p w14:paraId="7BC67591"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ACAATCATTATACCACACATCTGAC</w:t>
            </w:r>
          </w:p>
        </w:tc>
      </w:tr>
      <w:tr w:rsidR="00FE471A" w:rsidRPr="009D77BD" w14:paraId="3458BB91" w14:textId="77777777" w:rsidTr="0059169E">
        <w:trPr>
          <w:trHeight w:val="136"/>
        </w:trPr>
        <w:tc>
          <w:tcPr>
            <w:tcW w:w="1831" w:type="dxa"/>
            <w:shd w:val="clear" w:color="auto" w:fill="auto"/>
            <w:noWrap/>
            <w:vAlign w:val="center"/>
          </w:tcPr>
          <w:p w14:paraId="1D1F328A"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CYP6AA4</w:t>
            </w:r>
          </w:p>
        </w:tc>
        <w:tc>
          <w:tcPr>
            <w:tcW w:w="4095" w:type="dxa"/>
            <w:shd w:val="clear" w:color="auto" w:fill="auto"/>
            <w:noWrap/>
            <w:vAlign w:val="center"/>
          </w:tcPr>
          <w:p w14:paraId="50E29460"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CATCTGGCTGAATGGCACTA</w:t>
            </w:r>
          </w:p>
        </w:tc>
        <w:tc>
          <w:tcPr>
            <w:tcW w:w="4858" w:type="dxa"/>
            <w:shd w:val="clear" w:color="auto" w:fill="auto"/>
            <w:vAlign w:val="center"/>
          </w:tcPr>
          <w:p w14:paraId="1F630237"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TCAACAATGCCATCAAATCG</w:t>
            </w:r>
          </w:p>
        </w:tc>
      </w:tr>
      <w:tr w:rsidR="00FE471A" w:rsidRPr="009D77BD" w14:paraId="3BE93C8D" w14:textId="77777777" w:rsidTr="0059169E">
        <w:trPr>
          <w:trHeight w:val="136"/>
        </w:trPr>
        <w:tc>
          <w:tcPr>
            <w:tcW w:w="1831" w:type="dxa"/>
            <w:shd w:val="clear" w:color="auto" w:fill="auto"/>
            <w:noWrap/>
            <w:vAlign w:val="center"/>
          </w:tcPr>
          <w:p w14:paraId="4B207D5F"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CYP9K1</w:t>
            </w:r>
          </w:p>
        </w:tc>
        <w:tc>
          <w:tcPr>
            <w:tcW w:w="4095" w:type="dxa"/>
            <w:shd w:val="clear" w:color="auto" w:fill="auto"/>
            <w:noWrap/>
            <w:vAlign w:val="center"/>
          </w:tcPr>
          <w:p w14:paraId="38767B3B"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AGGGCTTCTGGATACGGTTC</w:t>
            </w:r>
          </w:p>
        </w:tc>
        <w:tc>
          <w:tcPr>
            <w:tcW w:w="4858" w:type="dxa"/>
            <w:shd w:val="clear" w:color="auto" w:fill="auto"/>
            <w:vAlign w:val="center"/>
          </w:tcPr>
          <w:p w14:paraId="3462587B"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CGTACGGTTCGGTTTTGATT</w:t>
            </w:r>
          </w:p>
        </w:tc>
      </w:tr>
      <w:tr w:rsidR="00FE471A" w:rsidRPr="009D77BD" w14:paraId="672B4F8A" w14:textId="77777777" w:rsidTr="0059169E">
        <w:trPr>
          <w:trHeight w:val="136"/>
        </w:trPr>
        <w:tc>
          <w:tcPr>
            <w:tcW w:w="1831" w:type="dxa"/>
            <w:shd w:val="clear" w:color="auto" w:fill="auto"/>
            <w:noWrap/>
            <w:vAlign w:val="center"/>
          </w:tcPr>
          <w:p w14:paraId="7DC4CD34"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Trypsin</w:t>
            </w:r>
          </w:p>
        </w:tc>
        <w:tc>
          <w:tcPr>
            <w:tcW w:w="4095" w:type="dxa"/>
            <w:shd w:val="clear" w:color="auto" w:fill="auto"/>
            <w:noWrap/>
            <w:vAlign w:val="center"/>
          </w:tcPr>
          <w:p w14:paraId="020137E2"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GGCCACAACCTCAAAGTCTC</w:t>
            </w:r>
          </w:p>
        </w:tc>
        <w:tc>
          <w:tcPr>
            <w:tcW w:w="4858" w:type="dxa"/>
            <w:shd w:val="clear" w:color="auto" w:fill="auto"/>
            <w:vAlign w:val="center"/>
          </w:tcPr>
          <w:p w14:paraId="03C9937A"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hAnsi="Times New Roman" w:cs="Times New Roman"/>
                <w:sz w:val="20"/>
                <w:szCs w:val="20"/>
                <w:lang w:eastAsia="en-GB"/>
              </w:rPr>
              <w:t>CGACAGAAATCAGTCGTTAGTACG</w:t>
            </w:r>
          </w:p>
        </w:tc>
      </w:tr>
      <w:tr w:rsidR="00FE471A" w:rsidRPr="009D77BD" w14:paraId="024811EF" w14:textId="77777777" w:rsidTr="0059169E">
        <w:trPr>
          <w:trHeight w:val="136"/>
        </w:trPr>
        <w:tc>
          <w:tcPr>
            <w:tcW w:w="1831" w:type="dxa"/>
            <w:shd w:val="clear" w:color="auto" w:fill="auto"/>
            <w:noWrap/>
            <w:vAlign w:val="center"/>
            <w:hideMark/>
          </w:tcPr>
          <w:p w14:paraId="03975604"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GSTe2</w:t>
            </w:r>
          </w:p>
        </w:tc>
        <w:tc>
          <w:tcPr>
            <w:tcW w:w="4095" w:type="dxa"/>
            <w:shd w:val="clear" w:color="auto" w:fill="auto"/>
            <w:noWrap/>
            <w:vAlign w:val="center"/>
            <w:hideMark/>
          </w:tcPr>
          <w:p w14:paraId="5FCB896E"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GTTTGAAGCAGTTGCCATACTACGAGG</w:t>
            </w:r>
          </w:p>
        </w:tc>
        <w:tc>
          <w:tcPr>
            <w:tcW w:w="4858" w:type="dxa"/>
            <w:shd w:val="clear" w:color="auto" w:fill="auto"/>
            <w:vAlign w:val="center"/>
            <w:hideMark/>
          </w:tcPr>
          <w:p w14:paraId="1E6420B9"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TCAAGCTTTAGCATTTTCCTCCTTTTTGGC</w:t>
            </w:r>
          </w:p>
        </w:tc>
      </w:tr>
      <w:tr w:rsidR="00FE471A" w:rsidRPr="009D77BD" w14:paraId="230E6EB3" w14:textId="77777777" w:rsidTr="0059169E">
        <w:trPr>
          <w:trHeight w:val="66"/>
        </w:trPr>
        <w:tc>
          <w:tcPr>
            <w:tcW w:w="1831" w:type="dxa"/>
            <w:shd w:val="clear" w:color="auto" w:fill="auto"/>
            <w:noWrap/>
            <w:vAlign w:val="center"/>
            <w:hideMark/>
          </w:tcPr>
          <w:p w14:paraId="21E49E32"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GSTd3</w:t>
            </w:r>
          </w:p>
        </w:tc>
        <w:tc>
          <w:tcPr>
            <w:tcW w:w="4095" w:type="dxa"/>
            <w:shd w:val="clear" w:color="auto" w:fill="auto"/>
            <w:noWrap/>
            <w:vAlign w:val="center"/>
            <w:hideMark/>
          </w:tcPr>
          <w:p w14:paraId="5A95A9A0"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CACGGCCAGTCCTCTTTTAG</w:t>
            </w:r>
          </w:p>
        </w:tc>
        <w:tc>
          <w:tcPr>
            <w:tcW w:w="4858" w:type="dxa"/>
            <w:shd w:val="clear" w:color="auto" w:fill="auto"/>
            <w:noWrap/>
            <w:vAlign w:val="center"/>
            <w:hideMark/>
          </w:tcPr>
          <w:p w14:paraId="3A993837"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AAGCTTCTTCGCCACCAGTA</w:t>
            </w:r>
          </w:p>
        </w:tc>
      </w:tr>
      <w:tr w:rsidR="00FE471A" w:rsidRPr="009D77BD" w14:paraId="3DF4385A" w14:textId="77777777" w:rsidTr="0059169E">
        <w:trPr>
          <w:trHeight w:val="66"/>
        </w:trPr>
        <w:tc>
          <w:tcPr>
            <w:tcW w:w="1831" w:type="dxa"/>
            <w:shd w:val="clear" w:color="auto" w:fill="auto"/>
            <w:noWrap/>
            <w:vAlign w:val="center"/>
            <w:hideMark/>
          </w:tcPr>
          <w:p w14:paraId="7BB97EE6"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GSTd1-5</w:t>
            </w:r>
          </w:p>
        </w:tc>
        <w:tc>
          <w:tcPr>
            <w:tcW w:w="4095" w:type="dxa"/>
            <w:shd w:val="clear" w:color="auto" w:fill="auto"/>
            <w:noWrap/>
            <w:vAlign w:val="center"/>
            <w:hideMark/>
          </w:tcPr>
          <w:p w14:paraId="16462E66" w14:textId="77777777" w:rsidR="00FE471A" w:rsidRPr="009D77BD" w:rsidRDefault="00FE471A" w:rsidP="0059169E">
            <w:pPr>
              <w:spacing w:line="360" w:lineRule="auto"/>
              <w:rPr>
                <w:rFonts w:ascii="Times New Roman" w:eastAsia="Times New Roman" w:hAnsi="Times New Roman" w:cs="Times New Roman"/>
                <w:b/>
                <w:bCs/>
                <w:color w:val="000000"/>
                <w:sz w:val="20"/>
                <w:szCs w:val="20"/>
                <w:lang w:eastAsia="fr-FR"/>
              </w:rPr>
            </w:pPr>
            <w:r w:rsidRPr="009D77BD">
              <w:rPr>
                <w:rFonts w:ascii="Times New Roman" w:eastAsia="Times New Roman" w:hAnsi="Times New Roman" w:cs="Times New Roman"/>
                <w:color w:val="000000"/>
                <w:sz w:val="20"/>
                <w:szCs w:val="20"/>
                <w:lang w:eastAsia="fr-FR"/>
              </w:rPr>
              <w:t>TGGAGAAATACGGCAAGGAC</w:t>
            </w:r>
          </w:p>
        </w:tc>
        <w:tc>
          <w:tcPr>
            <w:tcW w:w="4858" w:type="dxa"/>
            <w:shd w:val="clear" w:color="auto" w:fill="auto"/>
            <w:noWrap/>
            <w:vAlign w:val="center"/>
            <w:hideMark/>
          </w:tcPr>
          <w:p w14:paraId="1D6EC7D0"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CTTGGCGAAGATTTGTGGAT</w:t>
            </w:r>
          </w:p>
        </w:tc>
      </w:tr>
      <w:tr w:rsidR="00FE471A" w:rsidRPr="009D77BD" w14:paraId="19D55658" w14:textId="77777777" w:rsidTr="0059169E">
        <w:trPr>
          <w:trHeight w:val="130"/>
        </w:trPr>
        <w:tc>
          <w:tcPr>
            <w:tcW w:w="1831" w:type="dxa"/>
            <w:shd w:val="clear" w:color="auto" w:fill="auto"/>
            <w:vAlign w:val="center"/>
            <w:hideMark/>
          </w:tcPr>
          <w:p w14:paraId="5D229A9A"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Aldehyde oxidase</w:t>
            </w:r>
          </w:p>
        </w:tc>
        <w:tc>
          <w:tcPr>
            <w:tcW w:w="4095" w:type="dxa"/>
            <w:shd w:val="clear" w:color="auto" w:fill="auto"/>
            <w:noWrap/>
            <w:vAlign w:val="center"/>
            <w:hideMark/>
          </w:tcPr>
          <w:p w14:paraId="1391F1D8"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GCTCTGAACATTGCACCTCA</w:t>
            </w:r>
          </w:p>
        </w:tc>
        <w:tc>
          <w:tcPr>
            <w:tcW w:w="4858" w:type="dxa"/>
            <w:shd w:val="clear" w:color="auto" w:fill="auto"/>
            <w:noWrap/>
            <w:vAlign w:val="center"/>
            <w:hideMark/>
          </w:tcPr>
          <w:p w14:paraId="60F7B486"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TGGTGTCGAACGATTGTGTT</w:t>
            </w:r>
          </w:p>
        </w:tc>
      </w:tr>
      <w:tr w:rsidR="00FE471A" w:rsidRPr="009D77BD" w14:paraId="68DB1819" w14:textId="77777777" w:rsidTr="0059169E">
        <w:trPr>
          <w:trHeight w:val="532"/>
        </w:trPr>
        <w:tc>
          <w:tcPr>
            <w:tcW w:w="1831" w:type="dxa"/>
            <w:shd w:val="clear" w:color="auto" w:fill="auto"/>
            <w:noWrap/>
            <w:vAlign w:val="center"/>
            <w:hideMark/>
          </w:tcPr>
          <w:p w14:paraId="285E2365"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RSP7</w:t>
            </w:r>
          </w:p>
        </w:tc>
        <w:tc>
          <w:tcPr>
            <w:tcW w:w="4095" w:type="dxa"/>
            <w:shd w:val="clear" w:color="auto" w:fill="auto"/>
            <w:noWrap/>
            <w:vAlign w:val="center"/>
            <w:hideMark/>
          </w:tcPr>
          <w:p w14:paraId="3E80A0B9"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GTGTTCGGTTCCAAGGTGAT</w:t>
            </w:r>
          </w:p>
        </w:tc>
        <w:tc>
          <w:tcPr>
            <w:tcW w:w="4858" w:type="dxa"/>
            <w:shd w:val="clear" w:color="auto" w:fill="auto"/>
            <w:noWrap/>
            <w:vAlign w:val="center"/>
            <w:hideMark/>
          </w:tcPr>
          <w:p w14:paraId="67A2BA89"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TCCGAGTTCATTTCCAGCTC</w:t>
            </w:r>
          </w:p>
        </w:tc>
      </w:tr>
      <w:tr w:rsidR="00FE471A" w:rsidRPr="009D77BD" w14:paraId="5092A9C2" w14:textId="77777777" w:rsidTr="0059169E">
        <w:trPr>
          <w:trHeight w:val="431"/>
        </w:trPr>
        <w:tc>
          <w:tcPr>
            <w:tcW w:w="1831" w:type="dxa"/>
            <w:shd w:val="clear" w:color="auto" w:fill="auto"/>
            <w:noWrap/>
            <w:vAlign w:val="center"/>
            <w:hideMark/>
          </w:tcPr>
          <w:p w14:paraId="38385A5D" w14:textId="77777777" w:rsidR="00FE471A" w:rsidRPr="00AA6AB4" w:rsidRDefault="00FE471A" w:rsidP="0059169E">
            <w:pPr>
              <w:spacing w:line="360" w:lineRule="auto"/>
              <w:rPr>
                <w:rFonts w:ascii="Times New Roman" w:eastAsia="Times New Roman" w:hAnsi="Times New Roman" w:cs="Times New Roman"/>
                <w:color w:val="000000"/>
                <w:sz w:val="20"/>
                <w:szCs w:val="20"/>
                <w:lang w:eastAsia="fr-FR"/>
              </w:rPr>
            </w:pPr>
            <w:r w:rsidRPr="00AA6AB4">
              <w:rPr>
                <w:rFonts w:ascii="Times New Roman" w:eastAsia="Times New Roman" w:hAnsi="Times New Roman" w:cs="Times New Roman"/>
                <w:color w:val="000000"/>
                <w:sz w:val="20"/>
                <w:szCs w:val="20"/>
                <w:lang w:eastAsia="fr-FR"/>
              </w:rPr>
              <w:t>Actin</w:t>
            </w:r>
          </w:p>
        </w:tc>
        <w:tc>
          <w:tcPr>
            <w:tcW w:w="4095" w:type="dxa"/>
            <w:shd w:val="clear" w:color="auto" w:fill="auto"/>
            <w:noWrap/>
            <w:vAlign w:val="center"/>
            <w:hideMark/>
          </w:tcPr>
          <w:p w14:paraId="64EF6F1C"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TTAAACCCAAAAGCCAATCG</w:t>
            </w:r>
          </w:p>
        </w:tc>
        <w:tc>
          <w:tcPr>
            <w:tcW w:w="4858" w:type="dxa"/>
            <w:shd w:val="clear" w:color="auto" w:fill="auto"/>
            <w:noWrap/>
            <w:vAlign w:val="center"/>
            <w:hideMark/>
          </w:tcPr>
          <w:p w14:paraId="50867065" w14:textId="77777777" w:rsidR="00FE471A" w:rsidRPr="009D77BD" w:rsidRDefault="00FE471A" w:rsidP="0059169E">
            <w:pPr>
              <w:spacing w:line="360" w:lineRule="auto"/>
              <w:rPr>
                <w:rFonts w:ascii="Times New Roman" w:eastAsia="Times New Roman" w:hAnsi="Times New Roman" w:cs="Times New Roman"/>
                <w:color w:val="000000"/>
                <w:sz w:val="20"/>
                <w:szCs w:val="20"/>
                <w:lang w:eastAsia="fr-FR"/>
              </w:rPr>
            </w:pPr>
            <w:r w:rsidRPr="009D77BD">
              <w:rPr>
                <w:rFonts w:ascii="Times New Roman" w:eastAsia="Times New Roman" w:hAnsi="Times New Roman" w:cs="Times New Roman"/>
                <w:color w:val="000000"/>
                <w:sz w:val="20"/>
                <w:szCs w:val="20"/>
                <w:lang w:eastAsia="fr-FR"/>
              </w:rPr>
              <w:t>ACCGGATGCATACAGTGACA</w:t>
            </w:r>
          </w:p>
        </w:tc>
      </w:tr>
    </w:tbl>
    <w:p w14:paraId="258753DD" w14:textId="77777777" w:rsidR="00FE471A" w:rsidRPr="009D77BD" w:rsidRDefault="00FE471A" w:rsidP="00FE471A">
      <w:pPr>
        <w:rPr>
          <w:rFonts w:ascii="Times New Roman" w:hAnsi="Times New Roman" w:cs="Times New Roman"/>
          <w:b/>
          <w:sz w:val="20"/>
          <w:szCs w:val="20"/>
          <w:u w:val="single"/>
        </w:rPr>
      </w:pPr>
    </w:p>
    <w:p w14:paraId="53A91DB3" w14:textId="77777777" w:rsidR="00FE471A" w:rsidRPr="009D77BD" w:rsidRDefault="00FE471A" w:rsidP="00FE471A">
      <w:pPr>
        <w:rPr>
          <w:rFonts w:ascii="Times New Roman" w:hAnsi="Times New Roman" w:cs="Times New Roman"/>
          <w:b/>
          <w:sz w:val="20"/>
          <w:szCs w:val="20"/>
          <w:u w:val="single"/>
        </w:rPr>
      </w:pPr>
    </w:p>
    <w:p w14:paraId="19E542C2" w14:textId="77777777" w:rsidR="00FE471A" w:rsidRPr="009D77BD" w:rsidRDefault="00FE471A" w:rsidP="00FE471A">
      <w:pPr>
        <w:rPr>
          <w:rFonts w:ascii="Times New Roman" w:hAnsi="Times New Roman" w:cs="Times New Roman"/>
          <w:b/>
          <w:sz w:val="20"/>
          <w:szCs w:val="20"/>
          <w:u w:val="single"/>
        </w:rPr>
      </w:pPr>
    </w:p>
    <w:p w14:paraId="0B3EC114" w14:textId="77777777" w:rsidR="00FE471A" w:rsidRPr="009D77BD" w:rsidRDefault="00FE471A" w:rsidP="00FE471A">
      <w:pPr>
        <w:rPr>
          <w:rFonts w:ascii="Times New Roman" w:hAnsi="Times New Roman" w:cs="Times New Roman"/>
          <w:b/>
          <w:sz w:val="20"/>
          <w:szCs w:val="20"/>
          <w:u w:val="single"/>
        </w:rPr>
      </w:pPr>
    </w:p>
    <w:p w14:paraId="0181E360" w14:textId="77777777" w:rsidR="00FE471A" w:rsidRPr="009D77BD" w:rsidRDefault="00FE471A" w:rsidP="00FE471A">
      <w:pPr>
        <w:rPr>
          <w:rFonts w:ascii="Times New Roman" w:hAnsi="Times New Roman" w:cs="Times New Roman"/>
          <w:b/>
          <w:sz w:val="20"/>
          <w:szCs w:val="20"/>
          <w:u w:val="single"/>
        </w:rPr>
      </w:pPr>
    </w:p>
    <w:p w14:paraId="6EFC9BCF" w14:textId="77777777" w:rsidR="00FE471A" w:rsidRPr="009D77BD" w:rsidRDefault="00FE471A" w:rsidP="00FE471A">
      <w:pPr>
        <w:rPr>
          <w:rFonts w:ascii="Times New Roman" w:hAnsi="Times New Roman" w:cs="Times New Roman"/>
          <w:b/>
          <w:sz w:val="20"/>
          <w:szCs w:val="20"/>
          <w:u w:val="single"/>
        </w:rPr>
      </w:pPr>
    </w:p>
    <w:p w14:paraId="6BF24E68" w14:textId="77777777" w:rsidR="00FE471A" w:rsidRPr="009D77BD" w:rsidRDefault="00FE471A" w:rsidP="00FE471A">
      <w:pPr>
        <w:rPr>
          <w:rFonts w:ascii="Times New Roman" w:hAnsi="Times New Roman" w:cs="Times New Roman"/>
          <w:b/>
          <w:sz w:val="20"/>
          <w:szCs w:val="20"/>
          <w:u w:val="single"/>
        </w:rPr>
      </w:pPr>
    </w:p>
    <w:p w14:paraId="49B6DB0D" w14:textId="77777777" w:rsidR="00FE471A" w:rsidRPr="009D77BD" w:rsidRDefault="00FE471A" w:rsidP="00FE471A">
      <w:pPr>
        <w:rPr>
          <w:rFonts w:ascii="Times New Roman" w:hAnsi="Times New Roman" w:cs="Times New Roman"/>
          <w:b/>
          <w:sz w:val="20"/>
          <w:szCs w:val="20"/>
          <w:u w:val="single"/>
        </w:rPr>
      </w:pPr>
    </w:p>
    <w:p w14:paraId="06FE5186" w14:textId="77777777" w:rsidR="00FE471A" w:rsidRPr="009D77BD" w:rsidRDefault="00FE471A" w:rsidP="00FE471A">
      <w:pPr>
        <w:rPr>
          <w:rFonts w:ascii="Times New Roman" w:hAnsi="Times New Roman" w:cs="Times New Roman"/>
          <w:b/>
          <w:sz w:val="20"/>
          <w:szCs w:val="20"/>
          <w:u w:val="single"/>
        </w:rPr>
      </w:pPr>
    </w:p>
    <w:p w14:paraId="658A4650" w14:textId="77777777" w:rsidR="00FE471A" w:rsidRPr="009D77BD" w:rsidRDefault="00FE471A" w:rsidP="00FE471A">
      <w:pPr>
        <w:rPr>
          <w:rFonts w:ascii="Times New Roman" w:hAnsi="Times New Roman" w:cs="Times New Roman"/>
          <w:b/>
          <w:sz w:val="20"/>
          <w:szCs w:val="20"/>
          <w:u w:val="single"/>
        </w:rPr>
      </w:pPr>
    </w:p>
    <w:p w14:paraId="04B85397" w14:textId="77777777" w:rsidR="00FE471A" w:rsidRPr="009D77BD" w:rsidRDefault="00FE471A" w:rsidP="00FE471A">
      <w:pPr>
        <w:rPr>
          <w:rFonts w:ascii="Times New Roman" w:hAnsi="Times New Roman" w:cs="Times New Roman"/>
          <w:b/>
          <w:sz w:val="20"/>
          <w:szCs w:val="20"/>
          <w:u w:val="single"/>
        </w:rPr>
      </w:pPr>
    </w:p>
    <w:p w14:paraId="2E6B8A3E" w14:textId="77777777" w:rsidR="00FE471A" w:rsidRPr="009D77BD" w:rsidRDefault="00FE471A" w:rsidP="00FE471A">
      <w:pPr>
        <w:rPr>
          <w:rFonts w:ascii="Times New Roman" w:hAnsi="Times New Roman" w:cs="Times New Roman"/>
          <w:b/>
          <w:sz w:val="20"/>
          <w:szCs w:val="20"/>
          <w:u w:val="single"/>
        </w:rPr>
      </w:pPr>
    </w:p>
    <w:p w14:paraId="6EA343D0" w14:textId="77777777" w:rsidR="00FE471A" w:rsidRPr="009D77BD" w:rsidRDefault="00FE471A" w:rsidP="00FE471A">
      <w:pPr>
        <w:rPr>
          <w:rFonts w:ascii="Times New Roman" w:hAnsi="Times New Roman" w:cs="Times New Roman"/>
          <w:b/>
          <w:sz w:val="20"/>
          <w:szCs w:val="20"/>
          <w:u w:val="single"/>
        </w:rPr>
      </w:pPr>
    </w:p>
    <w:p w14:paraId="086D73DC" w14:textId="77777777" w:rsidR="00FE471A" w:rsidRPr="009D77BD" w:rsidRDefault="00FE471A" w:rsidP="00FE471A">
      <w:pPr>
        <w:rPr>
          <w:rFonts w:ascii="Times New Roman" w:hAnsi="Times New Roman" w:cs="Times New Roman"/>
          <w:b/>
          <w:sz w:val="20"/>
          <w:szCs w:val="20"/>
          <w:u w:val="single"/>
        </w:rPr>
      </w:pPr>
    </w:p>
    <w:p w14:paraId="6A02649C" w14:textId="77777777" w:rsidR="00FE471A" w:rsidRPr="009D77BD" w:rsidRDefault="00FE471A" w:rsidP="00FE471A">
      <w:pPr>
        <w:rPr>
          <w:rFonts w:ascii="Times New Roman" w:hAnsi="Times New Roman" w:cs="Times New Roman"/>
          <w:b/>
          <w:sz w:val="20"/>
          <w:szCs w:val="20"/>
          <w:u w:val="single"/>
        </w:rPr>
      </w:pPr>
    </w:p>
    <w:p w14:paraId="78DA9C85" w14:textId="77777777" w:rsidR="00FE471A" w:rsidRPr="009D77BD" w:rsidRDefault="00FE471A" w:rsidP="00FE471A">
      <w:pPr>
        <w:rPr>
          <w:rFonts w:ascii="Times New Roman" w:hAnsi="Times New Roman" w:cs="Times New Roman"/>
          <w:b/>
          <w:sz w:val="20"/>
          <w:szCs w:val="20"/>
          <w:u w:val="single"/>
        </w:rPr>
      </w:pPr>
    </w:p>
    <w:p w14:paraId="75B39113" w14:textId="77777777" w:rsidR="00FE471A" w:rsidRPr="009D77BD" w:rsidRDefault="00FE471A" w:rsidP="00FE471A">
      <w:pPr>
        <w:rPr>
          <w:rFonts w:ascii="Times New Roman" w:hAnsi="Times New Roman" w:cs="Times New Roman"/>
          <w:b/>
          <w:sz w:val="20"/>
          <w:szCs w:val="20"/>
          <w:u w:val="single"/>
        </w:rPr>
      </w:pPr>
    </w:p>
    <w:p w14:paraId="04D1825D" w14:textId="77777777" w:rsidR="00FE471A" w:rsidRPr="009D77BD" w:rsidRDefault="00FE471A" w:rsidP="00FE471A">
      <w:pPr>
        <w:rPr>
          <w:rFonts w:ascii="Times New Roman" w:hAnsi="Times New Roman" w:cs="Times New Roman"/>
          <w:b/>
          <w:sz w:val="20"/>
          <w:szCs w:val="20"/>
          <w:u w:val="single"/>
        </w:rPr>
      </w:pPr>
    </w:p>
    <w:p w14:paraId="7482D205" w14:textId="77777777" w:rsidR="00FE471A" w:rsidRPr="009D77BD" w:rsidRDefault="00FE471A" w:rsidP="00FE471A">
      <w:pPr>
        <w:rPr>
          <w:rFonts w:ascii="Times New Roman" w:hAnsi="Times New Roman" w:cs="Times New Roman"/>
          <w:b/>
          <w:sz w:val="20"/>
          <w:szCs w:val="20"/>
          <w:u w:val="single"/>
        </w:rPr>
      </w:pPr>
    </w:p>
    <w:p w14:paraId="59BFF869" w14:textId="77777777" w:rsidR="00FE471A" w:rsidRPr="009D77BD" w:rsidRDefault="00FE471A" w:rsidP="00FE471A">
      <w:pPr>
        <w:rPr>
          <w:rFonts w:ascii="Times New Roman" w:hAnsi="Times New Roman" w:cs="Times New Roman"/>
          <w:b/>
          <w:sz w:val="20"/>
          <w:szCs w:val="20"/>
          <w:u w:val="single"/>
        </w:rPr>
      </w:pPr>
    </w:p>
    <w:p w14:paraId="34A9B1E1" w14:textId="77777777" w:rsidR="00FE471A" w:rsidRPr="009D77BD" w:rsidRDefault="00FE471A" w:rsidP="00FE471A">
      <w:pPr>
        <w:rPr>
          <w:rFonts w:ascii="Times New Roman" w:hAnsi="Times New Roman" w:cs="Times New Roman"/>
          <w:b/>
          <w:sz w:val="20"/>
          <w:szCs w:val="20"/>
          <w:u w:val="single"/>
        </w:rPr>
      </w:pPr>
    </w:p>
    <w:p w14:paraId="6D19E77E" w14:textId="77777777" w:rsidR="00FE471A" w:rsidRPr="009D77BD" w:rsidRDefault="00FE471A" w:rsidP="00FE471A">
      <w:pPr>
        <w:rPr>
          <w:rFonts w:ascii="Times New Roman" w:hAnsi="Times New Roman" w:cs="Times New Roman"/>
          <w:b/>
          <w:sz w:val="20"/>
          <w:szCs w:val="20"/>
          <w:u w:val="single"/>
        </w:rPr>
      </w:pPr>
    </w:p>
    <w:p w14:paraId="15D2B60D" w14:textId="77777777" w:rsidR="00FE471A" w:rsidRPr="009D77BD" w:rsidRDefault="00FE471A" w:rsidP="00FE471A">
      <w:pPr>
        <w:rPr>
          <w:rFonts w:ascii="Times New Roman" w:hAnsi="Times New Roman" w:cs="Times New Roman"/>
          <w:b/>
          <w:sz w:val="20"/>
          <w:szCs w:val="20"/>
          <w:u w:val="single"/>
        </w:rPr>
      </w:pPr>
    </w:p>
    <w:p w14:paraId="4F9ECC24" w14:textId="77777777" w:rsidR="00FE471A" w:rsidRPr="009D77BD" w:rsidRDefault="00FE471A" w:rsidP="00FE471A">
      <w:pPr>
        <w:rPr>
          <w:rFonts w:ascii="Times New Roman" w:hAnsi="Times New Roman" w:cs="Times New Roman"/>
          <w:b/>
          <w:sz w:val="20"/>
          <w:szCs w:val="20"/>
          <w:u w:val="single"/>
        </w:rPr>
      </w:pPr>
    </w:p>
    <w:p w14:paraId="1A0A5C7E" w14:textId="77777777" w:rsidR="00FE471A" w:rsidRPr="009D77BD" w:rsidRDefault="00FE471A" w:rsidP="00FE471A">
      <w:pPr>
        <w:rPr>
          <w:rFonts w:ascii="Times New Roman" w:hAnsi="Times New Roman" w:cs="Times New Roman"/>
          <w:b/>
          <w:sz w:val="20"/>
          <w:szCs w:val="20"/>
          <w:u w:val="single"/>
        </w:rPr>
      </w:pPr>
    </w:p>
    <w:p w14:paraId="1A8B1854" w14:textId="77777777" w:rsidR="00FE471A" w:rsidRDefault="00FE471A" w:rsidP="00FE471A">
      <w:pPr>
        <w:rPr>
          <w:rFonts w:ascii="Times New Roman" w:hAnsi="Times New Roman" w:cs="Times New Roman"/>
          <w:b/>
          <w:sz w:val="20"/>
          <w:szCs w:val="20"/>
        </w:rPr>
      </w:pPr>
      <w:r>
        <w:rPr>
          <w:rFonts w:ascii="Times New Roman" w:hAnsi="Times New Roman" w:cs="Times New Roman"/>
          <w:b/>
          <w:sz w:val="20"/>
          <w:szCs w:val="20"/>
        </w:rPr>
        <w:br w:type="page"/>
      </w:r>
    </w:p>
    <w:p w14:paraId="65311E16" w14:textId="77777777" w:rsidR="00FE471A" w:rsidRPr="009D77BD" w:rsidRDefault="00FE471A" w:rsidP="00FE471A">
      <w:pPr>
        <w:rPr>
          <w:rFonts w:ascii="Times New Roman" w:eastAsia="Times New Roman" w:hAnsi="Times New Roman" w:cs="Times New Roman"/>
          <w:b/>
          <w:bCs/>
          <w:color w:val="000000"/>
          <w:sz w:val="20"/>
          <w:szCs w:val="20"/>
          <w:lang w:val="en-GB" w:eastAsia="fr-FR"/>
        </w:rPr>
      </w:pPr>
      <w:r w:rsidRPr="009D77BD">
        <w:rPr>
          <w:rFonts w:ascii="Times New Roman" w:hAnsi="Times New Roman" w:cs="Times New Roman"/>
          <w:b/>
          <w:sz w:val="20"/>
          <w:szCs w:val="20"/>
        </w:rPr>
        <w:lastRenderedPageBreak/>
        <w:t xml:space="preserve">Table 2 </w:t>
      </w:r>
      <w:r w:rsidRPr="00AA6AB4">
        <w:rPr>
          <w:rFonts w:ascii="Times New Roman" w:eastAsia="Times New Roman" w:hAnsi="Times New Roman" w:cs="Times New Roman"/>
          <w:color w:val="000000"/>
          <w:sz w:val="20"/>
          <w:szCs w:val="20"/>
          <w:lang w:val="en-GB" w:eastAsia="fr-FR"/>
        </w:rPr>
        <w:t>Detoxification genes upregulated in Rperm-S, C-S and Rperm-C</w:t>
      </w:r>
    </w:p>
    <w:p w14:paraId="285C2E73" w14:textId="77777777" w:rsidR="00FE471A" w:rsidRPr="009D77BD" w:rsidRDefault="00FE471A" w:rsidP="00FE471A">
      <w:pPr>
        <w:rPr>
          <w:rFonts w:ascii="Times New Roman" w:hAnsi="Times New Roman" w:cs="Times New Roman"/>
          <w:sz w:val="20"/>
          <w:szCs w:val="20"/>
        </w:rPr>
      </w:pPr>
    </w:p>
    <w:tbl>
      <w:tblPr>
        <w:tblW w:w="14048" w:type="dxa"/>
        <w:tblInd w:w="93" w:type="dxa"/>
        <w:tblLook w:val="04A0" w:firstRow="1" w:lastRow="0" w:firstColumn="1" w:lastColumn="0" w:noHBand="0" w:noVBand="1"/>
      </w:tblPr>
      <w:tblGrid>
        <w:gridCol w:w="623"/>
        <w:gridCol w:w="2652"/>
        <w:gridCol w:w="2256"/>
        <w:gridCol w:w="1006"/>
        <w:gridCol w:w="935"/>
        <w:gridCol w:w="1043"/>
        <w:gridCol w:w="2315"/>
        <w:gridCol w:w="3218"/>
      </w:tblGrid>
      <w:tr w:rsidR="00FE471A" w:rsidRPr="009D77BD" w14:paraId="59BC3AC9" w14:textId="77777777" w:rsidTr="0059169E">
        <w:trPr>
          <w:trHeight w:val="502"/>
        </w:trPr>
        <w:tc>
          <w:tcPr>
            <w:tcW w:w="623" w:type="dxa"/>
            <w:tcBorders>
              <w:top w:val="single" w:sz="8" w:space="0" w:color="auto"/>
              <w:left w:val="nil"/>
              <w:bottom w:val="single" w:sz="8" w:space="0" w:color="auto"/>
              <w:right w:val="nil"/>
            </w:tcBorders>
            <w:shd w:val="clear" w:color="auto" w:fill="auto"/>
            <w:hideMark/>
          </w:tcPr>
          <w:p w14:paraId="736EC04D"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S/N</w:t>
            </w:r>
          </w:p>
        </w:tc>
        <w:tc>
          <w:tcPr>
            <w:tcW w:w="2652" w:type="dxa"/>
            <w:tcBorders>
              <w:top w:val="single" w:sz="8" w:space="0" w:color="auto"/>
              <w:left w:val="nil"/>
              <w:bottom w:val="single" w:sz="8" w:space="0" w:color="auto"/>
              <w:right w:val="nil"/>
            </w:tcBorders>
            <w:shd w:val="clear" w:color="auto" w:fill="auto"/>
            <w:hideMark/>
          </w:tcPr>
          <w:p w14:paraId="7AD43198"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Transcript Name</w:t>
            </w:r>
          </w:p>
        </w:tc>
        <w:tc>
          <w:tcPr>
            <w:tcW w:w="2256" w:type="dxa"/>
            <w:tcBorders>
              <w:top w:val="single" w:sz="8" w:space="0" w:color="auto"/>
              <w:left w:val="nil"/>
              <w:bottom w:val="single" w:sz="8" w:space="0" w:color="auto"/>
              <w:right w:val="nil"/>
            </w:tcBorders>
            <w:shd w:val="clear" w:color="auto" w:fill="auto"/>
            <w:hideMark/>
          </w:tcPr>
          <w:p w14:paraId="397F9C84"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 xml:space="preserve">Gene </w:t>
            </w:r>
            <w:r>
              <w:rPr>
                <w:rFonts w:ascii="Times New Roman" w:eastAsia="Times New Roman" w:hAnsi="Times New Roman" w:cs="Times New Roman"/>
                <w:b/>
                <w:bCs/>
                <w:color w:val="000000"/>
                <w:sz w:val="20"/>
                <w:szCs w:val="20"/>
              </w:rPr>
              <w:t>n</w:t>
            </w:r>
            <w:r w:rsidRPr="009D77BD">
              <w:rPr>
                <w:rFonts w:ascii="Times New Roman" w:eastAsia="Times New Roman" w:hAnsi="Times New Roman" w:cs="Times New Roman"/>
                <w:b/>
                <w:bCs/>
                <w:color w:val="000000"/>
                <w:sz w:val="20"/>
                <w:szCs w:val="20"/>
              </w:rPr>
              <w:t>ame</w:t>
            </w:r>
          </w:p>
        </w:tc>
        <w:tc>
          <w:tcPr>
            <w:tcW w:w="1006" w:type="dxa"/>
            <w:tcBorders>
              <w:top w:val="single" w:sz="8" w:space="0" w:color="auto"/>
              <w:left w:val="nil"/>
              <w:bottom w:val="single" w:sz="8" w:space="0" w:color="auto"/>
              <w:right w:val="nil"/>
            </w:tcBorders>
            <w:shd w:val="clear" w:color="auto" w:fill="auto"/>
            <w:hideMark/>
          </w:tcPr>
          <w:p w14:paraId="6FA43703"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Rperm-S FC</w:t>
            </w:r>
          </w:p>
        </w:tc>
        <w:tc>
          <w:tcPr>
            <w:tcW w:w="935" w:type="dxa"/>
            <w:tcBorders>
              <w:top w:val="single" w:sz="8" w:space="0" w:color="auto"/>
              <w:left w:val="nil"/>
              <w:bottom w:val="single" w:sz="8" w:space="0" w:color="auto"/>
              <w:right w:val="nil"/>
            </w:tcBorders>
            <w:shd w:val="clear" w:color="auto" w:fill="auto"/>
            <w:hideMark/>
          </w:tcPr>
          <w:p w14:paraId="09DF5DBD"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C-S FC</w:t>
            </w:r>
          </w:p>
        </w:tc>
        <w:tc>
          <w:tcPr>
            <w:tcW w:w="1043" w:type="dxa"/>
            <w:tcBorders>
              <w:top w:val="single" w:sz="8" w:space="0" w:color="auto"/>
              <w:left w:val="nil"/>
              <w:bottom w:val="single" w:sz="8" w:space="0" w:color="auto"/>
              <w:right w:val="nil"/>
            </w:tcBorders>
            <w:shd w:val="clear" w:color="auto" w:fill="auto"/>
            <w:hideMark/>
          </w:tcPr>
          <w:p w14:paraId="591BC1A6"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Rperm-C FC</w:t>
            </w:r>
          </w:p>
        </w:tc>
        <w:tc>
          <w:tcPr>
            <w:tcW w:w="2315" w:type="dxa"/>
            <w:tcBorders>
              <w:top w:val="single" w:sz="8" w:space="0" w:color="auto"/>
              <w:left w:val="nil"/>
              <w:bottom w:val="single" w:sz="8" w:space="0" w:color="auto"/>
              <w:right w:val="nil"/>
            </w:tcBorders>
            <w:shd w:val="clear" w:color="auto" w:fill="auto"/>
            <w:hideMark/>
          </w:tcPr>
          <w:p w14:paraId="18E0DAAB"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 xml:space="preserve">Ortholog in </w:t>
            </w:r>
            <w:r w:rsidRPr="00AA6AB4">
              <w:rPr>
                <w:rFonts w:ascii="Times New Roman" w:eastAsia="Times New Roman" w:hAnsi="Times New Roman" w:cs="Times New Roman"/>
                <w:b/>
                <w:bCs/>
                <w:i/>
                <w:iCs/>
                <w:color w:val="000000"/>
                <w:sz w:val="20"/>
                <w:szCs w:val="20"/>
              </w:rPr>
              <w:t>An. gambiae</w:t>
            </w:r>
          </w:p>
        </w:tc>
        <w:tc>
          <w:tcPr>
            <w:tcW w:w="3218" w:type="dxa"/>
            <w:tcBorders>
              <w:top w:val="single" w:sz="8" w:space="0" w:color="auto"/>
              <w:left w:val="nil"/>
              <w:bottom w:val="single" w:sz="8" w:space="0" w:color="auto"/>
              <w:right w:val="nil"/>
            </w:tcBorders>
            <w:shd w:val="clear" w:color="auto" w:fill="auto"/>
            <w:hideMark/>
          </w:tcPr>
          <w:p w14:paraId="0531920A"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Description</w:t>
            </w:r>
          </w:p>
        </w:tc>
      </w:tr>
      <w:tr w:rsidR="00FE471A" w:rsidRPr="009D77BD" w14:paraId="1CE7089D" w14:textId="77777777" w:rsidTr="0059169E">
        <w:trPr>
          <w:trHeight w:val="307"/>
        </w:trPr>
        <w:tc>
          <w:tcPr>
            <w:tcW w:w="623" w:type="dxa"/>
            <w:tcBorders>
              <w:top w:val="nil"/>
              <w:left w:val="nil"/>
              <w:bottom w:val="nil"/>
              <w:right w:val="nil"/>
            </w:tcBorders>
            <w:shd w:val="clear" w:color="auto" w:fill="auto"/>
            <w:hideMark/>
          </w:tcPr>
          <w:p w14:paraId="252810D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w:t>
            </w:r>
          </w:p>
        </w:tc>
        <w:tc>
          <w:tcPr>
            <w:tcW w:w="2652" w:type="dxa"/>
            <w:tcBorders>
              <w:top w:val="nil"/>
              <w:left w:val="nil"/>
              <w:bottom w:val="nil"/>
              <w:right w:val="nil"/>
            </w:tcBorders>
            <w:shd w:val="clear" w:color="auto" w:fill="auto"/>
            <w:noWrap/>
            <w:hideMark/>
          </w:tcPr>
          <w:p w14:paraId="0D1B614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CUST_762_PI426302897</w:t>
            </w:r>
          </w:p>
        </w:tc>
        <w:tc>
          <w:tcPr>
            <w:tcW w:w="2256" w:type="dxa"/>
            <w:tcBorders>
              <w:top w:val="nil"/>
              <w:left w:val="nil"/>
              <w:bottom w:val="nil"/>
              <w:right w:val="nil"/>
            </w:tcBorders>
            <w:shd w:val="clear" w:color="auto" w:fill="auto"/>
            <w:noWrap/>
            <w:hideMark/>
          </w:tcPr>
          <w:p w14:paraId="6E6E96D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Afun000762</w:t>
            </w:r>
          </w:p>
        </w:tc>
        <w:tc>
          <w:tcPr>
            <w:tcW w:w="1006" w:type="dxa"/>
            <w:tcBorders>
              <w:top w:val="nil"/>
              <w:left w:val="nil"/>
              <w:bottom w:val="nil"/>
              <w:right w:val="nil"/>
            </w:tcBorders>
            <w:shd w:val="clear" w:color="auto" w:fill="auto"/>
            <w:noWrap/>
            <w:hideMark/>
          </w:tcPr>
          <w:p w14:paraId="239E621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5.19</w:t>
            </w:r>
          </w:p>
        </w:tc>
        <w:tc>
          <w:tcPr>
            <w:tcW w:w="935" w:type="dxa"/>
            <w:tcBorders>
              <w:top w:val="nil"/>
              <w:left w:val="nil"/>
              <w:bottom w:val="nil"/>
              <w:right w:val="nil"/>
            </w:tcBorders>
            <w:shd w:val="clear" w:color="auto" w:fill="auto"/>
            <w:noWrap/>
            <w:hideMark/>
          </w:tcPr>
          <w:p w14:paraId="0E26FDD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3.83</w:t>
            </w:r>
          </w:p>
        </w:tc>
        <w:tc>
          <w:tcPr>
            <w:tcW w:w="1043" w:type="dxa"/>
            <w:tcBorders>
              <w:top w:val="nil"/>
              <w:left w:val="nil"/>
              <w:bottom w:val="nil"/>
              <w:right w:val="nil"/>
            </w:tcBorders>
            <w:shd w:val="clear" w:color="auto" w:fill="auto"/>
            <w:noWrap/>
            <w:hideMark/>
          </w:tcPr>
          <w:p w14:paraId="08E47B3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2.53</w:t>
            </w:r>
          </w:p>
        </w:tc>
        <w:tc>
          <w:tcPr>
            <w:tcW w:w="2315" w:type="dxa"/>
            <w:tcBorders>
              <w:top w:val="nil"/>
              <w:left w:val="nil"/>
              <w:bottom w:val="nil"/>
              <w:right w:val="nil"/>
            </w:tcBorders>
            <w:shd w:val="clear" w:color="auto" w:fill="auto"/>
            <w:hideMark/>
          </w:tcPr>
          <w:p w14:paraId="4056E41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AGAP006733</w:t>
            </w:r>
          </w:p>
        </w:tc>
        <w:tc>
          <w:tcPr>
            <w:tcW w:w="3218" w:type="dxa"/>
            <w:tcBorders>
              <w:top w:val="nil"/>
              <w:left w:val="nil"/>
              <w:bottom w:val="nil"/>
              <w:right w:val="nil"/>
            </w:tcBorders>
            <w:shd w:val="clear" w:color="auto" w:fill="auto"/>
            <w:hideMark/>
          </w:tcPr>
          <w:p w14:paraId="6078FF4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THO complex subunit 4</w:t>
            </w:r>
          </w:p>
        </w:tc>
      </w:tr>
      <w:tr w:rsidR="00FE471A" w:rsidRPr="009D77BD" w14:paraId="0DF56FF0" w14:textId="77777777" w:rsidTr="0059169E">
        <w:trPr>
          <w:trHeight w:val="307"/>
        </w:trPr>
        <w:tc>
          <w:tcPr>
            <w:tcW w:w="623" w:type="dxa"/>
            <w:tcBorders>
              <w:top w:val="nil"/>
              <w:left w:val="nil"/>
              <w:bottom w:val="nil"/>
              <w:right w:val="nil"/>
            </w:tcBorders>
            <w:shd w:val="clear" w:color="auto" w:fill="auto"/>
            <w:hideMark/>
          </w:tcPr>
          <w:p w14:paraId="6642282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w:t>
            </w:r>
          </w:p>
        </w:tc>
        <w:tc>
          <w:tcPr>
            <w:tcW w:w="2652" w:type="dxa"/>
            <w:tcBorders>
              <w:top w:val="nil"/>
              <w:left w:val="nil"/>
              <w:bottom w:val="nil"/>
              <w:right w:val="nil"/>
            </w:tcBorders>
            <w:shd w:val="clear" w:color="auto" w:fill="auto"/>
            <w:noWrap/>
            <w:hideMark/>
          </w:tcPr>
          <w:p w14:paraId="130A639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CUST_2376_PI406199772</w:t>
            </w:r>
          </w:p>
        </w:tc>
        <w:tc>
          <w:tcPr>
            <w:tcW w:w="2256" w:type="dxa"/>
            <w:tcBorders>
              <w:top w:val="nil"/>
              <w:left w:val="nil"/>
              <w:bottom w:val="nil"/>
              <w:right w:val="nil"/>
            </w:tcBorders>
            <w:shd w:val="clear" w:color="auto" w:fill="auto"/>
            <w:noWrap/>
            <w:hideMark/>
          </w:tcPr>
          <w:p w14:paraId="109A628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CD578215.1</w:t>
            </w:r>
          </w:p>
        </w:tc>
        <w:tc>
          <w:tcPr>
            <w:tcW w:w="1006" w:type="dxa"/>
            <w:tcBorders>
              <w:top w:val="nil"/>
              <w:left w:val="nil"/>
              <w:bottom w:val="nil"/>
              <w:right w:val="nil"/>
            </w:tcBorders>
            <w:shd w:val="clear" w:color="auto" w:fill="auto"/>
            <w:noWrap/>
            <w:hideMark/>
          </w:tcPr>
          <w:p w14:paraId="0DC2BF5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17.81</w:t>
            </w:r>
          </w:p>
        </w:tc>
        <w:tc>
          <w:tcPr>
            <w:tcW w:w="935" w:type="dxa"/>
            <w:tcBorders>
              <w:top w:val="nil"/>
              <w:left w:val="nil"/>
              <w:bottom w:val="nil"/>
              <w:right w:val="nil"/>
            </w:tcBorders>
            <w:shd w:val="clear" w:color="auto" w:fill="auto"/>
            <w:noWrap/>
            <w:hideMark/>
          </w:tcPr>
          <w:p w14:paraId="0334495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43.40</w:t>
            </w:r>
          </w:p>
        </w:tc>
        <w:tc>
          <w:tcPr>
            <w:tcW w:w="1043" w:type="dxa"/>
            <w:tcBorders>
              <w:top w:val="nil"/>
              <w:left w:val="nil"/>
              <w:bottom w:val="nil"/>
              <w:right w:val="nil"/>
            </w:tcBorders>
            <w:shd w:val="clear" w:color="auto" w:fill="auto"/>
            <w:hideMark/>
          </w:tcPr>
          <w:p w14:paraId="07EDB645"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hideMark/>
          </w:tcPr>
          <w:p w14:paraId="457622A0"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601B2F60"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56895D88" w14:textId="77777777" w:rsidTr="0059169E">
        <w:trPr>
          <w:trHeight w:val="307"/>
        </w:trPr>
        <w:tc>
          <w:tcPr>
            <w:tcW w:w="623" w:type="dxa"/>
            <w:tcBorders>
              <w:top w:val="nil"/>
              <w:left w:val="nil"/>
              <w:bottom w:val="nil"/>
              <w:right w:val="nil"/>
            </w:tcBorders>
            <w:shd w:val="clear" w:color="auto" w:fill="auto"/>
            <w:noWrap/>
            <w:hideMark/>
          </w:tcPr>
          <w:p w14:paraId="1BD3F98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w:t>
            </w:r>
          </w:p>
        </w:tc>
        <w:tc>
          <w:tcPr>
            <w:tcW w:w="2652" w:type="dxa"/>
            <w:tcBorders>
              <w:top w:val="nil"/>
              <w:left w:val="nil"/>
              <w:bottom w:val="nil"/>
              <w:right w:val="nil"/>
            </w:tcBorders>
            <w:shd w:val="clear" w:color="auto" w:fill="auto"/>
            <w:noWrap/>
            <w:hideMark/>
          </w:tcPr>
          <w:p w14:paraId="2E191B8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CUST_2375_PI406199772</w:t>
            </w:r>
          </w:p>
        </w:tc>
        <w:tc>
          <w:tcPr>
            <w:tcW w:w="2256" w:type="dxa"/>
            <w:tcBorders>
              <w:top w:val="nil"/>
              <w:left w:val="nil"/>
              <w:bottom w:val="nil"/>
              <w:right w:val="nil"/>
            </w:tcBorders>
            <w:shd w:val="clear" w:color="auto" w:fill="auto"/>
            <w:noWrap/>
            <w:hideMark/>
          </w:tcPr>
          <w:p w14:paraId="1442795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CD578215.1</w:t>
            </w:r>
          </w:p>
        </w:tc>
        <w:tc>
          <w:tcPr>
            <w:tcW w:w="1006" w:type="dxa"/>
            <w:tcBorders>
              <w:top w:val="nil"/>
              <w:left w:val="nil"/>
              <w:bottom w:val="nil"/>
              <w:right w:val="nil"/>
            </w:tcBorders>
            <w:shd w:val="clear" w:color="auto" w:fill="auto"/>
            <w:noWrap/>
            <w:hideMark/>
          </w:tcPr>
          <w:p w14:paraId="5536C4C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14.75</w:t>
            </w:r>
          </w:p>
        </w:tc>
        <w:tc>
          <w:tcPr>
            <w:tcW w:w="935" w:type="dxa"/>
            <w:tcBorders>
              <w:top w:val="nil"/>
              <w:left w:val="nil"/>
              <w:bottom w:val="nil"/>
              <w:right w:val="nil"/>
            </w:tcBorders>
            <w:shd w:val="clear" w:color="auto" w:fill="auto"/>
            <w:noWrap/>
            <w:hideMark/>
          </w:tcPr>
          <w:p w14:paraId="3127873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36.74</w:t>
            </w:r>
          </w:p>
        </w:tc>
        <w:tc>
          <w:tcPr>
            <w:tcW w:w="1043" w:type="dxa"/>
            <w:tcBorders>
              <w:top w:val="nil"/>
              <w:left w:val="nil"/>
              <w:bottom w:val="nil"/>
              <w:right w:val="nil"/>
            </w:tcBorders>
            <w:shd w:val="clear" w:color="auto" w:fill="auto"/>
            <w:hideMark/>
          </w:tcPr>
          <w:p w14:paraId="547A4388"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hideMark/>
          </w:tcPr>
          <w:p w14:paraId="717DA559"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7C3D4B94"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661225A1" w14:textId="77777777" w:rsidTr="0059169E">
        <w:trPr>
          <w:trHeight w:val="307"/>
        </w:trPr>
        <w:tc>
          <w:tcPr>
            <w:tcW w:w="623" w:type="dxa"/>
            <w:tcBorders>
              <w:top w:val="nil"/>
              <w:left w:val="nil"/>
              <w:bottom w:val="nil"/>
              <w:right w:val="nil"/>
            </w:tcBorders>
            <w:shd w:val="clear" w:color="auto" w:fill="auto"/>
            <w:noWrap/>
            <w:hideMark/>
          </w:tcPr>
          <w:p w14:paraId="6ED6127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w:t>
            </w:r>
          </w:p>
        </w:tc>
        <w:tc>
          <w:tcPr>
            <w:tcW w:w="2652" w:type="dxa"/>
            <w:tcBorders>
              <w:top w:val="nil"/>
              <w:left w:val="nil"/>
              <w:bottom w:val="nil"/>
              <w:right w:val="nil"/>
            </w:tcBorders>
            <w:shd w:val="clear" w:color="auto" w:fill="auto"/>
            <w:noWrap/>
            <w:hideMark/>
          </w:tcPr>
          <w:p w14:paraId="258FDDF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CUST_15266_PI426302897</w:t>
            </w:r>
          </w:p>
        </w:tc>
        <w:tc>
          <w:tcPr>
            <w:tcW w:w="2256" w:type="dxa"/>
            <w:tcBorders>
              <w:top w:val="nil"/>
              <w:left w:val="nil"/>
              <w:bottom w:val="nil"/>
              <w:right w:val="nil"/>
            </w:tcBorders>
            <w:shd w:val="clear" w:color="auto" w:fill="auto"/>
            <w:noWrap/>
            <w:hideMark/>
          </w:tcPr>
          <w:p w14:paraId="1B43FC9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Afun015266</w:t>
            </w:r>
          </w:p>
        </w:tc>
        <w:tc>
          <w:tcPr>
            <w:tcW w:w="1006" w:type="dxa"/>
            <w:tcBorders>
              <w:top w:val="nil"/>
              <w:left w:val="nil"/>
              <w:bottom w:val="nil"/>
              <w:right w:val="nil"/>
            </w:tcBorders>
            <w:shd w:val="clear" w:color="auto" w:fill="auto"/>
            <w:noWrap/>
            <w:hideMark/>
          </w:tcPr>
          <w:p w14:paraId="1A3D0F5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2.44</w:t>
            </w:r>
          </w:p>
        </w:tc>
        <w:tc>
          <w:tcPr>
            <w:tcW w:w="935" w:type="dxa"/>
            <w:tcBorders>
              <w:top w:val="nil"/>
              <w:left w:val="nil"/>
              <w:bottom w:val="nil"/>
              <w:right w:val="nil"/>
            </w:tcBorders>
            <w:shd w:val="clear" w:color="auto" w:fill="auto"/>
            <w:noWrap/>
            <w:hideMark/>
          </w:tcPr>
          <w:p w14:paraId="3382F73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2.88</w:t>
            </w:r>
          </w:p>
        </w:tc>
        <w:tc>
          <w:tcPr>
            <w:tcW w:w="1043" w:type="dxa"/>
            <w:tcBorders>
              <w:top w:val="nil"/>
              <w:left w:val="nil"/>
              <w:bottom w:val="nil"/>
              <w:right w:val="nil"/>
            </w:tcBorders>
            <w:shd w:val="clear" w:color="auto" w:fill="auto"/>
            <w:noWrap/>
            <w:hideMark/>
          </w:tcPr>
          <w:p w14:paraId="4253CF8E"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244E3FB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AGAP010911-PA</w:t>
            </w:r>
          </w:p>
        </w:tc>
        <w:tc>
          <w:tcPr>
            <w:tcW w:w="3218" w:type="dxa"/>
            <w:tcBorders>
              <w:top w:val="nil"/>
              <w:left w:val="nil"/>
              <w:bottom w:val="nil"/>
              <w:right w:val="nil"/>
            </w:tcBorders>
            <w:shd w:val="clear" w:color="auto" w:fill="auto"/>
            <w:noWrap/>
            <w:hideMark/>
          </w:tcPr>
          <w:p w14:paraId="68F04EF6"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arboxylesterase</w:t>
            </w:r>
          </w:p>
        </w:tc>
      </w:tr>
      <w:tr w:rsidR="00FE471A" w:rsidRPr="009D77BD" w14:paraId="254F91B7" w14:textId="77777777" w:rsidTr="0059169E">
        <w:trPr>
          <w:trHeight w:val="307"/>
        </w:trPr>
        <w:tc>
          <w:tcPr>
            <w:tcW w:w="623" w:type="dxa"/>
            <w:tcBorders>
              <w:top w:val="nil"/>
              <w:left w:val="nil"/>
              <w:bottom w:val="nil"/>
              <w:right w:val="nil"/>
            </w:tcBorders>
            <w:shd w:val="clear" w:color="auto" w:fill="auto"/>
            <w:noWrap/>
            <w:hideMark/>
          </w:tcPr>
          <w:p w14:paraId="613A91C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5</w:t>
            </w:r>
          </w:p>
        </w:tc>
        <w:tc>
          <w:tcPr>
            <w:tcW w:w="2652" w:type="dxa"/>
            <w:tcBorders>
              <w:top w:val="nil"/>
              <w:left w:val="nil"/>
              <w:bottom w:val="nil"/>
              <w:right w:val="nil"/>
            </w:tcBorders>
            <w:shd w:val="clear" w:color="auto" w:fill="auto"/>
            <w:noWrap/>
            <w:hideMark/>
          </w:tcPr>
          <w:p w14:paraId="1EF6E4D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CUST_10482_PI426302897</w:t>
            </w:r>
          </w:p>
        </w:tc>
        <w:tc>
          <w:tcPr>
            <w:tcW w:w="2256" w:type="dxa"/>
            <w:tcBorders>
              <w:top w:val="nil"/>
              <w:left w:val="nil"/>
              <w:bottom w:val="nil"/>
              <w:right w:val="nil"/>
            </w:tcBorders>
            <w:shd w:val="clear" w:color="auto" w:fill="auto"/>
            <w:noWrap/>
            <w:hideMark/>
          </w:tcPr>
          <w:p w14:paraId="00B607B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Afun010482</w:t>
            </w:r>
          </w:p>
        </w:tc>
        <w:tc>
          <w:tcPr>
            <w:tcW w:w="1006" w:type="dxa"/>
            <w:tcBorders>
              <w:top w:val="nil"/>
              <w:left w:val="nil"/>
              <w:bottom w:val="nil"/>
              <w:right w:val="nil"/>
            </w:tcBorders>
            <w:shd w:val="clear" w:color="auto" w:fill="auto"/>
            <w:noWrap/>
            <w:hideMark/>
          </w:tcPr>
          <w:p w14:paraId="6253AC4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18.00</w:t>
            </w:r>
          </w:p>
        </w:tc>
        <w:tc>
          <w:tcPr>
            <w:tcW w:w="935" w:type="dxa"/>
            <w:tcBorders>
              <w:top w:val="nil"/>
              <w:left w:val="nil"/>
              <w:bottom w:val="nil"/>
              <w:right w:val="nil"/>
            </w:tcBorders>
            <w:shd w:val="clear" w:color="auto" w:fill="auto"/>
            <w:noWrap/>
            <w:hideMark/>
          </w:tcPr>
          <w:p w14:paraId="3F044E9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65.91</w:t>
            </w:r>
          </w:p>
        </w:tc>
        <w:tc>
          <w:tcPr>
            <w:tcW w:w="1043" w:type="dxa"/>
            <w:tcBorders>
              <w:top w:val="nil"/>
              <w:left w:val="nil"/>
              <w:bottom w:val="nil"/>
              <w:right w:val="nil"/>
            </w:tcBorders>
            <w:shd w:val="clear" w:color="auto" w:fill="auto"/>
            <w:noWrap/>
            <w:hideMark/>
          </w:tcPr>
          <w:p w14:paraId="2347203E"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7AAC9EE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AGAP008449-PA</w:t>
            </w:r>
          </w:p>
        </w:tc>
        <w:tc>
          <w:tcPr>
            <w:tcW w:w="3218" w:type="dxa"/>
            <w:tcBorders>
              <w:top w:val="nil"/>
              <w:left w:val="nil"/>
              <w:bottom w:val="nil"/>
              <w:right w:val="nil"/>
            </w:tcBorders>
            <w:shd w:val="clear" w:color="auto" w:fill="auto"/>
            <w:noWrap/>
            <w:hideMark/>
          </w:tcPr>
          <w:p w14:paraId="4B58B61F"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2DFB0084" w14:textId="77777777" w:rsidTr="0059169E">
        <w:trPr>
          <w:trHeight w:val="307"/>
        </w:trPr>
        <w:tc>
          <w:tcPr>
            <w:tcW w:w="623" w:type="dxa"/>
            <w:tcBorders>
              <w:top w:val="nil"/>
              <w:left w:val="nil"/>
              <w:bottom w:val="nil"/>
              <w:right w:val="nil"/>
            </w:tcBorders>
            <w:shd w:val="clear" w:color="auto" w:fill="auto"/>
            <w:noWrap/>
            <w:hideMark/>
          </w:tcPr>
          <w:p w14:paraId="7895D3C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6</w:t>
            </w:r>
          </w:p>
        </w:tc>
        <w:tc>
          <w:tcPr>
            <w:tcW w:w="2652" w:type="dxa"/>
            <w:tcBorders>
              <w:top w:val="nil"/>
              <w:left w:val="nil"/>
              <w:bottom w:val="nil"/>
              <w:right w:val="nil"/>
            </w:tcBorders>
            <w:shd w:val="clear" w:color="auto" w:fill="auto"/>
            <w:noWrap/>
            <w:hideMark/>
          </w:tcPr>
          <w:p w14:paraId="26EA38E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CUST_3752_PI406199772</w:t>
            </w:r>
          </w:p>
        </w:tc>
        <w:tc>
          <w:tcPr>
            <w:tcW w:w="2256" w:type="dxa"/>
            <w:tcBorders>
              <w:top w:val="nil"/>
              <w:left w:val="nil"/>
              <w:bottom w:val="nil"/>
              <w:right w:val="nil"/>
            </w:tcBorders>
            <w:shd w:val="clear" w:color="auto" w:fill="auto"/>
            <w:noWrap/>
            <w:hideMark/>
          </w:tcPr>
          <w:p w14:paraId="0295FE5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CD577507.1</w:t>
            </w:r>
          </w:p>
        </w:tc>
        <w:tc>
          <w:tcPr>
            <w:tcW w:w="1006" w:type="dxa"/>
            <w:tcBorders>
              <w:top w:val="nil"/>
              <w:left w:val="nil"/>
              <w:bottom w:val="nil"/>
              <w:right w:val="nil"/>
            </w:tcBorders>
            <w:shd w:val="clear" w:color="auto" w:fill="auto"/>
            <w:noWrap/>
            <w:hideMark/>
          </w:tcPr>
          <w:p w14:paraId="4F4C06B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3.56</w:t>
            </w:r>
          </w:p>
        </w:tc>
        <w:tc>
          <w:tcPr>
            <w:tcW w:w="935" w:type="dxa"/>
            <w:tcBorders>
              <w:top w:val="nil"/>
              <w:left w:val="nil"/>
              <w:bottom w:val="nil"/>
              <w:right w:val="nil"/>
            </w:tcBorders>
            <w:shd w:val="clear" w:color="auto" w:fill="auto"/>
            <w:noWrap/>
            <w:hideMark/>
          </w:tcPr>
          <w:p w14:paraId="32AA2E3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5.87</w:t>
            </w:r>
          </w:p>
        </w:tc>
        <w:tc>
          <w:tcPr>
            <w:tcW w:w="1043" w:type="dxa"/>
            <w:tcBorders>
              <w:top w:val="nil"/>
              <w:left w:val="nil"/>
              <w:bottom w:val="nil"/>
              <w:right w:val="nil"/>
            </w:tcBorders>
            <w:shd w:val="clear" w:color="auto" w:fill="auto"/>
            <w:noWrap/>
            <w:hideMark/>
          </w:tcPr>
          <w:p w14:paraId="45BACF83"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2AB7B9E5"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65634FD8"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73467CFE" w14:textId="77777777" w:rsidTr="0059169E">
        <w:trPr>
          <w:trHeight w:val="307"/>
        </w:trPr>
        <w:tc>
          <w:tcPr>
            <w:tcW w:w="623" w:type="dxa"/>
            <w:tcBorders>
              <w:top w:val="nil"/>
              <w:left w:val="nil"/>
              <w:bottom w:val="nil"/>
              <w:right w:val="nil"/>
            </w:tcBorders>
            <w:shd w:val="clear" w:color="auto" w:fill="auto"/>
            <w:noWrap/>
            <w:hideMark/>
          </w:tcPr>
          <w:p w14:paraId="114F82C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7</w:t>
            </w:r>
          </w:p>
        </w:tc>
        <w:tc>
          <w:tcPr>
            <w:tcW w:w="2652" w:type="dxa"/>
            <w:tcBorders>
              <w:top w:val="nil"/>
              <w:left w:val="nil"/>
              <w:bottom w:val="nil"/>
              <w:right w:val="nil"/>
            </w:tcBorders>
            <w:shd w:val="clear" w:color="auto" w:fill="auto"/>
            <w:noWrap/>
            <w:hideMark/>
          </w:tcPr>
          <w:p w14:paraId="3258AFF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CUST_13390_PI426302897</w:t>
            </w:r>
          </w:p>
        </w:tc>
        <w:tc>
          <w:tcPr>
            <w:tcW w:w="2256" w:type="dxa"/>
            <w:tcBorders>
              <w:top w:val="nil"/>
              <w:left w:val="nil"/>
              <w:bottom w:val="nil"/>
              <w:right w:val="nil"/>
            </w:tcBorders>
            <w:shd w:val="clear" w:color="auto" w:fill="auto"/>
            <w:noWrap/>
            <w:hideMark/>
          </w:tcPr>
          <w:p w14:paraId="0F63358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Afun013390</w:t>
            </w:r>
          </w:p>
        </w:tc>
        <w:tc>
          <w:tcPr>
            <w:tcW w:w="1006" w:type="dxa"/>
            <w:tcBorders>
              <w:top w:val="nil"/>
              <w:left w:val="nil"/>
              <w:bottom w:val="nil"/>
              <w:right w:val="nil"/>
            </w:tcBorders>
            <w:shd w:val="clear" w:color="auto" w:fill="auto"/>
            <w:noWrap/>
            <w:hideMark/>
          </w:tcPr>
          <w:p w14:paraId="6C09489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4.11</w:t>
            </w:r>
          </w:p>
        </w:tc>
        <w:tc>
          <w:tcPr>
            <w:tcW w:w="935" w:type="dxa"/>
            <w:tcBorders>
              <w:top w:val="nil"/>
              <w:left w:val="nil"/>
              <w:bottom w:val="nil"/>
              <w:right w:val="nil"/>
            </w:tcBorders>
            <w:shd w:val="clear" w:color="auto" w:fill="auto"/>
            <w:noWrap/>
            <w:hideMark/>
          </w:tcPr>
          <w:p w14:paraId="3B33C7A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3.47</w:t>
            </w:r>
          </w:p>
        </w:tc>
        <w:tc>
          <w:tcPr>
            <w:tcW w:w="1043" w:type="dxa"/>
            <w:tcBorders>
              <w:top w:val="nil"/>
              <w:left w:val="nil"/>
              <w:bottom w:val="nil"/>
              <w:right w:val="nil"/>
            </w:tcBorders>
            <w:shd w:val="clear" w:color="auto" w:fill="auto"/>
            <w:noWrap/>
            <w:hideMark/>
          </w:tcPr>
          <w:p w14:paraId="4C7F9EBF"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56F9E4F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AGAP000344-PB</w:t>
            </w:r>
          </w:p>
        </w:tc>
        <w:tc>
          <w:tcPr>
            <w:tcW w:w="3218" w:type="dxa"/>
            <w:tcBorders>
              <w:top w:val="nil"/>
              <w:left w:val="nil"/>
              <w:bottom w:val="nil"/>
              <w:right w:val="nil"/>
            </w:tcBorders>
            <w:shd w:val="clear" w:color="auto" w:fill="auto"/>
            <w:noWrap/>
            <w:hideMark/>
          </w:tcPr>
          <w:p w14:paraId="4BD2DBC9"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uticular protein rr-1</w:t>
            </w:r>
          </w:p>
        </w:tc>
      </w:tr>
      <w:tr w:rsidR="00FE471A" w:rsidRPr="009D77BD" w14:paraId="0655C71E" w14:textId="77777777" w:rsidTr="0059169E">
        <w:trPr>
          <w:trHeight w:val="307"/>
        </w:trPr>
        <w:tc>
          <w:tcPr>
            <w:tcW w:w="623" w:type="dxa"/>
            <w:tcBorders>
              <w:top w:val="nil"/>
              <w:left w:val="nil"/>
              <w:bottom w:val="nil"/>
              <w:right w:val="nil"/>
            </w:tcBorders>
            <w:shd w:val="clear" w:color="auto" w:fill="auto"/>
            <w:noWrap/>
            <w:hideMark/>
          </w:tcPr>
          <w:p w14:paraId="7236075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8</w:t>
            </w:r>
          </w:p>
        </w:tc>
        <w:tc>
          <w:tcPr>
            <w:tcW w:w="2652" w:type="dxa"/>
            <w:tcBorders>
              <w:top w:val="nil"/>
              <w:left w:val="nil"/>
              <w:bottom w:val="nil"/>
              <w:right w:val="nil"/>
            </w:tcBorders>
            <w:shd w:val="clear" w:color="auto" w:fill="auto"/>
            <w:noWrap/>
            <w:hideMark/>
          </w:tcPr>
          <w:p w14:paraId="1DC4AA8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CUST_15708_PI406199769</w:t>
            </w:r>
          </w:p>
        </w:tc>
        <w:tc>
          <w:tcPr>
            <w:tcW w:w="2256" w:type="dxa"/>
            <w:tcBorders>
              <w:top w:val="nil"/>
              <w:left w:val="nil"/>
              <w:bottom w:val="nil"/>
              <w:right w:val="nil"/>
            </w:tcBorders>
            <w:shd w:val="clear" w:color="auto" w:fill="auto"/>
            <w:noWrap/>
            <w:hideMark/>
          </w:tcPr>
          <w:p w14:paraId="1CCF3572"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ombined_c8336</w:t>
            </w:r>
          </w:p>
        </w:tc>
        <w:tc>
          <w:tcPr>
            <w:tcW w:w="1006" w:type="dxa"/>
            <w:tcBorders>
              <w:top w:val="nil"/>
              <w:left w:val="nil"/>
              <w:bottom w:val="nil"/>
              <w:right w:val="nil"/>
            </w:tcBorders>
            <w:shd w:val="clear" w:color="auto" w:fill="auto"/>
            <w:noWrap/>
            <w:hideMark/>
          </w:tcPr>
          <w:p w14:paraId="54420A9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2.25</w:t>
            </w:r>
          </w:p>
        </w:tc>
        <w:tc>
          <w:tcPr>
            <w:tcW w:w="935" w:type="dxa"/>
            <w:tcBorders>
              <w:top w:val="nil"/>
              <w:left w:val="nil"/>
              <w:bottom w:val="nil"/>
              <w:right w:val="nil"/>
            </w:tcBorders>
            <w:shd w:val="clear" w:color="auto" w:fill="auto"/>
            <w:noWrap/>
            <w:hideMark/>
          </w:tcPr>
          <w:p w14:paraId="049C2057"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74915DE7"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7CC5EE2"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4660B03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52C7FFF0" w14:textId="77777777" w:rsidTr="0059169E">
        <w:trPr>
          <w:trHeight w:val="307"/>
        </w:trPr>
        <w:tc>
          <w:tcPr>
            <w:tcW w:w="623" w:type="dxa"/>
            <w:tcBorders>
              <w:top w:val="nil"/>
              <w:left w:val="nil"/>
              <w:bottom w:val="nil"/>
              <w:right w:val="nil"/>
            </w:tcBorders>
            <w:shd w:val="clear" w:color="auto" w:fill="auto"/>
            <w:noWrap/>
            <w:hideMark/>
          </w:tcPr>
          <w:p w14:paraId="23C46AC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9</w:t>
            </w:r>
          </w:p>
        </w:tc>
        <w:tc>
          <w:tcPr>
            <w:tcW w:w="2652" w:type="dxa"/>
            <w:tcBorders>
              <w:top w:val="nil"/>
              <w:left w:val="nil"/>
              <w:bottom w:val="nil"/>
              <w:right w:val="nil"/>
            </w:tcBorders>
            <w:shd w:val="clear" w:color="auto" w:fill="auto"/>
            <w:noWrap/>
            <w:hideMark/>
          </w:tcPr>
          <w:p w14:paraId="4141BD9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CUST_7571_PI426302897</w:t>
            </w:r>
          </w:p>
        </w:tc>
        <w:tc>
          <w:tcPr>
            <w:tcW w:w="2256" w:type="dxa"/>
            <w:tcBorders>
              <w:top w:val="nil"/>
              <w:left w:val="nil"/>
              <w:bottom w:val="nil"/>
              <w:right w:val="nil"/>
            </w:tcBorders>
            <w:shd w:val="clear" w:color="auto" w:fill="auto"/>
            <w:noWrap/>
            <w:hideMark/>
          </w:tcPr>
          <w:p w14:paraId="1214485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Afun007571</w:t>
            </w:r>
          </w:p>
        </w:tc>
        <w:tc>
          <w:tcPr>
            <w:tcW w:w="1006" w:type="dxa"/>
            <w:tcBorders>
              <w:top w:val="nil"/>
              <w:left w:val="nil"/>
              <w:bottom w:val="nil"/>
              <w:right w:val="nil"/>
            </w:tcBorders>
            <w:shd w:val="clear" w:color="auto" w:fill="auto"/>
            <w:noWrap/>
            <w:hideMark/>
          </w:tcPr>
          <w:p w14:paraId="2F28FC3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2.44</w:t>
            </w:r>
          </w:p>
        </w:tc>
        <w:tc>
          <w:tcPr>
            <w:tcW w:w="935" w:type="dxa"/>
            <w:tcBorders>
              <w:top w:val="nil"/>
              <w:left w:val="nil"/>
              <w:bottom w:val="nil"/>
              <w:right w:val="nil"/>
            </w:tcBorders>
            <w:shd w:val="clear" w:color="auto" w:fill="auto"/>
            <w:noWrap/>
            <w:hideMark/>
          </w:tcPr>
          <w:p w14:paraId="525FA690"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3A85B615"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36A7205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AGAP007920-PA</w:t>
            </w:r>
          </w:p>
        </w:tc>
        <w:tc>
          <w:tcPr>
            <w:tcW w:w="3218" w:type="dxa"/>
            <w:tcBorders>
              <w:top w:val="nil"/>
              <w:left w:val="nil"/>
              <w:bottom w:val="nil"/>
              <w:right w:val="nil"/>
            </w:tcBorders>
            <w:shd w:val="clear" w:color="auto" w:fill="auto"/>
            <w:noWrap/>
            <w:hideMark/>
          </w:tcPr>
          <w:p w14:paraId="448F915A"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7D465FDB" w14:textId="77777777" w:rsidTr="0059169E">
        <w:trPr>
          <w:trHeight w:val="307"/>
        </w:trPr>
        <w:tc>
          <w:tcPr>
            <w:tcW w:w="623" w:type="dxa"/>
            <w:tcBorders>
              <w:top w:val="nil"/>
              <w:left w:val="nil"/>
              <w:bottom w:val="nil"/>
              <w:right w:val="nil"/>
            </w:tcBorders>
            <w:shd w:val="clear" w:color="auto" w:fill="auto"/>
            <w:noWrap/>
            <w:hideMark/>
          </w:tcPr>
          <w:p w14:paraId="5DB276A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10</w:t>
            </w:r>
          </w:p>
        </w:tc>
        <w:tc>
          <w:tcPr>
            <w:tcW w:w="2652" w:type="dxa"/>
            <w:tcBorders>
              <w:top w:val="nil"/>
              <w:left w:val="nil"/>
              <w:bottom w:val="nil"/>
              <w:right w:val="nil"/>
            </w:tcBorders>
            <w:shd w:val="clear" w:color="auto" w:fill="auto"/>
            <w:noWrap/>
            <w:hideMark/>
          </w:tcPr>
          <w:p w14:paraId="227E9DB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CUST_15707_PI406199769</w:t>
            </w:r>
          </w:p>
        </w:tc>
        <w:tc>
          <w:tcPr>
            <w:tcW w:w="2256" w:type="dxa"/>
            <w:tcBorders>
              <w:top w:val="nil"/>
              <w:left w:val="nil"/>
              <w:bottom w:val="nil"/>
              <w:right w:val="nil"/>
            </w:tcBorders>
            <w:shd w:val="clear" w:color="auto" w:fill="auto"/>
            <w:noWrap/>
            <w:hideMark/>
          </w:tcPr>
          <w:p w14:paraId="6E744B8A"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ombined_c8336</w:t>
            </w:r>
          </w:p>
        </w:tc>
        <w:tc>
          <w:tcPr>
            <w:tcW w:w="1006" w:type="dxa"/>
            <w:tcBorders>
              <w:top w:val="nil"/>
              <w:left w:val="nil"/>
              <w:bottom w:val="nil"/>
              <w:right w:val="nil"/>
            </w:tcBorders>
            <w:shd w:val="clear" w:color="auto" w:fill="auto"/>
            <w:noWrap/>
            <w:hideMark/>
          </w:tcPr>
          <w:p w14:paraId="7E82EED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2.10</w:t>
            </w:r>
          </w:p>
        </w:tc>
        <w:tc>
          <w:tcPr>
            <w:tcW w:w="935" w:type="dxa"/>
            <w:tcBorders>
              <w:top w:val="nil"/>
              <w:left w:val="nil"/>
              <w:bottom w:val="nil"/>
              <w:right w:val="nil"/>
            </w:tcBorders>
            <w:shd w:val="clear" w:color="auto" w:fill="auto"/>
            <w:noWrap/>
            <w:hideMark/>
          </w:tcPr>
          <w:p w14:paraId="00114B68"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32868928"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6E489C18"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72994704"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5BBF34D0" w14:textId="77777777" w:rsidTr="0059169E">
        <w:trPr>
          <w:trHeight w:val="307"/>
        </w:trPr>
        <w:tc>
          <w:tcPr>
            <w:tcW w:w="623" w:type="dxa"/>
            <w:tcBorders>
              <w:top w:val="nil"/>
              <w:left w:val="nil"/>
              <w:bottom w:val="nil"/>
              <w:right w:val="nil"/>
            </w:tcBorders>
            <w:shd w:val="clear" w:color="auto" w:fill="auto"/>
            <w:noWrap/>
            <w:hideMark/>
          </w:tcPr>
          <w:p w14:paraId="0FD85B0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11</w:t>
            </w:r>
          </w:p>
        </w:tc>
        <w:tc>
          <w:tcPr>
            <w:tcW w:w="2652" w:type="dxa"/>
            <w:tcBorders>
              <w:top w:val="nil"/>
              <w:left w:val="nil"/>
              <w:bottom w:val="nil"/>
              <w:right w:val="nil"/>
            </w:tcBorders>
            <w:shd w:val="clear" w:color="auto" w:fill="auto"/>
            <w:noWrap/>
            <w:hideMark/>
          </w:tcPr>
          <w:p w14:paraId="7A2A03B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CUST_8617_PI426302897</w:t>
            </w:r>
          </w:p>
        </w:tc>
        <w:tc>
          <w:tcPr>
            <w:tcW w:w="2256" w:type="dxa"/>
            <w:tcBorders>
              <w:top w:val="nil"/>
              <w:left w:val="nil"/>
              <w:bottom w:val="nil"/>
              <w:right w:val="nil"/>
            </w:tcBorders>
            <w:shd w:val="clear" w:color="auto" w:fill="auto"/>
            <w:noWrap/>
            <w:hideMark/>
          </w:tcPr>
          <w:p w14:paraId="38DDAFA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Afun008617</w:t>
            </w:r>
          </w:p>
        </w:tc>
        <w:tc>
          <w:tcPr>
            <w:tcW w:w="1006" w:type="dxa"/>
            <w:tcBorders>
              <w:top w:val="nil"/>
              <w:left w:val="nil"/>
              <w:bottom w:val="nil"/>
              <w:right w:val="nil"/>
            </w:tcBorders>
            <w:shd w:val="clear" w:color="auto" w:fill="auto"/>
            <w:noWrap/>
            <w:hideMark/>
          </w:tcPr>
          <w:p w14:paraId="2BA8F67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2.02</w:t>
            </w:r>
          </w:p>
        </w:tc>
        <w:tc>
          <w:tcPr>
            <w:tcW w:w="935" w:type="dxa"/>
            <w:tcBorders>
              <w:top w:val="nil"/>
              <w:left w:val="nil"/>
              <w:bottom w:val="nil"/>
              <w:right w:val="nil"/>
            </w:tcBorders>
            <w:shd w:val="clear" w:color="auto" w:fill="auto"/>
            <w:noWrap/>
            <w:hideMark/>
          </w:tcPr>
          <w:p w14:paraId="0C04B1D7"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2B2740D3"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1BEEAF9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AGAP005222-PB</w:t>
            </w:r>
          </w:p>
        </w:tc>
        <w:tc>
          <w:tcPr>
            <w:tcW w:w="3218" w:type="dxa"/>
            <w:tcBorders>
              <w:top w:val="nil"/>
              <w:left w:val="nil"/>
              <w:bottom w:val="nil"/>
              <w:right w:val="nil"/>
            </w:tcBorders>
            <w:shd w:val="clear" w:color="auto" w:fill="auto"/>
            <w:noWrap/>
            <w:hideMark/>
          </w:tcPr>
          <w:p w14:paraId="2ED27AD6"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b561</w:t>
            </w:r>
          </w:p>
        </w:tc>
      </w:tr>
      <w:tr w:rsidR="00FE471A" w:rsidRPr="009D77BD" w14:paraId="25C54AAE" w14:textId="77777777" w:rsidTr="0059169E">
        <w:trPr>
          <w:trHeight w:val="307"/>
        </w:trPr>
        <w:tc>
          <w:tcPr>
            <w:tcW w:w="623" w:type="dxa"/>
            <w:tcBorders>
              <w:top w:val="nil"/>
              <w:left w:val="nil"/>
              <w:bottom w:val="nil"/>
              <w:right w:val="nil"/>
            </w:tcBorders>
            <w:shd w:val="clear" w:color="auto" w:fill="auto"/>
            <w:noWrap/>
            <w:hideMark/>
          </w:tcPr>
          <w:p w14:paraId="5159FDE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12</w:t>
            </w:r>
          </w:p>
        </w:tc>
        <w:tc>
          <w:tcPr>
            <w:tcW w:w="2652" w:type="dxa"/>
            <w:tcBorders>
              <w:top w:val="nil"/>
              <w:left w:val="nil"/>
              <w:bottom w:val="nil"/>
              <w:right w:val="nil"/>
            </w:tcBorders>
            <w:shd w:val="clear" w:color="auto" w:fill="auto"/>
            <w:noWrap/>
            <w:hideMark/>
          </w:tcPr>
          <w:p w14:paraId="046F82A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CUST_15122_PI426302897</w:t>
            </w:r>
          </w:p>
        </w:tc>
        <w:tc>
          <w:tcPr>
            <w:tcW w:w="2256" w:type="dxa"/>
            <w:tcBorders>
              <w:top w:val="nil"/>
              <w:left w:val="nil"/>
              <w:bottom w:val="nil"/>
              <w:right w:val="nil"/>
            </w:tcBorders>
            <w:shd w:val="clear" w:color="auto" w:fill="auto"/>
            <w:noWrap/>
            <w:hideMark/>
          </w:tcPr>
          <w:p w14:paraId="44F42FC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Afun015122 (GSTU2)</w:t>
            </w:r>
          </w:p>
        </w:tc>
        <w:tc>
          <w:tcPr>
            <w:tcW w:w="1006" w:type="dxa"/>
            <w:tcBorders>
              <w:top w:val="nil"/>
              <w:left w:val="nil"/>
              <w:bottom w:val="nil"/>
              <w:right w:val="nil"/>
            </w:tcBorders>
            <w:shd w:val="clear" w:color="auto" w:fill="auto"/>
            <w:noWrap/>
            <w:hideMark/>
          </w:tcPr>
          <w:p w14:paraId="66DA1A2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4.25</w:t>
            </w:r>
          </w:p>
        </w:tc>
        <w:tc>
          <w:tcPr>
            <w:tcW w:w="935" w:type="dxa"/>
            <w:tcBorders>
              <w:top w:val="nil"/>
              <w:left w:val="nil"/>
              <w:bottom w:val="nil"/>
              <w:right w:val="nil"/>
            </w:tcBorders>
            <w:shd w:val="clear" w:color="auto" w:fill="auto"/>
            <w:noWrap/>
            <w:hideMark/>
          </w:tcPr>
          <w:p w14:paraId="582ACFE4"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7D7649B9"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3DF72DA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AGAP003257-PA</w:t>
            </w:r>
          </w:p>
        </w:tc>
        <w:tc>
          <w:tcPr>
            <w:tcW w:w="3218" w:type="dxa"/>
            <w:tcBorders>
              <w:top w:val="nil"/>
              <w:left w:val="nil"/>
              <w:bottom w:val="nil"/>
              <w:right w:val="nil"/>
            </w:tcBorders>
            <w:shd w:val="clear" w:color="auto" w:fill="auto"/>
            <w:noWrap/>
            <w:hideMark/>
          </w:tcPr>
          <w:p w14:paraId="4E9E30D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lutathione</w:t>
            </w:r>
            <w:r>
              <w:rPr>
                <w:rFonts w:ascii="Times New Roman" w:eastAsia="Times New Roman" w:hAnsi="Times New Roman" w:cs="Times New Roman"/>
                <w:color w:val="000000"/>
                <w:sz w:val="20"/>
                <w:szCs w:val="20"/>
              </w:rPr>
              <w:t xml:space="preserve"> S</w:t>
            </w:r>
            <w:r w:rsidRPr="009D77BD">
              <w:rPr>
                <w:rFonts w:ascii="Times New Roman" w:eastAsia="Times New Roman" w:hAnsi="Times New Roman" w:cs="Times New Roman"/>
                <w:color w:val="000000"/>
                <w:sz w:val="20"/>
                <w:szCs w:val="20"/>
              </w:rPr>
              <w:t>-transferase gst</w:t>
            </w:r>
          </w:p>
        </w:tc>
      </w:tr>
      <w:tr w:rsidR="00FE471A" w:rsidRPr="009D77BD" w14:paraId="7A484576" w14:textId="77777777" w:rsidTr="0059169E">
        <w:trPr>
          <w:trHeight w:val="307"/>
        </w:trPr>
        <w:tc>
          <w:tcPr>
            <w:tcW w:w="623" w:type="dxa"/>
            <w:tcBorders>
              <w:top w:val="nil"/>
              <w:left w:val="nil"/>
              <w:bottom w:val="nil"/>
              <w:right w:val="nil"/>
            </w:tcBorders>
            <w:shd w:val="clear" w:color="auto" w:fill="auto"/>
            <w:noWrap/>
            <w:hideMark/>
          </w:tcPr>
          <w:p w14:paraId="1CCEB82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13</w:t>
            </w:r>
          </w:p>
        </w:tc>
        <w:tc>
          <w:tcPr>
            <w:tcW w:w="2652" w:type="dxa"/>
            <w:tcBorders>
              <w:top w:val="nil"/>
              <w:left w:val="nil"/>
              <w:bottom w:val="nil"/>
              <w:right w:val="nil"/>
            </w:tcBorders>
            <w:shd w:val="clear" w:color="auto" w:fill="auto"/>
            <w:noWrap/>
            <w:hideMark/>
          </w:tcPr>
          <w:p w14:paraId="417A5EF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CUST_10134_PI426302897</w:t>
            </w:r>
          </w:p>
        </w:tc>
        <w:tc>
          <w:tcPr>
            <w:tcW w:w="2256" w:type="dxa"/>
            <w:tcBorders>
              <w:top w:val="nil"/>
              <w:left w:val="nil"/>
              <w:bottom w:val="nil"/>
              <w:right w:val="nil"/>
            </w:tcBorders>
            <w:shd w:val="clear" w:color="auto" w:fill="auto"/>
            <w:noWrap/>
            <w:hideMark/>
          </w:tcPr>
          <w:p w14:paraId="0E9A248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Afun010134</w:t>
            </w:r>
          </w:p>
        </w:tc>
        <w:tc>
          <w:tcPr>
            <w:tcW w:w="1006" w:type="dxa"/>
            <w:tcBorders>
              <w:top w:val="nil"/>
              <w:left w:val="nil"/>
              <w:bottom w:val="nil"/>
              <w:right w:val="nil"/>
            </w:tcBorders>
            <w:shd w:val="clear" w:color="auto" w:fill="auto"/>
            <w:noWrap/>
            <w:hideMark/>
          </w:tcPr>
          <w:p w14:paraId="4A7890C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4.75</w:t>
            </w:r>
          </w:p>
        </w:tc>
        <w:tc>
          <w:tcPr>
            <w:tcW w:w="935" w:type="dxa"/>
            <w:tcBorders>
              <w:top w:val="nil"/>
              <w:left w:val="nil"/>
              <w:bottom w:val="nil"/>
              <w:right w:val="nil"/>
            </w:tcBorders>
            <w:shd w:val="clear" w:color="auto" w:fill="auto"/>
            <w:noWrap/>
            <w:hideMark/>
          </w:tcPr>
          <w:p w14:paraId="0E582467"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667936AB"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5333214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AGAP006711-PA</w:t>
            </w:r>
          </w:p>
        </w:tc>
        <w:tc>
          <w:tcPr>
            <w:tcW w:w="3218" w:type="dxa"/>
            <w:tcBorders>
              <w:top w:val="nil"/>
              <w:left w:val="nil"/>
              <w:bottom w:val="nil"/>
              <w:right w:val="nil"/>
            </w:tcBorders>
            <w:shd w:val="clear" w:color="auto" w:fill="auto"/>
            <w:noWrap/>
            <w:hideMark/>
          </w:tcPr>
          <w:p w14:paraId="6B8F7A00"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hymotrypsin 1</w:t>
            </w:r>
          </w:p>
        </w:tc>
      </w:tr>
      <w:tr w:rsidR="00FE471A" w:rsidRPr="009D77BD" w14:paraId="2AF021F8" w14:textId="77777777" w:rsidTr="0059169E">
        <w:trPr>
          <w:trHeight w:val="307"/>
        </w:trPr>
        <w:tc>
          <w:tcPr>
            <w:tcW w:w="623" w:type="dxa"/>
            <w:tcBorders>
              <w:top w:val="nil"/>
              <w:left w:val="nil"/>
              <w:bottom w:val="nil"/>
              <w:right w:val="nil"/>
            </w:tcBorders>
            <w:shd w:val="clear" w:color="auto" w:fill="auto"/>
            <w:noWrap/>
            <w:hideMark/>
          </w:tcPr>
          <w:p w14:paraId="419DBC9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14</w:t>
            </w:r>
          </w:p>
        </w:tc>
        <w:tc>
          <w:tcPr>
            <w:tcW w:w="2652" w:type="dxa"/>
            <w:tcBorders>
              <w:top w:val="nil"/>
              <w:left w:val="nil"/>
              <w:bottom w:val="nil"/>
              <w:right w:val="nil"/>
            </w:tcBorders>
            <w:shd w:val="clear" w:color="auto" w:fill="auto"/>
            <w:noWrap/>
            <w:hideMark/>
          </w:tcPr>
          <w:p w14:paraId="5B5A0A3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CUST_1378_PI406199798</w:t>
            </w:r>
          </w:p>
        </w:tc>
        <w:tc>
          <w:tcPr>
            <w:tcW w:w="2256" w:type="dxa"/>
            <w:tcBorders>
              <w:top w:val="nil"/>
              <w:left w:val="nil"/>
              <w:bottom w:val="nil"/>
              <w:right w:val="nil"/>
            </w:tcBorders>
            <w:shd w:val="clear" w:color="auto" w:fill="auto"/>
            <w:noWrap/>
            <w:hideMark/>
          </w:tcPr>
          <w:p w14:paraId="28477DE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AGAP001405-RA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2R</w:t>
            </w:r>
          </w:p>
        </w:tc>
        <w:tc>
          <w:tcPr>
            <w:tcW w:w="1006" w:type="dxa"/>
            <w:tcBorders>
              <w:top w:val="nil"/>
              <w:left w:val="nil"/>
              <w:bottom w:val="nil"/>
              <w:right w:val="nil"/>
            </w:tcBorders>
            <w:shd w:val="clear" w:color="auto" w:fill="auto"/>
            <w:noWrap/>
            <w:hideMark/>
          </w:tcPr>
          <w:p w14:paraId="59B60C84"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380AF89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2.42</w:t>
            </w:r>
          </w:p>
        </w:tc>
        <w:tc>
          <w:tcPr>
            <w:tcW w:w="1043" w:type="dxa"/>
            <w:tcBorders>
              <w:top w:val="nil"/>
              <w:left w:val="nil"/>
              <w:bottom w:val="nil"/>
              <w:right w:val="nil"/>
            </w:tcBorders>
            <w:shd w:val="clear" w:color="auto" w:fill="auto"/>
            <w:noWrap/>
            <w:hideMark/>
          </w:tcPr>
          <w:p w14:paraId="17F0CF58"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C4F25C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AGAP001405-RA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2R</w:t>
            </w:r>
          </w:p>
        </w:tc>
        <w:tc>
          <w:tcPr>
            <w:tcW w:w="3218" w:type="dxa"/>
            <w:tcBorders>
              <w:top w:val="nil"/>
              <w:left w:val="nil"/>
              <w:bottom w:val="nil"/>
              <w:right w:val="nil"/>
            </w:tcBorders>
            <w:shd w:val="clear" w:color="auto" w:fill="auto"/>
            <w:noWrap/>
            <w:hideMark/>
          </w:tcPr>
          <w:p w14:paraId="536A2A9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hort-chain dehydrogenase</w:t>
            </w:r>
          </w:p>
        </w:tc>
      </w:tr>
      <w:tr w:rsidR="00FE471A" w:rsidRPr="009D77BD" w14:paraId="18DDC5DF" w14:textId="77777777" w:rsidTr="0059169E">
        <w:trPr>
          <w:trHeight w:val="307"/>
        </w:trPr>
        <w:tc>
          <w:tcPr>
            <w:tcW w:w="623" w:type="dxa"/>
            <w:tcBorders>
              <w:top w:val="nil"/>
              <w:left w:val="nil"/>
              <w:bottom w:val="nil"/>
              <w:right w:val="nil"/>
            </w:tcBorders>
            <w:shd w:val="clear" w:color="auto" w:fill="auto"/>
            <w:noWrap/>
            <w:hideMark/>
          </w:tcPr>
          <w:p w14:paraId="5953F56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15</w:t>
            </w:r>
          </w:p>
        </w:tc>
        <w:tc>
          <w:tcPr>
            <w:tcW w:w="2652" w:type="dxa"/>
            <w:tcBorders>
              <w:top w:val="nil"/>
              <w:left w:val="nil"/>
              <w:bottom w:val="nil"/>
              <w:right w:val="nil"/>
            </w:tcBorders>
            <w:shd w:val="clear" w:color="auto" w:fill="auto"/>
            <w:noWrap/>
            <w:hideMark/>
          </w:tcPr>
          <w:p w14:paraId="04F9F66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CUST_484_PI406199788</w:t>
            </w:r>
          </w:p>
        </w:tc>
        <w:tc>
          <w:tcPr>
            <w:tcW w:w="2256" w:type="dxa"/>
            <w:tcBorders>
              <w:top w:val="nil"/>
              <w:left w:val="nil"/>
              <w:bottom w:val="nil"/>
              <w:right w:val="nil"/>
            </w:tcBorders>
            <w:shd w:val="clear" w:color="auto" w:fill="auto"/>
            <w:noWrap/>
            <w:hideMark/>
          </w:tcPr>
          <w:p w14:paraId="046F085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gb-CYP9J3</w:t>
            </w:r>
          </w:p>
        </w:tc>
        <w:tc>
          <w:tcPr>
            <w:tcW w:w="1006" w:type="dxa"/>
            <w:tcBorders>
              <w:top w:val="nil"/>
              <w:left w:val="nil"/>
              <w:bottom w:val="nil"/>
              <w:right w:val="nil"/>
            </w:tcBorders>
            <w:shd w:val="clear" w:color="auto" w:fill="auto"/>
            <w:noWrap/>
            <w:hideMark/>
          </w:tcPr>
          <w:p w14:paraId="32A0B90B"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5AE7ABF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2.30</w:t>
            </w:r>
          </w:p>
        </w:tc>
        <w:tc>
          <w:tcPr>
            <w:tcW w:w="1043" w:type="dxa"/>
            <w:tcBorders>
              <w:top w:val="nil"/>
              <w:left w:val="nil"/>
              <w:bottom w:val="nil"/>
              <w:right w:val="nil"/>
            </w:tcBorders>
            <w:shd w:val="clear" w:color="auto" w:fill="auto"/>
            <w:noWrap/>
            <w:hideMark/>
          </w:tcPr>
          <w:p w14:paraId="04BE16AE"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B78B7CD"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312FFBD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0FBFAE39" w14:textId="77777777" w:rsidTr="0059169E">
        <w:trPr>
          <w:trHeight w:val="307"/>
        </w:trPr>
        <w:tc>
          <w:tcPr>
            <w:tcW w:w="623" w:type="dxa"/>
            <w:tcBorders>
              <w:top w:val="nil"/>
              <w:left w:val="nil"/>
              <w:bottom w:val="nil"/>
              <w:right w:val="nil"/>
            </w:tcBorders>
            <w:shd w:val="clear" w:color="auto" w:fill="auto"/>
            <w:noWrap/>
            <w:hideMark/>
          </w:tcPr>
          <w:p w14:paraId="0EFCB02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16</w:t>
            </w:r>
          </w:p>
        </w:tc>
        <w:tc>
          <w:tcPr>
            <w:tcW w:w="2652" w:type="dxa"/>
            <w:tcBorders>
              <w:top w:val="nil"/>
              <w:left w:val="nil"/>
              <w:bottom w:val="nil"/>
              <w:right w:val="nil"/>
            </w:tcBorders>
            <w:shd w:val="clear" w:color="auto" w:fill="auto"/>
            <w:noWrap/>
            <w:hideMark/>
          </w:tcPr>
          <w:p w14:paraId="0EFEFEE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CUST_5277_PI406199769</w:t>
            </w:r>
          </w:p>
        </w:tc>
        <w:tc>
          <w:tcPr>
            <w:tcW w:w="2256" w:type="dxa"/>
            <w:tcBorders>
              <w:top w:val="nil"/>
              <w:left w:val="nil"/>
              <w:bottom w:val="nil"/>
              <w:right w:val="nil"/>
            </w:tcBorders>
            <w:shd w:val="clear" w:color="auto" w:fill="auto"/>
            <w:noWrap/>
            <w:hideMark/>
          </w:tcPr>
          <w:p w14:paraId="67865808"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ombined_c2672</w:t>
            </w:r>
          </w:p>
        </w:tc>
        <w:tc>
          <w:tcPr>
            <w:tcW w:w="1006" w:type="dxa"/>
            <w:tcBorders>
              <w:top w:val="nil"/>
              <w:left w:val="nil"/>
              <w:bottom w:val="nil"/>
              <w:right w:val="nil"/>
            </w:tcBorders>
            <w:shd w:val="clear" w:color="auto" w:fill="auto"/>
            <w:noWrap/>
            <w:hideMark/>
          </w:tcPr>
          <w:p w14:paraId="27EC22DE"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2902711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2.20</w:t>
            </w:r>
          </w:p>
        </w:tc>
        <w:tc>
          <w:tcPr>
            <w:tcW w:w="1043" w:type="dxa"/>
            <w:tcBorders>
              <w:top w:val="nil"/>
              <w:left w:val="nil"/>
              <w:bottom w:val="nil"/>
              <w:right w:val="nil"/>
            </w:tcBorders>
            <w:shd w:val="clear" w:color="auto" w:fill="auto"/>
            <w:noWrap/>
            <w:hideMark/>
          </w:tcPr>
          <w:p w14:paraId="5DB891E2"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CC17CD9"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75DF39F7"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uticular protein 97eb</w:t>
            </w:r>
          </w:p>
        </w:tc>
      </w:tr>
      <w:tr w:rsidR="00FE471A" w:rsidRPr="009D77BD" w14:paraId="09475165" w14:textId="77777777" w:rsidTr="0059169E">
        <w:trPr>
          <w:trHeight w:val="307"/>
        </w:trPr>
        <w:tc>
          <w:tcPr>
            <w:tcW w:w="623" w:type="dxa"/>
            <w:tcBorders>
              <w:top w:val="nil"/>
              <w:left w:val="nil"/>
              <w:bottom w:val="nil"/>
              <w:right w:val="nil"/>
            </w:tcBorders>
            <w:shd w:val="clear" w:color="auto" w:fill="auto"/>
            <w:noWrap/>
            <w:hideMark/>
          </w:tcPr>
          <w:p w14:paraId="478B6CF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17</w:t>
            </w:r>
          </w:p>
        </w:tc>
        <w:tc>
          <w:tcPr>
            <w:tcW w:w="2652" w:type="dxa"/>
            <w:tcBorders>
              <w:top w:val="nil"/>
              <w:left w:val="nil"/>
              <w:bottom w:val="nil"/>
              <w:right w:val="nil"/>
            </w:tcBorders>
            <w:shd w:val="clear" w:color="auto" w:fill="auto"/>
            <w:noWrap/>
            <w:hideMark/>
          </w:tcPr>
          <w:p w14:paraId="4AE10D2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CUST_36_PI406199775</w:t>
            </w:r>
          </w:p>
        </w:tc>
        <w:tc>
          <w:tcPr>
            <w:tcW w:w="2256" w:type="dxa"/>
            <w:tcBorders>
              <w:top w:val="nil"/>
              <w:left w:val="nil"/>
              <w:bottom w:val="nil"/>
              <w:right w:val="nil"/>
            </w:tcBorders>
            <w:shd w:val="clear" w:color="auto" w:fill="auto"/>
            <w:noWrap/>
            <w:hideMark/>
          </w:tcPr>
          <w:p w14:paraId="36C2C34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COEAE6O</w:t>
            </w:r>
          </w:p>
        </w:tc>
        <w:tc>
          <w:tcPr>
            <w:tcW w:w="1006" w:type="dxa"/>
            <w:tcBorders>
              <w:top w:val="nil"/>
              <w:left w:val="nil"/>
              <w:bottom w:val="nil"/>
              <w:right w:val="nil"/>
            </w:tcBorders>
            <w:shd w:val="clear" w:color="auto" w:fill="auto"/>
            <w:noWrap/>
            <w:hideMark/>
          </w:tcPr>
          <w:p w14:paraId="68CA250D"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2DFC4EA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2.15</w:t>
            </w:r>
          </w:p>
        </w:tc>
        <w:tc>
          <w:tcPr>
            <w:tcW w:w="1043" w:type="dxa"/>
            <w:tcBorders>
              <w:top w:val="nil"/>
              <w:left w:val="nil"/>
              <w:bottom w:val="nil"/>
              <w:right w:val="nil"/>
            </w:tcBorders>
            <w:shd w:val="clear" w:color="auto" w:fill="auto"/>
            <w:noWrap/>
            <w:hideMark/>
          </w:tcPr>
          <w:p w14:paraId="4361F180"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1F7A820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AGAP002863-PA</w:t>
            </w:r>
          </w:p>
        </w:tc>
        <w:tc>
          <w:tcPr>
            <w:tcW w:w="3218" w:type="dxa"/>
            <w:tcBorders>
              <w:top w:val="nil"/>
              <w:left w:val="nil"/>
              <w:bottom w:val="nil"/>
              <w:right w:val="nil"/>
            </w:tcBorders>
            <w:shd w:val="clear" w:color="auto" w:fill="auto"/>
            <w:noWrap/>
            <w:hideMark/>
          </w:tcPr>
          <w:p w14:paraId="39DA5DA5"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arboxylesterase</w:t>
            </w:r>
          </w:p>
        </w:tc>
      </w:tr>
      <w:tr w:rsidR="00FE471A" w:rsidRPr="009D77BD" w14:paraId="6523FA25" w14:textId="77777777" w:rsidTr="0059169E">
        <w:trPr>
          <w:trHeight w:val="307"/>
        </w:trPr>
        <w:tc>
          <w:tcPr>
            <w:tcW w:w="623" w:type="dxa"/>
            <w:tcBorders>
              <w:top w:val="nil"/>
              <w:left w:val="nil"/>
              <w:bottom w:val="nil"/>
              <w:right w:val="nil"/>
            </w:tcBorders>
            <w:shd w:val="clear" w:color="auto" w:fill="auto"/>
            <w:noWrap/>
            <w:hideMark/>
          </w:tcPr>
          <w:p w14:paraId="100A49F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18</w:t>
            </w:r>
          </w:p>
        </w:tc>
        <w:tc>
          <w:tcPr>
            <w:tcW w:w="2652" w:type="dxa"/>
            <w:tcBorders>
              <w:top w:val="nil"/>
              <w:left w:val="nil"/>
              <w:bottom w:val="nil"/>
              <w:right w:val="nil"/>
            </w:tcBorders>
            <w:shd w:val="clear" w:color="auto" w:fill="auto"/>
            <w:noWrap/>
            <w:hideMark/>
          </w:tcPr>
          <w:p w14:paraId="75C52E8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CUST_5_PI406199775</w:t>
            </w:r>
          </w:p>
        </w:tc>
        <w:tc>
          <w:tcPr>
            <w:tcW w:w="2256" w:type="dxa"/>
            <w:tcBorders>
              <w:top w:val="nil"/>
              <w:left w:val="nil"/>
              <w:bottom w:val="nil"/>
              <w:right w:val="nil"/>
            </w:tcBorders>
            <w:shd w:val="clear" w:color="auto" w:fill="auto"/>
            <w:noWrap/>
            <w:hideMark/>
          </w:tcPr>
          <w:p w14:paraId="2896ACB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CYP6AA4</w:t>
            </w:r>
          </w:p>
        </w:tc>
        <w:tc>
          <w:tcPr>
            <w:tcW w:w="1006" w:type="dxa"/>
            <w:tcBorders>
              <w:top w:val="nil"/>
              <w:left w:val="nil"/>
              <w:bottom w:val="nil"/>
              <w:right w:val="nil"/>
            </w:tcBorders>
            <w:shd w:val="clear" w:color="auto" w:fill="auto"/>
            <w:noWrap/>
            <w:hideMark/>
          </w:tcPr>
          <w:p w14:paraId="376BA5E4"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37C8006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3.49</w:t>
            </w:r>
          </w:p>
        </w:tc>
        <w:tc>
          <w:tcPr>
            <w:tcW w:w="1043" w:type="dxa"/>
            <w:tcBorders>
              <w:top w:val="nil"/>
              <w:left w:val="nil"/>
              <w:bottom w:val="nil"/>
              <w:right w:val="nil"/>
            </w:tcBorders>
            <w:shd w:val="clear" w:color="auto" w:fill="auto"/>
            <w:noWrap/>
            <w:hideMark/>
          </w:tcPr>
          <w:p w14:paraId="0EC3804D"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7D1DD57F"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7C946CEF"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2B4DC74B" w14:textId="77777777" w:rsidTr="0059169E">
        <w:trPr>
          <w:trHeight w:val="307"/>
        </w:trPr>
        <w:tc>
          <w:tcPr>
            <w:tcW w:w="623" w:type="dxa"/>
            <w:tcBorders>
              <w:top w:val="nil"/>
              <w:left w:val="nil"/>
              <w:bottom w:val="nil"/>
              <w:right w:val="nil"/>
            </w:tcBorders>
            <w:shd w:val="clear" w:color="auto" w:fill="auto"/>
            <w:noWrap/>
            <w:hideMark/>
          </w:tcPr>
          <w:p w14:paraId="304037E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19</w:t>
            </w:r>
          </w:p>
        </w:tc>
        <w:tc>
          <w:tcPr>
            <w:tcW w:w="2652" w:type="dxa"/>
            <w:tcBorders>
              <w:top w:val="nil"/>
              <w:left w:val="nil"/>
              <w:bottom w:val="nil"/>
              <w:right w:val="nil"/>
            </w:tcBorders>
            <w:shd w:val="clear" w:color="auto" w:fill="auto"/>
            <w:noWrap/>
            <w:hideMark/>
          </w:tcPr>
          <w:p w14:paraId="2AAC95C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CUST_11060_PI406199798</w:t>
            </w:r>
          </w:p>
        </w:tc>
        <w:tc>
          <w:tcPr>
            <w:tcW w:w="2256" w:type="dxa"/>
            <w:tcBorders>
              <w:top w:val="nil"/>
              <w:left w:val="nil"/>
              <w:bottom w:val="nil"/>
              <w:right w:val="nil"/>
            </w:tcBorders>
            <w:shd w:val="clear" w:color="auto" w:fill="auto"/>
            <w:noWrap/>
            <w:hideMark/>
          </w:tcPr>
          <w:p w14:paraId="39FB6B8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AGAP011431-RA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1006" w:type="dxa"/>
            <w:tcBorders>
              <w:top w:val="nil"/>
              <w:left w:val="nil"/>
              <w:bottom w:val="nil"/>
              <w:right w:val="nil"/>
            </w:tcBorders>
            <w:shd w:val="clear" w:color="auto" w:fill="auto"/>
            <w:noWrap/>
            <w:hideMark/>
          </w:tcPr>
          <w:p w14:paraId="7D5911A0"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5D06236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2.02</w:t>
            </w:r>
          </w:p>
        </w:tc>
        <w:tc>
          <w:tcPr>
            <w:tcW w:w="1043" w:type="dxa"/>
            <w:tcBorders>
              <w:top w:val="nil"/>
              <w:left w:val="nil"/>
              <w:bottom w:val="nil"/>
              <w:right w:val="nil"/>
            </w:tcBorders>
            <w:shd w:val="clear" w:color="auto" w:fill="auto"/>
            <w:noWrap/>
            <w:hideMark/>
          </w:tcPr>
          <w:p w14:paraId="4F8A19FD"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013CF6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AGAP011431-RA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3218" w:type="dxa"/>
            <w:tcBorders>
              <w:top w:val="nil"/>
              <w:left w:val="nil"/>
              <w:bottom w:val="nil"/>
              <w:right w:val="nil"/>
            </w:tcBorders>
            <w:shd w:val="clear" w:color="auto" w:fill="auto"/>
            <w:noWrap/>
            <w:hideMark/>
          </w:tcPr>
          <w:p w14:paraId="1307BF97"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 5</w:t>
            </w:r>
          </w:p>
        </w:tc>
      </w:tr>
      <w:tr w:rsidR="00FE471A" w:rsidRPr="009D77BD" w14:paraId="4097DFAF" w14:textId="77777777" w:rsidTr="0059169E">
        <w:trPr>
          <w:trHeight w:val="307"/>
        </w:trPr>
        <w:tc>
          <w:tcPr>
            <w:tcW w:w="623" w:type="dxa"/>
            <w:tcBorders>
              <w:top w:val="nil"/>
              <w:left w:val="nil"/>
              <w:bottom w:val="nil"/>
              <w:right w:val="nil"/>
            </w:tcBorders>
            <w:shd w:val="clear" w:color="auto" w:fill="auto"/>
            <w:noWrap/>
            <w:hideMark/>
          </w:tcPr>
          <w:p w14:paraId="61E35BA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w:t>
            </w:r>
          </w:p>
        </w:tc>
        <w:tc>
          <w:tcPr>
            <w:tcW w:w="2652" w:type="dxa"/>
            <w:tcBorders>
              <w:top w:val="nil"/>
              <w:left w:val="nil"/>
              <w:bottom w:val="nil"/>
              <w:right w:val="nil"/>
            </w:tcBorders>
            <w:shd w:val="clear" w:color="auto" w:fill="auto"/>
            <w:noWrap/>
            <w:hideMark/>
          </w:tcPr>
          <w:p w14:paraId="6A403AB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CUST_3941_PI406199772</w:t>
            </w:r>
          </w:p>
        </w:tc>
        <w:tc>
          <w:tcPr>
            <w:tcW w:w="2256" w:type="dxa"/>
            <w:tcBorders>
              <w:top w:val="nil"/>
              <w:left w:val="nil"/>
              <w:bottom w:val="nil"/>
              <w:right w:val="nil"/>
            </w:tcBorders>
            <w:shd w:val="clear" w:color="auto" w:fill="auto"/>
            <w:noWrap/>
            <w:hideMark/>
          </w:tcPr>
          <w:p w14:paraId="3D1A1E0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CD577405.1 (GSTS1)</w:t>
            </w:r>
          </w:p>
        </w:tc>
        <w:tc>
          <w:tcPr>
            <w:tcW w:w="1006" w:type="dxa"/>
            <w:tcBorders>
              <w:top w:val="nil"/>
              <w:left w:val="nil"/>
              <w:bottom w:val="nil"/>
              <w:right w:val="nil"/>
            </w:tcBorders>
            <w:shd w:val="clear" w:color="auto" w:fill="auto"/>
            <w:noWrap/>
            <w:hideMark/>
          </w:tcPr>
          <w:p w14:paraId="2DFFDE2C"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4BFB04B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2.00</w:t>
            </w:r>
          </w:p>
        </w:tc>
        <w:tc>
          <w:tcPr>
            <w:tcW w:w="1043" w:type="dxa"/>
            <w:tcBorders>
              <w:top w:val="nil"/>
              <w:left w:val="nil"/>
              <w:bottom w:val="nil"/>
              <w:right w:val="nil"/>
            </w:tcBorders>
            <w:shd w:val="clear" w:color="auto" w:fill="auto"/>
            <w:noWrap/>
            <w:hideMark/>
          </w:tcPr>
          <w:p w14:paraId="77F0CC4D"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6BDA8E6C"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3A96A72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lutathione</w:t>
            </w: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-transferase</w:t>
            </w:r>
          </w:p>
        </w:tc>
      </w:tr>
      <w:tr w:rsidR="00FE471A" w:rsidRPr="009D77BD" w14:paraId="1336EBC5" w14:textId="77777777" w:rsidTr="0059169E">
        <w:trPr>
          <w:trHeight w:val="307"/>
        </w:trPr>
        <w:tc>
          <w:tcPr>
            <w:tcW w:w="623" w:type="dxa"/>
            <w:tcBorders>
              <w:top w:val="nil"/>
              <w:left w:val="nil"/>
              <w:bottom w:val="nil"/>
              <w:right w:val="nil"/>
            </w:tcBorders>
            <w:shd w:val="clear" w:color="auto" w:fill="auto"/>
            <w:noWrap/>
            <w:hideMark/>
          </w:tcPr>
          <w:p w14:paraId="1D6D05D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w:t>
            </w:r>
          </w:p>
        </w:tc>
        <w:tc>
          <w:tcPr>
            <w:tcW w:w="2652" w:type="dxa"/>
            <w:tcBorders>
              <w:top w:val="nil"/>
              <w:left w:val="nil"/>
              <w:bottom w:val="nil"/>
              <w:right w:val="nil"/>
            </w:tcBorders>
            <w:shd w:val="clear" w:color="auto" w:fill="auto"/>
            <w:noWrap/>
            <w:hideMark/>
          </w:tcPr>
          <w:p w14:paraId="7A866EC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CUST_4873_PI406199772</w:t>
            </w:r>
          </w:p>
        </w:tc>
        <w:tc>
          <w:tcPr>
            <w:tcW w:w="2256" w:type="dxa"/>
            <w:tcBorders>
              <w:top w:val="nil"/>
              <w:left w:val="nil"/>
              <w:bottom w:val="nil"/>
              <w:right w:val="nil"/>
            </w:tcBorders>
            <w:shd w:val="clear" w:color="auto" w:fill="auto"/>
            <w:noWrap/>
            <w:hideMark/>
          </w:tcPr>
          <w:p w14:paraId="1253FE4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BU039010.1</w:t>
            </w:r>
          </w:p>
        </w:tc>
        <w:tc>
          <w:tcPr>
            <w:tcW w:w="1006" w:type="dxa"/>
            <w:tcBorders>
              <w:top w:val="nil"/>
              <w:left w:val="nil"/>
              <w:bottom w:val="nil"/>
              <w:right w:val="nil"/>
            </w:tcBorders>
            <w:shd w:val="clear" w:color="auto" w:fill="auto"/>
            <w:noWrap/>
            <w:hideMark/>
          </w:tcPr>
          <w:p w14:paraId="3B4E3EDC"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43CE54B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2.13</w:t>
            </w:r>
          </w:p>
        </w:tc>
        <w:tc>
          <w:tcPr>
            <w:tcW w:w="1043" w:type="dxa"/>
            <w:tcBorders>
              <w:top w:val="nil"/>
              <w:left w:val="nil"/>
              <w:bottom w:val="nil"/>
              <w:right w:val="nil"/>
            </w:tcBorders>
            <w:shd w:val="clear" w:color="auto" w:fill="auto"/>
            <w:noWrap/>
            <w:hideMark/>
          </w:tcPr>
          <w:p w14:paraId="5D93CAD0"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9D87677"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50457218"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c</w:t>
            </w:r>
          </w:p>
        </w:tc>
      </w:tr>
      <w:tr w:rsidR="00FE471A" w:rsidRPr="009D77BD" w14:paraId="4E8D1302" w14:textId="77777777" w:rsidTr="0059169E">
        <w:trPr>
          <w:trHeight w:val="307"/>
        </w:trPr>
        <w:tc>
          <w:tcPr>
            <w:tcW w:w="623" w:type="dxa"/>
            <w:tcBorders>
              <w:top w:val="nil"/>
              <w:left w:val="nil"/>
              <w:bottom w:val="nil"/>
              <w:right w:val="nil"/>
            </w:tcBorders>
            <w:shd w:val="clear" w:color="auto" w:fill="auto"/>
            <w:noWrap/>
            <w:hideMark/>
          </w:tcPr>
          <w:p w14:paraId="3CFFB15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w:t>
            </w:r>
          </w:p>
        </w:tc>
        <w:tc>
          <w:tcPr>
            <w:tcW w:w="2652" w:type="dxa"/>
            <w:tcBorders>
              <w:top w:val="nil"/>
              <w:left w:val="nil"/>
              <w:bottom w:val="nil"/>
              <w:right w:val="nil"/>
            </w:tcBorders>
            <w:shd w:val="clear" w:color="auto" w:fill="auto"/>
            <w:noWrap/>
            <w:hideMark/>
          </w:tcPr>
          <w:p w14:paraId="384443F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CUST_8525_PI426302897</w:t>
            </w:r>
          </w:p>
        </w:tc>
        <w:tc>
          <w:tcPr>
            <w:tcW w:w="2256" w:type="dxa"/>
            <w:tcBorders>
              <w:top w:val="nil"/>
              <w:left w:val="nil"/>
              <w:bottom w:val="nil"/>
              <w:right w:val="nil"/>
            </w:tcBorders>
            <w:shd w:val="clear" w:color="auto" w:fill="auto"/>
            <w:noWrap/>
            <w:hideMark/>
          </w:tcPr>
          <w:p w14:paraId="2DEFDB8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Afun008525</w:t>
            </w:r>
          </w:p>
        </w:tc>
        <w:tc>
          <w:tcPr>
            <w:tcW w:w="1006" w:type="dxa"/>
            <w:tcBorders>
              <w:top w:val="nil"/>
              <w:left w:val="nil"/>
              <w:bottom w:val="nil"/>
              <w:right w:val="nil"/>
            </w:tcBorders>
            <w:shd w:val="clear" w:color="auto" w:fill="auto"/>
            <w:noWrap/>
            <w:hideMark/>
          </w:tcPr>
          <w:p w14:paraId="65C6B059"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1268376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20.18</w:t>
            </w:r>
          </w:p>
        </w:tc>
        <w:tc>
          <w:tcPr>
            <w:tcW w:w="1043" w:type="dxa"/>
            <w:tcBorders>
              <w:top w:val="nil"/>
              <w:left w:val="nil"/>
              <w:bottom w:val="nil"/>
              <w:right w:val="nil"/>
            </w:tcBorders>
            <w:shd w:val="clear" w:color="auto" w:fill="auto"/>
            <w:noWrap/>
            <w:hideMark/>
          </w:tcPr>
          <w:p w14:paraId="43222191"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F6E858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AGAP000047-PA</w:t>
            </w:r>
          </w:p>
        </w:tc>
        <w:tc>
          <w:tcPr>
            <w:tcW w:w="3218" w:type="dxa"/>
            <w:tcBorders>
              <w:top w:val="nil"/>
              <w:left w:val="nil"/>
              <w:bottom w:val="nil"/>
              <w:right w:val="nil"/>
            </w:tcBorders>
            <w:shd w:val="clear" w:color="auto" w:fill="auto"/>
            <w:noWrap/>
            <w:hideMark/>
          </w:tcPr>
          <w:p w14:paraId="1E055B52"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w:t>
            </w:r>
            <w:r>
              <w:rPr>
                <w:rFonts w:ascii="Times New Roman" w:eastAsia="Times New Roman" w:hAnsi="Times New Roman" w:cs="Times New Roman"/>
                <w:color w:val="000000"/>
                <w:sz w:val="20"/>
                <w:szCs w:val="20"/>
              </w:rPr>
              <w:t>e</w:t>
            </w:r>
            <w:r w:rsidRPr="009D77BD">
              <w:rPr>
                <w:rFonts w:ascii="Times New Roman" w:eastAsia="Times New Roman" w:hAnsi="Times New Roman" w:cs="Times New Roman"/>
                <w:color w:val="000000"/>
                <w:sz w:val="20"/>
                <w:szCs w:val="20"/>
              </w:rPr>
              <w:t xml:space="preserve"> protein rr-1</w:t>
            </w:r>
          </w:p>
        </w:tc>
      </w:tr>
      <w:tr w:rsidR="00FE471A" w:rsidRPr="009D77BD" w14:paraId="417794AB" w14:textId="77777777" w:rsidTr="0059169E">
        <w:trPr>
          <w:trHeight w:val="307"/>
        </w:trPr>
        <w:tc>
          <w:tcPr>
            <w:tcW w:w="623" w:type="dxa"/>
            <w:tcBorders>
              <w:top w:val="nil"/>
              <w:left w:val="nil"/>
              <w:bottom w:val="nil"/>
              <w:right w:val="nil"/>
            </w:tcBorders>
            <w:shd w:val="clear" w:color="auto" w:fill="auto"/>
            <w:noWrap/>
            <w:hideMark/>
          </w:tcPr>
          <w:p w14:paraId="151F12B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w:t>
            </w:r>
          </w:p>
        </w:tc>
        <w:tc>
          <w:tcPr>
            <w:tcW w:w="2652" w:type="dxa"/>
            <w:tcBorders>
              <w:top w:val="nil"/>
              <w:left w:val="nil"/>
              <w:bottom w:val="nil"/>
              <w:right w:val="nil"/>
            </w:tcBorders>
            <w:shd w:val="clear" w:color="auto" w:fill="auto"/>
            <w:noWrap/>
            <w:hideMark/>
          </w:tcPr>
          <w:p w14:paraId="641E9C6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CUST_3943_PI406199772</w:t>
            </w:r>
          </w:p>
        </w:tc>
        <w:tc>
          <w:tcPr>
            <w:tcW w:w="2256" w:type="dxa"/>
            <w:tcBorders>
              <w:top w:val="nil"/>
              <w:left w:val="nil"/>
              <w:bottom w:val="nil"/>
              <w:right w:val="nil"/>
            </w:tcBorders>
            <w:shd w:val="clear" w:color="auto" w:fill="auto"/>
            <w:noWrap/>
            <w:hideMark/>
          </w:tcPr>
          <w:p w14:paraId="0563CB2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CD577404.1</w:t>
            </w:r>
          </w:p>
        </w:tc>
        <w:tc>
          <w:tcPr>
            <w:tcW w:w="1006" w:type="dxa"/>
            <w:tcBorders>
              <w:top w:val="nil"/>
              <w:left w:val="nil"/>
              <w:bottom w:val="nil"/>
              <w:right w:val="nil"/>
            </w:tcBorders>
            <w:shd w:val="clear" w:color="auto" w:fill="auto"/>
            <w:noWrap/>
            <w:hideMark/>
          </w:tcPr>
          <w:p w14:paraId="6076656C"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391DC58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2.38</w:t>
            </w:r>
          </w:p>
        </w:tc>
        <w:tc>
          <w:tcPr>
            <w:tcW w:w="1043" w:type="dxa"/>
            <w:tcBorders>
              <w:top w:val="nil"/>
              <w:left w:val="nil"/>
              <w:bottom w:val="nil"/>
              <w:right w:val="nil"/>
            </w:tcBorders>
            <w:shd w:val="clear" w:color="auto" w:fill="auto"/>
            <w:noWrap/>
            <w:hideMark/>
          </w:tcPr>
          <w:p w14:paraId="463008CA"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3BCDF610"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6765A4FE"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 xml:space="preserve">lutathione </w:t>
            </w: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-transferase</w:t>
            </w:r>
          </w:p>
        </w:tc>
      </w:tr>
      <w:tr w:rsidR="00FE471A" w:rsidRPr="009D77BD" w14:paraId="295C25E6" w14:textId="77777777" w:rsidTr="0059169E">
        <w:trPr>
          <w:trHeight w:val="307"/>
        </w:trPr>
        <w:tc>
          <w:tcPr>
            <w:tcW w:w="623" w:type="dxa"/>
            <w:tcBorders>
              <w:top w:val="nil"/>
              <w:left w:val="nil"/>
              <w:bottom w:val="nil"/>
              <w:right w:val="nil"/>
            </w:tcBorders>
            <w:shd w:val="clear" w:color="auto" w:fill="auto"/>
            <w:noWrap/>
            <w:hideMark/>
          </w:tcPr>
          <w:p w14:paraId="238F294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lastRenderedPageBreak/>
              <w:t>24</w:t>
            </w:r>
          </w:p>
        </w:tc>
        <w:tc>
          <w:tcPr>
            <w:tcW w:w="2652" w:type="dxa"/>
            <w:tcBorders>
              <w:top w:val="nil"/>
              <w:left w:val="nil"/>
              <w:bottom w:val="nil"/>
              <w:right w:val="nil"/>
            </w:tcBorders>
            <w:shd w:val="clear" w:color="auto" w:fill="auto"/>
            <w:noWrap/>
            <w:hideMark/>
          </w:tcPr>
          <w:p w14:paraId="462F7BB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CUST_3751_PI406199772</w:t>
            </w:r>
          </w:p>
        </w:tc>
        <w:tc>
          <w:tcPr>
            <w:tcW w:w="2256" w:type="dxa"/>
            <w:tcBorders>
              <w:top w:val="nil"/>
              <w:left w:val="nil"/>
              <w:bottom w:val="nil"/>
              <w:right w:val="nil"/>
            </w:tcBorders>
            <w:shd w:val="clear" w:color="auto" w:fill="auto"/>
            <w:noWrap/>
            <w:hideMark/>
          </w:tcPr>
          <w:p w14:paraId="26AAA73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CD577507.1</w:t>
            </w:r>
          </w:p>
        </w:tc>
        <w:tc>
          <w:tcPr>
            <w:tcW w:w="1006" w:type="dxa"/>
            <w:tcBorders>
              <w:top w:val="nil"/>
              <w:left w:val="nil"/>
              <w:bottom w:val="nil"/>
              <w:right w:val="nil"/>
            </w:tcBorders>
            <w:shd w:val="clear" w:color="auto" w:fill="auto"/>
            <w:noWrap/>
            <w:hideMark/>
          </w:tcPr>
          <w:p w14:paraId="7BDD2970"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6E8BACB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2.32</w:t>
            </w:r>
          </w:p>
        </w:tc>
        <w:tc>
          <w:tcPr>
            <w:tcW w:w="1043" w:type="dxa"/>
            <w:tcBorders>
              <w:top w:val="nil"/>
              <w:left w:val="nil"/>
              <w:bottom w:val="nil"/>
              <w:right w:val="nil"/>
            </w:tcBorders>
            <w:shd w:val="clear" w:color="auto" w:fill="auto"/>
            <w:noWrap/>
            <w:hideMark/>
          </w:tcPr>
          <w:p w14:paraId="7F6CD7A4"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D99AA96"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5B3207A5"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5188FDA5" w14:textId="77777777" w:rsidTr="0059169E">
        <w:trPr>
          <w:trHeight w:val="307"/>
        </w:trPr>
        <w:tc>
          <w:tcPr>
            <w:tcW w:w="623" w:type="dxa"/>
            <w:tcBorders>
              <w:top w:val="nil"/>
              <w:left w:val="nil"/>
              <w:bottom w:val="nil"/>
              <w:right w:val="nil"/>
            </w:tcBorders>
            <w:shd w:val="clear" w:color="auto" w:fill="auto"/>
            <w:noWrap/>
            <w:hideMark/>
          </w:tcPr>
          <w:p w14:paraId="4F26C40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25</w:t>
            </w:r>
          </w:p>
        </w:tc>
        <w:tc>
          <w:tcPr>
            <w:tcW w:w="2652" w:type="dxa"/>
            <w:tcBorders>
              <w:top w:val="nil"/>
              <w:left w:val="nil"/>
              <w:bottom w:val="nil"/>
              <w:right w:val="nil"/>
            </w:tcBorders>
            <w:shd w:val="clear" w:color="auto" w:fill="auto"/>
            <w:noWrap/>
            <w:hideMark/>
          </w:tcPr>
          <w:p w14:paraId="1D3BAB8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CUST_13027_PI406199798</w:t>
            </w:r>
          </w:p>
        </w:tc>
        <w:tc>
          <w:tcPr>
            <w:tcW w:w="2256" w:type="dxa"/>
            <w:tcBorders>
              <w:top w:val="nil"/>
              <w:left w:val="nil"/>
              <w:bottom w:val="nil"/>
              <w:right w:val="nil"/>
            </w:tcBorders>
            <w:shd w:val="clear" w:color="auto" w:fill="auto"/>
            <w:noWrap/>
            <w:hideMark/>
          </w:tcPr>
          <w:p w14:paraId="152FD8C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AGAP012291-RA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1006" w:type="dxa"/>
            <w:tcBorders>
              <w:top w:val="nil"/>
              <w:left w:val="nil"/>
              <w:bottom w:val="nil"/>
              <w:right w:val="nil"/>
            </w:tcBorders>
            <w:shd w:val="clear" w:color="auto" w:fill="auto"/>
            <w:noWrap/>
            <w:hideMark/>
          </w:tcPr>
          <w:p w14:paraId="679BD408"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6022284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2.42</w:t>
            </w:r>
          </w:p>
        </w:tc>
        <w:tc>
          <w:tcPr>
            <w:tcW w:w="1043" w:type="dxa"/>
            <w:tcBorders>
              <w:top w:val="nil"/>
              <w:left w:val="nil"/>
              <w:bottom w:val="nil"/>
              <w:right w:val="nil"/>
            </w:tcBorders>
            <w:shd w:val="clear" w:color="auto" w:fill="auto"/>
            <w:noWrap/>
            <w:hideMark/>
          </w:tcPr>
          <w:p w14:paraId="196FD874"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72CF978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AGAP012291-RA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3218" w:type="dxa"/>
            <w:tcBorders>
              <w:top w:val="nil"/>
              <w:left w:val="nil"/>
              <w:bottom w:val="nil"/>
              <w:right w:val="nil"/>
            </w:tcBorders>
            <w:shd w:val="clear" w:color="auto" w:fill="auto"/>
            <w:noWrap/>
            <w:hideMark/>
          </w:tcPr>
          <w:p w14:paraId="20F42700"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1BF5AC05" w14:textId="77777777" w:rsidTr="0059169E">
        <w:trPr>
          <w:trHeight w:val="307"/>
        </w:trPr>
        <w:tc>
          <w:tcPr>
            <w:tcW w:w="623" w:type="dxa"/>
            <w:tcBorders>
              <w:top w:val="nil"/>
              <w:left w:val="nil"/>
              <w:bottom w:val="nil"/>
              <w:right w:val="nil"/>
            </w:tcBorders>
            <w:shd w:val="clear" w:color="auto" w:fill="auto"/>
            <w:noWrap/>
            <w:hideMark/>
          </w:tcPr>
          <w:p w14:paraId="0F778A3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26</w:t>
            </w:r>
          </w:p>
        </w:tc>
        <w:tc>
          <w:tcPr>
            <w:tcW w:w="2652" w:type="dxa"/>
            <w:tcBorders>
              <w:top w:val="nil"/>
              <w:left w:val="nil"/>
              <w:bottom w:val="nil"/>
              <w:right w:val="nil"/>
            </w:tcBorders>
            <w:shd w:val="clear" w:color="auto" w:fill="auto"/>
            <w:noWrap/>
            <w:hideMark/>
          </w:tcPr>
          <w:p w14:paraId="77FD5F2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CUST_2644_PI406199772</w:t>
            </w:r>
          </w:p>
        </w:tc>
        <w:tc>
          <w:tcPr>
            <w:tcW w:w="2256" w:type="dxa"/>
            <w:tcBorders>
              <w:top w:val="nil"/>
              <w:left w:val="nil"/>
              <w:bottom w:val="nil"/>
              <w:right w:val="nil"/>
            </w:tcBorders>
            <w:shd w:val="clear" w:color="auto" w:fill="auto"/>
            <w:noWrap/>
            <w:hideMark/>
          </w:tcPr>
          <w:p w14:paraId="4E39385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CD578079.1</w:t>
            </w:r>
          </w:p>
        </w:tc>
        <w:tc>
          <w:tcPr>
            <w:tcW w:w="1006" w:type="dxa"/>
            <w:tcBorders>
              <w:top w:val="nil"/>
              <w:left w:val="nil"/>
              <w:bottom w:val="nil"/>
              <w:right w:val="nil"/>
            </w:tcBorders>
            <w:shd w:val="clear" w:color="auto" w:fill="auto"/>
            <w:noWrap/>
            <w:hideMark/>
          </w:tcPr>
          <w:p w14:paraId="0432FFCE"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338C3D0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2.70</w:t>
            </w:r>
          </w:p>
        </w:tc>
        <w:tc>
          <w:tcPr>
            <w:tcW w:w="1043" w:type="dxa"/>
            <w:tcBorders>
              <w:top w:val="nil"/>
              <w:left w:val="nil"/>
              <w:bottom w:val="nil"/>
              <w:right w:val="nil"/>
            </w:tcBorders>
            <w:shd w:val="clear" w:color="auto" w:fill="auto"/>
            <w:noWrap/>
            <w:hideMark/>
          </w:tcPr>
          <w:p w14:paraId="260E226A"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74B136E"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66350B0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w:t>
            </w:r>
          </w:p>
        </w:tc>
      </w:tr>
      <w:tr w:rsidR="00FE471A" w:rsidRPr="009D77BD" w14:paraId="48B8F5D7" w14:textId="77777777" w:rsidTr="0059169E">
        <w:trPr>
          <w:trHeight w:val="307"/>
        </w:trPr>
        <w:tc>
          <w:tcPr>
            <w:tcW w:w="623" w:type="dxa"/>
            <w:tcBorders>
              <w:top w:val="nil"/>
              <w:left w:val="nil"/>
              <w:bottom w:val="nil"/>
              <w:right w:val="nil"/>
            </w:tcBorders>
            <w:shd w:val="clear" w:color="auto" w:fill="auto"/>
            <w:noWrap/>
            <w:hideMark/>
          </w:tcPr>
          <w:p w14:paraId="3AD4FB6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27</w:t>
            </w:r>
          </w:p>
        </w:tc>
        <w:tc>
          <w:tcPr>
            <w:tcW w:w="2652" w:type="dxa"/>
            <w:tcBorders>
              <w:top w:val="nil"/>
              <w:left w:val="nil"/>
              <w:bottom w:val="nil"/>
              <w:right w:val="nil"/>
            </w:tcBorders>
            <w:shd w:val="clear" w:color="auto" w:fill="auto"/>
            <w:noWrap/>
            <w:hideMark/>
          </w:tcPr>
          <w:p w14:paraId="17BE8CF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CUST_2643_PI406199772</w:t>
            </w:r>
          </w:p>
        </w:tc>
        <w:tc>
          <w:tcPr>
            <w:tcW w:w="2256" w:type="dxa"/>
            <w:tcBorders>
              <w:top w:val="nil"/>
              <w:left w:val="nil"/>
              <w:bottom w:val="nil"/>
              <w:right w:val="nil"/>
            </w:tcBorders>
            <w:shd w:val="clear" w:color="auto" w:fill="auto"/>
            <w:noWrap/>
            <w:hideMark/>
          </w:tcPr>
          <w:p w14:paraId="0432D00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CD578079.1</w:t>
            </w:r>
          </w:p>
        </w:tc>
        <w:tc>
          <w:tcPr>
            <w:tcW w:w="1006" w:type="dxa"/>
            <w:tcBorders>
              <w:top w:val="nil"/>
              <w:left w:val="nil"/>
              <w:bottom w:val="nil"/>
              <w:right w:val="nil"/>
            </w:tcBorders>
            <w:shd w:val="clear" w:color="auto" w:fill="auto"/>
            <w:noWrap/>
            <w:hideMark/>
          </w:tcPr>
          <w:p w14:paraId="2C6440EA"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1D1B21B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2.98</w:t>
            </w:r>
          </w:p>
        </w:tc>
        <w:tc>
          <w:tcPr>
            <w:tcW w:w="1043" w:type="dxa"/>
            <w:tcBorders>
              <w:top w:val="nil"/>
              <w:left w:val="nil"/>
              <w:bottom w:val="nil"/>
              <w:right w:val="nil"/>
            </w:tcBorders>
            <w:shd w:val="clear" w:color="auto" w:fill="auto"/>
            <w:noWrap/>
            <w:hideMark/>
          </w:tcPr>
          <w:p w14:paraId="34E8E848"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6623EF97"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0BAB611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w:t>
            </w:r>
          </w:p>
        </w:tc>
      </w:tr>
      <w:tr w:rsidR="00FE471A" w:rsidRPr="009D77BD" w14:paraId="4460CB76" w14:textId="77777777" w:rsidTr="0059169E">
        <w:trPr>
          <w:trHeight w:val="307"/>
        </w:trPr>
        <w:tc>
          <w:tcPr>
            <w:tcW w:w="623" w:type="dxa"/>
            <w:tcBorders>
              <w:top w:val="nil"/>
              <w:left w:val="nil"/>
              <w:bottom w:val="nil"/>
              <w:right w:val="nil"/>
            </w:tcBorders>
            <w:shd w:val="clear" w:color="auto" w:fill="auto"/>
            <w:noWrap/>
            <w:hideMark/>
          </w:tcPr>
          <w:p w14:paraId="7ABC194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28</w:t>
            </w:r>
          </w:p>
        </w:tc>
        <w:tc>
          <w:tcPr>
            <w:tcW w:w="2652" w:type="dxa"/>
            <w:tcBorders>
              <w:top w:val="nil"/>
              <w:left w:val="nil"/>
              <w:bottom w:val="nil"/>
              <w:right w:val="nil"/>
            </w:tcBorders>
            <w:shd w:val="clear" w:color="auto" w:fill="auto"/>
            <w:noWrap/>
            <w:hideMark/>
          </w:tcPr>
          <w:p w14:paraId="1D23F49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CUST_10994_PI426302897</w:t>
            </w:r>
          </w:p>
        </w:tc>
        <w:tc>
          <w:tcPr>
            <w:tcW w:w="2256" w:type="dxa"/>
            <w:tcBorders>
              <w:top w:val="nil"/>
              <w:left w:val="nil"/>
              <w:bottom w:val="nil"/>
              <w:right w:val="nil"/>
            </w:tcBorders>
            <w:shd w:val="clear" w:color="auto" w:fill="auto"/>
            <w:noWrap/>
            <w:hideMark/>
          </w:tcPr>
          <w:p w14:paraId="076B3FA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Afun010994 (CYP6P9b)</w:t>
            </w:r>
          </w:p>
        </w:tc>
        <w:tc>
          <w:tcPr>
            <w:tcW w:w="1006" w:type="dxa"/>
            <w:tcBorders>
              <w:top w:val="nil"/>
              <w:left w:val="nil"/>
              <w:bottom w:val="nil"/>
              <w:right w:val="nil"/>
            </w:tcBorders>
            <w:shd w:val="clear" w:color="auto" w:fill="auto"/>
            <w:noWrap/>
            <w:hideMark/>
          </w:tcPr>
          <w:p w14:paraId="38762B6F"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286D108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14.48</w:t>
            </w:r>
          </w:p>
        </w:tc>
        <w:tc>
          <w:tcPr>
            <w:tcW w:w="1043" w:type="dxa"/>
            <w:tcBorders>
              <w:top w:val="nil"/>
              <w:left w:val="nil"/>
              <w:bottom w:val="nil"/>
              <w:right w:val="nil"/>
            </w:tcBorders>
            <w:shd w:val="clear" w:color="auto" w:fill="auto"/>
            <w:noWrap/>
            <w:hideMark/>
          </w:tcPr>
          <w:p w14:paraId="7B1FBE4A" w14:textId="77777777" w:rsidR="00FE471A" w:rsidRPr="009D77BD" w:rsidRDefault="00FE471A" w:rsidP="0059169E">
            <w:pPr>
              <w:rPr>
                <w:rFonts w:ascii="Times New Roman" w:eastAsia="Times New Roman" w:hAnsi="Times New Roman" w:cs="Times New Roman"/>
                <w:color w:val="000000"/>
                <w:sz w:val="20"/>
                <w:szCs w:val="20"/>
              </w:rPr>
            </w:pPr>
          </w:p>
        </w:tc>
        <w:tc>
          <w:tcPr>
            <w:tcW w:w="2315" w:type="dxa"/>
            <w:tcBorders>
              <w:top w:val="nil"/>
              <w:left w:val="nil"/>
              <w:bottom w:val="nil"/>
              <w:right w:val="nil"/>
            </w:tcBorders>
            <w:shd w:val="clear" w:color="auto" w:fill="auto"/>
            <w:noWrap/>
            <w:hideMark/>
          </w:tcPr>
          <w:p w14:paraId="0BD4266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AGAP002867-PA</w:t>
            </w:r>
          </w:p>
        </w:tc>
        <w:tc>
          <w:tcPr>
            <w:tcW w:w="3218" w:type="dxa"/>
            <w:tcBorders>
              <w:top w:val="nil"/>
              <w:left w:val="nil"/>
              <w:bottom w:val="nil"/>
              <w:right w:val="nil"/>
            </w:tcBorders>
            <w:shd w:val="clear" w:color="auto" w:fill="auto"/>
            <w:noWrap/>
            <w:hideMark/>
          </w:tcPr>
          <w:p w14:paraId="64D116B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2E0A0419" w14:textId="77777777" w:rsidTr="0059169E">
        <w:trPr>
          <w:trHeight w:val="307"/>
        </w:trPr>
        <w:tc>
          <w:tcPr>
            <w:tcW w:w="623" w:type="dxa"/>
            <w:tcBorders>
              <w:top w:val="nil"/>
              <w:left w:val="nil"/>
              <w:bottom w:val="nil"/>
              <w:right w:val="nil"/>
            </w:tcBorders>
            <w:shd w:val="clear" w:color="auto" w:fill="auto"/>
            <w:noWrap/>
            <w:hideMark/>
          </w:tcPr>
          <w:p w14:paraId="506A401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29</w:t>
            </w:r>
          </w:p>
        </w:tc>
        <w:tc>
          <w:tcPr>
            <w:tcW w:w="2652" w:type="dxa"/>
            <w:tcBorders>
              <w:top w:val="nil"/>
              <w:left w:val="nil"/>
              <w:bottom w:val="nil"/>
              <w:right w:val="nil"/>
            </w:tcBorders>
            <w:shd w:val="clear" w:color="auto" w:fill="auto"/>
            <w:noWrap/>
            <w:hideMark/>
          </w:tcPr>
          <w:p w14:paraId="1728899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CUST_2814_PI406199769</w:t>
            </w:r>
          </w:p>
        </w:tc>
        <w:tc>
          <w:tcPr>
            <w:tcW w:w="3262" w:type="dxa"/>
            <w:gridSpan w:val="2"/>
            <w:tcBorders>
              <w:top w:val="nil"/>
              <w:left w:val="nil"/>
              <w:bottom w:val="nil"/>
              <w:right w:val="nil"/>
            </w:tcBorders>
            <w:shd w:val="clear" w:color="auto" w:fill="auto"/>
            <w:noWrap/>
            <w:hideMark/>
          </w:tcPr>
          <w:p w14:paraId="09344A2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AGAP004164-RC_glutat</w:t>
            </w:r>
            <w:r>
              <w:rPr>
                <w:rFonts w:ascii="Times New Roman" w:eastAsia="Times New Roman" w:hAnsi="Times New Roman" w:cs="Times New Roman"/>
                <w:color w:val="000000"/>
                <w:sz w:val="20"/>
                <w:szCs w:val="20"/>
              </w:rPr>
              <w:t>athione-S-transferase</w:t>
            </w:r>
          </w:p>
        </w:tc>
        <w:tc>
          <w:tcPr>
            <w:tcW w:w="935" w:type="dxa"/>
            <w:tcBorders>
              <w:top w:val="nil"/>
              <w:left w:val="nil"/>
              <w:bottom w:val="nil"/>
              <w:right w:val="nil"/>
            </w:tcBorders>
            <w:shd w:val="clear" w:color="auto" w:fill="auto"/>
            <w:noWrap/>
            <w:hideMark/>
          </w:tcPr>
          <w:p w14:paraId="360D1574"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2EFCDCD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2.09</w:t>
            </w:r>
          </w:p>
        </w:tc>
        <w:tc>
          <w:tcPr>
            <w:tcW w:w="2315" w:type="dxa"/>
            <w:tcBorders>
              <w:top w:val="nil"/>
              <w:left w:val="nil"/>
              <w:bottom w:val="nil"/>
              <w:right w:val="nil"/>
            </w:tcBorders>
            <w:shd w:val="clear" w:color="auto" w:fill="auto"/>
            <w:noWrap/>
            <w:hideMark/>
          </w:tcPr>
          <w:p w14:paraId="35B09B1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AGAP004164-RC_glutat</w:t>
            </w:r>
            <w:r>
              <w:rPr>
                <w:rFonts w:ascii="Times New Roman" w:eastAsia="Times New Roman" w:hAnsi="Times New Roman" w:cs="Times New Roman"/>
                <w:color w:val="000000"/>
                <w:sz w:val="20"/>
                <w:szCs w:val="20"/>
              </w:rPr>
              <w:t>athione-S-transferase</w:t>
            </w:r>
          </w:p>
        </w:tc>
        <w:tc>
          <w:tcPr>
            <w:tcW w:w="3218" w:type="dxa"/>
            <w:tcBorders>
              <w:top w:val="nil"/>
              <w:left w:val="nil"/>
              <w:bottom w:val="nil"/>
              <w:right w:val="nil"/>
            </w:tcBorders>
            <w:shd w:val="clear" w:color="auto" w:fill="auto"/>
            <w:noWrap/>
            <w:hideMark/>
          </w:tcPr>
          <w:p w14:paraId="533B892A" w14:textId="77777777" w:rsidR="00FE471A" w:rsidRPr="009D77BD" w:rsidRDefault="00FE471A" w:rsidP="0059169E">
            <w:pPr>
              <w:rPr>
                <w:rFonts w:ascii="Times New Roman" w:eastAsia="Times New Roman" w:hAnsi="Times New Roman" w:cs="Times New Roman"/>
                <w:color w:val="000000"/>
                <w:sz w:val="20"/>
                <w:szCs w:val="20"/>
              </w:rPr>
            </w:pPr>
            <w:r w:rsidRPr="00AA6AB4">
              <w:rPr>
                <w:rFonts w:ascii="Times New Roman" w:eastAsia="Times New Roman" w:hAnsi="Times New Roman" w:cs="Times New Roman"/>
                <w:color w:val="000000"/>
                <w:sz w:val="20"/>
                <w:szCs w:val="20"/>
              </w:rPr>
              <w:t>Glutathione-S-transferase</w:t>
            </w:r>
          </w:p>
        </w:tc>
      </w:tr>
      <w:tr w:rsidR="00FE471A" w:rsidRPr="009D77BD" w14:paraId="221BE6D5" w14:textId="77777777" w:rsidTr="0059169E">
        <w:trPr>
          <w:trHeight w:val="307"/>
        </w:trPr>
        <w:tc>
          <w:tcPr>
            <w:tcW w:w="623" w:type="dxa"/>
            <w:tcBorders>
              <w:top w:val="nil"/>
              <w:left w:val="nil"/>
              <w:bottom w:val="nil"/>
              <w:right w:val="nil"/>
            </w:tcBorders>
            <w:shd w:val="clear" w:color="auto" w:fill="auto"/>
            <w:noWrap/>
            <w:hideMark/>
          </w:tcPr>
          <w:p w14:paraId="514C05E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30</w:t>
            </w:r>
          </w:p>
        </w:tc>
        <w:tc>
          <w:tcPr>
            <w:tcW w:w="2652" w:type="dxa"/>
            <w:tcBorders>
              <w:top w:val="nil"/>
              <w:left w:val="nil"/>
              <w:bottom w:val="nil"/>
              <w:right w:val="nil"/>
            </w:tcBorders>
            <w:shd w:val="clear" w:color="auto" w:fill="auto"/>
            <w:noWrap/>
            <w:hideMark/>
          </w:tcPr>
          <w:p w14:paraId="6C8A578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CUST_2245_PI406199798</w:t>
            </w:r>
          </w:p>
        </w:tc>
        <w:tc>
          <w:tcPr>
            <w:tcW w:w="2256" w:type="dxa"/>
            <w:tcBorders>
              <w:top w:val="nil"/>
              <w:left w:val="nil"/>
              <w:bottom w:val="nil"/>
              <w:right w:val="nil"/>
            </w:tcBorders>
            <w:shd w:val="clear" w:color="auto" w:fill="auto"/>
            <w:noWrap/>
            <w:hideMark/>
          </w:tcPr>
          <w:p w14:paraId="124E0C7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CYP6P2</w:t>
            </w:r>
          </w:p>
        </w:tc>
        <w:tc>
          <w:tcPr>
            <w:tcW w:w="1006" w:type="dxa"/>
            <w:tcBorders>
              <w:top w:val="nil"/>
              <w:left w:val="nil"/>
              <w:bottom w:val="nil"/>
              <w:right w:val="nil"/>
            </w:tcBorders>
            <w:shd w:val="clear" w:color="auto" w:fill="auto"/>
            <w:noWrap/>
            <w:hideMark/>
          </w:tcPr>
          <w:p w14:paraId="57406939"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5D119A8E"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0763142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2.47</w:t>
            </w:r>
          </w:p>
        </w:tc>
        <w:tc>
          <w:tcPr>
            <w:tcW w:w="2315" w:type="dxa"/>
            <w:tcBorders>
              <w:top w:val="nil"/>
              <w:left w:val="nil"/>
              <w:bottom w:val="nil"/>
              <w:right w:val="nil"/>
            </w:tcBorders>
            <w:shd w:val="clear" w:color="auto" w:fill="auto"/>
            <w:noWrap/>
            <w:hideMark/>
          </w:tcPr>
          <w:p w14:paraId="7F09CCF9" w14:textId="77777777" w:rsidR="00FE471A" w:rsidRPr="009D77BD" w:rsidRDefault="00FE471A" w:rsidP="0059169E">
            <w:pPr>
              <w:rPr>
                <w:rFonts w:ascii="Times New Roman" w:eastAsia="Times New Roman" w:hAnsi="Times New Roman" w:cs="Times New Roman"/>
                <w:color w:val="000000"/>
                <w:sz w:val="20"/>
                <w:szCs w:val="20"/>
              </w:rPr>
            </w:pPr>
          </w:p>
        </w:tc>
        <w:tc>
          <w:tcPr>
            <w:tcW w:w="3218" w:type="dxa"/>
            <w:tcBorders>
              <w:top w:val="nil"/>
              <w:left w:val="nil"/>
              <w:bottom w:val="nil"/>
              <w:right w:val="nil"/>
            </w:tcBorders>
            <w:shd w:val="clear" w:color="auto" w:fill="auto"/>
            <w:noWrap/>
            <w:hideMark/>
          </w:tcPr>
          <w:p w14:paraId="3609695D"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3305C75C" w14:textId="77777777" w:rsidTr="0059169E">
        <w:trPr>
          <w:trHeight w:val="307"/>
        </w:trPr>
        <w:tc>
          <w:tcPr>
            <w:tcW w:w="623" w:type="dxa"/>
            <w:tcBorders>
              <w:top w:val="nil"/>
              <w:left w:val="nil"/>
              <w:bottom w:val="nil"/>
              <w:right w:val="nil"/>
            </w:tcBorders>
            <w:shd w:val="clear" w:color="auto" w:fill="auto"/>
            <w:noWrap/>
            <w:hideMark/>
          </w:tcPr>
          <w:p w14:paraId="23734F4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31</w:t>
            </w:r>
          </w:p>
        </w:tc>
        <w:tc>
          <w:tcPr>
            <w:tcW w:w="2652" w:type="dxa"/>
            <w:tcBorders>
              <w:top w:val="nil"/>
              <w:left w:val="nil"/>
              <w:bottom w:val="nil"/>
              <w:right w:val="nil"/>
            </w:tcBorders>
            <w:shd w:val="clear" w:color="auto" w:fill="auto"/>
            <w:noWrap/>
            <w:hideMark/>
          </w:tcPr>
          <w:p w14:paraId="19B403D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CUST_4637_PI406199798</w:t>
            </w:r>
          </w:p>
        </w:tc>
        <w:tc>
          <w:tcPr>
            <w:tcW w:w="2256" w:type="dxa"/>
            <w:tcBorders>
              <w:top w:val="nil"/>
              <w:left w:val="nil"/>
              <w:bottom w:val="nil"/>
              <w:right w:val="nil"/>
            </w:tcBorders>
            <w:shd w:val="clear" w:color="auto" w:fill="auto"/>
            <w:noWrap/>
            <w:hideMark/>
          </w:tcPr>
          <w:p w14:paraId="2A054FA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Afun014849</w:t>
            </w:r>
          </w:p>
        </w:tc>
        <w:tc>
          <w:tcPr>
            <w:tcW w:w="1006" w:type="dxa"/>
            <w:tcBorders>
              <w:top w:val="nil"/>
              <w:left w:val="nil"/>
              <w:bottom w:val="nil"/>
              <w:right w:val="nil"/>
            </w:tcBorders>
            <w:shd w:val="clear" w:color="auto" w:fill="auto"/>
            <w:noWrap/>
            <w:hideMark/>
          </w:tcPr>
          <w:p w14:paraId="28CD00F3" w14:textId="77777777" w:rsidR="00FE471A" w:rsidRPr="009D77BD" w:rsidRDefault="00FE471A" w:rsidP="0059169E">
            <w:pPr>
              <w:rPr>
                <w:rFonts w:ascii="Times New Roman" w:eastAsia="Times New Roman" w:hAnsi="Times New Roman" w:cs="Times New Roman"/>
                <w:color w:val="000000"/>
                <w:sz w:val="20"/>
                <w:szCs w:val="20"/>
              </w:rPr>
            </w:pPr>
          </w:p>
        </w:tc>
        <w:tc>
          <w:tcPr>
            <w:tcW w:w="935" w:type="dxa"/>
            <w:tcBorders>
              <w:top w:val="nil"/>
              <w:left w:val="nil"/>
              <w:bottom w:val="nil"/>
              <w:right w:val="nil"/>
            </w:tcBorders>
            <w:shd w:val="clear" w:color="auto" w:fill="auto"/>
            <w:noWrap/>
            <w:hideMark/>
          </w:tcPr>
          <w:p w14:paraId="5BAA30DC" w14:textId="77777777" w:rsidR="00FE471A" w:rsidRPr="009D77BD" w:rsidRDefault="00FE471A" w:rsidP="0059169E">
            <w:pPr>
              <w:rPr>
                <w:rFonts w:ascii="Times New Roman" w:eastAsia="Times New Roman" w:hAnsi="Times New Roman" w:cs="Times New Roman"/>
                <w:color w:val="000000"/>
                <w:sz w:val="20"/>
                <w:szCs w:val="20"/>
              </w:rPr>
            </w:pPr>
          </w:p>
        </w:tc>
        <w:tc>
          <w:tcPr>
            <w:tcW w:w="1043" w:type="dxa"/>
            <w:tcBorders>
              <w:top w:val="nil"/>
              <w:left w:val="nil"/>
              <w:bottom w:val="nil"/>
              <w:right w:val="nil"/>
            </w:tcBorders>
            <w:shd w:val="clear" w:color="auto" w:fill="auto"/>
            <w:noWrap/>
            <w:hideMark/>
          </w:tcPr>
          <w:p w14:paraId="2B2145C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2.03</w:t>
            </w:r>
          </w:p>
        </w:tc>
        <w:tc>
          <w:tcPr>
            <w:tcW w:w="2315" w:type="dxa"/>
            <w:tcBorders>
              <w:top w:val="nil"/>
              <w:left w:val="nil"/>
              <w:bottom w:val="nil"/>
              <w:right w:val="nil"/>
            </w:tcBorders>
            <w:shd w:val="clear" w:color="auto" w:fill="auto"/>
            <w:noWrap/>
            <w:hideMark/>
          </w:tcPr>
          <w:p w14:paraId="367FE08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AGAP011507-PA</w:t>
            </w:r>
          </w:p>
        </w:tc>
        <w:tc>
          <w:tcPr>
            <w:tcW w:w="3218" w:type="dxa"/>
            <w:tcBorders>
              <w:top w:val="nil"/>
              <w:left w:val="nil"/>
              <w:bottom w:val="nil"/>
              <w:right w:val="nil"/>
            </w:tcBorders>
            <w:shd w:val="clear" w:color="auto" w:fill="auto"/>
            <w:noWrap/>
            <w:hideMark/>
          </w:tcPr>
          <w:p w14:paraId="62D57C1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w:t>
            </w:r>
            <w:r w:rsidRPr="009D77BD">
              <w:rPr>
                <w:rFonts w:ascii="Times New Roman" w:eastAsia="Times New Roman" w:hAnsi="Times New Roman" w:cs="Times New Roman"/>
                <w:color w:val="000000"/>
                <w:sz w:val="20"/>
                <w:szCs w:val="20"/>
              </w:rPr>
              <w:t>sterase fe4</w:t>
            </w:r>
          </w:p>
        </w:tc>
      </w:tr>
      <w:tr w:rsidR="00FE471A" w:rsidRPr="009D77BD" w14:paraId="38D5D0DC" w14:textId="77777777" w:rsidTr="0059169E">
        <w:trPr>
          <w:trHeight w:val="307"/>
        </w:trPr>
        <w:tc>
          <w:tcPr>
            <w:tcW w:w="623" w:type="dxa"/>
            <w:tcBorders>
              <w:top w:val="nil"/>
              <w:left w:val="nil"/>
              <w:bottom w:val="single" w:sz="4" w:space="0" w:color="auto"/>
              <w:right w:val="nil"/>
            </w:tcBorders>
            <w:shd w:val="clear" w:color="auto" w:fill="auto"/>
            <w:noWrap/>
            <w:hideMark/>
          </w:tcPr>
          <w:p w14:paraId="7FBDE1D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32</w:t>
            </w:r>
          </w:p>
        </w:tc>
        <w:tc>
          <w:tcPr>
            <w:tcW w:w="2652" w:type="dxa"/>
            <w:tcBorders>
              <w:top w:val="nil"/>
              <w:left w:val="nil"/>
              <w:bottom w:val="single" w:sz="4" w:space="0" w:color="auto"/>
              <w:right w:val="nil"/>
            </w:tcBorders>
            <w:shd w:val="clear" w:color="auto" w:fill="auto"/>
            <w:noWrap/>
            <w:hideMark/>
          </w:tcPr>
          <w:p w14:paraId="328D277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CUST_10523_PI406199798</w:t>
            </w:r>
          </w:p>
        </w:tc>
        <w:tc>
          <w:tcPr>
            <w:tcW w:w="2256" w:type="dxa"/>
            <w:tcBorders>
              <w:top w:val="nil"/>
              <w:left w:val="nil"/>
              <w:bottom w:val="single" w:sz="4" w:space="0" w:color="auto"/>
              <w:right w:val="nil"/>
            </w:tcBorders>
            <w:shd w:val="clear" w:color="auto" w:fill="auto"/>
            <w:noWrap/>
            <w:hideMark/>
          </w:tcPr>
          <w:p w14:paraId="6C306CA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CYP6P9a</w:t>
            </w:r>
          </w:p>
        </w:tc>
        <w:tc>
          <w:tcPr>
            <w:tcW w:w="1006" w:type="dxa"/>
            <w:tcBorders>
              <w:top w:val="nil"/>
              <w:left w:val="nil"/>
              <w:bottom w:val="single" w:sz="4" w:space="0" w:color="auto"/>
              <w:right w:val="nil"/>
            </w:tcBorders>
            <w:shd w:val="clear" w:color="auto" w:fill="auto"/>
            <w:noWrap/>
            <w:hideMark/>
          </w:tcPr>
          <w:p w14:paraId="18C4394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 </w:t>
            </w:r>
          </w:p>
        </w:tc>
        <w:tc>
          <w:tcPr>
            <w:tcW w:w="935" w:type="dxa"/>
            <w:tcBorders>
              <w:top w:val="nil"/>
              <w:left w:val="nil"/>
              <w:bottom w:val="single" w:sz="4" w:space="0" w:color="auto"/>
              <w:right w:val="nil"/>
            </w:tcBorders>
            <w:shd w:val="clear" w:color="auto" w:fill="auto"/>
            <w:noWrap/>
            <w:hideMark/>
          </w:tcPr>
          <w:p w14:paraId="3AD5214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 </w:t>
            </w:r>
          </w:p>
        </w:tc>
        <w:tc>
          <w:tcPr>
            <w:tcW w:w="1043" w:type="dxa"/>
            <w:tcBorders>
              <w:top w:val="nil"/>
              <w:left w:val="nil"/>
              <w:bottom w:val="single" w:sz="4" w:space="0" w:color="auto"/>
              <w:right w:val="nil"/>
            </w:tcBorders>
            <w:shd w:val="clear" w:color="auto" w:fill="auto"/>
            <w:noWrap/>
            <w:hideMark/>
          </w:tcPr>
          <w:p w14:paraId="1D6B1A4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2.92</w:t>
            </w:r>
          </w:p>
        </w:tc>
        <w:tc>
          <w:tcPr>
            <w:tcW w:w="2315" w:type="dxa"/>
            <w:tcBorders>
              <w:top w:val="nil"/>
              <w:left w:val="nil"/>
              <w:bottom w:val="single" w:sz="4" w:space="0" w:color="auto"/>
              <w:right w:val="nil"/>
            </w:tcBorders>
            <w:shd w:val="clear" w:color="auto" w:fill="auto"/>
            <w:noWrap/>
            <w:hideMark/>
          </w:tcPr>
          <w:p w14:paraId="30DCF6E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 </w:t>
            </w:r>
          </w:p>
        </w:tc>
        <w:tc>
          <w:tcPr>
            <w:tcW w:w="3218" w:type="dxa"/>
            <w:tcBorders>
              <w:top w:val="nil"/>
              <w:left w:val="nil"/>
              <w:bottom w:val="single" w:sz="4" w:space="0" w:color="auto"/>
              <w:right w:val="nil"/>
            </w:tcBorders>
            <w:shd w:val="clear" w:color="auto" w:fill="auto"/>
            <w:noWrap/>
            <w:hideMark/>
          </w:tcPr>
          <w:p w14:paraId="27F9E51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bl>
    <w:p w14:paraId="7DBA6248" w14:textId="77777777" w:rsidR="00FE471A" w:rsidRPr="009D77BD" w:rsidRDefault="00FE471A" w:rsidP="00FE471A">
      <w:pPr>
        <w:rPr>
          <w:rFonts w:ascii="Times New Roman" w:hAnsi="Times New Roman" w:cs="Times New Roman"/>
          <w:sz w:val="20"/>
          <w:szCs w:val="20"/>
        </w:rPr>
      </w:pPr>
      <w:r w:rsidRPr="00AA6AB4">
        <w:rPr>
          <w:rFonts w:ascii="Times New Roman" w:hAnsi="Times New Roman" w:cs="Times New Roman"/>
          <w:i/>
          <w:iCs/>
          <w:sz w:val="20"/>
          <w:szCs w:val="20"/>
        </w:rPr>
        <w:t>Abbreviation</w:t>
      </w:r>
      <w:r>
        <w:rPr>
          <w:rFonts w:ascii="Times New Roman" w:hAnsi="Times New Roman" w:cs="Times New Roman"/>
          <w:sz w:val="20"/>
          <w:szCs w:val="20"/>
        </w:rPr>
        <w:t>: FC, fold change</w:t>
      </w:r>
    </w:p>
    <w:p w14:paraId="7259669B" w14:textId="77777777" w:rsidR="00FE471A" w:rsidRDefault="00FE471A" w:rsidP="00FE471A">
      <w:pPr>
        <w:rPr>
          <w:rFonts w:ascii="Times New Roman" w:hAnsi="Times New Roman" w:cs="Times New Roman"/>
          <w:b/>
          <w:sz w:val="20"/>
          <w:szCs w:val="20"/>
        </w:rPr>
      </w:pPr>
    </w:p>
    <w:p w14:paraId="6AC22B49" w14:textId="77777777" w:rsidR="00FE471A" w:rsidRDefault="00FE471A" w:rsidP="00FE471A">
      <w:pPr>
        <w:rPr>
          <w:rFonts w:ascii="Times New Roman" w:hAnsi="Times New Roman" w:cs="Times New Roman"/>
          <w:b/>
          <w:sz w:val="20"/>
          <w:szCs w:val="20"/>
        </w:rPr>
      </w:pPr>
    </w:p>
    <w:p w14:paraId="36038DC6" w14:textId="77777777" w:rsidR="00FE471A" w:rsidRDefault="00FE471A" w:rsidP="00FE471A">
      <w:pPr>
        <w:rPr>
          <w:rFonts w:ascii="Times New Roman" w:hAnsi="Times New Roman" w:cs="Times New Roman"/>
          <w:b/>
          <w:sz w:val="20"/>
          <w:szCs w:val="20"/>
        </w:rPr>
      </w:pPr>
    </w:p>
    <w:p w14:paraId="4162C13E" w14:textId="77777777" w:rsidR="00FE471A" w:rsidRDefault="00FE471A" w:rsidP="00FE471A">
      <w:pPr>
        <w:rPr>
          <w:rFonts w:ascii="Times New Roman" w:hAnsi="Times New Roman" w:cs="Times New Roman"/>
          <w:b/>
          <w:sz w:val="20"/>
          <w:szCs w:val="20"/>
        </w:rPr>
      </w:pPr>
    </w:p>
    <w:p w14:paraId="049C38F9" w14:textId="77777777" w:rsidR="00FE471A" w:rsidRDefault="00FE471A" w:rsidP="00FE471A">
      <w:pPr>
        <w:rPr>
          <w:rFonts w:ascii="Times New Roman" w:hAnsi="Times New Roman" w:cs="Times New Roman"/>
          <w:b/>
          <w:sz w:val="20"/>
          <w:szCs w:val="20"/>
        </w:rPr>
      </w:pPr>
    </w:p>
    <w:p w14:paraId="78426CF0" w14:textId="77777777" w:rsidR="00FE471A" w:rsidRDefault="00FE471A" w:rsidP="00FE471A">
      <w:pPr>
        <w:rPr>
          <w:rFonts w:ascii="Times New Roman" w:hAnsi="Times New Roman" w:cs="Times New Roman"/>
          <w:b/>
          <w:sz w:val="20"/>
          <w:szCs w:val="20"/>
        </w:rPr>
      </w:pPr>
    </w:p>
    <w:p w14:paraId="275A3424" w14:textId="77777777" w:rsidR="00FE471A" w:rsidRDefault="00FE471A" w:rsidP="00FE471A">
      <w:pPr>
        <w:rPr>
          <w:rFonts w:ascii="Times New Roman" w:hAnsi="Times New Roman" w:cs="Times New Roman"/>
          <w:b/>
          <w:sz w:val="20"/>
          <w:szCs w:val="20"/>
        </w:rPr>
      </w:pPr>
    </w:p>
    <w:p w14:paraId="4A8F13C8" w14:textId="77777777" w:rsidR="00FE471A" w:rsidRDefault="00FE471A" w:rsidP="00FE471A">
      <w:pPr>
        <w:rPr>
          <w:rFonts w:ascii="Times New Roman" w:hAnsi="Times New Roman" w:cs="Times New Roman"/>
          <w:b/>
          <w:sz w:val="20"/>
          <w:szCs w:val="20"/>
        </w:rPr>
      </w:pPr>
    </w:p>
    <w:p w14:paraId="6DF6BD2A" w14:textId="77777777" w:rsidR="00FE471A" w:rsidRDefault="00FE471A" w:rsidP="00FE471A">
      <w:pPr>
        <w:rPr>
          <w:rFonts w:ascii="Times New Roman" w:hAnsi="Times New Roman" w:cs="Times New Roman"/>
          <w:b/>
          <w:sz w:val="20"/>
          <w:szCs w:val="20"/>
        </w:rPr>
      </w:pPr>
    </w:p>
    <w:p w14:paraId="2DC3E879" w14:textId="77777777" w:rsidR="00FE471A" w:rsidRDefault="00FE471A" w:rsidP="00FE471A">
      <w:pPr>
        <w:rPr>
          <w:rFonts w:ascii="Times New Roman" w:hAnsi="Times New Roman" w:cs="Times New Roman"/>
          <w:b/>
          <w:sz w:val="20"/>
          <w:szCs w:val="20"/>
        </w:rPr>
      </w:pPr>
    </w:p>
    <w:p w14:paraId="4FBA394E" w14:textId="77777777" w:rsidR="00FE471A" w:rsidRDefault="00FE471A" w:rsidP="00FE471A">
      <w:pPr>
        <w:rPr>
          <w:rFonts w:ascii="Times New Roman" w:hAnsi="Times New Roman" w:cs="Times New Roman"/>
          <w:b/>
          <w:sz w:val="20"/>
          <w:szCs w:val="20"/>
        </w:rPr>
      </w:pPr>
    </w:p>
    <w:p w14:paraId="36354CE3" w14:textId="77777777" w:rsidR="00FE471A" w:rsidRDefault="00FE471A" w:rsidP="00FE471A">
      <w:pPr>
        <w:rPr>
          <w:rFonts w:ascii="Times New Roman" w:hAnsi="Times New Roman" w:cs="Times New Roman"/>
          <w:b/>
          <w:sz w:val="20"/>
          <w:szCs w:val="20"/>
        </w:rPr>
      </w:pPr>
    </w:p>
    <w:p w14:paraId="35D37B5B" w14:textId="77777777" w:rsidR="00FE471A" w:rsidRDefault="00FE471A" w:rsidP="00FE471A">
      <w:pPr>
        <w:rPr>
          <w:rFonts w:ascii="Times New Roman" w:hAnsi="Times New Roman" w:cs="Times New Roman"/>
          <w:b/>
          <w:sz w:val="20"/>
          <w:szCs w:val="20"/>
        </w:rPr>
      </w:pPr>
    </w:p>
    <w:p w14:paraId="0D301233" w14:textId="77777777" w:rsidR="00FE471A" w:rsidRDefault="00FE471A" w:rsidP="00FE471A">
      <w:pPr>
        <w:rPr>
          <w:rFonts w:ascii="Times New Roman" w:hAnsi="Times New Roman" w:cs="Times New Roman"/>
          <w:b/>
          <w:sz w:val="20"/>
          <w:szCs w:val="20"/>
        </w:rPr>
      </w:pPr>
    </w:p>
    <w:p w14:paraId="0836F497" w14:textId="77777777" w:rsidR="00FE471A" w:rsidRDefault="00FE471A" w:rsidP="00FE471A">
      <w:pPr>
        <w:rPr>
          <w:rFonts w:ascii="Times New Roman" w:hAnsi="Times New Roman" w:cs="Times New Roman"/>
          <w:b/>
          <w:sz w:val="20"/>
          <w:szCs w:val="20"/>
        </w:rPr>
      </w:pPr>
    </w:p>
    <w:p w14:paraId="3F51F1F6" w14:textId="77777777" w:rsidR="00FE471A" w:rsidRDefault="00FE471A" w:rsidP="00FE471A">
      <w:pPr>
        <w:rPr>
          <w:rFonts w:ascii="Times New Roman" w:hAnsi="Times New Roman" w:cs="Times New Roman"/>
          <w:b/>
          <w:sz w:val="20"/>
          <w:szCs w:val="20"/>
        </w:rPr>
      </w:pPr>
    </w:p>
    <w:p w14:paraId="45BC518B" w14:textId="77777777" w:rsidR="00FE471A" w:rsidRDefault="00FE471A" w:rsidP="00FE471A">
      <w:pPr>
        <w:rPr>
          <w:rFonts w:ascii="Times New Roman" w:hAnsi="Times New Roman" w:cs="Times New Roman"/>
          <w:b/>
          <w:sz w:val="20"/>
          <w:szCs w:val="20"/>
        </w:rPr>
      </w:pPr>
    </w:p>
    <w:p w14:paraId="64911FE7" w14:textId="77777777" w:rsidR="00FE471A" w:rsidRDefault="00FE471A" w:rsidP="00FE471A">
      <w:pPr>
        <w:rPr>
          <w:rFonts w:ascii="Times New Roman" w:hAnsi="Times New Roman" w:cs="Times New Roman"/>
          <w:b/>
          <w:sz w:val="20"/>
          <w:szCs w:val="20"/>
        </w:rPr>
      </w:pPr>
    </w:p>
    <w:p w14:paraId="2E81DC07" w14:textId="77777777" w:rsidR="00FE471A" w:rsidRDefault="00FE471A" w:rsidP="00FE471A">
      <w:pPr>
        <w:rPr>
          <w:rFonts w:ascii="Times New Roman" w:hAnsi="Times New Roman" w:cs="Times New Roman"/>
          <w:b/>
          <w:sz w:val="20"/>
          <w:szCs w:val="20"/>
        </w:rPr>
      </w:pPr>
    </w:p>
    <w:p w14:paraId="46E2BCBA" w14:textId="77777777" w:rsidR="00FE471A" w:rsidRDefault="00FE471A" w:rsidP="00FE471A">
      <w:pPr>
        <w:rPr>
          <w:rFonts w:ascii="Times New Roman" w:hAnsi="Times New Roman" w:cs="Times New Roman"/>
          <w:b/>
          <w:sz w:val="20"/>
          <w:szCs w:val="20"/>
        </w:rPr>
      </w:pPr>
    </w:p>
    <w:p w14:paraId="036F10A7" w14:textId="77777777" w:rsidR="00FE471A" w:rsidRDefault="00FE471A" w:rsidP="00FE471A">
      <w:pPr>
        <w:rPr>
          <w:rFonts w:ascii="Times New Roman" w:hAnsi="Times New Roman" w:cs="Times New Roman"/>
          <w:b/>
          <w:sz w:val="20"/>
          <w:szCs w:val="20"/>
        </w:rPr>
      </w:pPr>
    </w:p>
    <w:p w14:paraId="56DE8B6B" w14:textId="77777777" w:rsidR="00FE471A" w:rsidRPr="00AA6AB4" w:rsidRDefault="00FE471A" w:rsidP="00FE471A">
      <w:pPr>
        <w:rPr>
          <w:rFonts w:ascii="Times New Roman" w:eastAsia="Times New Roman" w:hAnsi="Times New Roman" w:cs="Times New Roman"/>
          <w:color w:val="000000"/>
          <w:sz w:val="20"/>
          <w:szCs w:val="20"/>
          <w:lang w:val="en-GB" w:eastAsia="fr-FR"/>
        </w:rPr>
      </w:pPr>
      <w:r w:rsidRPr="009D77BD">
        <w:rPr>
          <w:rFonts w:ascii="Times New Roman" w:hAnsi="Times New Roman" w:cs="Times New Roman"/>
          <w:b/>
          <w:sz w:val="20"/>
          <w:szCs w:val="20"/>
        </w:rPr>
        <w:lastRenderedPageBreak/>
        <w:t>Table 3</w:t>
      </w:r>
      <w:r w:rsidRPr="009D77BD">
        <w:rPr>
          <w:rFonts w:ascii="Times New Roman" w:eastAsia="Times New Roman" w:hAnsi="Times New Roman" w:cs="Times New Roman"/>
          <w:b/>
          <w:bCs/>
          <w:color w:val="000000"/>
          <w:sz w:val="20"/>
          <w:szCs w:val="20"/>
          <w:lang w:val="en-GB" w:eastAsia="fr-FR"/>
        </w:rPr>
        <w:t xml:space="preserve"> </w:t>
      </w:r>
      <w:r w:rsidRPr="00AA6AB4">
        <w:rPr>
          <w:rFonts w:ascii="Times New Roman" w:eastAsia="Times New Roman" w:hAnsi="Times New Roman" w:cs="Times New Roman"/>
          <w:color w:val="000000"/>
          <w:sz w:val="20"/>
          <w:szCs w:val="20"/>
          <w:lang w:val="en-GB" w:eastAsia="fr-FR"/>
        </w:rPr>
        <w:t>Detoxification genes upregulated in R</w:t>
      </w:r>
      <w:r w:rsidRPr="00AA6AB4">
        <w:rPr>
          <w:rFonts w:ascii="Times New Roman" w:eastAsia="Times New Roman" w:hAnsi="Times New Roman" w:cs="Times New Roman"/>
          <w:color w:val="000000"/>
          <w:sz w:val="20"/>
          <w:szCs w:val="20"/>
          <w:vertAlign w:val="subscript"/>
          <w:lang w:val="en-GB" w:eastAsia="fr-FR"/>
        </w:rPr>
        <w:t>DDT</w:t>
      </w:r>
      <w:r w:rsidRPr="00AA6AB4">
        <w:rPr>
          <w:rFonts w:ascii="Times New Roman" w:eastAsia="Times New Roman" w:hAnsi="Times New Roman" w:cs="Times New Roman"/>
          <w:color w:val="000000"/>
          <w:sz w:val="20"/>
          <w:szCs w:val="20"/>
          <w:lang w:val="en-GB" w:eastAsia="fr-FR"/>
        </w:rPr>
        <w:t>-S, Rperm-S and C-S</w:t>
      </w:r>
    </w:p>
    <w:p w14:paraId="32975CEA" w14:textId="77777777" w:rsidR="00FE471A" w:rsidRPr="009D77BD" w:rsidRDefault="00FE471A" w:rsidP="00FE471A">
      <w:pPr>
        <w:rPr>
          <w:rFonts w:ascii="Times New Roman" w:hAnsi="Times New Roman" w:cs="Times New Roman"/>
          <w:b/>
          <w:sz w:val="20"/>
          <w:szCs w:val="20"/>
          <w:u w:val="single"/>
        </w:rPr>
      </w:pPr>
    </w:p>
    <w:tbl>
      <w:tblPr>
        <w:tblW w:w="13886" w:type="dxa"/>
        <w:tblInd w:w="93" w:type="dxa"/>
        <w:tblLook w:val="04A0" w:firstRow="1" w:lastRow="0" w:firstColumn="1" w:lastColumn="0" w:noHBand="0" w:noVBand="1"/>
      </w:tblPr>
      <w:tblGrid>
        <w:gridCol w:w="611"/>
        <w:gridCol w:w="2593"/>
        <w:gridCol w:w="2332"/>
        <w:gridCol w:w="1052"/>
        <w:gridCol w:w="914"/>
        <w:gridCol w:w="982"/>
        <w:gridCol w:w="2332"/>
        <w:gridCol w:w="3070"/>
      </w:tblGrid>
      <w:tr w:rsidR="00FE471A" w:rsidRPr="009D77BD" w14:paraId="4980BC45" w14:textId="77777777" w:rsidTr="0059169E">
        <w:trPr>
          <w:trHeight w:val="565"/>
        </w:trPr>
        <w:tc>
          <w:tcPr>
            <w:tcW w:w="611" w:type="dxa"/>
            <w:tcBorders>
              <w:top w:val="single" w:sz="8" w:space="0" w:color="auto"/>
              <w:left w:val="nil"/>
              <w:bottom w:val="single" w:sz="8" w:space="0" w:color="auto"/>
              <w:right w:val="nil"/>
            </w:tcBorders>
            <w:shd w:val="clear" w:color="auto" w:fill="auto"/>
            <w:hideMark/>
          </w:tcPr>
          <w:p w14:paraId="73D45D10"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S/N</w:t>
            </w:r>
          </w:p>
        </w:tc>
        <w:tc>
          <w:tcPr>
            <w:tcW w:w="2593" w:type="dxa"/>
            <w:tcBorders>
              <w:top w:val="single" w:sz="8" w:space="0" w:color="auto"/>
              <w:left w:val="nil"/>
              <w:bottom w:val="single" w:sz="8" w:space="0" w:color="auto"/>
              <w:right w:val="nil"/>
            </w:tcBorders>
            <w:shd w:val="clear" w:color="auto" w:fill="auto"/>
            <w:hideMark/>
          </w:tcPr>
          <w:p w14:paraId="350329C5"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 xml:space="preserve">Transcript </w:t>
            </w:r>
            <w:r>
              <w:rPr>
                <w:rFonts w:ascii="Times New Roman" w:eastAsia="Times New Roman" w:hAnsi="Times New Roman" w:cs="Times New Roman"/>
                <w:b/>
                <w:bCs/>
                <w:color w:val="000000"/>
                <w:sz w:val="20"/>
                <w:szCs w:val="20"/>
              </w:rPr>
              <w:t>n</w:t>
            </w:r>
            <w:r w:rsidRPr="009D77BD">
              <w:rPr>
                <w:rFonts w:ascii="Times New Roman" w:eastAsia="Times New Roman" w:hAnsi="Times New Roman" w:cs="Times New Roman"/>
                <w:b/>
                <w:bCs/>
                <w:color w:val="000000"/>
                <w:sz w:val="20"/>
                <w:szCs w:val="20"/>
              </w:rPr>
              <w:t>ame</w:t>
            </w:r>
          </w:p>
        </w:tc>
        <w:tc>
          <w:tcPr>
            <w:tcW w:w="2332" w:type="dxa"/>
            <w:tcBorders>
              <w:top w:val="single" w:sz="8" w:space="0" w:color="auto"/>
              <w:left w:val="nil"/>
              <w:bottom w:val="single" w:sz="8" w:space="0" w:color="auto"/>
              <w:right w:val="nil"/>
            </w:tcBorders>
            <w:shd w:val="clear" w:color="auto" w:fill="auto"/>
            <w:hideMark/>
          </w:tcPr>
          <w:p w14:paraId="55664740"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 xml:space="preserve">Gene </w:t>
            </w:r>
            <w:r>
              <w:rPr>
                <w:rFonts w:ascii="Times New Roman" w:eastAsia="Times New Roman" w:hAnsi="Times New Roman" w:cs="Times New Roman"/>
                <w:b/>
                <w:bCs/>
                <w:color w:val="000000"/>
                <w:sz w:val="20"/>
                <w:szCs w:val="20"/>
              </w:rPr>
              <w:t>n</w:t>
            </w:r>
            <w:r w:rsidRPr="009D77BD">
              <w:rPr>
                <w:rFonts w:ascii="Times New Roman" w:eastAsia="Times New Roman" w:hAnsi="Times New Roman" w:cs="Times New Roman"/>
                <w:b/>
                <w:bCs/>
                <w:color w:val="000000"/>
                <w:sz w:val="20"/>
                <w:szCs w:val="20"/>
              </w:rPr>
              <w:t>ame</w:t>
            </w:r>
          </w:p>
        </w:tc>
        <w:tc>
          <w:tcPr>
            <w:tcW w:w="1052" w:type="dxa"/>
            <w:tcBorders>
              <w:top w:val="single" w:sz="8" w:space="0" w:color="auto"/>
              <w:left w:val="nil"/>
              <w:bottom w:val="single" w:sz="8" w:space="0" w:color="auto"/>
              <w:right w:val="nil"/>
            </w:tcBorders>
            <w:shd w:val="clear" w:color="auto" w:fill="auto"/>
            <w:hideMark/>
          </w:tcPr>
          <w:p w14:paraId="4FC8568A"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R</w:t>
            </w:r>
            <w:r w:rsidRPr="009D77BD">
              <w:rPr>
                <w:rFonts w:ascii="Times New Roman" w:eastAsia="Times New Roman" w:hAnsi="Times New Roman" w:cs="Times New Roman"/>
                <w:b/>
                <w:bCs/>
                <w:color w:val="000000"/>
                <w:sz w:val="20"/>
                <w:szCs w:val="20"/>
                <w:vertAlign w:val="subscript"/>
              </w:rPr>
              <w:t xml:space="preserve">DDT-S </w:t>
            </w:r>
            <w:r w:rsidRPr="009D77BD">
              <w:rPr>
                <w:rFonts w:ascii="Times New Roman" w:eastAsia="Times New Roman" w:hAnsi="Times New Roman" w:cs="Times New Roman"/>
                <w:b/>
                <w:bCs/>
                <w:color w:val="000000"/>
                <w:sz w:val="20"/>
                <w:szCs w:val="20"/>
              </w:rPr>
              <w:t>FC</w:t>
            </w:r>
          </w:p>
        </w:tc>
        <w:tc>
          <w:tcPr>
            <w:tcW w:w="914" w:type="dxa"/>
            <w:tcBorders>
              <w:top w:val="single" w:sz="8" w:space="0" w:color="auto"/>
              <w:left w:val="nil"/>
              <w:bottom w:val="single" w:sz="8" w:space="0" w:color="auto"/>
              <w:right w:val="nil"/>
            </w:tcBorders>
            <w:shd w:val="clear" w:color="auto" w:fill="auto"/>
            <w:hideMark/>
          </w:tcPr>
          <w:p w14:paraId="53ACC260"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C-S FC</w:t>
            </w:r>
          </w:p>
        </w:tc>
        <w:tc>
          <w:tcPr>
            <w:tcW w:w="982" w:type="dxa"/>
            <w:tcBorders>
              <w:top w:val="single" w:sz="8" w:space="0" w:color="auto"/>
              <w:left w:val="nil"/>
              <w:bottom w:val="single" w:sz="8" w:space="0" w:color="auto"/>
              <w:right w:val="nil"/>
            </w:tcBorders>
            <w:shd w:val="clear" w:color="auto" w:fill="auto"/>
            <w:hideMark/>
          </w:tcPr>
          <w:p w14:paraId="25A9B957"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Rperm-S FC</w:t>
            </w:r>
          </w:p>
        </w:tc>
        <w:tc>
          <w:tcPr>
            <w:tcW w:w="2332" w:type="dxa"/>
            <w:tcBorders>
              <w:top w:val="single" w:sz="8" w:space="0" w:color="auto"/>
              <w:left w:val="nil"/>
              <w:bottom w:val="single" w:sz="8" w:space="0" w:color="auto"/>
              <w:right w:val="nil"/>
            </w:tcBorders>
            <w:shd w:val="clear" w:color="auto" w:fill="auto"/>
            <w:hideMark/>
          </w:tcPr>
          <w:p w14:paraId="7B37F79F"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 xml:space="preserve">Ortholog in </w:t>
            </w:r>
            <w:r w:rsidRPr="00AA6AB4">
              <w:rPr>
                <w:rFonts w:ascii="Times New Roman" w:eastAsia="Times New Roman" w:hAnsi="Times New Roman" w:cs="Times New Roman"/>
                <w:b/>
                <w:bCs/>
                <w:i/>
                <w:iCs/>
                <w:color w:val="000000"/>
                <w:sz w:val="20"/>
                <w:szCs w:val="20"/>
              </w:rPr>
              <w:t>An. gambiae</w:t>
            </w:r>
          </w:p>
        </w:tc>
        <w:tc>
          <w:tcPr>
            <w:tcW w:w="3070" w:type="dxa"/>
            <w:tcBorders>
              <w:top w:val="single" w:sz="8" w:space="0" w:color="auto"/>
              <w:left w:val="nil"/>
              <w:bottom w:val="single" w:sz="8" w:space="0" w:color="auto"/>
              <w:right w:val="nil"/>
            </w:tcBorders>
            <w:shd w:val="clear" w:color="auto" w:fill="auto"/>
            <w:hideMark/>
          </w:tcPr>
          <w:p w14:paraId="2D2397BB" w14:textId="77777777" w:rsidR="00FE471A" w:rsidRPr="009D77BD" w:rsidRDefault="00FE471A" w:rsidP="0059169E">
            <w:pPr>
              <w:rPr>
                <w:rFonts w:ascii="Times New Roman" w:eastAsia="Times New Roman" w:hAnsi="Times New Roman" w:cs="Times New Roman"/>
                <w:b/>
                <w:bCs/>
                <w:color w:val="000000"/>
                <w:sz w:val="20"/>
                <w:szCs w:val="20"/>
              </w:rPr>
            </w:pPr>
            <w:r w:rsidRPr="009D77BD">
              <w:rPr>
                <w:rFonts w:ascii="Times New Roman" w:eastAsia="Times New Roman" w:hAnsi="Times New Roman" w:cs="Times New Roman"/>
                <w:b/>
                <w:bCs/>
                <w:color w:val="000000"/>
                <w:sz w:val="20"/>
                <w:szCs w:val="20"/>
              </w:rPr>
              <w:t>Description</w:t>
            </w:r>
          </w:p>
        </w:tc>
      </w:tr>
      <w:tr w:rsidR="00FE471A" w:rsidRPr="009D77BD" w14:paraId="7F0D10DC" w14:textId="77777777" w:rsidTr="0059169E">
        <w:trPr>
          <w:trHeight w:val="303"/>
        </w:trPr>
        <w:tc>
          <w:tcPr>
            <w:tcW w:w="611" w:type="dxa"/>
            <w:tcBorders>
              <w:top w:val="nil"/>
              <w:left w:val="nil"/>
              <w:bottom w:val="nil"/>
              <w:right w:val="nil"/>
            </w:tcBorders>
            <w:shd w:val="clear" w:color="auto" w:fill="auto"/>
            <w:hideMark/>
          </w:tcPr>
          <w:p w14:paraId="6AC38D0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w:t>
            </w:r>
          </w:p>
        </w:tc>
        <w:tc>
          <w:tcPr>
            <w:tcW w:w="2593" w:type="dxa"/>
            <w:tcBorders>
              <w:top w:val="nil"/>
              <w:left w:val="nil"/>
              <w:bottom w:val="nil"/>
              <w:right w:val="nil"/>
            </w:tcBorders>
            <w:shd w:val="clear" w:color="auto" w:fill="auto"/>
            <w:noWrap/>
            <w:hideMark/>
          </w:tcPr>
          <w:p w14:paraId="6B05A62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CUST_421_PI406199788</w:t>
            </w:r>
          </w:p>
        </w:tc>
        <w:tc>
          <w:tcPr>
            <w:tcW w:w="2332" w:type="dxa"/>
            <w:tcBorders>
              <w:top w:val="nil"/>
              <w:left w:val="nil"/>
              <w:bottom w:val="nil"/>
              <w:right w:val="nil"/>
            </w:tcBorders>
            <w:shd w:val="clear" w:color="auto" w:fill="auto"/>
            <w:noWrap/>
            <w:hideMark/>
          </w:tcPr>
          <w:p w14:paraId="52C3D58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gb-CYP6AK1</w:t>
            </w:r>
          </w:p>
        </w:tc>
        <w:tc>
          <w:tcPr>
            <w:tcW w:w="1052" w:type="dxa"/>
            <w:tcBorders>
              <w:top w:val="nil"/>
              <w:left w:val="nil"/>
              <w:bottom w:val="nil"/>
              <w:right w:val="nil"/>
            </w:tcBorders>
            <w:shd w:val="clear" w:color="auto" w:fill="auto"/>
            <w:noWrap/>
            <w:hideMark/>
          </w:tcPr>
          <w:p w14:paraId="3DE347B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1.69</w:t>
            </w:r>
          </w:p>
        </w:tc>
        <w:tc>
          <w:tcPr>
            <w:tcW w:w="914" w:type="dxa"/>
            <w:tcBorders>
              <w:top w:val="nil"/>
              <w:left w:val="nil"/>
              <w:bottom w:val="nil"/>
              <w:right w:val="nil"/>
            </w:tcBorders>
            <w:shd w:val="clear" w:color="auto" w:fill="auto"/>
            <w:noWrap/>
            <w:hideMark/>
          </w:tcPr>
          <w:p w14:paraId="53438070"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5FA328AB"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115C1C1D"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15AF3EE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Cytochrome P450</w:t>
            </w:r>
          </w:p>
        </w:tc>
      </w:tr>
      <w:tr w:rsidR="00FE471A" w:rsidRPr="009D77BD" w14:paraId="62989DEC" w14:textId="77777777" w:rsidTr="0059169E">
        <w:trPr>
          <w:trHeight w:val="303"/>
        </w:trPr>
        <w:tc>
          <w:tcPr>
            <w:tcW w:w="611" w:type="dxa"/>
            <w:tcBorders>
              <w:top w:val="nil"/>
              <w:left w:val="nil"/>
              <w:bottom w:val="nil"/>
              <w:right w:val="nil"/>
            </w:tcBorders>
            <w:shd w:val="clear" w:color="auto" w:fill="auto"/>
            <w:noWrap/>
            <w:hideMark/>
          </w:tcPr>
          <w:p w14:paraId="334CCC2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w:t>
            </w:r>
          </w:p>
        </w:tc>
        <w:tc>
          <w:tcPr>
            <w:tcW w:w="2593" w:type="dxa"/>
            <w:tcBorders>
              <w:top w:val="nil"/>
              <w:left w:val="nil"/>
              <w:bottom w:val="nil"/>
              <w:right w:val="nil"/>
            </w:tcBorders>
            <w:shd w:val="clear" w:color="auto" w:fill="auto"/>
            <w:noWrap/>
            <w:hideMark/>
          </w:tcPr>
          <w:p w14:paraId="24417E6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CUST_7149_PI406199798</w:t>
            </w:r>
          </w:p>
        </w:tc>
        <w:tc>
          <w:tcPr>
            <w:tcW w:w="2332" w:type="dxa"/>
            <w:tcBorders>
              <w:top w:val="nil"/>
              <w:left w:val="nil"/>
              <w:bottom w:val="nil"/>
              <w:right w:val="nil"/>
            </w:tcBorders>
            <w:shd w:val="clear" w:color="auto" w:fill="auto"/>
            <w:noWrap/>
            <w:hideMark/>
          </w:tcPr>
          <w:p w14:paraId="7F9A83F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AGAP009480-RA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3R</w:t>
            </w:r>
          </w:p>
        </w:tc>
        <w:tc>
          <w:tcPr>
            <w:tcW w:w="1052" w:type="dxa"/>
            <w:tcBorders>
              <w:top w:val="nil"/>
              <w:left w:val="nil"/>
              <w:bottom w:val="nil"/>
              <w:right w:val="nil"/>
            </w:tcBorders>
            <w:shd w:val="clear" w:color="auto" w:fill="auto"/>
            <w:noWrap/>
            <w:hideMark/>
          </w:tcPr>
          <w:p w14:paraId="65C5791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1.94</w:t>
            </w:r>
          </w:p>
        </w:tc>
        <w:tc>
          <w:tcPr>
            <w:tcW w:w="914" w:type="dxa"/>
            <w:tcBorders>
              <w:top w:val="nil"/>
              <w:left w:val="nil"/>
              <w:bottom w:val="nil"/>
              <w:right w:val="nil"/>
            </w:tcBorders>
            <w:shd w:val="clear" w:color="auto" w:fill="auto"/>
            <w:noWrap/>
            <w:hideMark/>
          </w:tcPr>
          <w:p w14:paraId="63C24F06"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305E8ED2"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3699C88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AGAP009480-RA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3R</w:t>
            </w:r>
          </w:p>
        </w:tc>
        <w:tc>
          <w:tcPr>
            <w:tcW w:w="3070" w:type="dxa"/>
            <w:tcBorders>
              <w:top w:val="nil"/>
              <w:left w:val="nil"/>
              <w:bottom w:val="nil"/>
              <w:right w:val="nil"/>
            </w:tcBorders>
            <w:shd w:val="clear" w:color="auto" w:fill="auto"/>
            <w:noWrap/>
            <w:hideMark/>
          </w:tcPr>
          <w:p w14:paraId="44AE023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w:t>
            </w:r>
            <w:r>
              <w:rPr>
                <w:rFonts w:ascii="Times New Roman" w:eastAsia="Times New Roman" w:hAnsi="Times New Roman" w:cs="Times New Roman"/>
                <w:color w:val="000000"/>
                <w:sz w:val="20"/>
                <w:szCs w:val="20"/>
              </w:rPr>
              <w:t>e</w:t>
            </w:r>
            <w:r w:rsidRPr="009D77BD">
              <w:rPr>
                <w:rFonts w:ascii="Times New Roman" w:eastAsia="Times New Roman" w:hAnsi="Times New Roman" w:cs="Times New Roman"/>
                <w:color w:val="000000"/>
                <w:sz w:val="20"/>
                <w:szCs w:val="20"/>
              </w:rPr>
              <w:t xml:space="preserve"> protein</w:t>
            </w:r>
          </w:p>
        </w:tc>
      </w:tr>
      <w:tr w:rsidR="00FE471A" w:rsidRPr="009D77BD" w14:paraId="176CA120" w14:textId="77777777" w:rsidTr="0059169E">
        <w:trPr>
          <w:trHeight w:val="303"/>
        </w:trPr>
        <w:tc>
          <w:tcPr>
            <w:tcW w:w="611" w:type="dxa"/>
            <w:tcBorders>
              <w:top w:val="nil"/>
              <w:left w:val="nil"/>
              <w:bottom w:val="nil"/>
              <w:right w:val="nil"/>
            </w:tcBorders>
            <w:shd w:val="clear" w:color="auto" w:fill="auto"/>
            <w:noWrap/>
            <w:hideMark/>
          </w:tcPr>
          <w:p w14:paraId="13EF56A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w:t>
            </w:r>
          </w:p>
        </w:tc>
        <w:tc>
          <w:tcPr>
            <w:tcW w:w="2593" w:type="dxa"/>
            <w:tcBorders>
              <w:top w:val="nil"/>
              <w:left w:val="nil"/>
              <w:bottom w:val="nil"/>
              <w:right w:val="nil"/>
            </w:tcBorders>
            <w:shd w:val="clear" w:color="auto" w:fill="auto"/>
            <w:noWrap/>
            <w:hideMark/>
          </w:tcPr>
          <w:p w14:paraId="5FDD12E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CUST_4284_PI406199798</w:t>
            </w:r>
          </w:p>
        </w:tc>
        <w:tc>
          <w:tcPr>
            <w:tcW w:w="2332" w:type="dxa"/>
            <w:tcBorders>
              <w:top w:val="nil"/>
              <w:left w:val="nil"/>
              <w:bottom w:val="nil"/>
              <w:right w:val="nil"/>
            </w:tcBorders>
            <w:shd w:val="clear" w:color="auto" w:fill="auto"/>
            <w:noWrap/>
            <w:hideMark/>
          </w:tcPr>
          <w:p w14:paraId="3F2BCD0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AGAP003382-RA_Cuticular</w:t>
            </w:r>
          </w:p>
        </w:tc>
        <w:tc>
          <w:tcPr>
            <w:tcW w:w="1052" w:type="dxa"/>
            <w:tcBorders>
              <w:top w:val="nil"/>
              <w:left w:val="nil"/>
              <w:bottom w:val="nil"/>
              <w:right w:val="nil"/>
            </w:tcBorders>
            <w:shd w:val="clear" w:color="auto" w:fill="auto"/>
            <w:noWrap/>
            <w:hideMark/>
          </w:tcPr>
          <w:p w14:paraId="0E65C24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1.82</w:t>
            </w:r>
          </w:p>
        </w:tc>
        <w:tc>
          <w:tcPr>
            <w:tcW w:w="914" w:type="dxa"/>
            <w:tcBorders>
              <w:top w:val="nil"/>
              <w:left w:val="nil"/>
              <w:bottom w:val="nil"/>
              <w:right w:val="nil"/>
            </w:tcBorders>
            <w:shd w:val="clear" w:color="auto" w:fill="auto"/>
            <w:noWrap/>
            <w:hideMark/>
          </w:tcPr>
          <w:p w14:paraId="70DB5990"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2A07CA7F"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07F0343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AGAP003382-RA_Cuticular</w:t>
            </w:r>
          </w:p>
        </w:tc>
        <w:tc>
          <w:tcPr>
            <w:tcW w:w="3070" w:type="dxa"/>
            <w:tcBorders>
              <w:top w:val="nil"/>
              <w:left w:val="nil"/>
              <w:bottom w:val="nil"/>
              <w:right w:val="nil"/>
            </w:tcBorders>
            <w:shd w:val="clear" w:color="auto" w:fill="auto"/>
            <w:noWrap/>
            <w:hideMark/>
          </w:tcPr>
          <w:p w14:paraId="2510FAA7"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2EB4373A" w14:textId="77777777" w:rsidTr="0059169E">
        <w:trPr>
          <w:trHeight w:val="303"/>
        </w:trPr>
        <w:tc>
          <w:tcPr>
            <w:tcW w:w="611" w:type="dxa"/>
            <w:tcBorders>
              <w:top w:val="nil"/>
              <w:left w:val="nil"/>
              <w:bottom w:val="nil"/>
              <w:right w:val="nil"/>
            </w:tcBorders>
            <w:shd w:val="clear" w:color="auto" w:fill="auto"/>
            <w:noWrap/>
            <w:hideMark/>
          </w:tcPr>
          <w:p w14:paraId="3D6E14E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w:t>
            </w:r>
          </w:p>
        </w:tc>
        <w:tc>
          <w:tcPr>
            <w:tcW w:w="2593" w:type="dxa"/>
            <w:tcBorders>
              <w:top w:val="nil"/>
              <w:left w:val="nil"/>
              <w:bottom w:val="nil"/>
              <w:right w:val="nil"/>
            </w:tcBorders>
            <w:shd w:val="clear" w:color="auto" w:fill="auto"/>
            <w:noWrap/>
            <w:hideMark/>
          </w:tcPr>
          <w:p w14:paraId="4324B84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CUST_7428_PI406199769</w:t>
            </w:r>
          </w:p>
        </w:tc>
        <w:tc>
          <w:tcPr>
            <w:tcW w:w="2332" w:type="dxa"/>
            <w:tcBorders>
              <w:top w:val="nil"/>
              <w:left w:val="nil"/>
              <w:bottom w:val="nil"/>
              <w:right w:val="nil"/>
            </w:tcBorders>
            <w:shd w:val="clear" w:color="auto" w:fill="auto"/>
            <w:noWrap/>
            <w:hideMark/>
          </w:tcPr>
          <w:p w14:paraId="72BF9918"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ombined_c3760</w:t>
            </w:r>
          </w:p>
        </w:tc>
        <w:tc>
          <w:tcPr>
            <w:tcW w:w="1052" w:type="dxa"/>
            <w:tcBorders>
              <w:top w:val="nil"/>
              <w:left w:val="nil"/>
              <w:bottom w:val="nil"/>
              <w:right w:val="nil"/>
            </w:tcBorders>
            <w:shd w:val="clear" w:color="auto" w:fill="auto"/>
            <w:noWrap/>
            <w:hideMark/>
          </w:tcPr>
          <w:p w14:paraId="3B612B3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2.13</w:t>
            </w:r>
          </w:p>
        </w:tc>
        <w:tc>
          <w:tcPr>
            <w:tcW w:w="914" w:type="dxa"/>
            <w:tcBorders>
              <w:top w:val="nil"/>
              <w:left w:val="nil"/>
              <w:bottom w:val="nil"/>
              <w:right w:val="nil"/>
            </w:tcBorders>
            <w:shd w:val="clear" w:color="auto" w:fill="auto"/>
            <w:noWrap/>
            <w:hideMark/>
          </w:tcPr>
          <w:p w14:paraId="19C40D24"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1138D2FB"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4C02A3CD"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1C52C74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hymotrypsin 1</w:t>
            </w:r>
          </w:p>
        </w:tc>
      </w:tr>
      <w:tr w:rsidR="00FE471A" w:rsidRPr="009D77BD" w14:paraId="24C4697C" w14:textId="77777777" w:rsidTr="0059169E">
        <w:trPr>
          <w:trHeight w:val="303"/>
        </w:trPr>
        <w:tc>
          <w:tcPr>
            <w:tcW w:w="611" w:type="dxa"/>
            <w:tcBorders>
              <w:top w:val="nil"/>
              <w:left w:val="nil"/>
              <w:bottom w:val="nil"/>
              <w:right w:val="nil"/>
            </w:tcBorders>
            <w:shd w:val="clear" w:color="auto" w:fill="auto"/>
            <w:noWrap/>
            <w:hideMark/>
          </w:tcPr>
          <w:p w14:paraId="52B781A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5</w:t>
            </w:r>
          </w:p>
        </w:tc>
        <w:tc>
          <w:tcPr>
            <w:tcW w:w="2593" w:type="dxa"/>
            <w:tcBorders>
              <w:top w:val="nil"/>
              <w:left w:val="nil"/>
              <w:bottom w:val="nil"/>
              <w:right w:val="nil"/>
            </w:tcBorders>
            <w:shd w:val="clear" w:color="auto" w:fill="auto"/>
            <w:noWrap/>
            <w:hideMark/>
          </w:tcPr>
          <w:p w14:paraId="64F534B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CUST_2913_PI406199772</w:t>
            </w:r>
          </w:p>
        </w:tc>
        <w:tc>
          <w:tcPr>
            <w:tcW w:w="2332" w:type="dxa"/>
            <w:tcBorders>
              <w:top w:val="nil"/>
              <w:left w:val="nil"/>
              <w:bottom w:val="nil"/>
              <w:right w:val="nil"/>
            </w:tcBorders>
            <w:shd w:val="clear" w:color="auto" w:fill="auto"/>
            <w:noWrap/>
            <w:hideMark/>
          </w:tcPr>
          <w:p w14:paraId="2DF3220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CD577943.1</w:t>
            </w:r>
          </w:p>
        </w:tc>
        <w:tc>
          <w:tcPr>
            <w:tcW w:w="1052" w:type="dxa"/>
            <w:tcBorders>
              <w:top w:val="nil"/>
              <w:left w:val="nil"/>
              <w:bottom w:val="nil"/>
              <w:right w:val="nil"/>
            </w:tcBorders>
            <w:shd w:val="clear" w:color="auto" w:fill="auto"/>
            <w:noWrap/>
            <w:hideMark/>
          </w:tcPr>
          <w:p w14:paraId="636E059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1.72</w:t>
            </w:r>
          </w:p>
        </w:tc>
        <w:tc>
          <w:tcPr>
            <w:tcW w:w="914" w:type="dxa"/>
            <w:tcBorders>
              <w:top w:val="nil"/>
              <w:left w:val="nil"/>
              <w:bottom w:val="nil"/>
              <w:right w:val="nil"/>
            </w:tcBorders>
            <w:shd w:val="clear" w:color="auto" w:fill="auto"/>
            <w:noWrap/>
            <w:hideMark/>
          </w:tcPr>
          <w:p w14:paraId="0ED96CE4"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4633240B"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32FAA332"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54538FE7"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hort-chain dehydrogenase</w:t>
            </w:r>
          </w:p>
        </w:tc>
      </w:tr>
      <w:tr w:rsidR="00FE471A" w:rsidRPr="009D77BD" w14:paraId="39A71179" w14:textId="77777777" w:rsidTr="0059169E">
        <w:trPr>
          <w:trHeight w:val="303"/>
        </w:trPr>
        <w:tc>
          <w:tcPr>
            <w:tcW w:w="611" w:type="dxa"/>
            <w:tcBorders>
              <w:top w:val="nil"/>
              <w:left w:val="nil"/>
              <w:bottom w:val="nil"/>
              <w:right w:val="nil"/>
            </w:tcBorders>
            <w:shd w:val="clear" w:color="auto" w:fill="auto"/>
            <w:noWrap/>
            <w:hideMark/>
          </w:tcPr>
          <w:p w14:paraId="1E0F885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6</w:t>
            </w:r>
          </w:p>
        </w:tc>
        <w:tc>
          <w:tcPr>
            <w:tcW w:w="2593" w:type="dxa"/>
            <w:tcBorders>
              <w:top w:val="nil"/>
              <w:left w:val="nil"/>
              <w:bottom w:val="nil"/>
              <w:right w:val="nil"/>
            </w:tcBorders>
            <w:shd w:val="clear" w:color="auto" w:fill="auto"/>
            <w:noWrap/>
            <w:hideMark/>
          </w:tcPr>
          <w:p w14:paraId="54EE910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CUST_13242_PI406199798</w:t>
            </w:r>
          </w:p>
        </w:tc>
        <w:tc>
          <w:tcPr>
            <w:tcW w:w="2332" w:type="dxa"/>
            <w:tcBorders>
              <w:top w:val="nil"/>
              <w:left w:val="nil"/>
              <w:bottom w:val="nil"/>
              <w:right w:val="nil"/>
            </w:tcBorders>
            <w:shd w:val="clear" w:color="auto" w:fill="auto"/>
            <w:noWrap/>
            <w:hideMark/>
          </w:tcPr>
          <w:p w14:paraId="5F3F8DF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AGAP011997-RA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1052" w:type="dxa"/>
            <w:tcBorders>
              <w:top w:val="nil"/>
              <w:left w:val="nil"/>
              <w:bottom w:val="nil"/>
              <w:right w:val="nil"/>
            </w:tcBorders>
            <w:shd w:val="clear" w:color="auto" w:fill="auto"/>
            <w:noWrap/>
            <w:hideMark/>
          </w:tcPr>
          <w:p w14:paraId="243537C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1.64</w:t>
            </w:r>
          </w:p>
        </w:tc>
        <w:tc>
          <w:tcPr>
            <w:tcW w:w="914" w:type="dxa"/>
            <w:tcBorders>
              <w:top w:val="nil"/>
              <w:left w:val="nil"/>
              <w:bottom w:val="nil"/>
              <w:right w:val="nil"/>
            </w:tcBorders>
            <w:shd w:val="clear" w:color="auto" w:fill="auto"/>
            <w:noWrap/>
            <w:hideMark/>
          </w:tcPr>
          <w:p w14:paraId="28AAD133"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3C285291"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71F451A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AGAP011997-RA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3070" w:type="dxa"/>
            <w:tcBorders>
              <w:top w:val="nil"/>
              <w:left w:val="nil"/>
              <w:bottom w:val="nil"/>
              <w:right w:val="nil"/>
            </w:tcBorders>
            <w:shd w:val="clear" w:color="auto" w:fill="auto"/>
            <w:noWrap/>
            <w:hideMark/>
          </w:tcPr>
          <w:p w14:paraId="44EC55DE"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r w:rsidRPr="009D77BD">
              <w:rPr>
                <w:rFonts w:ascii="Times New Roman" w:eastAsia="Times New Roman" w:hAnsi="Times New Roman" w:cs="Times New Roman"/>
                <w:color w:val="000000"/>
                <w:sz w:val="20"/>
                <w:szCs w:val="20"/>
              </w:rPr>
              <w:t>ucleotide binding protein 2</w:t>
            </w:r>
          </w:p>
        </w:tc>
      </w:tr>
      <w:tr w:rsidR="00FE471A" w:rsidRPr="009D77BD" w14:paraId="11772662" w14:textId="77777777" w:rsidTr="0059169E">
        <w:trPr>
          <w:trHeight w:val="303"/>
        </w:trPr>
        <w:tc>
          <w:tcPr>
            <w:tcW w:w="611" w:type="dxa"/>
            <w:tcBorders>
              <w:top w:val="nil"/>
              <w:left w:val="nil"/>
              <w:bottom w:val="nil"/>
              <w:right w:val="nil"/>
            </w:tcBorders>
            <w:shd w:val="clear" w:color="auto" w:fill="auto"/>
            <w:noWrap/>
            <w:hideMark/>
          </w:tcPr>
          <w:p w14:paraId="5956110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7</w:t>
            </w:r>
          </w:p>
        </w:tc>
        <w:tc>
          <w:tcPr>
            <w:tcW w:w="2593" w:type="dxa"/>
            <w:tcBorders>
              <w:top w:val="nil"/>
              <w:left w:val="nil"/>
              <w:bottom w:val="nil"/>
              <w:right w:val="nil"/>
            </w:tcBorders>
            <w:shd w:val="clear" w:color="auto" w:fill="auto"/>
            <w:noWrap/>
            <w:hideMark/>
          </w:tcPr>
          <w:p w14:paraId="55D8B4C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CUST_1378_PI406199798</w:t>
            </w:r>
          </w:p>
        </w:tc>
        <w:tc>
          <w:tcPr>
            <w:tcW w:w="2332" w:type="dxa"/>
            <w:tcBorders>
              <w:top w:val="nil"/>
              <w:left w:val="nil"/>
              <w:bottom w:val="nil"/>
              <w:right w:val="nil"/>
            </w:tcBorders>
            <w:shd w:val="clear" w:color="auto" w:fill="auto"/>
            <w:noWrap/>
            <w:hideMark/>
          </w:tcPr>
          <w:p w14:paraId="759C11B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AGAP001405-RA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2R</w:t>
            </w:r>
          </w:p>
        </w:tc>
        <w:tc>
          <w:tcPr>
            <w:tcW w:w="1052" w:type="dxa"/>
            <w:tcBorders>
              <w:top w:val="nil"/>
              <w:left w:val="nil"/>
              <w:bottom w:val="nil"/>
              <w:right w:val="nil"/>
            </w:tcBorders>
            <w:shd w:val="clear" w:color="auto" w:fill="auto"/>
            <w:noWrap/>
            <w:hideMark/>
          </w:tcPr>
          <w:p w14:paraId="7F60174E"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246B015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2.42</w:t>
            </w:r>
          </w:p>
        </w:tc>
        <w:tc>
          <w:tcPr>
            <w:tcW w:w="982" w:type="dxa"/>
            <w:tcBorders>
              <w:top w:val="nil"/>
              <w:left w:val="nil"/>
              <w:bottom w:val="nil"/>
              <w:right w:val="nil"/>
            </w:tcBorders>
            <w:shd w:val="clear" w:color="auto" w:fill="auto"/>
            <w:noWrap/>
            <w:hideMark/>
          </w:tcPr>
          <w:p w14:paraId="381F9078"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2DF61CF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AGAP001405-RA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2R</w:t>
            </w:r>
          </w:p>
        </w:tc>
        <w:tc>
          <w:tcPr>
            <w:tcW w:w="3070" w:type="dxa"/>
            <w:tcBorders>
              <w:top w:val="nil"/>
              <w:left w:val="nil"/>
              <w:bottom w:val="nil"/>
              <w:right w:val="nil"/>
            </w:tcBorders>
            <w:shd w:val="clear" w:color="auto" w:fill="auto"/>
            <w:noWrap/>
            <w:hideMark/>
          </w:tcPr>
          <w:p w14:paraId="55C2139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hort-chain dehydrogenase</w:t>
            </w:r>
          </w:p>
        </w:tc>
      </w:tr>
      <w:tr w:rsidR="00FE471A" w:rsidRPr="009D77BD" w14:paraId="266C3853" w14:textId="77777777" w:rsidTr="0059169E">
        <w:trPr>
          <w:trHeight w:val="303"/>
        </w:trPr>
        <w:tc>
          <w:tcPr>
            <w:tcW w:w="611" w:type="dxa"/>
            <w:tcBorders>
              <w:top w:val="nil"/>
              <w:left w:val="nil"/>
              <w:bottom w:val="nil"/>
              <w:right w:val="nil"/>
            </w:tcBorders>
            <w:shd w:val="clear" w:color="auto" w:fill="auto"/>
            <w:noWrap/>
            <w:hideMark/>
          </w:tcPr>
          <w:p w14:paraId="230847D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8</w:t>
            </w:r>
          </w:p>
        </w:tc>
        <w:tc>
          <w:tcPr>
            <w:tcW w:w="2593" w:type="dxa"/>
            <w:tcBorders>
              <w:top w:val="nil"/>
              <w:left w:val="nil"/>
              <w:bottom w:val="nil"/>
              <w:right w:val="nil"/>
            </w:tcBorders>
            <w:shd w:val="clear" w:color="auto" w:fill="auto"/>
            <w:noWrap/>
            <w:hideMark/>
          </w:tcPr>
          <w:p w14:paraId="0FB976A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CUST_484_PI406199788</w:t>
            </w:r>
          </w:p>
        </w:tc>
        <w:tc>
          <w:tcPr>
            <w:tcW w:w="2332" w:type="dxa"/>
            <w:tcBorders>
              <w:top w:val="nil"/>
              <w:left w:val="nil"/>
              <w:bottom w:val="nil"/>
              <w:right w:val="nil"/>
            </w:tcBorders>
            <w:shd w:val="clear" w:color="auto" w:fill="auto"/>
            <w:noWrap/>
            <w:hideMark/>
          </w:tcPr>
          <w:p w14:paraId="5908985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gb-CYP9J3</w:t>
            </w:r>
          </w:p>
        </w:tc>
        <w:tc>
          <w:tcPr>
            <w:tcW w:w="1052" w:type="dxa"/>
            <w:tcBorders>
              <w:top w:val="nil"/>
              <w:left w:val="nil"/>
              <w:bottom w:val="nil"/>
              <w:right w:val="nil"/>
            </w:tcBorders>
            <w:shd w:val="clear" w:color="auto" w:fill="auto"/>
            <w:noWrap/>
            <w:hideMark/>
          </w:tcPr>
          <w:p w14:paraId="39C90EA2"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71432C3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2.30</w:t>
            </w:r>
          </w:p>
        </w:tc>
        <w:tc>
          <w:tcPr>
            <w:tcW w:w="982" w:type="dxa"/>
            <w:tcBorders>
              <w:top w:val="nil"/>
              <w:left w:val="nil"/>
              <w:bottom w:val="nil"/>
              <w:right w:val="nil"/>
            </w:tcBorders>
            <w:shd w:val="clear" w:color="auto" w:fill="auto"/>
            <w:noWrap/>
            <w:hideMark/>
          </w:tcPr>
          <w:p w14:paraId="39038814"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5788424D"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2164786A"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138EA255" w14:textId="77777777" w:rsidTr="0059169E">
        <w:trPr>
          <w:trHeight w:val="303"/>
        </w:trPr>
        <w:tc>
          <w:tcPr>
            <w:tcW w:w="611" w:type="dxa"/>
            <w:tcBorders>
              <w:top w:val="nil"/>
              <w:left w:val="nil"/>
              <w:bottom w:val="nil"/>
              <w:right w:val="nil"/>
            </w:tcBorders>
            <w:shd w:val="clear" w:color="auto" w:fill="auto"/>
            <w:noWrap/>
            <w:hideMark/>
          </w:tcPr>
          <w:p w14:paraId="20B99C6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9</w:t>
            </w:r>
          </w:p>
        </w:tc>
        <w:tc>
          <w:tcPr>
            <w:tcW w:w="2593" w:type="dxa"/>
            <w:tcBorders>
              <w:top w:val="nil"/>
              <w:left w:val="nil"/>
              <w:bottom w:val="nil"/>
              <w:right w:val="nil"/>
            </w:tcBorders>
            <w:shd w:val="clear" w:color="auto" w:fill="auto"/>
            <w:noWrap/>
            <w:hideMark/>
          </w:tcPr>
          <w:p w14:paraId="0BB0C8A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CUST_5277_PI406199769</w:t>
            </w:r>
          </w:p>
        </w:tc>
        <w:tc>
          <w:tcPr>
            <w:tcW w:w="2332" w:type="dxa"/>
            <w:tcBorders>
              <w:top w:val="nil"/>
              <w:left w:val="nil"/>
              <w:bottom w:val="nil"/>
              <w:right w:val="nil"/>
            </w:tcBorders>
            <w:shd w:val="clear" w:color="auto" w:fill="auto"/>
            <w:noWrap/>
            <w:hideMark/>
          </w:tcPr>
          <w:p w14:paraId="180E3D82"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ombined_c2672</w:t>
            </w:r>
          </w:p>
        </w:tc>
        <w:tc>
          <w:tcPr>
            <w:tcW w:w="1052" w:type="dxa"/>
            <w:tcBorders>
              <w:top w:val="nil"/>
              <w:left w:val="nil"/>
              <w:bottom w:val="nil"/>
              <w:right w:val="nil"/>
            </w:tcBorders>
            <w:shd w:val="clear" w:color="auto" w:fill="auto"/>
            <w:noWrap/>
            <w:hideMark/>
          </w:tcPr>
          <w:p w14:paraId="755A565A"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25AFA86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2.20</w:t>
            </w:r>
          </w:p>
        </w:tc>
        <w:tc>
          <w:tcPr>
            <w:tcW w:w="982" w:type="dxa"/>
            <w:tcBorders>
              <w:top w:val="nil"/>
              <w:left w:val="nil"/>
              <w:bottom w:val="nil"/>
              <w:right w:val="nil"/>
            </w:tcBorders>
            <w:shd w:val="clear" w:color="auto" w:fill="auto"/>
            <w:noWrap/>
            <w:hideMark/>
          </w:tcPr>
          <w:p w14:paraId="5EDBDB2B"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3373EE78"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0190300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uticular protein 97eb</w:t>
            </w:r>
          </w:p>
        </w:tc>
      </w:tr>
      <w:tr w:rsidR="00FE471A" w:rsidRPr="009D77BD" w14:paraId="144727BD" w14:textId="77777777" w:rsidTr="0059169E">
        <w:trPr>
          <w:trHeight w:val="303"/>
        </w:trPr>
        <w:tc>
          <w:tcPr>
            <w:tcW w:w="611" w:type="dxa"/>
            <w:tcBorders>
              <w:top w:val="nil"/>
              <w:left w:val="nil"/>
              <w:bottom w:val="nil"/>
              <w:right w:val="nil"/>
            </w:tcBorders>
            <w:shd w:val="clear" w:color="auto" w:fill="auto"/>
            <w:noWrap/>
            <w:hideMark/>
          </w:tcPr>
          <w:p w14:paraId="61F6560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10</w:t>
            </w:r>
          </w:p>
        </w:tc>
        <w:tc>
          <w:tcPr>
            <w:tcW w:w="2593" w:type="dxa"/>
            <w:tcBorders>
              <w:top w:val="nil"/>
              <w:left w:val="nil"/>
              <w:bottom w:val="nil"/>
              <w:right w:val="nil"/>
            </w:tcBorders>
            <w:shd w:val="clear" w:color="auto" w:fill="auto"/>
            <w:noWrap/>
            <w:hideMark/>
          </w:tcPr>
          <w:p w14:paraId="424FCE0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CUST_36_PI406199775</w:t>
            </w:r>
          </w:p>
        </w:tc>
        <w:tc>
          <w:tcPr>
            <w:tcW w:w="2332" w:type="dxa"/>
            <w:tcBorders>
              <w:top w:val="nil"/>
              <w:left w:val="nil"/>
              <w:bottom w:val="nil"/>
              <w:right w:val="nil"/>
            </w:tcBorders>
            <w:shd w:val="clear" w:color="auto" w:fill="auto"/>
            <w:noWrap/>
            <w:hideMark/>
          </w:tcPr>
          <w:p w14:paraId="0AA0E06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COEAE6O</w:t>
            </w:r>
          </w:p>
        </w:tc>
        <w:tc>
          <w:tcPr>
            <w:tcW w:w="1052" w:type="dxa"/>
            <w:tcBorders>
              <w:top w:val="nil"/>
              <w:left w:val="nil"/>
              <w:bottom w:val="nil"/>
              <w:right w:val="nil"/>
            </w:tcBorders>
            <w:shd w:val="clear" w:color="auto" w:fill="auto"/>
            <w:noWrap/>
            <w:hideMark/>
          </w:tcPr>
          <w:p w14:paraId="58CCB54A"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4053BFB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2.15</w:t>
            </w:r>
          </w:p>
        </w:tc>
        <w:tc>
          <w:tcPr>
            <w:tcW w:w="982" w:type="dxa"/>
            <w:tcBorders>
              <w:top w:val="nil"/>
              <w:left w:val="nil"/>
              <w:bottom w:val="nil"/>
              <w:right w:val="nil"/>
            </w:tcBorders>
            <w:shd w:val="clear" w:color="auto" w:fill="auto"/>
            <w:noWrap/>
            <w:hideMark/>
          </w:tcPr>
          <w:p w14:paraId="67EF5FB1"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653705A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AGAP002863-PA</w:t>
            </w:r>
          </w:p>
        </w:tc>
        <w:tc>
          <w:tcPr>
            <w:tcW w:w="3070" w:type="dxa"/>
            <w:tcBorders>
              <w:top w:val="nil"/>
              <w:left w:val="nil"/>
              <w:bottom w:val="nil"/>
              <w:right w:val="nil"/>
            </w:tcBorders>
            <w:shd w:val="clear" w:color="auto" w:fill="auto"/>
            <w:noWrap/>
            <w:hideMark/>
          </w:tcPr>
          <w:p w14:paraId="0AE1D222"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arboxylesterase</w:t>
            </w:r>
          </w:p>
        </w:tc>
      </w:tr>
      <w:tr w:rsidR="00FE471A" w:rsidRPr="009D77BD" w14:paraId="4A661304" w14:textId="77777777" w:rsidTr="0059169E">
        <w:trPr>
          <w:trHeight w:val="303"/>
        </w:trPr>
        <w:tc>
          <w:tcPr>
            <w:tcW w:w="611" w:type="dxa"/>
            <w:tcBorders>
              <w:top w:val="nil"/>
              <w:left w:val="nil"/>
              <w:bottom w:val="nil"/>
              <w:right w:val="nil"/>
            </w:tcBorders>
            <w:shd w:val="clear" w:color="auto" w:fill="auto"/>
            <w:noWrap/>
            <w:hideMark/>
          </w:tcPr>
          <w:p w14:paraId="08CC38C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11</w:t>
            </w:r>
          </w:p>
        </w:tc>
        <w:tc>
          <w:tcPr>
            <w:tcW w:w="2593" w:type="dxa"/>
            <w:tcBorders>
              <w:top w:val="nil"/>
              <w:left w:val="nil"/>
              <w:bottom w:val="nil"/>
              <w:right w:val="nil"/>
            </w:tcBorders>
            <w:shd w:val="clear" w:color="auto" w:fill="auto"/>
            <w:noWrap/>
            <w:hideMark/>
          </w:tcPr>
          <w:p w14:paraId="1DAB103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CUST_5_PI406199775</w:t>
            </w:r>
          </w:p>
        </w:tc>
        <w:tc>
          <w:tcPr>
            <w:tcW w:w="2332" w:type="dxa"/>
            <w:tcBorders>
              <w:top w:val="nil"/>
              <w:left w:val="nil"/>
              <w:bottom w:val="nil"/>
              <w:right w:val="nil"/>
            </w:tcBorders>
            <w:shd w:val="clear" w:color="auto" w:fill="auto"/>
            <w:noWrap/>
            <w:hideMark/>
          </w:tcPr>
          <w:p w14:paraId="4699293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CYP6AA4</w:t>
            </w:r>
          </w:p>
        </w:tc>
        <w:tc>
          <w:tcPr>
            <w:tcW w:w="1052" w:type="dxa"/>
            <w:tcBorders>
              <w:top w:val="nil"/>
              <w:left w:val="nil"/>
              <w:bottom w:val="nil"/>
              <w:right w:val="nil"/>
            </w:tcBorders>
            <w:shd w:val="clear" w:color="auto" w:fill="auto"/>
            <w:noWrap/>
            <w:hideMark/>
          </w:tcPr>
          <w:p w14:paraId="7CCE7DF6"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18C350E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3.49</w:t>
            </w:r>
          </w:p>
        </w:tc>
        <w:tc>
          <w:tcPr>
            <w:tcW w:w="982" w:type="dxa"/>
            <w:tcBorders>
              <w:top w:val="nil"/>
              <w:left w:val="nil"/>
              <w:bottom w:val="nil"/>
              <w:right w:val="nil"/>
            </w:tcBorders>
            <w:shd w:val="clear" w:color="auto" w:fill="auto"/>
            <w:noWrap/>
            <w:hideMark/>
          </w:tcPr>
          <w:p w14:paraId="1803CEF1"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6526B449"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18DF5254"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34186564" w14:textId="77777777" w:rsidTr="0059169E">
        <w:trPr>
          <w:trHeight w:val="303"/>
        </w:trPr>
        <w:tc>
          <w:tcPr>
            <w:tcW w:w="611" w:type="dxa"/>
            <w:tcBorders>
              <w:top w:val="nil"/>
              <w:left w:val="nil"/>
              <w:bottom w:val="nil"/>
              <w:right w:val="nil"/>
            </w:tcBorders>
            <w:shd w:val="clear" w:color="auto" w:fill="auto"/>
            <w:noWrap/>
            <w:hideMark/>
          </w:tcPr>
          <w:p w14:paraId="48F46AA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12</w:t>
            </w:r>
          </w:p>
        </w:tc>
        <w:tc>
          <w:tcPr>
            <w:tcW w:w="2593" w:type="dxa"/>
            <w:tcBorders>
              <w:top w:val="nil"/>
              <w:left w:val="nil"/>
              <w:bottom w:val="nil"/>
              <w:right w:val="nil"/>
            </w:tcBorders>
            <w:shd w:val="clear" w:color="auto" w:fill="auto"/>
            <w:noWrap/>
            <w:hideMark/>
          </w:tcPr>
          <w:p w14:paraId="63AB64B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CUST_11060_PI406199798</w:t>
            </w:r>
          </w:p>
        </w:tc>
        <w:tc>
          <w:tcPr>
            <w:tcW w:w="2332" w:type="dxa"/>
            <w:tcBorders>
              <w:top w:val="nil"/>
              <w:left w:val="nil"/>
              <w:bottom w:val="nil"/>
              <w:right w:val="nil"/>
            </w:tcBorders>
            <w:shd w:val="clear" w:color="auto" w:fill="auto"/>
            <w:noWrap/>
            <w:hideMark/>
          </w:tcPr>
          <w:p w14:paraId="4143FCE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AGAP011431-RA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1052" w:type="dxa"/>
            <w:tcBorders>
              <w:top w:val="nil"/>
              <w:left w:val="nil"/>
              <w:bottom w:val="nil"/>
              <w:right w:val="nil"/>
            </w:tcBorders>
            <w:shd w:val="clear" w:color="auto" w:fill="auto"/>
            <w:noWrap/>
            <w:hideMark/>
          </w:tcPr>
          <w:p w14:paraId="684AE344"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1BFD995F"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2.02</w:t>
            </w:r>
          </w:p>
        </w:tc>
        <w:tc>
          <w:tcPr>
            <w:tcW w:w="982" w:type="dxa"/>
            <w:tcBorders>
              <w:top w:val="nil"/>
              <w:left w:val="nil"/>
              <w:bottom w:val="nil"/>
              <w:right w:val="nil"/>
            </w:tcBorders>
            <w:shd w:val="clear" w:color="auto" w:fill="auto"/>
            <w:noWrap/>
            <w:hideMark/>
          </w:tcPr>
          <w:p w14:paraId="6AF19A0A"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51AF6B3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AGAP011431-RA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3070" w:type="dxa"/>
            <w:tcBorders>
              <w:top w:val="nil"/>
              <w:left w:val="nil"/>
              <w:bottom w:val="nil"/>
              <w:right w:val="nil"/>
            </w:tcBorders>
            <w:shd w:val="clear" w:color="auto" w:fill="auto"/>
            <w:noWrap/>
            <w:hideMark/>
          </w:tcPr>
          <w:p w14:paraId="51B1FBDE"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 5</w:t>
            </w:r>
          </w:p>
        </w:tc>
      </w:tr>
      <w:tr w:rsidR="00FE471A" w:rsidRPr="009D77BD" w14:paraId="02012E85" w14:textId="77777777" w:rsidTr="0059169E">
        <w:trPr>
          <w:trHeight w:val="303"/>
        </w:trPr>
        <w:tc>
          <w:tcPr>
            <w:tcW w:w="611" w:type="dxa"/>
            <w:tcBorders>
              <w:top w:val="nil"/>
              <w:left w:val="nil"/>
              <w:bottom w:val="nil"/>
              <w:right w:val="nil"/>
            </w:tcBorders>
            <w:shd w:val="clear" w:color="auto" w:fill="auto"/>
            <w:noWrap/>
            <w:hideMark/>
          </w:tcPr>
          <w:p w14:paraId="26F67CD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13</w:t>
            </w:r>
          </w:p>
        </w:tc>
        <w:tc>
          <w:tcPr>
            <w:tcW w:w="2593" w:type="dxa"/>
            <w:tcBorders>
              <w:top w:val="nil"/>
              <w:left w:val="nil"/>
              <w:bottom w:val="nil"/>
              <w:right w:val="nil"/>
            </w:tcBorders>
            <w:shd w:val="clear" w:color="auto" w:fill="auto"/>
            <w:noWrap/>
            <w:hideMark/>
          </w:tcPr>
          <w:p w14:paraId="591FA02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CUST_3941_PI406199772</w:t>
            </w:r>
          </w:p>
        </w:tc>
        <w:tc>
          <w:tcPr>
            <w:tcW w:w="2332" w:type="dxa"/>
            <w:tcBorders>
              <w:top w:val="nil"/>
              <w:left w:val="nil"/>
              <w:bottom w:val="nil"/>
              <w:right w:val="nil"/>
            </w:tcBorders>
            <w:shd w:val="clear" w:color="auto" w:fill="auto"/>
            <w:noWrap/>
            <w:hideMark/>
          </w:tcPr>
          <w:p w14:paraId="2D4F57B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CD577405.1 (GSTS1)</w:t>
            </w:r>
          </w:p>
        </w:tc>
        <w:tc>
          <w:tcPr>
            <w:tcW w:w="1052" w:type="dxa"/>
            <w:tcBorders>
              <w:top w:val="nil"/>
              <w:left w:val="nil"/>
              <w:bottom w:val="nil"/>
              <w:right w:val="nil"/>
            </w:tcBorders>
            <w:shd w:val="clear" w:color="auto" w:fill="auto"/>
            <w:noWrap/>
            <w:hideMark/>
          </w:tcPr>
          <w:p w14:paraId="57E53B75"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1026DCE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2.00</w:t>
            </w:r>
          </w:p>
        </w:tc>
        <w:tc>
          <w:tcPr>
            <w:tcW w:w="982" w:type="dxa"/>
            <w:tcBorders>
              <w:top w:val="nil"/>
              <w:left w:val="nil"/>
              <w:bottom w:val="nil"/>
              <w:right w:val="nil"/>
            </w:tcBorders>
            <w:shd w:val="clear" w:color="auto" w:fill="auto"/>
            <w:noWrap/>
            <w:hideMark/>
          </w:tcPr>
          <w:p w14:paraId="3DF49ABA"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6BE09621"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21EC518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 xml:space="preserve">lutathione </w:t>
            </w: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-transferase</w:t>
            </w:r>
          </w:p>
        </w:tc>
      </w:tr>
      <w:tr w:rsidR="00FE471A" w:rsidRPr="009D77BD" w14:paraId="2912FB1E" w14:textId="77777777" w:rsidTr="0059169E">
        <w:trPr>
          <w:trHeight w:val="303"/>
        </w:trPr>
        <w:tc>
          <w:tcPr>
            <w:tcW w:w="611" w:type="dxa"/>
            <w:tcBorders>
              <w:top w:val="nil"/>
              <w:left w:val="nil"/>
              <w:bottom w:val="nil"/>
              <w:right w:val="nil"/>
            </w:tcBorders>
            <w:shd w:val="clear" w:color="auto" w:fill="auto"/>
            <w:noWrap/>
            <w:hideMark/>
          </w:tcPr>
          <w:p w14:paraId="026262D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14</w:t>
            </w:r>
          </w:p>
        </w:tc>
        <w:tc>
          <w:tcPr>
            <w:tcW w:w="2593" w:type="dxa"/>
            <w:tcBorders>
              <w:top w:val="nil"/>
              <w:left w:val="nil"/>
              <w:bottom w:val="nil"/>
              <w:right w:val="nil"/>
            </w:tcBorders>
            <w:shd w:val="clear" w:color="auto" w:fill="auto"/>
            <w:noWrap/>
            <w:hideMark/>
          </w:tcPr>
          <w:p w14:paraId="1375656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CUST_8525_PI426302897</w:t>
            </w:r>
          </w:p>
        </w:tc>
        <w:tc>
          <w:tcPr>
            <w:tcW w:w="2332" w:type="dxa"/>
            <w:tcBorders>
              <w:top w:val="nil"/>
              <w:left w:val="nil"/>
              <w:bottom w:val="nil"/>
              <w:right w:val="nil"/>
            </w:tcBorders>
            <w:shd w:val="clear" w:color="auto" w:fill="auto"/>
            <w:noWrap/>
            <w:hideMark/>
          </w:tcPr>
          <w:p w14:paraId="19C03F3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Afun008525</w:t>
            </w:r>
          </w:p>
        </w:tc>
        <w:tc>
          <w:tcPr>
            <w:tcW w:w="1052" w:type="dxa"/>
            <w:tcBorders>
              <w:top w:val="nil"/>
              <w:left w:val="nil"/>
              <w:bottom w:val="nil"/>
              <w:right w:val="nil"/>
            </w:tcBorders>
            <w:shd w:val="clear" w:color="auto" w:fill="auto"/>
            <w:noWrap/>
            <w:hideMark/>
          </w:tcPr>
          <w:p w14:paraId="7F44E2AE"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10B9177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20.18</w:t>
            </w:r>
          </w:p>
        </w:tc>
        <w:tc>
          <w:tcPr>
            <w:tcW w:w="982" w:type="dxa"/>
            <w:tcBorders>
              <w:top w:val="nil"/>
              <w:left w:val="nil"/>
              <w:bottom w:val="nil"/>
              <w:right w:val="nil"/>
            </w:tcBorders>
            <w:shd w:val="clear" w:color="auto" w:fill="auto"/>
            <w:noWrap/>
            <w:hideMark/>
          </w:tcPr>
          <w:p w14:paraId="27C68B19"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06D3078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AGAP000047-PA</w:t>
            </w:r>
          </w:p>
        </w:tc>
        <w:tc>
          <w:tcPr>
            <w:tcW w:w="3070" w:type="dxa"/>
            <w:tcBorders>
              <w:top w:val="nil"/>
              <w:left w:val="nil"/>
              <w:bottom w:val="nil"/>
              <w:right w:val="nil"/>
            </w:tcBorders>
            <w:shd w:val="clear" w:color="auto" w:fill="auto"/>
            <w:noWrap/>
            <w:hideMark/>
          </w:tcPr>
          <w:p w14:paraId="68D406BA"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w:t>
            </w:r>
            <w:r>
              <w:rPr>
                <w:rFonts w:ascii="Times New Roman" w:eastAsia="Times New Roman" w:hAnsi="Times New Roman" w:cs="Times New Roman"/>
                <w:color w:val="000000"/>
                <w:sz w:val="20"/>
                <w:szCs w:val="20"/>
              </w:rPr>
              <w:t>e</w:t>
            </w:r>
            <w:r w:rsidRPr="009D77BD">
              <w:rPr>
                <w:rFonts w:ascii="Times New Roman" w:eastAsia="Times New Roman" w:hAnsi="Times New Roman" w:cs="Times New Roman"/>
                <w:color w:val="000000"/>
                <w:sz w:val="20"/>
                <w:szCs w:val="20"/>
              </w:rPr>
              <w:t xml:space="preserve"> protein rr-1 family </w:t>
            </w:r>
          </w:p>
        </w:tc>
      </w:tr>
      <w:tr w:rsidR="00FE471A" w:rsidRPr="009D77BD" w14:paraId="3B136AB8" w14:textId="77777777" w:rsidTr="0059169E">
        <w:trPr>
          <w:trHeight w:val="303"/>
        </w:trPr>
        <w:tc>
          <w:tcPr>
            <w:tcW w:w="611" w:type="dxa"/>
            <w:tcBorders>
              <w:top w:val="nil"/>
              <w:left w:val="nil"/>
              <w:bottom w:val="nil"/>
              <w:right w:val="nil"/>
            </w:tcBorders>
            <w:shd w:val="clear" w:color="auto" w:fill="auto"/>
            <w:noWrap/>
            <w:hideMark/>
          </w:tcPr>
          <w:p w14:paraId="583876C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15</w:t>
            </w:r>
          </w:p>
        </w:tc>
        <w:tc>
          <w:tcPr>
            <w:tcW w:w="2593" w:type="dxa"/>
            <w:tcBorders>
              <w:top w:val="nil"/>
              <w:left w:val="nil"/>
              <w:bottom w:val="nil"/>
              <w:right w:val="nil"/>
            </w:tcBorders>
            <w:shd w:val="clear" w:color="auto" w:fill="auto"/>
            <w:noWrap/>
            <w:hideMark/>
          </w:tcPr>
          <w:p w14:paraId="09328C9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CUST_3943_PI406199772</w:t>
            </w:r>
          </w:p>
        </w:tc>
        <w:tc>
          <w:tcPr>
            <w:tcW w:w="2332" w:type="dxa"/>
            <w:tcBorders>
              <w:top w:val="nil"/>
              <w:left w:val="nil"/>
              <w:bottom w:val="nil"/>
              <w:right w:val="nil"/>
            </w:tcBorders>
            <w:shd w:val="clear" w:color="auto" w:fill="auto"/>
            <w:noWrap/>
            <w:hideMark/>
          </w:tcPr>
          <w:p w14:paraId="73472DFA" w14:textId="77777777" w:rsidR="00FE471A" w:rsidRPr="009D77BD" w:rsidRDefault="00FE471A" w:rsidP="0059169E">
            <w:pPr>
              <w:rPr>
                <w:rFonts w:ascii="Times New Roman" w:eastAsia="Times New Roman" w:hAnsi="Times New Roman" w:cs="Times New Roman"/>
                <w:bCs/>
                <w:color w:val="000000"/>
                <w:sz w:val="20"/>
                <w:szCs w:val="20"/>
              </w:rPr>
            </w:pPr>
            <w:r w:rsidRPr="009D77BD">
              <w:rPr>
                <w:rFonts w:ascii="Times New Roman" w:eastAsia="Times New Roman" w:hAnsi="Times New Roman" w:cs="Times New Roman"/>
                <w:bCs/>
                <w:color w:val="000000"/>
                <w:sz w:val="20"/>
                <w:szCs w:val="20"/>
              </w:rPr>
              <w:t>CD577404.1</w:t>
            </w:r>
          </w:p>
        </w:tc>
        <w:tc>
          <w:tcPr>
            <w:tcW w:w="1052" w:type="dxa"/>
            <w:tcBorders>
              <w:top w:val="nil"/>
              <w:left w:val="nil"/>
              <w:bottom w:val="nil"/>
              <w:right w:val="nil"/>
            </w:tcBorders>
            <w:shd w:val="clear" w:color="auto" w:fill="auto"/>
            <w:noWrap/>
            <w:hideMark/>
          </w:tcPr>
          <w:p w14:paraId="0CBBBC78"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193A09C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2.38</w:t>
            </w:r>
          </w:p>
        </w:tc>
        <w:tc>
          <w:tcPr>
            <w:tcW w:w="982" w:type="dxa"/>
            <w:tcBorders>
              <w:top w:val="nil"/>
              <w:left w:val="nil"/>
              <w:bottom w:val="nil"/>
              <w:right w:val="nil"/>
            </w:tcBorders>
            <w:shd w:val="clear" w:color="auto" w:fill="auto"/>
            <w:noWrap/>
            <w:hideMark/>
          </w:tcPr>
          <w:p w14:paraId="629519DC"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0D0E0A94"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6EB89AB1"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 xml:space="preserve">lutathione </w:t>
            </w: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-transferase</w:t>
            </w:r>
          </w:p>
        </w:tc>
      </w:tr>
      <w:tr w:rsidR="00FE471A" w:rsidRPr="009D77BD" w14:paraId="2603494D" w14:textId="77777777" w:rsidTr="0059169E">
        <w:trPr>
          <w:trHeight w:val="303"/>
        </w:trPr>
        <w:tc>
          <w:tcPr>
            <w:tcW w:w="611" w:type="dxa"/>
            <w:tcBorders>
              <w:top w:val="nil"/>
              <w:left w:val="nil"/>
              <w:bottom w:val="nil"/>
              <w:right w:val="nil"/>
            </w:tcBorders>
            <w:shd w:val="clear" w:color="auto" w:fill="auto"/>
            <w:noWrap/>
            <w:hideMark/>
          </w:tcPr>
          <w:p w14:paraId="72F1D66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16</w:t>
            </w:r>
          </w:p>
        </w:tc>
        <w:tc>
          <w:tcPr>
            <w:tcW w:w="2593" w:type="dxa"/>
            <w:tcBorders>
              <w:top w:val="nil"/>
              <w:left w:val="nil"/>
              <w:bottom w:val="nil"/>
              <w:right w:val="nil"/>
            </w:tcBorders>
            <w:shd w:val="clear" w:color="auto" w:fill="auto"/>
            <w:noWrap/>
            <w:hideMark/>
          </w:tcPr>
          <w:p w14:paraId="42BB2B2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CUST_3751_PI406199772</w:t>
            </w:r>
          </w:p>
        </w:tc>
        <w:tc>
          <w:tcPr>
            <w:tcW w:w="2332" w:type="dxa"/>
            <w:tcBorders>
              <w:top w:val="nil"/>
              <w:left w:val="nil"/>
              <w:bottom w:val="nil"/>
              <w:right w:val="nil"/>
            </w:tcBorders>
            <w:shd w:val="clear" w:color="auto" w:fill="auto"/>
            <w:noWrap/>
            <w:hideMark/>
          </w:tcPr>
          <w:p w14:paraId="217322D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CD577507.1</w:t>
            </w:r>
          </w:p>
        </w:tc>
        <w:tc>
          <w:tcPr>
            <w:tcW w:w="1052" w:type="dxa"/>
            <w:tcBorders>
              <w:top w:val="nil"/>
              <w:left w:val="nil"/>
              <w:bottom w:val="nil"/>
              <w:right w:val="nil"/>
            </w:tcBorders>
            <w:shd w:val="clear" w:color="auto" w:fill="auto"/>
            <w:noWrap/>
            <w:hideMark/>
          </w:tcPr>
          <w:p w14:paraId="590CDB10"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5D3CD4C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2.32</w:t>
            </w:r>
          </w:p>
        </w:tc>
        <w:tc>
          <w:tcPr>
            <w:tcW w:w="982" w:type="dxa"/>
            <w:tcBorders>
              <w:top w:val="nil"/>
              <w:left w:val="nil"/>
              <w:bottom w:val="nil"/>
              <w:right w:val="nil"/>
            </w:tcBorders>
            <w:shd w:val="clear" w:color="auto" w:fill="auto"/>
            <w:noWrap/>
            <w:hideMark/>
          </w:tcPr>
          <w:p w14:paraId="01BC63BD"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334B0408"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5FE66D7D"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uticle protein</w:t>
            </w:r>
          </w:p>
        </w:tc>
      </w:tr>
      <w:tr w:rsidR="00FE471A" w:rsidRPr="009D77BD" w14:paraId="1ED5418D" w14:textId="77777777" w:rsidTr="0059169E">
        <w:trPr>
          <w:trHeight w:val="303"/>
        </w:trPr>
        <w:tc>
          <w:tcPr>
            <w:tcW w:w="611" w:type="dxa"/>
            <w:tcBorders>
              <w:top w:val="nil"/>
              <w:left w:val="nil"/>
              <w:bottom w:val="nil"/>
              <w:right w:val="nil"/>
            </w:tcBorders>
            <w:shd w:val="clear" w:color="auto" w:fill="auto"/>
            <w:noWrap/>
            <w:hideMark/>
          </w:tcPr>
          <w:p w14:paraId="671FD03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17</w:t>
            </w:r>
          </w:p>
        </w:tc>
        <w:tc>
          <w:tcPr>
            <w:tcW w:w="2593" w:type="dxa"/>
            <w:tcBorders>
              <w:top w:val="nil"/>
              <w:left w:val="nil"/>
              <w:bottom w:val="nil"/>
              <w:right w:val="nil"/>
            </w:tcBorders>
            <w:shd w:val="clear" w:color="auto" w:fill="auto"/>
            <w:noWrap/>
            <w:hideMark/>
          </w:tcPr>
          <w:p w14:paraId="4A846FA7"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CUST_13027_PI406199798</w:t>
            </w:r>
          </w:p>
        </w:tc>
        <w:tc>
          <w:tcPr>
            <w:tcW w:w="2332" w:type="dxa"/>
            <w:tcBorders>
              <w:top w:val="nil"/>
              <w:left w:val="nil"/>
              <w:bottom w:val="nil"/>
              <w:right w:val="nil"/>
            </w:tcBorders>
            <w:shd w:val="clear" w:color="auto" w:fill="auto"/>
            <w:noWrap/>
            <w:hideMark/>
          </w:tcPr>
          <w:p w14:paraId="55BC3C0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AGAP012291-RA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 xml:space="preserve">3L </w:t>
            </w:r>
          </w:p>
        </w:tc>
        <w:tc>
          <w:tcPr>
            <w:tcW w:w="1052" w:type="dxa"/>
            <w:tcBorders>
              <w:top w:val="nil"/>
              <w:left w:val="nil"/>
              <w:bottom w:val="nil"/>
              <w:right w:val="nil"/>
            </w:tcBorders>
            <w:shd w:val="clear" w:color="auto" w:fill="auto"/>
            <w:noWrap/>
            <w:hideMark/>
          </w:tcPr>
          <w:p w14:paraId="31588528"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2BF91F7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2.42</w:t>
            </w:r>
          </w:p>
        </w:tc>
        <w:tc>
          <w:tcPr>
            <w:tcW w:w="982" w:type="dxa"/>
            <w:tcBorders>
              <w:top w:val="nil"/>
              <w:left w:val="nil"/>
              <w:bottom w:val="nil"/>
              <w:right w:val="nil"/>
            </w:tcBorders>
            <w:shd w:val="clear" w:color="auto" w:fill="auto"/>
            <w:noWrap/>
            <w:hideMark/>
          </w:tcPr>
          <w:p w14:paraId="0F398442"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2C9391E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AGAP012291-RA</w:t>
            </w:r>
            <w:r>
              <w:rPr>
                <w:rFonts w:ascii="Times New Roman" w:eastAsia="Times New Roman" w:hAnsi="Times New Roman" w:cs="Times New Roman"/>
                <w:color w:val="000000"/>
                <w:sz w:val="20"/>
                <w:szCs w:val="20"/>
              </w:rPr>
              <w:t>_</w:t>
            </w:r>
            <w:r w:rsidRPr="009D77BD">
              <w:rPr>
                <w:rFonts w:ascii="Times New Roman" w:eastAsia="Times New Roman" w:hAnsi="Times New Roman" w:cs="Times New Roman"/>
                <w:color w:val="000000"/>
                <w:sz w:val="20"/>
                <w:szCs w:val="20"/>
              </w:rPr>
              <w:t>3L</w:t>
            </w:r>
          </w:p>
        </w:tc>
        <w:tc>
          <w:tcPr>
            <w:tcW w:w="3070" w:type="dxa"/>
            <w:tcBorders>
              <w:top w:val="nil"/>
              <w:left w:val="nil"/>
              <w:bottom w:val="nil"/>
              <w:right w:val="nil"/>
            </w:tcBorders>
            <w:shd w:val="clear" w:color="auto" w:fill="auto"/>
            <w:noWrap/>
            <w:hideMark/>
          </w:tcPr>
          <w:p w14:paraId="3450E7B1"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6428BC56" w14:textId="77777777" w:rsidTr="0059169E">
        <w:trPr>
          <w:trHeight w:val="303"/>
        </w:trPr>
        <w:tc>
          <w:tcPr>
            <w:tcW w:w="611" w:type="dxa"/>
            <w:tcBorders>
              <w:top w:val="nil"/>
              <w:left w:val="nil"/>
              <w:bottom w:val="nil"/>
              <w:right w:val="nil"/>
            </w:tcBorders>
            <w:shd w:val="clear" w:color="auto" w:fill="auto"/>
            <w:noWrap/>
            <w:hideMark/>
          </w:tcPr>
          <w:p w14:paraId="7640864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18</w:t>
            </w:r>
          </w:p>
        </w:tc>
        <w:tc>
          <w:tcPr>
            <w:tcW w:w="2593" w:type="dxa"/>
            <w:tcBorders>
              <w:top w:val="nil"/>
              <w:left w:val="nil"/>
              <w:bottom w:val="nil"/>
              <w:right w:val="nil"/>
            </w:tcBorders>
            <w:shd w:val="clear" w:color="auto" w:fill="auto"/>
            <w:noWrap/>
            <w:hideMark/>
          </w:tcPr>
          <w:p w14:paraId="246D2E2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CUST_2644_PI406199772</w:t>
            </w:r>
          </w:p>
        </w:tc>
        <w:tc>
          <w:tcPr>
            <w:tcW w:w="2332" w:type="dxa"/>
            <w:tcBorders>
              <w:top w:val="nil"/>
              <w:left w:val="nil"/>
              <w:bottom w:val="nil"/>
              <w:right w:val="nil"/>
            </w:tcBorders>
            <w:shd w:val="clear" w:color="auto" w:fill="auto"/>
            <w:noWrap/>
            <w:hideMark/>
          </w:tcPr>
          <w:p w14:paraId="0B8FB96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CD578079.1</w:t>
            </w:r>
          </w:p>
        </w:tc>
        <w:tc>
          <w:tcPr>
            <w:tcW w:w="1052" w:type="dxa"/>
            <w:tcBorders>
              <w:top w:val="nil"/>
              <w:left w:val="nil"/>
              <w:bottom w:val="nil"/>
              <w:right w:val="nil"/>
            </w:tcBorders>
            <w:shd w:val="clear" w:color="auto" w:fill="auto"/>
            <w:noWrap/>
            <w:hideMark/>
          </w:tcPr>
          <w:p w14:paraId="23C953BB"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7D9DEB3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2.70</w:t>
            </w:r>
          </w:p>
        </w:tc>
        <w:tc>
          <w:tcPr>
            <w:tcW w:w="982" w:type="dxa"/>
            <w:tcBorders>
              <w:top w:val="nil"/>
              <w:left w:val="nil"/>
              <w:bottom w:val="nil"/>
              <w:right w:val="nil"/>
            </w:tcBorders>
            <w:shd w:val="clear" w:color="auto" w:fill="auto"/>
            <w:noWrap/>
            <w:hideMark/>
          </w:tcPr>
          <w:p w14:paraId="2E54DB32"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0869D4B9"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5F128297"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w:t>
            </w:r>
          </w:p>
        </w:tc>
      </w:tr>
      <w:tr w:rsidR="00FE471A" w:rsidRPr="009D77BD" w14:paraId="7601B814" w14:textId="77777777" w:rsidTr="0059169E">
        <w:trPr>
          <w:trHeight w:val="303"/>
        </w:trPr>
        <w:tc>
          <w:tcPr>
            <w:tcW w:w="611" w:type="dxa"/>
            <w:tcBorders>
              <w:top w:val="nil"/>
              <w:left w:val="nil"/>
              <w:bottom w:val="nil"/>
              <w:right w:val="nil"/>
            </w:tcBorders>
            <w:shd w:val="clear" w:color="auto" w:fill="auto"/>
            <w:noWrap/>
            <w:hideMark/>
          </w:tcPr>
          <w:p w14:paraId="09CE152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19</w:t>
            </w:r>
          </w:p>
        </w:tc>
        <w:tc>
          <w:tcPr>
            <w:tcW w:w="2593" w:type="dxa"/>
            <w:tcBorders>
              <w:top w:val="nil"/>
              <w:left w:val="nil"/>
              <w:bottom w:val="nil"/>
              <w:right w:val="nil"/>
            </w:tcBorders>
            <w:shd w:val="clear" w:color="auto" w:fill="auto"/>
            <w:noWrap/>
            <w:hideMark/>
          </w:tcPr>
          <w:p w14:paraId="420E077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CUST_2643_PI406199772</w:t>
            </w:r>
          </w:p>
        </w:tc>
        <w:tc>
          <w:tcPr>
            <w:tcW w:w="2332" w:type="dxa"/>
            <w:tcBorders>
              <w:top w:val="nil"/>
              <w:left w:val="nil"/>
              <w:bottom w:val="nil"/>
              <w:right w:val="nil"/>
            </w:tcBorders>
            <w:shd w:val="clear" w:color="auto" w:fill="auto"/>
            <w:noWrap/>
            <w:hideMark/>
          </w:tcPr>
          <w:p w14:paraId="2F41C7C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CD578079.1</w:t>
            </w:r>
          </w:p>
        </w:tc>
        <w:tc>
          <w:tcPr>
            <w:tcW w:w="1052" w:type="dxa"/>
            <w:tcBorders>
              <w:top w:val="nil"/>
              <w:left w:val="nil"/>
              <w:bottom w:val="nil"/>
              <w:right w:val="nil"/>
            </w:tcBorders>
            <w:shd w:val="clear" w:color="auto" w:fill="auto"/>
            <w:noWrap/>
            <w:hideMark/>
          </w:tcPr>
          <w:p w14:paraId="099941A9"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57789E40"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2.98</w:t>
            </w:r>
          </w:p>
        </w:tc>
        <w:tc>
          <w:tcPr>
            <w:tcW w:w="982" w:type="dxa"/>
            <w:tcBorders>
              <w:top w:val="nil"/>
              <w:left w:val="nil"/>
              <w:bottom w:val="nil"/>
              <w:right w:val="nil"/>
            </w:tcBorders>
            <w:shd w:val="clear" w:color="auto" w:fill="auto"/>
            <w:noWrap/>
            <w:hideMark/>
          </w:tcPr>
          <w:p w14:paraId="495BDD62"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6448D429"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590027BF"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t>
            </w:r>
            <w:r w:rsidRPr="009D77BD">
              <w:rPr>
                <w:rFonts w:ascii="Times New Roman" w:eastAsia="Times New Roman" w:hAnsi="Times New Roman" w:cs="Times New Roman"/>
                <w:color w:val="000000"/>
                <w:sz w:val="20"/>
                <w:szCs w:val="20"/>
              </w:rPr>
              <w:t>rypsin</w:t>
            </w:r>
          </w:p>
        </w:tc>
      </w:tr>
      <w:tr w:rsidR="00FE471A" w:rsidRPr="009D77BD" w14:paraId="54025784" w14:textId="77777777" w:rsidTr="0059169E">
        <w:trPr>
          <w:trHeight w:val="303"/>
        </w:trPr>
        <w:tc>
          <w:tcPr>
            <w:tcW w:w="611" w:type="dxa"/>
            <w:tcBorders>
              <w:top w:val="nil"/>
              <w:left w:val="nil"/>
              <w:bottom w:val="nil"/>
              <w:right w:val="nil"/>
            </w:tcBorders>
            <w:shd w:val="clear" w:color="auto" w:fill="auto"/>
            <w:noWrap/>
            <w:hideMark/>
          </w:tcPr>
          <w:p w14:paraId="3AFFD479"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w:t>
            </w:r>
          </w:p>
        </w:tc>
        <w:tc>
          <w:tcPr>
            <w:tcW w:w="2593" w:type="dxa"/>
            <w:tcBorders>
              <w:top w:val="nil"/>
              <w:left w:val="nil"/>
              <w:bottom w:val="nil"/>
              <w:right w:val="nil"/>
            </w:tcBorders>
            <w:shd w:val="clear" w:color="auto" w:fill="auto"/>
            <w:noWrap/>
            <w:hideMark/>
          </w:tcPr>
          <w:p w14:paraId="0386ED8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CUST_10994_PI426302897</w:t>
            </w:r>
          </w:p>
        </w:tc>
        <w:tc>
          <w:tcPr>
            <w:tcW w:w="2332" w:type="dxa"/>
            <w:tcBorders>
              <w:top w:val="nil"/>
              <w:left w:val="nil"/>
              <w:bottom w:val="nil"/>
              <w:right w:val="nil"/>
            </w:tcBorders>
            <w:shd w:val="clear" w:color="auto" w:fill="auto"/>
            <w:noWrap/>
            <w:hideMark/>
          </w:tcPr>
          <w:p w14:paraId="6A52A65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Afun010994 (CYP6P9b)</w:t>
            </w:r>
          </w:p>
        </w:tc>
        <w:tc>
          <w:tcPr>
            <w:tcW w:w="1052" w:type="dxa"/>
            <w:tcBorders>
              <w:top w:val="nil"/>
              <w:left w:val="nil"/>
              <w:bottom w:val="nil"/>
              <w:right w:val="nil"/>
            </w:tcBorders>
            <w:shd w:val="clear" w:color="auto" w:fill="auto"/>
            <w:noWrap/>
            <w:hideMark/>
          </w:tcPr>
          <w:p w14:paraId="7FC412B8"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200F291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14.48</w:t>
            </w:r>
          </w:p>
        </w:tc>
        <w:tc>
          <w:tcPr>
            <w:tcW w:w="982" w:type="dxa"/>
            <w:tcBorders>
              <w:top w:val="nil"/>
              <w:left w:val="nil"/>
              <w:bottom w:val="nil"/>
              <w:right w:val="nil"/>
            </w:tcBorders>
            <w:shd w:val="clear" w:color="auto" w:fill="auto"/>
            <w:noWrap/>
            <w:hideMark/>
          </w:tcPr>
          <w:p w14:paraId="00A8F237" w14:textId="77777777" w:rsidR="00FE471A" w:rsidRPr="009D77BD" w:rsidRDefault="00FE471A" w:rsidP="0059169E">
            <w:pPr>
              <w:rPr>
                <w:rFonts w:ascii="Times New Roman" w:eastAsia="Times New Roman" w:hAnsi="Times New Roman" w:cs="Times New Roman"/>
                <w:color w:val="000000"/>
                <w:sz w:val="20"/>
                <w:szCs w:val="20"/>
              </w:rPr>
            </w:pPr>
          </w:p>
        </w:tc>
        <w:tc>
          <w:tcPr>
            <w:tcW w:w="2332" w:type="dxa"/>
            <w:tcBorders>
              <w:top w:val="nil"/>
              <w:left w:val="nil"/>
              <w:bottom w:val="nil"/>
              <w:right w:val="nil"/>
            </w:tcBorders>
            <w:shd w:val="clear" w:color="auto" w:fill="auto"/>
            <w:noWrap/>
            <w:hideMark/>
          </w:tcPr>
          <w:p w14:paraId="6C60CFB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AGAP002867-PA</w:t>
            </w:r>
          </w:p>
        </w:tc>
        <w:tc>
          <w:tcPr>
            <w:tcW w:w="3070" w:type="dxa"/>
            <w:tcBorders>
              <w:top w:val="nil"/>
              <w:left w:val="nil"/>
              <w:bottom w:val="nil"/>
              <w:right w:val="nil"/>
            </w:tcBorders>
            <w:shd w:val="clear" w:color="auto" w:fill="auto"/>
            <w:noWrap/>
            <w:hideMark/>
          </w:tcPr>
          <w:p w14:paraId="590C9D7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p450</w:t>
            </w:r>
          </w:p>
        </w:tc>
      </w:tr>
      <w:tr w:rsidR="00FE471A" w:rsidRPr="009D77BD" w14:paraId="3EAE594B" w14:textId="77777777" w:rsidTr="0059169E">
        <w:trPr>
          <w:trHeight w:val="303"/>
        </w:trPr>
        <w:tc>
          <w:tcPr>
            <w:tcW w:w="611" w:type="dxa"/>
            <w:tcBorders>
              <w:top w:val="nil"/>
              <w:left w:val="nil"/>
              <w:bottom w:val="nil"/>
              <w:right w:val="nil"/>
            </w:tcBorders>
            <w:shd w:val="clear" w:color="auto" w:fill="auto"/>
            <w:noWrap/>
            <w:hideMark/>
          </w:tcPr>
          <w:p w14:paraId="78E4490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w:t>
            </w:r>
          </w:p>
        </w:tc>
        <w:tc>
          <w:tcPr>
            <w:tcW w:w="2593" w:type="dxa"/>
            <w:tcBorders>
              <w:top w:val="nil"/>
              <w:left w:val="nil"/>
              <w:bottom w:val="nil"/>
              <w:right w:val="nil"/>
            </w:tcBorders>
            <w:shd w:val="clear" w:color="auto" w:fill="auto"/>
            <w:noWrap/>
            <w:hideMark/>
          </w:tcPr>
          <w:p w14:paraId="68D1945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CUST_15708_PI406199769</w:t>
            </w:r>
          </w:p>
        </w:tc>
        <w:tc>
          <w:tcPr>
            <w:tcW w:w="2332" w:type="dxa"/>
            <w:tcBorders>
              <w:top w:val="nil"/>
              <w:left w:val="nil"/>
              <w:bottom w:val="nil"/>
              <w:right w:val="nil"/>
            </w:tcBorders>
            <w:shd w:val="clear" w:color="auto" w:fill="auto"/>
            <w:noWrap/>
            <w:hideMark/>
          </w:tcPr>
          <w:p w14:paraId="4B349383"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ombined_c8336</w:t>
            </w:r>
          </w:p>
        </w:tc>
        <w:tc>
          <w:tcPr>
            <w:tcW w:w="1052" w:type="dxa"/>
            <w:tcBorders>
              <w:top w:val="nil"/>
              <w:left w:val="nil"/>
              <w:bottom w:val="nil"/>
              <w:right w:val="nil"/>
            </w:tcBorders>
            <w:shd w:val="clear" w:color="auto" w:fill="auto"/>
            <w:noWrap/>
            <w:hideMark/>
          </w:tcPr>
          <w:p w14:paraId="3B0BF47D"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54AF2877"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5EB03AE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2.25</w:t>
            </w:r>
          </w:p>
        </w:tc>
        <w:tc>
          <w:tcPr>
            <w:tcW w:w="2332" w:type="dxa"/>
            <w:tcBorders>
              <w:top w:val="nil"/>
              <w:left w:val="nil"/>
              <w:bottom w:val="nil"/>
              <w:right w:val="nil"/>
            </w:tcBorders>
            <w:shd w:val="clear" w:color="auto" w:fill="auto"/>
            <w:noWrap/>
            <w:hideMark/>
          </w:tcPr>
          <w:p w14:paraId="29D0189E"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2F4D2C6F"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4E38DD50" w14:textId="77777777" w:rsidTr="0059169E">
        <w:trPr>
          <w:trHeight w:val="303"/>
        </w:trPr>
        <w:tc>
          <w:tcPr>
            <w:tcW w:w="611" w:type="dxa"/>
            <w:tcBorders>
              <w:top w:val="nil"/>
              <w:left w:val="nil"/>
              <w:bottom w:val="nil"/>
              <w:right w:val="nil"/>
            </w:tcBorders>
            <w:shd w:val="clear" w:color="auto" w:fill="auto"/>
            <w:noWrap/>
            <w:hideMark/>
          </w:tcPr>
          <w:p w14:paraId="41A46A3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22</w:t>
            </w:r>
          </w:p>
        </w:tc>
        <w:tc>
          <w:tcPr>
            <w:tcW w:w="2593" w:type="dxa"/>
            <w:tcBorders>
              <w:top w:val="nil"/>
              <w:left w:val="nil"/>
              <w:bottom w:val="nil"/>
              <w:right w:val="nil"/>
            </w:tcBorders>
            <w:shd w:val="clear" w:color="auto" w:fill="auto"/>
            <w:noWrap/>
            <w:hideMark/>
          </w:tcPr>
          <w:p w14:paraId="5B8B7CE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CUST_7571_PI426302897</w:t>
            </w:r>
          </w:p>
        </w:tc>
        <w:tc>
          <w:tcPr>
            <w:tcW w:w="2332" w:type="dxa"/>
            <w:tcBorders>
              <w:top w:val="nil"/>
              <w:left w:val="nil"/>
              <w:bottom w:val="nil"/>
              <w:right w:val="nil"/>
            </w:tcBorders>
            <w:shd w:val="clear" w:color="auto" w:fill="auto"/>
            <w:noWrap/>
            <w:hideMark/>
          </w:tcPr>
          <w:p w14:paraId="114350E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Afun007571</w:t>
            </w:r>
          </w:p>
        </w:tc>
        <w:tc>
          <w:tcPr>
            <w:tcW w:w="1052" w:type="dxa"/>
            <w:tcBorders>
              <w:top w:val="nil"/>
              <w:left w:val="nil"/>
              <w:bottom w:val="nil"/>
              <w:right w:val="nil"/>
            </w:tcBorders>
            <w:shd w:val="clear" w:color="auto" w:fill="auto"/>
            <w:noWrap/>
            <w:hideMark/>
          </w:tcPr>
          <w:p w14:paraId="5E82B2F6"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57185E6F"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5CEBA4B6"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2.44</w:t>
            </w:r>
          </w:p>
        </w:tc>
        <w:tc>
          <w:tcPr>
            <w:tcW w:w="2332" w:type="dxa"/>
            <w:tcBorders>
              <w:top w:val="nil"/>
              <w:left w:val="nil"/>
              <w:bottom w:val="nil"/>
              <w:right w:val="nil"/>
            </w:tcBorders>
            <w:shd w:val="clear" w:color="auto" w:fill="auto"/>
            <w:noWrap/>
            <w:hideMark/>
          </w:tcPr>
          <w:p w14:paraId="571AB28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AGAP007920-PA</w:t>
            </w:r>
          </w:p>
        </w:tc>
        <w:tc>
          <w:tcPr>
            <w:tcW w:w="3070" w:type="dxa"/>
            <w:tcBorders>
              <w:top w:val="nil"/>
              <w:left w:val="nil"/>
              <w:bottom w:val="nil"/>
              <w:right w:val="nil"/>
            </w:tcBorders>
            <w:shd w:val="clear" w:color="auto" w:fill="auto"/>
            <w:noWrap/>
            <w:hideMark/>
          </w:tcPr>
          <w:p w14:paraId="363FF222"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0F59CF0C" w14:textId="77777777" w:rsidTr="0059169E">
        <w:trPr>
          <w:trHeight w:val="303"/>
        </w:trPr>
        <w:tc>
          <w:tcPr>
            <w:tcW w:w="611" w:type="dxa"/>
            <w:tcBorders>
              <w:top w:val="nil"/>
              <w:left w:val="nil"/>
              <w:bottom w:val="nil"/>
              <w:right w:val="nil"/>
            </w:tcBorders>
            <w:shd w:val="clear" w:color="auto" w:fill="auto"/>
            <w:noWrap/>
            <w:hideMark/>
          </w:tcPr>
          <w:p w14:paraId="768F3388"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23</w:t>
            </w:r>
          </w:p>
        </w:tc>
        <w:tc>
          <w:tcPr>
            <w:tcW w:w="2593" w:type="dxa"/>
            <w:tcBorders>
              <w:top w:val="nil"/>
              <w:left w:val="nil"/>
              <w:bottom w:val="nil"/>
              <w:right w:val="nil"/>
            </w:tcBorders>
            <w:shd w:val="clear" w:color="auto" w:fill="auto"/>
            <w:noWrap/>
            <w:hideMark/>
          </w:tcPr>
          <w:p w14:paraId="6EB8D0B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CUST_15707_PI406199769</w:t>
            </w:r>
          </w:p>
        </w:tc>
        <w:tc>
          <w:tcPr>
            <w:tcW w:w="2332" w:type="dxa"/>
            <w:tcBorders>
              <w:top w:val="nil"/>
              <w:left w:val="nil"/>
              <w:bottom w:val="nil"/>
              <w:right w:val="nil"/>
            </w:tcBorders>
            <w:shd w:val="clear" w:color="auto" w:fill="auto"/>
            <w:noWrap/>
            <w:hideMark/>
          </w:tcPr>
          <w:p w14:paraId="432B8399"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ombined_c8336</w:t>
            </w:r>
          </w:p>
        </w:tc>
        <w:tc>
          <w:tcPr>
            <w:tcW w:w="1052" w:type="dxa"/>
            <w:tcBorders>
              <w:top w:val="nil"/>
              <w:left w:val="nil"/>
              <w:bottom w:val="nil"/>
              <w:right w:val="nil"/>
            </w:tcBorders>
            <w:shd w:val="clear" w:color="auto" w:fill="auto"/>
            <w:noWrap/>
            <w:hideMark/>
          </w:tcPr>
          <w:p w14:paraId="7764684F"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620295D5"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183B0564"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2.10</w:t>
            </w:r>
          </w:p>
        </w:tc>
        <w:tc>
          <w:tcPr>
            <w:tcW w:w="2332" w:type="dxa"/>
            <w:tcBorders>
              <w:top w:val="nil"/>
              <w:left w:val="nil"/>
              <w:bottom w:val="nil"/>
              <w:right w:val="nil"/>
            </w:tcBorders>
            <w:shd w:val="clear" w:color="auto" w:fill="auto"/>
            <w:noWrap/>
            <w:hideMark/>
          </w:tcPr>
          <w:p w14:paraId="2B4A8E38" w14:textId="77777777" w:rsidR="00FE471A" w:rsidRPr="009D77BD" w:rsidRDefault="00FE471A" w:rsidP="0059169E">
            <w:pPr>
              <w:rPr>
                <w:rFonts w:ascii="Times New Roman" w:eastAsia="Times New Roman" w:hAnsi="Times New Roman" w:cs="Times New Roman"/>
                <w:color w:val="000000"/>
                <w:sz w:val="20"/>
                <w:szCs w:val="20"/>
              </w:rPr>
            </w:pPr>
          </w:p>
        </w:tc>
        <w:tc>
          <w:tcPr>
            <w:tcW w:w="3070" w:type="dxa"/>
            <w:tcBorders>
              <w:top w:val="nil"/>
              <w:left w:val="nil"/>
              <w:bottom w:val="nil"/>
              <w:right w:val="nil"/>
            </w:tcBorders>
            <w:shd w:val="clear" w:color="auto" w:fill="auto"/>
            <w:noWrap/>
            <w:hideMark/>
          </w:tcPr>
          <w:p w14:paraId="663EB95B"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lucosyl glucuronosyl transferases</w:t>
            </w:r>
          </w:p>
        </w:tc>
      </w:tr>
      <w:tr w:rsidR="00FE471A" w:rsidRPr="009D77BD" w14:paraId="32EA76EB" w14:textId="77777777" w:rsidTr="0059169E">
        <w:trPr>
          <w:trHeight w:val="303"/>
        </w:trPr>
        <w:tc>
          <w:tcPr>
            <w:tcW w:w="611" w:type="dxa"/>
            <w:tcBorders>
              <w:top w:val="nil"/>
              <w:left w:val="nil"/>
              <w:bottom w:val="nil"/>
              <w:right w:val="nil"/>
            </w:tcBorders>
            <w:shd w:val="clear" w:color="auto" w:fill="auto"/>
            <w:noWrap/>
            <w:hideMark/>
          </w:tcPr>
          <w:p w14:paraId="0368C3E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lastRenderedPageBreak/>
              <w:t>24</w:t>
            </w:r>
          </w:p>
        </w:tc>
        <w:tc>
          <w:tcPr>
            <w:tcW w:w="2593" w:type="dxa"/>
            <w:tcBorders>
              <w:top w:val="nil"/>
              <w:left w:val="nil"/>
              <w:bottom w:val="nil"/>
              <w:right w:val="nil"/>
            </w:tcBorders>
            <w:shd w:val="clear" w:color="auto" w:fill="auto"/>
            <w:noWrap/>
            <w:hideMark/>
          </w:tcPr>
          <w:p w14:paraId="6530EFE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CUST_8617_PI426302897</w:t>
            </w:r>
          </w:p>
        </w:tc>
        <w:tc>
          <w:tcPr>
            <w:tcW w:w="2332" w:type="dxa"/>
            <w:tcBorders>
              <w:top w:val="nil"/>
              <w:left w:val="nil"/>
              <w:bottom w:val="nil"/>
              <w:right w:val="nil"/>
            </w:tcBorders>
            <w:shd w:val="clear" w:color="auto" w:fill="auto"/>
            <w:noWrap/>
            <w:hideMark/>
          </w:tcPr>
          <w:p w14:paraId="217143F8"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b561</w:t>
            </w:r>
          </w:p>
        </w:tc>
        <w:tc>
          <w:tcPr>
            <w:tcW w:w="1052" w:type="dxa"/>
            <w:tcBorders>
              <w:top w:val="nil"/>
              <w:left w:val="nil"/>
              <w:bottom w:val="nil"/>
              <w:right w:val="nil"/>
            </w:tcBorders>
            <w:shd w:val="clear" w:color="auto" w:fill="auto"/>
            <w:noWrap/>
            <w:hideMark/>
          </w:tcPr>
          <w:p w14:paraId="11495804"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45C2398A"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472643C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2.02</w:t>
            </w:r>
          </w:p>
        </w:tc>
        <w:tc>
          <w:tcPr>
            <w:tcW w:w="2332" w:type="dxa"/>
            <w:tcBorders>
              <w:top w:val="nil"/>
              <w:left w:val="nil"/>
              <w:bottom w:val="nil"/>
              <w:right w:val="nil"/>
            </w:tcBorders>
            <w:shd w:val="clear" w:color="auto" w:fill="auto"/>
            <w:noWrap/>
            <w:hideMark/>
          </w:tcPr>
          <w:p w14:paraId="2203825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AGAP005222-PB</w:t>
            </w:r>
          </w:p>
        </w:tc>
        <w:tc>
          <w:tcPr>
            <w:tcW w:w="3070" w:type="dxa"/>
            <w:tcBorders>
              <w:top w:val="nil"/>
              <w:left w:val="nil"/>
              <w:bottom w:val="nil"/>
              <w:right w:val="nil"/>
            </w:tcBorders>
            <w:shd w:val="clear" w:color="auto" w:fill="auto"/>
            <w:noWrap/>
            <w:hideMark/>
          </w:tcPr>
          <w:p w14:paraId="7BACE56D"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ytochrome b561</w:t>
            </w:r>
          </w:p>
        </w:tc>
      </w:tr>
      <w:tr w:rsidR="00FE471A" w:rsidRPr="009D77BD" w14:paraId="17222384" w14:textId="77777777" w:rsidTr="0059169E">
        <w:trPr>
          <w:trHeight w:val="303"/>
        </w:trPr>
        <w:tc>
          <w:tcPr>
            <w:tcW w:w="611" w:type="dxa"/>
            <w:tcBorders>
              <w:top w:val="nil"/>
              <w:left w:val="nil"/>
              <w:bottom w:val="nil"/>
              <w:right w:val="nil"/>
            </w:tcBorders>
            <w:shd w:val="clear" w:color="auto" w:fill="auto"/>
            <w:noWrap/>
            <w:hideMark/>
          </w:tcPr>
          <w:p w14:paraId="67E0D3A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25</w:t>
            </w:r>
          </w:p>
        </w:tc>
        <w:tc>
          <w:tcPr>
            <w:tcW w:w="2593" w:type="dxa"/>
            <w:tcBorders>
              <w:top w:val="nil"/>
              <w:left w:val="nil"/>
              <w:bottom w:val="nil"/>
              <w:right w:val="nil"/>
            </w:tcBorders>
            <w:shd w:val="clear" w:color="auto" w:fill="auto"/>
            <w:noWrap/>
            <w:hideMark/>
          </w:tcPr>
          <w:p w14:paraId="3723EBE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CUST_15122_PI426302897</w:t>
            </w:r>
          </w:p>
        </w:tc>
        <w:tc>
          <w:tcPr>
            <w:tcW w:w="2332" w:type="dxa"/>
            <w:tcBorders>
              <w:top w:val="nil"/>
              <w:left w:val="nil"/>
              <w:bottom w:val="nil"/>
              <w:right w:val="nil"/>
            </w:tcBorders>
            <w:shd w:val="clear" w:color="auto" w:fill="auto"/>
            <w:noWrap/>
            <w:hideMark/>
          </w:tcPr>
          <w:p w14:paraId="781D0481"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Afun015122 (GSTU2)</w:t>
            </w:r>
          </w:p>
        </w:tc>
        <w:tc>
          <w:tcPr>
            <w:tcW w:w="1052" w:type="dxa"/>
            <w:tcBorders>
              <w:top w:val="nil"/>
              <w:left w:val="nil"/>
              <w:bottom w:val="nil"/>
              <w:right w:val="nil"/>
            </w:tcBorders>
            <w:shd w:val="clear" w:color="auto" w:fill="auto"/>
            <w:noWrap/>
            <w:hideMark/>
          </w:tcPr>
          <w:p w14:paraId="0C42CD0A" w14:textId="77777777" w:rsidR="00FE471A" w:rsidRPr="009D77BD" w:rsidRDefault="00FE471A" w:rsidP="0059169E">
            <w:pPr>
              <w:rPr>
                <w:rFonts w:ascii="Times New Roman" w:eastAsia="Times New Roman" w:hAnsi="Times New Roman" w:cs="Times New Roman"/>
                <w:color w:val="000000"/>
                <w:sz w:val="20"/>
                <w:szCs w:val="20"/>
              </w:rPr>
            </w:pPr>
          </w:p>
        </w:tc>
        <w:tc>
          <w:tcPr>
            <w:tcW w:w="914" w:type="dxa"/>
            <w:tcBorders>
              <w:top w:val="nil"/>
              <w:left w:val="nil"/>
              <w:bottom w:val="nil"/>
              <w:right w:val="nil"/>
            </w:tcBorders>
            <w:shd w:val="clear" w:color="auto" w:fill="auto"/>
            <w:noWrap/>
            <w:hideMark/>
          </w:tcPr>
          <w:p w14:paraId="79C0BBFD" w14:textId="77777777" w:rsidR="00FE471A" w:rsidRPr="009D77BD" w:rsidRDefault="00FE471A" w:rsidP="0059169E">
            <w:pPr>
              <w:rPr>
                <w:rFonts w:ascii="Times New Roman" w:eastAsia="Times New Roman" w:hAnsi="Times New Roman" w:cs="Times New Roman"/>
                <w:color w:val="000000"/>
                <w:sz w:val="20"/>
                <w:szCs w:val="20"/>
              </w:rPr>
            </w:pPr>
          </w:p>
        </w:tc>
        <w:tc>
          <w:tcPr>
            <w:tcW w:w="982" w:type="dxa"/>
            <w:tcBorders>
              <w:top w:val="nil"/>
              <w:left w:val="nil"/>
              <w:bottom w:val="nil"/>
              <w:right w:val="nil"/>
            </w:tcBorders>
            <w:shd w:val="clear" w:color="auto" w:fill="auto"/>
            <w:noWrap/>
            <w:hideMark/>
          </w:tcPr>
          <w:p w14:paraId="71F8E46D"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4.25</w:t>
            </w:r>
          </w:p>
        </w:tc>
        <w:tc>
          <w:tcPr>
            <w:tcW w:w="2332" w:type="dxa"/>
            <w:tcBorders>
              <w:top w:val="nil"/>
              <w:left w:val="nil"/>
              <w:bottom w:val="nil"/>
              <w:right w:val="nil"/>
            </w:tcBorders>
            <w:shd w:val="clear" w:color="auto" w:fill="auto"/>
            <w:noWrap/>
            <w:hideMark/>
          </w:tcPr>
          <w:p w14:paraId="74600BD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AGAP003257-PA</w:t>
            </w:r>
          </w:p>
        </w:tc>
        <w:tc>
          <w:tcPr>
            <w:tcW w:w="3070" w:type="dxa"/>
            <w:tcBorders>
              <w:top w:val="nil"/>
              <w:left w:val="nil"/>
              <w:bottom w:val="nil"/>
              <w:right w:val="nil"/>
            </w:tcBorders>
            <w:shd w:val="clear" w:color="auto" w:fill="auto"/>
            <w:noWrap/>
            <w:hideMark/>
          </w:tcPr>
          <w:p w14:paraId="23B2A2F4"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Pr="009D77BD">
              <w:rPr>
                <w:rFonts w:ascii="Times New Roman" w:eastAsia="Times New Roman" w:hAnsi="Times New Roman" w:cs="Times New Roman"/>
                <w:color w:val="000000"/>
                <w:sz w:val="20"/>
                <w:szCs w:val="20"/>
              </w:rPr>
              <w:t>lutathione</w:t>
            </w:r>
            <w:r>
              <w:rPr>
                <w:rFonts w:ascii="Times New Roman" w:eastAsia="Times New Roman" w:hAnsi="Times New Roman" w:cs="Times New Roman"/>
                <w:color w:val="000000"/>
                <w:sz w:val="20"/>
                <w:szCs w:val="20"/>
              </w:rPr>
              <w:t>-S</w:t>
            </w:r>
            <w:r w:rsidRPr="009D77BD">
              <w:rPr>
                <w:rFonts w:ascii="Times New Roman" w:eastAsia="Times New Roman" w:hAnsi="Times New Roman" w:cs="Times New Roman"/>
                <w:color w:val="000000"/>
                <w:sz w:val="20"/>
                <w:szCs w:val="20"/>
              </w:rPr>
              <w:t>-transferase gst</w:t>
            </w:r>
          </w:p>
        </w:tc>
      </w:tr>
      <w:tr w:rsidR="00FE471A" w:rsidRPr="009D77BD" w14:paraId="61445B8D" w14:textId="77777777" w:rsidTr="0059169E">
        <w:trPr>
          <w:trHeight w:val="303"/>
        </w:trPr>
        <w:tc>
          <w:tcPr>
            <w:tcW w:w="611" w:type="dxa"/>
            <w:tcBorders>
              <w:top w:val="nil"/>
              <w:left w:val="nil"/>
              <w:bottom w:val="single" w:sz="4" w:space="0" w:color="auto"/>
              <w:right w:val="nil"/>
            </w:tcBorders>
            <w:shd w:val="clear" w:color="auto" w:fill="auto"/>
            <w:noWrap/>
            <w:hideMark/>
          </w:tcPr>
          <w:p w14:paraId="13B92D43"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26</w:t>
            </w:r>
          </w:p>
        </w:tc>
        <w:tc>
          <w:tcPr>
            <w:tcW w:w="2593" w:type="dxa"/>
            <w:tcBorders>
              <w:top w:val="nil"/>
              <w:left w:val="nil"/>
              <w:bottom w:val="single" w:sz="4" w:space="0" w:color="auto"/>
              <w:right w:val="nil"/>
            </w:tcBorders>
            <w:shd w:val="clear" w:color="auto" w:fill="auto"/>
            <w:noWrap/>
            <w:hideMark/>
          </w:tcPr>
          <w:p w14:paraId="420A208E"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CUST_10134_PI426302897</w:t>
            </w:r>
          </w:p>
        </w:tc>
        <w:tc>
          <w:tcPr>
            <w:tcW w:w="2332" w:type="dxa"/>
            <w:tcBorders>
              <w:top w:val="nil"/>
              <w:left w:val="nil"/>
              <w:bottom w:val="single" w:sz="4" w:space="0" w:color="auto"/>
              <w:right w:val="nil"/>
            </w:tcBorders>
            <w:shd w:val="clear" w:color="auto" w:fill="auto"/>
            <w:noWrap/>
            <w:hideMark/>
          </w:tcPr>
          <w:p w14:paraId="198FD0CA"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Afun010134</w:t>
            </w:r>
          </w:p>
        </w:tc>
        <w:tc>
          <w:tcPr>
            <w:tcW w:w="1052" w:type="dxa"/>
            <w:tcBorders>
              <w:top w:val="nil"/>
              <w:left w:val="nil"/>
              <w:bottom w:val="single" w:sz="4" w:space="0" w:color="auto"/>
              <w:right w:val="nil"/>
            </w:tcBorders>
            <w:shd w:val="clear" w:color="auto" w:fill="auto"/>
            <w:noWrap/>
            <w:hideMark/>
          </w:tcPr>
          <w:p w14:paraId="3D4989C2"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 </w:t>
            </w:r>
          </w:p>
        </w:tc>
        <w:tc>
          <w:tcPr>
            <w:tcW w:w="914" w:type="dxa"/>
            <w:tcBorders>
              <w:top w:val="nil"/>
              <w:left w:val="nil"/>
              <w:bottom w:val="single" w:sz="4" w:space="0" w:color="auto"/>
              <w:right w:val="nil"/>
            </w:tcBorders>
            <w:shd w:val="clear" w:color="auto" w:fill="auto"/>
            <w:noWrap/>
            <w:hideMark/>
          </w:tcPr>
          <w:p w14:paraId="4936B00B"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 </w:t>
            </w:r>
          </w:p>
        </w:tc>
        <w:tc>
          <w:tcPr>
            <w:tcW w:w="982" w:type="dxa"/>
            <w:tcBorders>
              <w:top w:val="nil"/>
              <w:left w:val="nil"/>
              <w:bottom w:val="single" w:sz="4" w:space="0" w:color="auto"/>
              <w:right w:val="nil"/>
            </w:tcBorders>
            <w:shd w:val="clear" w:color="auto" w:fill="auto"/>
            <w:noWrap/>
            <w:hideMark/>
          </w:tcPr>
          <w:p w14:paraId="520C644C"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4.75</w:t>
            </w:r>
          </w:p>
        </w:tc>
        <w:tc>
          <w:tcPr>
            <w:tcW w:w="2332" w:type="dxa"/>
            <w:tcBorders>
              <w:top w:val="nil"/>
              <w:left w:val="nil"/>
              <w:bottom w:val="single" w:sz="4" w:space="0" w:color="auto"/>
              <w:right w:val="nil"/>
            </w:tcBorders>
            <w:shd w:val="clear" w:color="auto" w:fill="auto"/>
            <w:noWrap/>
            <w:hideMark/>
          </w:tcPr>
          <w:p w14:paraId="40708A55" w14:textId="77777777" w:rsidR="00FE471A" w:rsidRPr="009D77BD" w:rsidRDefault="00FE471A" w:rsidP="0059169E">
            <w:pPr>
              <w:rPr>
                <w:rFonts w:ascii="Times New Roman" w:eastAsia="Times New Roman" w:hAnsi="Times New Roman" w:cs="Times New Roman"/>
                <w:color w:val="000000"/>
                <w:sz w:val="20"/>
                <w:szCs w:val="20"/>
              </w:rPr>
            </w:pPr>
            <w:r w:rsidRPr="009D77BD">
              <w:rPr>
                <w:rFonts w:ascii="Times New Roman" w:eastAsia="Times New Roman" w:hAnsi="Times New Roman" w:cs="Times New Roman"/>
                <w:color w:val="000000"/>
                <w:sz w:val="20"/>
                <w:szCs w:val="20"/>
              </w:rPr>
              <w:t>AGAP006711-PA</w:t>
            </w:r>
          </w:p>
        </w:tc>
        <w:tc>
          <w:tcPr>
            <w:tcW w:w="3070" w:type="dxa"/>
            <w:tcBorders>
              <w:top w:val="nil"/>
              <w:left w:val="nil"/>
              <w:bottom w:val="single" w:sz="4" w:space="0" w:color="auto"/>
              <w:right w:val="nil"/>
            </w:tcBorders>
            <w:shd w:val="clear" w:color="auto" w:fill="auto"/>
            <w:noWrap/>
            <w:hideMark/>
          </w:tcPr>
          <w:p w14:paraId="3877A6BC" w14:textId="77777777" w:rsidR="00FE471A" w:rsidRPr="009D77BD" w:rsidRDefault="00FE471A" w:rsidP="0059169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r w:rsidRPr="009D77BD">
              <w:rPr>
                <w:rFonts w:ascii="Times New Roman" w:eastAsia="Times New Roman" w:hAnsi="Times New Roman" w:cs="Times New Roman"/>
                <w:color w:val="000000"/>
                <w:sz w:val="20"/>
                <w:szCs w:val="20"/>
              </w:rPr>
              <w:t>hymotrypsin 1</w:t>
            </w:r>
          </w:p>
        </w:tc>
      </w:tr>
    </w:tbl>
    <w:p w14:paraId="16792796" w14:textId="77777777" w:rsidR="00FE471A" w:rsidRPr="009D77BD" w:rsidRDefault="00FE471A" w:rsidP="00FE471A">
      <w:pPr>
        <w:rPr>
          <w:rFonts w:ascii="Times New Roman" w:hAnsi="Times New Roman" w:cs="Times New Roman"/>
          <w:sz w:val="20"/>
          <w:szCs w:val="20"/>
        </w:rPr>
      </w:pPr>
      <w:r w:rsidRPr="005C025A">
        <w:rPr>
          <w:rFonts w:ascii="Times New Roman" w:hAnsi="Times New Roman" w:cs="Times New Roman"/>
          <w:i/>
          <w:iCs/>
          <w:sz w:val="20"/>
          <w:szCs w:val="20"/>
        </w:rPr>
        <w:t>Abbreviation</w:t>
      </w:r>
      <w:r>
        <w:rPr>
          <w:rFonts w:ascii="Times New Roman" w:hAnsi="Times New Roman" w:cs="Times New Roman"/>
          <w:sz w:val="20"/>
          <w:szCs w:val="20"/>
        </w:rPr>
        <w:t>: FC, fold change</w:t>
      </w:r>
    </w:p>
    <w:p w14:paraId="40F06688" w14:textId="77777777" w:rsidR="00FE471A" w:rsidRDefault="00FE471A" w:rsidP="00FE471A">
      <w:pPr>
        <w:rPr>
          <w:rFonts w:ascii="Times New Roman" w:hAnsi="Times New Roman" w:cs="Times New Roman"/>
          <w:b/>
          <w:sz w:val="20"/>
          <w:szCs w:val="20"/>
        </w:rPr>
      </w:pPr>
      <w:r>
        <w:rPr>
          <w:rFonts w:ascii="Times New Roman" w:hAnsi="Times New Roman" w:cs="Times New Roman"/>
          <w:b/>
          <w:sz w:val="20"/>
          <w:szCs w:val="20"/>
        </w:rPr>
        <w:br w:type="page"/>
      </w:r>
    </w:p>
    <w:p w14:paraId="619A3C5B" w14:textId="77777777" w:rsidR="00FE471A" w:rsidRPr="009D77BD" w:rsidRDefault="00FE471A" w:rsidP="00FE471A">
      <w:pPr>
        <w:rPr>
          <w:rFonts w:ascii="Times New Roman" w:hAnsi="Times New Roman" w:cs="Times New Roman"/>
          <w:b/>
          <w:sz w:val="20"/>
          <w:szCs w:val="20"/>
        </w:rPr>
      </w:pPr>
      <w:r w:rsidRPr="009D77BD">
        <w:rPr>
          <w:rFonts w:ascii="Times New Roman" w:hAnsi="Times New Roman" w:cs="Times New Roman"/>
          <w:b/>
          <w:sz w:val="20"/>
          <w:szCs w:val="20"/>
        </w:rPr>
        <w:lastRenderedPageBreak/>
        <w:t xml:space="preserve">Table 4 </w:t>
      </w:r>
      <w:r w:rsidRPr="009D77BD">
        <w:rPr>
          <w:rFonts w:ascii="Times New Roman" w:hAnsi="Times New Roman" w:cs="Times New Roman"/>
          <w:bCs/>
          <w:sz w:val="20"/>
          <w:szCs w:val="20"/>
          <w:lang w:val="en-GB"/>
        </w:rPr>
        <w:t xml:space="preserve">Genetic parameters of VGSC of </w:t>
      </w:r>
      <w:r w:rsidRPr="009D77BD">
        <w:rPr>
          <w:rFonts w:ascii="Times New Roman" w:hAnsi="Times New Roman" w:cs="Times New Roman"/>
          <w:bCs/>
          <w:i/>
          <w:iCs/>
          <w:sz w:val="20"/>
          <w:szCs w:val="20"/>
          <w:lang w:val="en-GB"/>
        </w:rPr>
        <w:t xml:space="preserve">Anopheles funestus </w:t>
      </w:r>
      <w:r w:rsidRPr="009D77BD">
        <w:rPr>
          <w:rFonts w:ascii="Times New Roman" w:hAnsi="Times New Roman" w:cs="Times New Roman"/>
          <w:bCs/>
          <w:sz w:val="20"/>
          <w:szCs w:val="20"/>
          <w:lang w:val="en-GB"/>
        </w:rPr>
        <w:t>from Akaka-Remo compared to Benin and Cameroon populations</w:t>
      </w:r>
    </w:p>
    <w:p w14:paraId="750A5DCD" w14:textId="77777777" w:rsidR="00FE471A" w:rsidRPr="009D77BD" w:rsidRDefault="00FE471A" w:rsidP="00FE471A">
      <w:pPr>
        <w:rPr>
          <w:rFonts w:ascii="Times New Roman" w:hAnsi="Times New Roman" w:cs="Times New Roman"/>
          <w:b/>
          <w:sz w:val="20"/>
          <w:szCs w:val="20"/>
        </w:rPr>
      </w:pPr>
    </w:p>
    <w:p w14:paraId="29BD6D25" w14:textId="77777777" w:rsidR="00FE471A" w:rsidRPr="009D77BD" w:rsidRDefault="00FE471A" w:rsidP="00FE471A">
      <w:pPr>
        <w:rPr>
          <w:rFonts w:ascii="Times New Roman" w:hAnsi="Times New Roman" w:cs="Times New Roman"/>
          <w:b/>
          <w:sz w:val="20"/>
          <w:szCs w:val="20"/>
        </w:rPr>
      </w:pPr>
    </w:p>
    <w:tbl>
      <w:tblPr>
        <w:tblW w:w="13280" w:type="dxa"/>
        <w:tblCellMar>
          <w:left w:w="0" w:type="dxa"/>
          <w:right w:w="0" w:type="dxa"/>
        </w:tblCellMar>
        <w:tblLook w:val="04A0" w:firstRow="1" w:lastRow="0" w:firstColumn="1" w:lastColumn="0" w:noHBand="0" w:noVBand="1"/>
      </w:tblPr>
      <w:tblGrid>
        <w:gridCol w:w="1722"/>
        <w:gridCol w:w="860"/>
        <w:gridCol w:w="1182"/>
        <w:gridCol w:w="1222"/>
        <w:gridCol w:w="1182"/>
        <w:gridCol w:w="1182"/>
        <w:gridCol w:w="1142"/>
        <w:gridCol w:w="1222"/>
        <w:gridCol w:w="1182"/>
        <w:gridCol w:w="1142"/>
        <w:gridCol w:w="1242"/>
      </w:tblGrid>
      <w:tr w:rsidR="00FE471A" w:rsidRPr="009D77BD" w14:paraId="2C8F4081" w14:textId="77777777" w:rsidTr="0059169E">
        <w:trPr>
          <w:trHeight w:val="560"/>
        </w:trPr>
        <w:tc>
          <w:tcPr>
            <w:tcW w:w="17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6310FF07"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Locality</w:t>
            </w:r>
          </w:p>
        </w:tc>
        <w:tc>
          <w:tcPr>
            <w:tcW w:w="86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E14A08A"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N(2n)</w:t>
            </w:r>
          </w:p>
        </w:tc>
        <w:tc>
          <w:tcPr>
            <w:tcW w:w="1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185F7E51"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S</w:t>
            </w:r>
          </w:p>
        </w:tc>
        <w:tc>
          <w:tcPr>
            <w:tcW w:w="12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27D9509"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Pi (</w:t>
            </w:r>
            <w:r w:rsidRPr="00AA6AB4">
              <w:rPr>
                <w:rFonts w:ascii="Times New Roman" w:hAnsi="Times New Roman" w:cs="Times New Roman"/>
                <w:b/>
                <w:sz w:val="20"/>
                <w:szCs w:val="20"/>
                <w:lang w:val="fr-FR"/>
              </w:rPr>
              <w:t>π</w:t>
            </w:r>
            <w:r w:rsidRPr="00AA6AB4">
              <w:rPr>
                <w:rFonts w:ascii="Times New Roman" w:hAnsi="Times New Roman" w:cs="Times New Roman"/>
                <w:b/>
                <w:sz w:val="20"/>
                <w:szCs w:val="20"/>
                <w:lang w:val="en-GB"/>
              </w:rPr>
              <w:t>)</w:t>
            </w:r>
          </w:p>
        </w:tc>
        <w:tc>
          <w:tcPr>
            <w:tcW w:w="1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46CB492B"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K</w:t>
            </w:r>
          </w:p>
        </w:tc>
        <w:tc>
          <w:tcPr>
            <w:tcW w:w="1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FC2DAB9"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h</w:t>
            </w:r>
          </w:p>
        </w:tc>
        <w:tc>
          <w:tcPr>
            <w:tcW w:w="11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714DDED2"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hd</w:t>
            </w:r>
          </w:p>
        </w:tc>
        <w:tc>
          <w:tcPr>
            <w:tcW w:w="122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536A029E"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Syn</w:t>
            </w:r>
          </w:p>
        </w:tc>
        <w:tc>
          <w:tcPr>
            <w:tcW w:w="118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4F349A2"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Non-syn</w:t>
            </w:r>
          </w:p>
        </w:tc>
        <w:tc>
          <w:tcPr>
            <w:tcW w:w="11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245C8459"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D</w:t>
            </w:r>
          </w:p>
        </w:tc>
        <w:tc>
          <w:tcPr>
            <w:tcW w:w="124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hideMark/>
          </w:tcPr>
          <w:p w14:paraId="0C4E2287" w14:textId="77777777" w:rsidR="00FE471A" w:rsidRPr="00AA6AB4" w:rsidRDefault="00FE471A" w:rsidP="0059169E">
            <w:pPr>
              <w:rPr>
                <w:rFonts w:ascii="Times New Roman" w:hAnsi="Times New Roman" w:cs="Times New Roman"/>
                <w:b/>
                <w:sz w:val="20"/>
                <w:szCs w:val="20"/>
              </w:rPr>
            </w:pPr>
            <w:r w:rsidRPr="00AA6AB4">
              <w:rPr>
                <w:rFonts w:ascii="Times New Roman" w:hAnsi="Times New Roman" w:cs="Times New Roman"/>
                <w:b/>
                <w:sz w:val="20"/>
                <w:szCs w:val="20"/>
                <w:lang w:val="en-GB"/>
              </w:rPr>
              <w:t>D*</w:t>
            </w:r>
          </w:p>
        </w:tc>
      </w:tr>
      <w:tr w:rsidR="00FE471A" w:rsidRPr="009D77BD" w14:paraId="4D7EE3EC" w14:textId="77777777" w:rsidTr="0059169E">
        <w:trPr>
          <w:trHeight w:val="384"/>
        </w:trPr>
        <w:tc>
          <w:tcPr>
            <w:tcW w:w="17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0EAA55D4"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Akaka-Remo</w:t>
            </w:r>
          </w:p>
        </w:tc>
        <w:tc>
          <w:tcPr>
            <w:tcW w:w="86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7AB6C0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10</w:t>
            </w:r>
          </w:p>
        </w:tc>
        <w:tc>
          <w:tcPr>
            <w:tcW w:w="11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465B088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20</w:t>
            </w:r>
          </w:p>
        </w:tc>
        <w:tc>
          <w:tcPr>
            <w:tcW w:w="12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D6201CC"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0.00524</w:t>
            </w:r>
          </w:p>
        </w:tc>
        <w:tc>
          <w:tcPr>
            <w:tcW w:w="11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3EBCD25"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4.75556</w:t>
            </w:r>
          </w:p>
        </w:tc>
        <w:tc>
          <w:tcPr>
            <w:tcW w:w="11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829DCB5"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8</w:t>
            </w:r>
          </w:p>
        </w:tc>
        <w:tc>
          <w:tcPr>
            <w:tcW w:w="11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904E48B"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0.933</w:t>
            </w:r>
          </w:p>
        </w:tc>
        <w:tc>
          <w:tcPr>
            <w:tcW w:w="122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7BC08BB3"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0</w:t>
            </w:r>
          </w:p>
        </w:tc>
        <w:tc>
          <w:tcPr>
            <w:tcW w:w="118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24BC3EC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0</w:t>
            </w:r>
          </w:p>
        </w:tc>
        <w:tc>
          <w:tcPr>
            <w:tcW w:w="11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64C014CE"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-1.54</w:t>
            </w:r>
            <w:r>
              <w:rPr>
                <w:rFonts w:ascii="Times New Roman" w:hAnsi="Times New Roman" w:cs="Times New Roman"/>
                <w:bCs/>
                <w:sz w:val="20"/>
                <w:szCs w:val="20"/>
                <w:lang w:val="en-GB"/>
              </w:rPr>
              <w:t xml:space="preserve"> </w:t>
            </w:r>
            <w:r w:rsidRPr="00AA6AB4">
              <w:rPr>
                <w:rFonts w:ascii="Times New Roman" w:hAnsi="Times New Roman" w:cs="Times New Roman"/>
                <w:bCs/>
                <w:sz w:val="20"/>
                <w:szCs w:val="20"/>
                <w:vertAlign w:val="superscript"/>
                <w:lang w:val="en-GB"/>
              </w:rPr>
              <w:t>ns</w:t>
            </w:r>
          </w:p>
        </w:tc>
        <w:tc>
          <w:tcPr>
            <w:tcW w:w="1240" w:type="dxa"/>
            <w:tcBorders>
              <w:top w:val="single" w:sz="8" w:space="0" w:color="000000"/>
              <w:left w:val="nil"/>
              <w:bottom w:val="nil"/>
              <w:right w:val="nil"/>
            </w:tcBorders>
            <w:shd w:val="clear" w:color="auto" w:fill="auto"/>
            <w:tcMar>
              <w:top w:w="15" w:type="dxa"/>
              <w:left w:w="108" w:type="dxa"/>
              <w:bottom w:w="0" w:type="dxa"/>
              <w:right w:w="108" w:type="dxa"/>
            </w:tcMar>
            <w:hideMark/>
          </w:tcPr>
          <w:p w14:paraId="37EB007F"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bCs/>
                <w:sz w:val="20"/>
                <w:szCs w:val="20"/>
                <w:lang w:val="en-GB"/>
              </w:rPr>
              <w:t>-1.81</w:t>
            </w:r>
            <w:r>
              <w:rPr>
                <w:rFonts w:ascii="Times New Roman" w:hAnsi="Times New Roman" w:cs="Times New Roman"/>
                <w:bCs/>
                <w:sz w:val="20"/>
                <w:szCs w:val="20"/>
                <w:lang w:val="en-GB"/>
              </w:rPr>
              <w:t xml:space="preserve"> </w:t>
            </w:r>
            <w:r w:rsidRPr="005C025A">
              <w:rPr>
                <w:rFonts w:ascii="Times New Roman" w:hAnsi="Times New Roman" w:cs="Times New Roman"/>
                <w:bCs/>
                <w:sz w:val="20"/>
                <w:szCs w:val="20"/>
                <w:vertAlign w:val="superscript"/>
                <w:lang w:val="en-GB"/>
              </w:rPr>
              <w:t>ns</w:t>
            </w:r>
            <w:r w:rsidRPr="009D77BD">
              <w:rPr>
                <w:rFonts w:ascii="Times New Roman" w:hAnsi="Times New Roman" w:cs="Times New Roman"/>
                <w:bCs/>
                <w:sz w:val="20"/>
                <w:szCs w:val="20"/>
                <w:lang w:val="en-GB"/>
              </w:rPr>
              <w:t xml:space="preserve"> </w:t>
            </w:r>
          </w:p>
        </w:tc>
      </w:tr>
      <w:tr w:rsidR="00FE471A" w:rsidRPr="009D77BD" w14:paraId="161E9E25" w14:textId="77777777" w:rsidTr="0059169E">
        <w:trPr>
          <w:trHeight w:val="410"/>
        </w:trPr>
        <w:tc>
          <w:tcPr>
            <w:tcW w:w="1720" w:type="dxa"/>
            <w:tcBorders>
              <w:top w:val="nil"/>
              <w:left w:val="nil"/>
              <w:bottom w:val="nil"/>
              <w:right w:val="nil"/>
            </w:tcBorders>
            <w:shd w:val="clear" w:color="auto" w:fill="auto"/>
            <w:tcMar>
              <w:top w:w="15" w:type="dxa"/>
              <w:left w:w="108" w:type="dxa"/>
              <w:bottom w:w="0" w:type="dxa"/>
              <w:right w:w="108" w:type="dxa"/>
            </w:tcMar>
            <w:hideMark/>
          </w:tcPr>
          <w:p w14:paraId="17FAC222"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Kpome</w:t>
            </w:r>
          </w:p>
        </w:tc>
        <w:tc>
          <w:tcPr>
            <w:tcW w:w="860" w:type="dxa"/>
            <w:tcBorders>
              <w:top w:val="nil"/>
              <w:left w:val="nil"/>
              <w:bottom w:val="nil"/>
              <w:right w:val="nil"/>
            </w:tcBorders>
            <w:shd w:val="clear" w:color="auto" w:fill="auto"/>
            <w:tcMar>
              <w:top w:w="15" w:type="dxa"/>
              <w:left w:w="108" w:type="dxa"/>
              <w:bottom w:w="0" w:type="dxa"/>
              <w:right w:w="108" w:type="dxa"/>
            </w:tcMar>
            <w:hideMark/>
          </w:tcPr>
          <w:p w14:paraId="09F64D53"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22</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49011AC1"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12</w:t>
            </w:r>
          </w:p>
        </w:tc>
        <w:tc>
          <w:tcPr>
            <w:tcW w:w="1220" w:type="dxa"/>
            <w:tcBorders>
              <w:top w:val="nil"/>
              <w:left w:val="nil"/>
              <w:bottom w:val="nil"/>
              <w:right w:val="nil"/>
            </w:tcBorders>
            <w:shd w:val="clear" w:color="auto" w:fill="auto"/>
            <w:tcMar>
              <w:top w:w="15" w:type="dxa"/>
              <w:left w:w="108" w:type="dxa"/>
              <w:bottom w:w="0" w:type="dxa"/>
              <w:right w:w="108" w:type="dxa"/>
            </w:tcMar>
            <w:hideMark/>
          </w:tcPr>
          <w:p w14:paraId="4A6C4165"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0.00351</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36158D05"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2.93939</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73CFBDAC"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12</w:t>
            </w:r>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03AC6CEB"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0.909</w:t>
            </w:r>
          </w:p>
        </w:tc>
        <w:tc>
          <w:tcPr>
            <w:tcW w:w="1220" w:type="dxa"/>
            <w:tcBorders>
              <w:top w:val="nil"/>
              <w:left w:val="nil"/>
              <w:bottom w:val="nil"/>
              <w:right w:val="nil"/>
            </w:tcBorders>
            <w:shd w:val="clear" w:color="auto" w:fill="auto"/>
            <w:tcMar>
              <w:top w:w="15" w:type="dxa"/>
              <w:left w:w="108" w:type="dxa"/>
              <w:bottom w:w="0" w:type="dxa"/>
              <w:right w:w="108" w:type="dxa"/>
            </w:tcMar>
            <w:hideMark/>
          </w:tcPr>
          <w:p w14:paraId="08DB298C"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0</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5AD59FD9"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0</w:t>
            </w:r>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50622651"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-0.37</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p>
        </w:tc>
        <w:tc>
          <w:tcPr>
            <w:tcW w:w="1240" w:type="dxa"/>
            <w:tcBorders>
              <w:top w:val="nil"/>
              <w:left w:val="nil"/>
              <w:bottom w:val="nil"/>
              <w:right w:val="nil"/>
            </w:tcBorders>
            <w:shd w:val="clear" w:color="auto" w:fill="auto"/>
            <w:tcMar>
              <w:top w:w="15" w:type="dxa"/>
              <w:left w:w="108" w:type="dxa"/>
              <w:bottom w:w="0" w:type="dxa"/>
              <w:right w:w="108" w:type="dxa"/>
            </w:tcMar>
            <w:hideMark/>
          </w:tcPr>
          <w:p w14:paraId="6064CD23"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-0.32</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r w:rsidRPr="009D77BD">
              <w:rPr>
                <w:rFonts w:ascii="Times New Roman" w:hAnsi="Times New Roman" w:cs="Times New Roman"/>
                <w:sz w:val="20"/>
                <w:szCs w:val="20"/>
                <w:lang w:val="fr-FR"/>
              </w:rPr>
              <w:t xml:space="preserve"> </w:t>
            </w:r>
          </w:p>
        </w:tc>
      </w:tr>
      <w:tr w:rsidR="00FE471A" w:rsidRPr="009D77BD" w14:paraId="5EB3C5F5" w14:textId="77777777" w:rsidTr="0059169E">
        <w:trPr>
          <w:trHeight w:val="415"/>
        </w:trPr>
        <w:tc>
          <w:tcPr>
            <w:tcW w:w="1720" w:type="dxa"/>
            <w:tcBorders>
              <w:top w:val="nil"/>
              <w:left w:val="nil"/>
              <w:bottom w:val="nil"/>
              <w:right w:val="nil"/>
            </w:tcBorders>
            <w:shd w:val="clear" w:color="auto" w:fill="auto"/>
            <w:tcMar>
              <w:top w:w="15" w:type="dxa"/>
              <w:left w:w="108" w:type="dxa"/>
              <w:bottom w:w="0" w:type="dxa"/>
              <w:right w:w="108" w:type="dxa"/>
            </w:tcMar>
            <w:hideMark/>
          </w:tcPr>
          <w:p w14:paraId="2FA5B088"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Pahou</w:t>
            </w:r>
          </w:p>
        </w:tc>
        <w:tc>
          <w:tcPr>
            <w:tcW w:w="860" w:type="dxa"/>
            <w:tcBorders>
              <w:top w:val="nil"/>
              <w:left w:val="nil"/>
              <w:bottom w:val="nil"/>
              <w:right w:val="nil"/>
            </w:tcBorders>
            <w:shd w:val="clear" w:color="auto" w:fill="auto"/>
            <w:tcMar>
              <w:top w:w="15" w:type="dxa"/>
              <w:left w:w="108" w:type="dxa"/>
              <w:bottom w:w="0" w:type="dxa"/>
              <w:right w:w="108" w:type="dxa"/>
            </w:tcMar>
            <w:hideMark/>
          </w:tcPr>
          <w:p w14:paraId="0272290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20</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709BA57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10</w:t>
            </w:r>
          </w:p>
        </w:tc>
        <w:tc>
          <w:tcPr>
            <w:tcW w:w="1220" w:type="dxa"/>
            <w:tcBorders>
              <w:top w:val="nil"/>
              <w:left w:val="nil"/>
              <w:bottom w:val="nil"/>
              <w:right w:val="nil"/>
            </w:tcBorders>
            <w:shd w:val="clear" w:color="auto" w:fill="auto"/>
            <w:tcMar>
              <w:top w:w="15" w:type="dxa"/>
              <w:left w:w="108" w:type="dxa"/>
              <w:bottom w:w="0" w:type="dxa"/>
              <w:right w:w="108" w:type="dxa"/>
            </w:tcMar>
            <w:hideMark/>
          </w:tcPr>
          <w:p w14:paraId="1E269BA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0.0026</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4A2CFCC0"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2.17895</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3AE9315C"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12</w:t>
            </w:r>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1F176792"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0.905</w:t>
            </w:r>
          </w:p>
        </w:tc>
        <w:tc>
          <w:tcPr>
            <w:tcW w:w="1220" w:type="dxa"/>
            <w:tcBorders>
              <w:top w:val="nil"/>
              <w:left w:val="nil"/>
              <w:bottom w:val="nil"/>
              <w:right w:val="nil"/>
            </w:tcBorders>
            <w:shd w:val="clear" w:color="auto" w:fill="auto"/>
            <w:tcMar>
              <w:top w:w="15" w:type="dxa"/>
              <w:left w:w="108" w:type="dxa"/>
              <w:bottom w:w="0" w:type="dxa"/>
              <w:right w:w="108" w:type="dxa"/>
            </w:tcMar>
            <w:hideMark/>
          </w:tcPr>
          <w:p w14:paraId="5FED1B03"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0</w:t>
            </w:r>
          </w:p>
        </w:tc>
        <w:tc>
          <w:tcPr>
            <w:tcW w:w="1180" w:type="dxa"/>
            <w:tcBorders>
              <w:top w:val="nil"/>
              <w:left w:val="nil"/>
              <w:bottom w:val="nil"/>
              <w:right w:val="nil"/>
            </w:tcBorders>
            <w:shd w:val="clear" w:color="auto" w:fill="auto"/>
            <w:tcMar>
              <w:top w:w="15" w:type="dxa"/>
              <w:left w:w="108" w:type="dxa"/>
              <w:bottom w:w="0" w:type="dxa"/>
              <w:right w:w="108" w:type="dxa"/>
            </w:tcMar>
            <w:hideMark/>
          </w:tcPr>
          <w:p w14:paraId="26322D2A"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en-GB"/>
              </w:rPr>
              <w:t>0</w:t>
            </w:r>
          </w:p>
        </w:tc>
        <w:tc>
          <w:tcPr>
            <w:tcW w:w="1140" w:type="dxa"/>
            <w:tcBorders>
              <w:top w:val="nil"/>
              <w:left w:val="nil"/>
              <w:bottom w:val="nil"/>
              <w:right w:val="nil"/>
            </w:tcBorders>
            <w:shd w:val="clear" w:color="auto" w:fill="auto"/>
            <w:tcMar>
              <w:top w:w="15" w:type="dxa"/>
              <w:left w:w="108" w:type="dxa"/>
              <w:bottom w:w="0" w:type="dxa"/>
              <w:right w:w="108" w:type="dxa"/>
            </w:tcMar>
            <w:hideMark/>
          </w:tcPr>
          <w:p w14:paraId="6DFB6D63"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-0.79</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p>
        </w:tc>
        <w:tc>
          <w:tcPr>
            <w:tcW w:w="1240" w:type="dxa"/>
            <w:tcBorders>
              <w:top w:val="nil"/>
              <w:left w:val="nil"/>
              <w:bottom w:val="nil"/>
              <w:right w:val="nil"/>
            </w:tcBorders>
            <w:shd w:val="clear" w:color="auto" w:fill="auto"/>
            <w:tcMar>
              <w:top w:w="15" w:type="dxa"/>
              <w:left w:w="108" w:type="dxa"/>
              <w:bottom w:w="0" w:type="dxa"/>
              <w:right w:w="108" w:type="dxa"/>
            </w:tcMar>
            <w:hideMark/>
          </w:tcPr>
          <w:p w14:paraId="61A05398"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-0.96</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r w:rsidRPr="009D77BD">
              <w:rPr>
                <w:rFonts w:ascii="Times New Roman" w:hAnsi="Times New Roman" w:cs="Times New Roman"/>
                <w:sz w:val="20"/>
                <w:szCs w:val="20"/>
                <w:lang w:val="fr-FR"/>
              </w:rPr>
              <w:t xml:space="preserve"> </w:t>
            </w:r>
          </w:p>
        </w:tc>
      </w:tr>
      <w:tr w:rsidR="00FE471A" w:rsidRPr="009D77BD" w14:paraId="0272A30F" w14:textId="77777777" w:rsidTr="0059169E">
        <w:trPr>
          <w:trHeight w:val="407"/>
        </w:trPr>
        <w:tc>
          <w:tcPr>
            <w:tcW w:w="1720" w:type="dxa"/>
            <w:tcBorders>
              <w:top w:val="nil"/>
              <w:left w:val="nil"/>
              <w:bottom w:val="single" w:sz="8" w:space="0" w:color="000000"/>
              <w:right w:val="nil"/>
            </w:tcBorders>
            <w:shd w:val="clear" w:color="auto" w:fill="auto"/>
            <w:tcMar>
              <w:top w:w="15" w:type="dxa"/>
              <w:left w:w="66" w:type="dxa"/>
              <w:bottom w:w="0" w:type="dxa"/>
              <w:right w:w="66" w:type="dxa"/>
            </w:tcMar>
            <w:hideMark/>
          </w:tcPr>
          <w:p w14:paraId="31BE3CBE"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Cameroon</w:t>
            </w:r>
          </w:p>
        </w:tc>
        <w:tc>
          <w:tcPr>
            <w:tcW w:w="860" w:type="dxa"/>
            <w:tcBorders>
              <w:top w:val="nil"/>
              <w:left w:val="nil"/>
              <w:bottom w:val="single" w:sz="8" w:space="0" w:color="000000"/>
              <w:right w:val="nil"/>
            </w:tcBorders>
            <w:shd w:val="clear" w:color="auto" w:fill="auto"/>
            <w:tcMar>
              <w:top w:w="15" w:type="dxa"/>
              <w:left w:w="66" w:type="dxa"/>
              <w:bottom w:w="0" w:type="dxa"/>
              <w:right w:w="66" w:type="dxa"/>
            </w:tcMar>
            <w:hideMark/>
          </w:tcPr>
          <w:p w14:paraId="6A2D1EB6"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40</w:t>
            </w:r>
          </w:p>
        </w:tc>
        <w:tc>
          <w:tcPr>
            <w:tcW w:w="1180" w:type="dxa"/>
            <w:tcBorders>
              <w:top w:val="nil"/>
              <w:left w:val="nil"/>
              <w:bottom w:val="single" w:sz="8" w:space="0" w:color="000000"/>
              <w:right w:val="nil"/>
            </w:tcBorders>
            <w:shd w:val="clear" w:color="auto" w:fill="auto"/>
            <w:tcMar>
              <w:top w:w="15" w:type="dxa"/>
              <w:left w:w="66" w:type="dxa"/>
              <w:bottom w:w="0" w:type="dxa"/>
              <w:right w:w="66" w:type="dxa"/>
            </w:tcMar>
            <w:hideMark/>
          </w:tcPr>
          <w:p w14:paraId="60001637"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37</w:t>
            </w:r>
          </w:p>
        </w:tc>
        <w:tc>
          <w:tcPr>
            <w:tcW w:w="1220" w:type="dxa"/>
            <w:tcBorders>
              <w:top w:val="nil"/>
              <w:left w:val="nil"/>
              <w:bottom w:val="single" w:sz="8" w:space="0" w:color="000000"/>
              <w:right w:val="nil"/>
            </w:tcBorders>
            <w:shd w:val="clear" w:color="auto" w:fill="auto"/>
            <w:tcMar>
              <w:top w:w="15" w:type="dxa"/>
              <w:left w:w="66" w:type="dxa"/>
              <w:bottom w:w="0" w:type="dxa"/>
              <w:right w:w="66" w:type="dxa"/>
            </w:tcMar>
            <w:hideMark/>
          </w:tcPr>
          <w:p w14:paraId="7E611D9C"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0.00514</w:t>
            </w:r>
          </w:p>
        </w:tc>
        <w:tc>
          <w:tcPr>
            <w:tcW w:w="1180" w:type="dxa"/>
            <w:tcBorders>
              <w:top w:val="nil"/>
              <w:left w:val="nil"/>
              <w:bottom w:val="single" w:sz="8" w:space="0" w:color="000000"/>
              <w:right w:val="nil"/>
            </w:tcBorders>
            <w:shd w:val="clear" w:color="auto" w:fill="auto"/>
            <w:tcMar>
              <w:top w:w="15" w:type="dxa"/>
              <w:left w:w="66" w:type="dxa"/>
              <w:bottom w:w="0" w:type="dxa"/>
              <w:right w:w="66" w:type="dxa"/>
            </w:tcMar>
            <w:hideMark/>
          </w:tcPr>
          <w:p w14:paraId="6EB9DD82"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4.30128</w:t>
            </w:r>
          </w:p>
        </w:tc>
        <w:tc>
          <w:tcPr>
            <w:tcW w:w="1180" w:type="dxa"/>
            <w:tcBorders>
              <w:top w:val="nil"/>
              <w:left w:val="nil"/>
              <w:bottom w:val="single" w:sz="8" w:space="0" w:color="000000"/>
              <w:right w:val="nil"/>
            </w:tcBorders>
            <w:shd w:val="clear" w:color="auto" w:fill="auto"/>
            <w:tcMar>
              <w:top w:w="15" w:type="dxa"/>
              <w:left w:w="66" w:type="dxa"/>
              <w:bottom w:w="0" w:type="dxa"/>
              <w:right w:w="66" w:type="dxa"/>
            </w:tcMar>
            <w:hideMark/>
          </w:tcPr>
          <w:p w14:paraId="6B73BD88"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29</w:t>
            </w:r>
          </w:p>
        </w:tc>
        <w:tc>
          <w:tcPr>
            <w:tcW w:w="1140" w:type="dxa"/>
            <w:tcBorders>
              <w:top w:val="nil"/>
              <w:left w:val="nil"/>
              <w:bottom w:val="single" w:sz="8" w:space="0" w:color="000000"/>
              <w:right w:val="nil"/>
            </w:tcBorders>
            <w:shd w:val="clear" w:color="auto" w:fill="auto"/>
            <w:tcMar>
              <w:top w:w="15" w:type="dxa"/>
              <w:left w:w="66" w:type="dxa"/>
              <w:bottom w:w="0" w:type="dxa"/>
              <w:right w:w="66" w:type="dxa"/>
            </w:tcMar>
            <w:hideMark/>
          </w:tcPr>
          <w:p w14:paraId="523B0D9B"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0.977</w:t>
            </w:r>
          </w:p>
        </w:tc>
        <w:tc>
          <w:tcPr>
            <w:tcW w:w="1220" w:type="dxa"/>
            <w:tcBorders>
              <w:top w:val="nil"/>
              <w:left w:val="nil"/>
              <w:bottom w:val="single" w:sz="8" w:space="0" w:color="000000"/>
              <w:right w:val="nil"/>
            </w:tcBorders>
            <w:shd w:val="clear" w:color="auto" w:fill="auto"/>
            <w:tcMar>
              <w:top w:w="15" w:type="dxa"/>
              <w:left w:w="66" w:type="dxa"/>
              <w:bottom w:w="0" w:type="dxa"/>
              <w:right w:w="66" w:type="dxa"/>
            </w:tcMar>
            <w:hideMark/>
          </w:tcPr>
          <w:p w14:paraId="3E85CF3F"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w:t>
            </w:r>
          </w:p>
        </w:tc>
        <w:tc>
          <w:tcPr>
            <w:tcW w:w="1180" w:type="dxa"/>
            <w:tcBorders>
              <w:top w:val="nil"/>
              <w:left w:val="nil"/>
              <w:bottom w:val="single" w:sz="8" w:space="0" w:color="000000"/>
              <w:right w:val="nil"/>
            </w:tcBorders>
            <w:shd w:val="clear" w:color="auto" w:fill="auto"/>
            <w:tcMar>
              <w:top w:w="15" w:type="dxa"/>
              <w:left w:w="66" w:type="dxa"/>
              <w:bottom w:w="0" w:type="dxa"/>
              <w:right w:w="66" w:type="dxa"/>
            </w:tcMar>
            <w:hideMark/>
          </w:tcPr>
          <w:p w14:paraId="2E6C78DB"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3</w:t>
            </w:r>
          </w:p>
        </w:tc>
        <w:tc>
          <w:tcPr>
            <w:tcW w:w="1140" w:type="dxa"/>
            <w:tcBorders>
              <w:top w:val="nil"/>
              <w:left w:val="nil"/>
              <w:bottom w:val="single" w:sz="8" w:space="0" w:color="000000"/>
              <w:right w:val="nil"/>
            </w:tcBorders>
            <w:shd w:val="clear" w:color="auto" w:fill="auto"/>
            <w:tcMar>
              <w:top w:w="15" w:type="dxa"/>
              <w:left w:w="66" w:type="dxa"/>
              <w:bottom w:w="0" w:type="dxa"/>
              <w:right w:w="66" w:type="dxa"/>
            </w:tcMar>
            <w:hideMark/>
          </w:tcPr>
          <w:p w14:paraId="126542A7"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-1.81</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p>
        </w:tc>
        <w:tc>
          <w:tcPr>
            <w:tcW w:w="1240" w:type="dxa"/>
            <w:tcBorders>
              <w:top w:val="nil"/>
              <w:left w:val="nil"/>
              <w:bottom w:val="single" w:sz="8" w:space="0" w:color="000000"/>
              <w:right w:val="nil"/>
            </w:tcBorders>
            <w:shd w:val="clear" w:color="auto" w:fill="auto"/>
            <w:tcMar>
              <w:top w:w="15" w:type="dxa"/>
              <w:left w:w="66" w:type="dxa"/>
              <w:bottom w:w="0" w:type="dxa"/>
              <w:right w:w="66" w:type="dxa"/>
            </w:tcMar>
            <w:hideMark/>
          </w:tcPr>
          <w:p w14:paraId="51BAB305" w14:textId="77777777" w:rsidR="00FE471A" w:rsidRPr="009D77BD" w:rsidRDefault="00FE471A" w:rsidP="0059169E">
            <w:pPr>
              <w:rPr>
                <w:rFonts w:ascii="Times New Roman" w:hAnsi="Times New Roman" w:cs="Times New Roman"/>
                <w:sz w:val="20"/>
                <w:szCs w:val="20"/>
              </w:rPr>
            </w:pPr>
            <w:r w:rsidRPr="009D77BD">
              <w:rPr>
                <w:rFonts w:ascii="Times New Roman" w:hAnsi="Times New Roman" w:cs="Times New Roman"/>
                <w:sz w:val="20"/>
                <w:szCs w:val="20"/>
                <w:lang w:val="fr-FR"/>
              </w:rPr>
              <w:t>-2.75</w:t>
            </w:r>
            <w:r>
              <w:rPr>
                <w:rFonts w:ascii="Times New Roman" w:hAnsi="Times New Roman" w:cs="Times New Roman"/>
                <w:sz w:val="20"/>
                <w:szCs w:val="20"/>
                <w:lang w:val="fr-FR"/>
              </w:rPr>
              <w:t xml:space="preserve"> </w:t>
            </w:r>
            <w:r w:rsidRPr="005C025A">
              <w:rPr>
                <w:rFonts w:ascii="Times New Roman" w:hAnsi="Times New Roman" w:cs="Times New Roman"/>
                <w:bCs/>
                <w:sz w:val="20"/>
                <w:szCs w:val="20"/>
                <w:vertAlign w:val="superscript"/>
                <w:lang w:val="en-GB"/>
              </w:rPr>
              <w:t>ns</w:t>
            </w:r>
            <w:r w:rsidRPr="009D77BD">
              <w:rPr>
                <w:rFonts w:ascii="Times New Roman" w:hAnsi="Times New Roman" w:cs="Times New Roman"/>
                <w:sz w:val="20"/>
                <w:szCs w:val="20"/>
                <w:lang w:val="fr-FR"/>
              </w:rPr>
              <w:t xml:space="preserve"> </w:t>
            </w:r>
          </w:p>
        </w:tc>
      </w:tr>
    </w:tbl>
    <w:p w14:paraId="02E61A92" w14:textId="77777777" w:rsidR="00FE471A" w:rsidRPr="009D77BD" w:rsidRDefault="00FE471A" w:rsidP="00FE471A">
      <w:pPr>
        <w:rPr>
          <w:rFonts w:ascii="Times New Roman" w:hAnsi="Times New Roman" w:cs="Times New Roman"/>
          <w:b/>
          <w:sz w:val="20"/>
          <w:szCs w:val="20"/>
        </w:rPr>
      </w:pPr>
    </w:p>
    <w:p w14:paraId="5095F548" w14:textId="77777777" w:rsidR="00FE471A" w:rsidRPr="00AA6AB4" w:rsidRDefault="00FE471A" w:rsidP="00FE471A">
      <w:pPr>
        <w:rPr>
          <w:rFonts w:ascii="Times New Roman" w:hAnsi="Times New Roman" w:cs="Times New Roman"/>
          <w:bCs/>
          <w:iCs/>
          <w:sz w:val="20"/>
          <w:szCs w:val="20"/>
        </w:rPr>
      </w:pPr>
      <w:r w:rsidRPr="00AA6AB4">
        <w:rPr>
          <w:rFonts w:ascii="Times New Roman" w:hAnsi="Times New Roman" w:cs="Times New Roman"/>
          <w:bCs/>
          <w:i/>
          <w:sz w:val="20"/>
          <w:szCs w:val="20"/>
        </w:rPr>
        <w:t>Abbreviations</w:t>
      </w:r>
      <w:r>
        <w:rPr>
          <w:rFonts w:ascii="Times New Roman" w:hAnsi="Times New Roman" w:cs="Times New Roman"/>
          <w:bCs/>
          <w:iCs/>
          <w:sz w:val="20"/>
          <w:szCs w:val="20"/>
        </w:rPr>
        <w:t xml:space="preserve">: </w:t>
      </w:r>
      <w:r w:rsidRPr="00AA6AB4">
        <w:rPr>
          <w:rFonts w:ascii="Times New Roman" w:hAnsi="Times New Roman" w:cs="Times New Roman"/>
          <w:bCs/>
          <w:iCs/>
          <w:sz w:val="20"/>
          <w:szCs w:val="20"/>
        </w:rPr>
        <w:t xml:space="preserve">2n, number of sequences; S, number of polymorphic sites; π, nucleotide diversity; k, </w:t>
      </w:r>
      <w:r>
        <w:rPr>
          <w:rFonts w:ascii="Times New Roman" w:hAnsi="Times New Roman" w:cs="Times New Roman"/>
          <w:bCs/>
          <w:iCs/>
          <w:sz w:val="20"/>
          <w:szCs w:val="20"/>
        </w:rPr>
        <w:t>a</w:t>
      </w:r>
      <w:r w:rsidRPr="00AA6AB4">
        <w:rPr>
          <w:rFonts w:ascii="Times New Roman" w:hAnsi="Times New Roman" w:cs="Times New Roman"/>
          <w:bCs/>
          <w:iCs/>
          <w:sz w:val="20"/>
          <w:szCs w:val="20"/>
        </w:rPr>
        <w:t>verage number of nucleotide difference; h, number of haplotypes; hd, haplotype diversity; syn, syno</w:t>
      </w:r>
      <w:r>
        <w:rPr>
          <w:rFonts w:ascii="Times New Roman" w:hAnsi="Times New Roman" w:cs="Times New Roman"/>
          <w:bCs/>
          <w:iCs/>
          <w:sz w:val="20"/>
          <w:szCs w:val="20"/>
        </w:rPr>
        <w:t>n</w:t>
      </w:r>
      <w:r w:rsidRPr="00AA6AB4">
        <w:rPr>
          <w:rFonts w:ascii="Times New Roman" w:hAnsi="Times New Roman" w:cs="Times New Roman"/>
          <w:bCs/>
          <w:iCs/>
          <w:sz w:val="20"/>
          <w:szCs w:val="20"/>
        </w:rPr>
        <w:t>y</w:t>
      </w:r>
      <w:r>
        <w:rPr>
          <w:rFonts w:ascii="Times New Roman" w:hAnsi="Times New Roman" w:cs="Times New Roman"/>
          <w:bCs/>
          <w:iCs/>
          <w:sz w:val="20"/>
          <w:szCs w:val="20"/>
        </w:rPr>
        <w:t>m</w:t>
      </w:r>
      <w:r w:rsidRPr="00AA6AB4">
        <w:rPr>
          <w:rFonts w:ascii="Times New Roman" w:hAnsi="Times New Roman" w:cs="Times New Roman"/>
          <w:bCs/>
          <w:iCs/>
          <w:sz w:val="20"/>
          <w:szCs w:val="20"/>
        </w:rPr>
        <w:t xml:space="preserve">ous; Non-syn, </w:t>
      </w:r>
      <w:r>
        <w:rPr>
          <w:rFonts w:ascii="Times New Roman" w:hAnsi="Times New Roman" w:cs="Times New Roman"/>
          <w:bCs/>
          <w:iCs/>
          <w:sz w:val="20"/>
          <w:szCs w:val="20"/>
        </w:rPr>
        <w:t>n</w:t>
      </w:r>
      <w:r w:rsidRPr="00AA6AB4">
        <w:rPr>
          <w:rFonts w:ascii="Times New Roman" w:hAnsi="Times New Roman" w:cs="Times New Roman"/>
          <w:bCs/>
          <w:iCs/>
          <w:sz w:val="20"/>
          <w:szCs w:val="20"/>
        </w:rPr>
        <w:t>on-synonymous; D, Tajima’s statistics; D*, Fu and Li’s statistics; ns, not significant</w:t>
      </w:r>
    </w:p>
    <w:p w14:paraId="0A5C19BD" w14:textId="3E0DA66C" w:rsidR="00BF5696" w:rsidRPr="00CD231A" w:rsidRDefault="00BF5696" w:rsidP="00BF5696">
      <w:pPr>
        <w:spacing w:line="480" w:lineRule="auto"/>
        <w:rPr>
          <w:rFonts w:ascii="Times New Roman" w:hAnsi="Times New Roman" w:cs="Times New Roman"/>
          <w:b/>
        </w:rPr>
      </w:pPr>
    </w:p>
    <w:p w14:paraId="74681161" w14:textId="6B6C9FBC" w:rsidR="00EE03B1" w:rsidRPr="00BF5696" w:rsidRDefault="00BF5696">
      <w:pPr>
        <w:rPr>
          <w:b/>
          <w:noProof/>
        </w:rPr>
      </w:pPr>
      <w:r w:rsidRPr="00CD231A">
        <w:rPr>
          <w:noProof/>
        </w:rPr>
        <mc:AlternateContent>
          <mc:Choice Requires="wps">
            <w:drawing>
              <wp:anchor distT="0" distB="0" distL="114300" distR="114300" simplePos="0" relativeHeight="251659264" behindDoc="0" locked="0" layoutInCell="1" allowOverlap="1" wp14:anchorId="1AE0C126" wp14:editId="3B5E886D">
                <wp:simplePos x="0" y="0"/>
                <wp:positionH relativeFrom="column">
                  <wp:posOffset>228600</wp:posOffset>
                </wp:positionH>
                <wp:positionV relativeFrom="paragraph">
                  <wp:posOffset>0</wp:posOffset>
                </wp:positionV>
                <wp:extent cx="457200" cy="228600"/>
                <wp:effectExtent l="0" t="0" r="0" b="0"/>
                <wp:wrapTight wrapText="bothSides">
                  <wp:wrapPolygon edited="0">
                    <wp:start x="0" y="0"/>
                    <wp:lineTo x="21600" y="0"/>
                    <wp:lineTo x="21600" y="21600"/>
                    <wp:lineTo x="0" y="21600"/>
                    <wp:lineTo x="0" y="0"/>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C7134" w14:textId="77777777" w:rsidR="00D173DB" w:rsidRDefault="00D173DB" w:rsidP="00BF5696">
                            <w:r>
                              <w:t>A</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0C126" id="_x0000_t202" coordsize="21600,21600" o:spt="202" path="m,l,21600r21600,l21600,xe">
                <v:stroke joinstyle="miter"/>
                <v:path gradientshapeok="t" o:connecttype="rect"/>
              </v:shapetype>
              <v:shape id="Text Box 14" o:spid="_x0000_s1026" type="#_x0000_t202" style="position:absolute;margin-left:18pt;margin-top:0;width:36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" filled="f" stroked="f">
                <v:textbox inset=",7.2pt,,7.2pt">
                  <w:txbxContent>
                    <w:p w14:paraId="590C7134" w14:textId="77777777" w:rsidR="00D173DB" w:rsidRDefault="00D173DB" w:rsidP="00BF5696">
                      <w:r>
                        <w:t>A</w:t>
                      </w:r>
                    </w:p>
                  </w:txbxContent>
                </v:textbox>
                <w10:wrap type="tight"/>
              </v:shape>
            </w:pict>
          </mc:Fallback>
        </mc:AlternateContent>
      </w:r>
    </w:p>
    <w:sectPr w:rsidR="00EE03B1" w:rsidRPr="00BF5696" w:rsidSect="00FE471A">
      <w:footerReference w:type="default" r:id="rId15"/>
      <w:pgSz w:w="16840" w:h="11900" w:orient="landscape"/>
      <w:pgMar w:top="1800" w:right="1440" w:bottom="180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70EA5" w14:textId="77777777" w:rsidR="00114542" w:rsidRDefault="00114542">
      <w:r>
        <w:separator/>
      </w:r>
    </w:p>
  </w:endnote>
  <w:endnote w:type="continuationSeparator" w:id="0">
    <w:p w14:paraId="5BB79F4A" w14:textId="77777777" w:rsidR="00114542" w:rsidRDefault="00114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dvTT86d47313+20">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592C1" w14:textId="77777777" w:rsidR="00FE471A" w:rsidRDefault="00FE471A" w:rsidP="00B02F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48B39" w14:textId="77777777" w:rsidR="00D173DB" w:rsidRDefault="00D173DB" w:rsidP="00B02F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34CFD2" w14:textId="77777777" w:rsidR="00114542" w:rsidRDefault="00114542">
      <w:r>
        <w:separator/>
      </w:r>
    </w:p>
  </w:footnote>
  <w:footnote w:type="continuationSeparator" w:id="0">
    <w:p w14:paraId="2FD21DF9" w14:textId="77777777" w:rsidR="00114542" w:rsidRDefault="001145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696"/>
    <w:rsid w:val="00066302"/>
    <w:rsid w:val="00076CDB"/>
    <w:rsid w:val="00083B43"/>
    <w:rsid w:val="00094F47"/>
    <w:rsid w:val="000C3E2B"/>
    <w:rsid w:val="00114542"/>
    <w:rsid w:val="001209F0"/>
    <w:rsid w:val="00186D08"/>
    <w:rsid w:val="00290E51"/>
    <w:rsid w:val="002C13FE"/>
    <w:rsid w:val="003205D9"/>
    <w:rsid w:val="00345E0E"/>
    <w:rsid w:val="003C0923"/>
    <w:rsid w:val="003E6A8F"/>
    <w:rsid w:val="00407852"/>
    <w:rsid w:val="00462A45"/>
    <w:rsid w:val="004C3B81"/>
    <w:rsid w:val="005420FF"/>
    <w:rsid w:val="005957F1"/>
    <w:rsid w:val="005C5377"/>
    <w:rsid w:val="00617F96"/>
    <w:rsid w:val="00671794"/>
    <w:rsid w:val="00693632"/>
    <w:rsid w:val="006D37F2"/>
    <w:rsid w:val="00712FFC"/>
    <w:rsid w:val="0080550A"/>
    <w:rsid w:val="00846512"/>
    <w:rsid w:val="009A5942"/>
    <w:rsid w:val="009E69DC"/>
    <w:rsid w:val="00A14F1D"/>
    <w:rsid w:val="00A41496"/>
    <w:rsid w:val="00AF3D37"/>
    <w:rsid w:val="00B02F12"/>
    <w:rsid w:val="00B04F65"/>
    <w:rsid w:val="00B213D5"/>
    <w:rsid w:val="00B26B95"/>
    <w:rsid w:val="00B936F6"/>
    <w:rsid w:val="00BB2281"/>
    <w:rsid w:val="00BE4BF2"/>
    <w:rsid w:val="00BF5696"/>
    <w:rsid w:val="00C534DE"/>
    <w:rsid w:val="00C67ED2"/>
    <w:rsid w:val="00CD231A"/>
    <w:rsid w:val="00D173DB"/>
    <w:rsid w:val="00D3488F"/>
    <w:rsid w:val="00D46F29"/>
    <w:rsid w:val="00DB68D8"/>
    <w:rsid w:val="00DD1F7E"/>
    <w:rsid w:val="00DD6A42"/>
    <w:rsid w:val="00E86493"/>
    <w:rsid w:val="00EB4B01"/>
    <w:rsid w:val="00EC5211"/>
    <w:rsid w:val="00ED6D27"/>
    <w:rsid w:val="00ED7617"/>
    <w:rsid w:val="00EE03B1"/>
    <w:rsid w:val="00F32828"/>
    <w:rsid w:val="00F36F4A"/>
    <w:rsid w:val="00F57FA3"/>
    <w:rsid w:val="00F97153"/>
    <w:rsid w:val="00FE471A"/>
    <w:rsid w:val="00FF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85B9"/>
  <w15:chartTrackingRefBased/>
  <w15:docId w15:val="{020A537D-16B2-4D62-B6E6-DB2AE69E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F5696"/>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rsid w:val="00BF5696"/>
    <w:rPr>
      <w:rFonts w:eastAsiaTheme="minorEastAsia"/>
      <w:sz w:val="24"/>
      <w:szCs w:val="24"/>
    </w:rPr>
  </w:style>
  <w:style w:type="paragraph" w:styleId="CommentText">
    <w:name w:val="annotation text"/>
    <w:basedOn w:val="Normal"/>
    <w:link w:val="CommentTextChar"/>
    <w:uiPriority w:val="99"/>
    <w:unhideWhenUsed/>
    <w:rsid w:val="00BF5696"/>
  </w:style>
  <w:style w:type="character" w:customStyle="1" w:styleId="CommentTextChar1">
    <w:name w:val="Comment Text Char1"/>
    <w:basedOn w:val="DefaultParagraphFont"/>
    <w:uiPriority w:val="99"/>
    <w:semiHidden/>
    <w:rsid w:val="00BF5696"/>
    <w:rPr>
      <w:rFonts w:eastAsiaTheme="minorEastAsia"/>
      <w:sz w:val="20"/>
      <w:szCs w:val="20"/>
    </w:rPr>
  </w:style>
  <w:style w:type="character" w:customStyle="1" w:styleId="CommentSubjectChar">
    <w:name w:val="Comment Subject Char"/>
    <w:basedOn w:val="CommentTextChar"/>
    <w:link w:val="CommentSubject"/>
    <w:uiPriority w:val="99"/>
    <w:semiHidden/>
    <w:rsid w:val="00BF5696"/>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BF5696"/>
    <w:rPr>
      <w:b/>
      <w:bCs/>
      <w:sz w:val="20"/>
      <w:szCs w:val="20"/>
    </w:rPr>
  </w:style>
  <w:style w:type="character" w:customStyle="1" w:styleId="CommentSubjectChar1">
    <w:name w:val="Comment Subject Char1"/>
    <w:basedOn w:val="CommentTextChar1"/>
    <w:uiPriority w:val="99"/>
    <w:semiHidden/>
    <w:rsid w:val="00BF5696"/>
    <w:rPr>
      <w:rFonts w:eastAsiaTheme="minorEastAsia"/>
      <w:b/>
      <w:bCs/>
      <w:sz w:val="20"/>
      <w:szCs w:val="20"/>
    </w:rPr>
  </w:style>
  <w:style w:type="character" w:customStyle="1" w:styleId="BalloonTextChar">
    <w:name w:val="Balloon Text Char"/>
    <w:basedOn w:val="DefaultParagraphFont"/>
    <w:link w:val="BalloonText"/>
    <w:uiPriority w:val="99"/>
    <w:semiHidden/>
    <w:rsid w:val="00BF5696"/>
    <w:rPr>
      <w:rFonts w:ascii="Lucida Grande" w:eastAsiaTheme="minorEastAsia" w:hAnsi="Lucida Grande" w:cs="Lucida Grande"/>
      <w:sz w:val="18"/>
      <w:szCs w:val="18"/>
    </w:rPr>
  </w:style>
  <w:style w:type="paragraph" w:styleId="BalloonText">
    <w:name w:val="Balloon Text"/>
    <w:basedOn w:val="Normal"/>
    <w:link w:val="BalloonTextChar"/>
    <w:uiPriority w:val="99"/>
    <w:semiHidden/>
    <w:unhideWhenUsed/>
    <w:rsid w:val="00BF5696"/>
    <w:rPr>
      <w:rFonts w:ascii="Lucida Grande" w:hAnsi="Lucida Grande" w:cs="Lucida Grande"/>
      <w:sz w:val="18"/>
      <w:szCs w:val="18"/>
    </w:rPr>
  </w:style>
  <w:style w:type="character" w:customStyle="1" w:styleId="BalloonTextChar1">
    <w:name w:val="Balloon Text Char1"/>
    <w:basedOn w:val="DefaultParagraphFont"/>
    <w:uiPriority w:val="99"/>
    <w:semiHidden/>
    <w:rsid w:val="00BF5696"/>
    <w:rPr>
      <w:rFonts w:ascii="Segoe UI" w:eastAsiaTheme="minorEastAsia" w:hAnsi="Segoe UI" w:cs="Segoe UI"/>
      <w:sz w:val="18"/>
      <w:szCs w:val="18"/>
    </w:rPr>
  </w:style>
  <w:style w:type="character" w:customStyle="1" w:styleId="FooterChar">
    <w:name w:val="Footer Char"/>
    <w:basedOn w:val="DefaultParagraphFont"/>
    <w:link w:val="Footer"/>
    <w:uiPriority w:val="99"/>
    <w:rsid w:val="00BF5696"/>
    <w:rPr>
      <w:rFonts w:eastAsiaTheme="minorEastAsia"/>
      <w:sz w:val="24"/>
      <w:szCs w:val="24"/>
    </w:rPr>
  </w:style>
  <w:style w:type="paragraph" w:styleId="Footer">
    <w:name w:val="footer"/>
    <w:basedOn w:val="Normal"/>
    <w:link w:val="FooterChar"/>
    <w:uiPriority w:val="99"/>
    <w:unhideWhenUsed/>
    <w:rsid w:val="00BF5696"/>
    <w:pPr>
      <w:tabs>
        <w:tab w:val="center" w:pos="4320"/>
        <w:tab w:val="right" w:pos="8640"/>
      </w:tabs>
    </w:pPr>
  </w:style>
  <w:style w:type="character" w:customStyle="1" w:styleId="FooterChar1">
    <w:name w:val="Footer Char1"/>
    <w:basedOn w:val="DefaultParagraphFont"/>
    <w:uiPriority w:val="99"/>
    <w:semiHidden/>
    <w:rsid w:val="00BF5696"/>
    <w:rPr>
      <w:rFonts w:eastAsiaTheme="minorEastAsia"/>
      <w:sz w:val="24"/>
      <w:szCs w:val="24"/>
    </w:rPr>
  </w:style>
  <w:style w:type="character" w:customStyle="1" w:styleId="HeaderChar">
    <w:name w:val="Header Char"/>
    <w:basedOn w:val="DefaultParagraphFont"/>
    <w:link w:val="Header"/>
    <w:uiPriority w:val="99"/>
    <w:rsid w:val="00BF5696"/>
    <w:rPr>
      <w:rFonts w:eastAsiaTheme="minorEastAsia"/>
      <w:sz w:val="24"/>
      <w:szCs w:val="24"/>
    </w:rPr>
  </w:style>
  <w:style w:type="paragraph" w:styleId="Header">
    <w:name w:val="header"/>
    <w:basedOn w:val="Normal"/>
    <w:link w:val="HeaderChar"/>
    <w:uiPriority w:val="99"/>
    <w:unhideWhenUsed/>
    <w:rsid w:val="00BF5696"/>
    <w:pPr>
      <w:tabs>
        <w:tab w:val="center" w:pos="4680"/>
        <w:tab w:val="right" w:pos="9360"/>
      </w:tabs>
    </w:pPr>
  </w:style>
  <w:style w:type="paragraph" w:styleId="NormalWeb">
    <w:name w:val="Normal (Web)"/>
    <w:basedOn w:val="Normal"/>
    <w:uiPriority w:val="99"/>
    <w:unhideWhenUsed/>
    <w:rsid w:val="00BF5696"/>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BF5696"/>
    <w:rPr>
      <w:i/>
      <w:iCs/>
    </w:rPr>
  </w:style>
  <w:style w:type="character" w:styleId="Hyperlink">
    <w:name w:val="Hyperlink"/>
    <w:uiPriority w:val="99"/>
    <w:unhideWhenUsed/>
    <w:rsid w:val="00BF5696"/>
    <w:rPr>
      <w:color w:val="0563C1"/>
      <w:u w:val="single"/>
    </w:rPr>
  </w:style>
  <w:style w:type="character" w:customStyle="1" w:styleId="apple-converted-space">
    <w:name w:val="apple-converted-space"/>
    <w:basedOn w:val="DefaultParagraphFont"/>
    <w:rsid w:val="00BF5696"/>
  </w:style>
  <w:style w:type="character" w:styleId="CommentReference">
    <w:name w:val="annotation reference"/>
    <w:basedOn w:val="DefaultParagraphFont"/>
    <w:uiPriority w:val="99"/>
    <w:semiHidden/>
    <w:unhideWhenUsed/>
    <w:rsid w:val="00345E0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malaria/media/world-malaria-report-2016/en/" TargetMode="External"/><Relationship Id="rId13"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hyperlink" Target="mailto:seunatoyebi@gmail.com"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r.djouaka@cgiar.org" TargetMode="Externa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44</Pages>
  <Words>80503</Words>
  <Characters>458870</Characters>
  <Application>Microsoft Office Word</Application>
  <DocSecurity>0</DocSecurity>
  <Lines>3823</Lines>
  <Paragraphs>1076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Seun Atoyebi</cp:lastModifiedBy>
  <cp:revision>3</cp:revision>
  <dcterms:created xsi:type="dcterms:W3CDTF">2020-11-03T15:35:00Z</dcterms:created>
  <dcterms:modified xsi:type="dcterms:W3CDTF">2020-11-03T15:39:00Z</dcterms:modified>
</cp:coreProperties>
</file>