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AA092" w14:textId="272E1001" w:rsidR="00D70DAF" w:rsidRPr="00D0161E" w:rsidRDefault="003B724F" w:rsidP="00D0161E">
      <w:pPr>
        <w:pStyle w:val="Heading1"/>
        <w:spacing w:before="0" w:line="480" w:lineRule="auto"/>
        <w:rPr>
          <w:rFonts w:ascii="Times New Roman" w:hAnsi="Times New Roman"/>
          <w:b/>
          <w:color w:val="000000" w:themeColor="text1"/>
          <w:sz w:val="24"/>
        </w:rPr>
      </w:pPr>
      <w:r w:rsidRPr="00D0161E">
        <w:rPr>
          <w:rFonts w:ascii="Times New Roman" w:hAnsi="Times New Roman"/>
          <w:b/>
          <w:color w:val="000000" w:themeColor="text1"/>
          <w:sz w:val="24"/>
        </w:rPr>
        <w:t>T</w:t>
      </w:r>
      <w:r>
        <w:rPr>
          <w:rFonts w:ascii="Times New Roman" w:hAnsi="Times New Roman"/>
          <w:b/>
          <w:color w:val="000000" w:themeColor="text1"/>
          <w:sz w:val="24"/>
        </w:rPr>
        <w:t>eneb</w:t>
      </w:r>
      <w:r w:rsidR="00CC52E9">
        <w:rPr>
          <w:rFonts w:ascii="Times New Roman" w:hAnsi="Times New Roman"/>
          <w:b/>
          <w:color w:val="000000" w:themeColor="text1"/>
          <w:sz w:val="24"/>
        </w:rPr>
        <w:t>en</w:t>
      </w:r>
      <w:r>
        <w:rPr>
          <w:rFonts w:ascii="Times New Roman" w:hAnsi="Times New Roman"/>
          <w:b/>
          <w:color w:val="000000" w:themeColor="text1"/>
          <w:sz w:val="24"/>
        </w:rPr>
        <w:t>al</w:t>
      </w:r>
      <w:r w:rsidR="00D85797" w:rsidRPr="00D0161E">
        <w:rPr>
          <w:rFonts w:ascii="Times New Roman" w:hAnsi="Times New Roman"/>
          <w:b/>
          <w:color w:val="000000" w:themeColor="text1"/>
          <w:sz w:val="24"/>
        </w:rPr>
        <w:t xml:space="preserve">: a meta-diamide with potential for use as a novel </w:t>
      </w:r>
      <w:r w:rsidR="00CC3647" w:rsidRPr="00D0161E">
        <w:rPr>
          <w:rFonts w:ascii="Times New Roman" w:hAnsi="Times New Roman"/>
          <w:b/>
          <w:color w:val="000000" w:themeColor="text1"/>
          <w:sz w:val="24"/>
        </w:rPr>
        <w:t xml:space="preserve">mode of action </w:t>
      </w:r>
      <w:r w:rsidR="00D85797" w:rsidRPr="00D0161E">
        <w:rPr>
          <w:rFonts w:ascii="Times New Roman" w:hAnsi="Times New Roman"/>
          <w:b/>
          <w:color w:val="000000" w:themeColor="text1"/>
          <w:sz w:val="24"/>
        </w:rPr>
        <w:t>insecticide for public health</w:t>
      </w:r>
      <w:r w:rsidR="009A4E07" w:rsidRPr="00D0161E">
        <w:rPr>
          <w:rFonts w:ascii="Times New Roman" w:hAnsi="Times New Roman"/>
          <w:b/>
          <w:color w:val="000000" w:themeColor="text1"/>
          <w:sz w:val="24"/>
        </w:rPr>
        <w:t xml:space="preserve"> </w:t>
      </w:r>
    </w:p>
    <w:p w14:paraId="5C4EC838" w14:textId="77777777" w:rsidR="005E2DAF" w:rsidRPr="00D0161E" w:rsidRDefault="005E2DAF" w:rsidP="00D0161E">
      <w:pPr>
        <w:spacing w:line="480" w:lineRule="auto"/>
        <w:rPr>
          <w:color w:val="000000" w:themeColor="text1"/>
        </w:rPr>
      </w:pPr>
    </w:p>
    <w:p w14:paraId="5563FB9C" w14:textId="77777777" w:rsidR="00D85797" w:rsidRPr="00D0161E" w:rsidRDefault="00D85797" w:rsidP="00D0161E">
      <w:pPr>
        <w:spacing w:line="480" w:lineRule="auto"/>
        <w:rPr>
          <w:color w:val="000000" w:themeColor="text1"/>
        </w:rPr>
      </w:pPr>
      <w:r w:rsidRPr="00D0161E">
        <w:rPr>
          <w:color w:val="000000" w:themeColor="text1"/>
        </w:rPr>
        <w:t xml:space="preserve">Rosemary </w:t>
      </w:r>
      <w:r w:rsidR="00C63AA3" w:rsidRPr="00D0161E">
        <w:rPr>
          <w:color w:val="000000" w:themeColor="text1"/>
        </w:rPr>
        <w:t xml:space="preserve">Susan </w:t>
      </w:r>
      <w:r w:rsidRPr="00D0161E">
        <w:rPr>
          <w:color w:val="000000" w:themeColor="text1"/>
        </w:rPr>
        <w:t>Lees</w:t>
      </w:r>
      <w:r w:rsidR="0018188F" w:rsidRPr="00D0161E">
        <w:rPr>
          <w:rFonts w:cs="Arial"/>
          <w:color w:val="000000" w:themeColor="text1"/>
          <w:szCs w:val="17"/>
          <w:vertAlign w:val="superscript"/>
        </w:rPr>
        <w:t>1</w:t>
      </w:r>
      <w:r w:rsidR="00C63AA3" w:rsidRPr="00D0161E">
        <w:rPr>
          <w:color w:val="000000" w:themeColor="text1"/>
        </w:rPr>
        <w:t>*</w:t>
      </w:r>
      <w:r w:rsidRPr="00D0161E">
        <w:rPr>
          <w:color w:val="000000" w:themeColor="text1"/>
        </w:rPr>
        <w:t>, Pauline Ambrose</w:t>
      </w:r>
      <w:r w:rsidR="0018188F" w:rsidRPr="00D0161E">
        <w:rPr>
          <w:rFonts w:cs="Arial"/>
          <w:color w:val="000000" w:themeColor="text1"/>
          <w:szCs w:val="17"/>
          <w:vertAlign w:val="superscript"/>
        </w:rPr>
        <w:t>1</w:t>
      </w:r>
      <w:r w:rsidRPr="00D0161E">
        <w:rPr>
          <w:color w:val="000000" w:themeColor="text1"/>
        </w:rPr>
        <w:t xml:space="preserve">, </w:t>
      </w:r>
      <w:r w:rsidR="00312330" w:rsidRPr="00D0161E">
        <w:rPr>
          <w:color w:val="000000" w:themeColor="text1"/>
        </w:rPr>
        <w:t>Jessica Williams</w:t>
      </w:r>
      <w:r w:rsidR="00312330" w:rsidRPr="00D0161E">
        <w:rPr>
          <w:rFonts w:cs="Arial"/>
          <w:color w:val="000000" w:themeColor="text1"/>
          <w:szCs w:val="17"/>
          <w:vertAlign w:val="superscript"/>
        </w:rPr>
        <w:t>1</w:t>
      </w:r>
      <w:r w:rsidR="00312330" w:rsidRPr="00D0161E">
        <w:rPr>
          <w:color w:val="000000" w:themeColor="text1"/>
        </w:rPr>
        <w:t xml:space="preserve">, </w:t>
      </w:r>
      <w:r w:rsidR="003E1843" w:rsidRPr="00D0161E">
        <w:rPr>
          <w:color w:val="000000" w:themeColor="text1"/>
        </w:rPr>
        <w:t>John Morgan</w:t>
      </w:r>
      <w:r w:rsidR="003E1843" w:rsidRPr="00D0161E">
        <w:rPr>
          <w:rFonts w:cs="Arial"/>
          <w:color w:val="000000" w:themeColor="text1"/>
          <w:szCs w:val="17"/>
          <w:vertAlign w:val="superscript"/>
        </w:rPr>
        <w:t>1</w:t>
      </w:r>
      <w:r w:rsidR="003E1843" w:rsidRPr="00D0161E">
        <w:rPr>
          <w:color w:val="000000" w:themeColor="text1"/>
        </w:rPr>
        <w:t xml:space="preserve">, </w:t>
      </w:r>
      <w:r w:rsidR="00F406B1" w:rsidRPr="00D0161E">
        <w:rPr>
          <w:color w:val="000000" w:themeColor="text1"/>
        </w:rPr>
        <w:t>Giorgio Praulins</w:t>
      </w:r>
      <w:r w:rsidR="0018188F" w:rsidRPr="00D0161E">
        <w:rPr>
          <w:rFonts w:cs="Arial"/>
          <w:color w:val="000000" w:themeColor="text1"/>
          <w:szCs w:val="17"/>
          <w:vertAlign w:val="superscript"/>
        </w:rPr>
        <w:t>1</w:t>
      </w:r>
      <w:r w:rsidR="00F406B1" w:rsidRPr="00D0161E">
        <w:rPr>
          <w:color w:val="000000" w:themeColor="text1"/>
        </w:rPr>
        <w:t xml:space="preserve">, </w:t>
      </w:r>
      <w:r w:rsidR="00312330" w:rsidRPr="00D0161E">
        <w:rPr>
          <w:color w:val="000000" w:themeColor="text1"/>
        </w:rPr>
        <w:t>Victoria</w:t>
      </w:r>
      <w:r w:rsidR="00AB0496" w:rsidRPr="00D0161E">
        <w:rPr>
          <w:color w:val="000000" w:themeColor="text1"/>
        </w:rPr>
        <w:t xml:space="preserve"> A</w:t>
      </w:r>
      <w:r w:rsidR="007D33E3" w:rsidRPr="00D0161E">
        <w:rPr>
          <w:color w:val="000000" w:themeColor="text1"/>
        </w:rPr>
        <w:t>.</w:t>
      </w:r>
      <w:r w:rsidR="00312330" w:rsidRPr="00D0161E">
        <w:rPr>
          <w:color w:val="000000" w:themeColor="text1"/>
        </w:rPr>
        <w:t xml:space="preserve"> Ingham</w:t>
      </w:r>
      <w:r w:rsidR="00312330" w:rsidRPr="00D0161E">
        <w:rPr>
          <w:rFonts w:cs="Arial"/>
          <w:color w:val="000000" w:themeColor="text1"/>
          <w:szCs w:val="17"/>
          <w:vertAlign w:val="superscript"/>
        </w:rPr>
        <w:t>1</w:t>
      </w:r>
      <w:r w:rsidR="00312330" w:rsidRPr="00D0161E">
        <w:rPr>
          <w:rFonts w:cs="Arial"/>
          <w:color w:val="000000" w:themeColor="text1"/>
          <w:szCs w:val="17"/>
        </w:rPr>
        <w:t xml:space="preserve">, </w:t>
      </w:r>
      <w:r w:rsidR="00166E40" w:rsidRPr="00D0161E">
        <w:rPr>
          <w:color w:val="000000" w:themeColor="text1"/>
        </w:rPr>
        <w:t xml:space="preserve">Chris </w:t>
      </w:r>
      <w:r w:rsidR="00D60CD0" w:rsidRPr="00D0161E">
        <w:rPr>
          <w:color w:val="000000" w:themeColor="text1"/>
        </w:rPr>
        <w:t xml:space="preserve">T. </w:t>
      </w:r>
      <w:r w:rsidR="00166E40" w:rsidRPr="00D0161E">
        <w:rPr>
          <w:color w:val="000000" w:themeColor="text1"/>
        </w:rPr>
        <w:t>Williams</w:t>
      </w:r>
      <w:r w:rsidR="00166E40" w:rsidRPr="00D0161E">
        <w:rPr>
          <w:color w:val="000000" w:themeColor="text1"/>
          <w:vertAlign w:val="superscript"/>
        </w:rPr>
        <w:t>1</w:t>
      </w:r>
      <w:r w:rsidR="00166E40" w:rsidRPr="00D0161E">
        <w:rPr>
          <w:color w:val="000000" w:themeColor="text1"/>
        </w:rPr>
        <w:t>, R</w:t>
      </w:r>
      <w:r w:rsidR="004F638E" w:rsidRPr="00D0161E">
        <w:rPr>
          <w:color w:val="000000" w:themeColor="text1"/>
        </w:rPr>
        <w:t xml:space="preserve">hiannon </w:t>
      </w:r>
      <w:r w:rsidR="00D60CD0" w:rsidRPr="00D0161E">
        <w:rPr>
          <w:color w:val="000000" w:themeColor="text1"/>
        </w:rPr>
        <w:t xml:space="preserve">Agnes Ellis </w:t>
      </w:r>
      <w:r w:rsidR="004F638E" w:rsidRPr="00D0161E">
        <w:rPr>
          <w:color w:val="000000" w:themeColor="text1"/>
        </w:rPr>
        <w:t>Logan</w:t>
      </w:r>
      <w:r w:rsidR="0018188F" w:rsidRPr="00D0161E">
        <w:rPr>
          <w:rFonts w:cs="Arial"/>
          <w:color w:val="000000" w:themeColor="text1"/>
          <w:szCs w:val="17"/>
          <w:vertAlign w:val="superscript"/>
        </w:rPr>
        <w:t>1</w:t>
      </w:r>
      <w:r w:rsidR="004F638E" w:rsidRPr="00D0161E">
        <w:rPr>
          <w:color w:val="000000" w:themeColor="text1"/>
        </w:rPr>
        <w:t>, Hanafy</w:t>
      </w:r>
      <w:r w:rsidR="00053F01" w:rsidRPr="00D0161E">
        <w:rPr>
          <w:color w:val="000000" w:themeColor="text1"/>
        </w:rPr>
        <w:t xml:space="preserve"> M.</w:t>
      </w:r>
      <w:r w:rsidR="004F638E" w:rsidRPr="00D0161E">
        <w:rPr>
          <w:color w:val="000000" w:themeColor="text1"/>
        </w:rPr>
        <w:t xml:space="preserve"> Ismail</w:t>
      </w:r>
      <w:r w:rsidR="0018188F" w:rsidRPr="00D0161E">
        <w:rPr>
          <w:rFonts w:cs="Arial"/>
          <w:color w:val="000000" w:themeColor="text1"/>
          <w:szCs w:val="17"/>
          <w:vertAlign w:val="superscript"/>
        </w:rPr>
        <w:t>1</w:t>
      </w:r>
      <w:r w:rsidR="004F638E" w:rsidRPr="00D0161E">
        <w:rPr>
          <w:color w:val="000000" w:themeColor="text1"/>
        </w:rPr>
        <w:t xml:space="preserve">, </w:t>
      </w:r>
      <w:r w:rsidRPr="00D0161E">
        <w:rPr>
          <w:color w:val="000000" w:themeColor="text1"/>
        </w:rPr>
        <w:t>David Malone</w:t>
      </w:r>
      <w:r w:rsidR="0018188F" w:rsidRPr="00D0161E">
        <w:rPr>
          <w:rFonts w:cs="Arial"/>
          <w:color w:val="000000" w:themeColor="text1"/>
          <w:szCs w:val="17"/>
          <w:vertAlign w:val="superscript"/>
        </w:rPr>
        <w:t>2</w:t>
      </w:r>
      <w:r w:rsidR="002A1AF2" w:rsidRPr="00D0161E">
        <w:rPr>
          <w:rFonts w:cs="Arial"/>
          <w:color w:val="000000" w:themeColor="text1"/>
          <w:szCs w:val="17"/>
          <w:vertAlign w:val="superscript"/>
        </w:rPr>
        <w:t>¤</w:t>
      </w:r>
    </w:p>
    <w:p w14:paraId="77B885C1" w14:textId="77777777" w:rsidR="00606B46" w:rsidRPr="00D0161E" w:rsidRDefault="00606B46" w:rsidP="00D0161E">
      <w:pPr>
        <w:spacing w:line="480" w:lineRule="auto"/>
        <w:rPr>
          <w:color w:val="000000" w:themeColor="text1"/>
        </w:rPr>
      </w:pPr>
    </w:p>
    <w:p w14:paraId="7CF04781" w14:textId="77777777" w:rsidR="00C63AA3" w:rsidRPr="00D0161E" w:rsidRDefault="0018188F" w:rsidP="00D0161E">
      <w:pPr>
        <w:shd w:val="clear" w:color="auto" w:fill="FFFFFF"/>
        <w:spacing w:line="480" w:lineRule="auto"/>
        <w:rPr>
          <w:rFonts w:cstheme="minorHAnsi"/>
          <w:vanish/>
          <w:color w:val="000000" w:themeColor="text1"/>
        </w:rPr>
      </w:pPr>
      <w:r w:rsidRPr="00D0161E">
        <w:rPr>
          <w:rFonts w:cstheme="minorHAnsi"/>
          <w:color w:val="000000" w:themeColor="text1"/>
        </w:rPr>
        <w:t>1</w:t>
      </w:r>
      <w:r w:rsidR="00C63AA3" w:rsidRPr="00D0161E">
        <w:rPr>
          <w:rFonts w:cstheme="minorHAnsi"/>
          <w:vanish/>
          <w:color w:val="000000" w:themeColor="text1"/>
        </w:rPr>
        <w:t>1Liverpool Insect Testing Establishment (LITE), Liverpool School of Tropical Medicine, Liverpool, L3 5QA, UK</w:t>
      </w:r>
    </w:p>
    <w:p w14:paraId="28F40C96" w14:textId="77777777" w:rsidR="00C63AA3" w:rsidRPr="00D0161E" w:rsidRDefault="00C63AA3" w:rsidP="00D0161E">
      <w:pPr>
        <w:shd w:val="clear" w:color="auto" w:fill="FFFFFF"/>
        <w:spacing w:line="480" w:lineRule="auto"/>
        <w:rPr>
          <w:rFonts w:cstheme="minorHAnsi"/>
          <w:vanish/>
          <w:color w:val="000000" w:themeColor="text1"/>
        </w:rPr>
      </w:pPr>
      <w:r w:rsidRPr="00D0161E">
        <w:rPr>
          <w:rFonts w:cstheme="minorHAnsi"/>
          <w:vanish/>
          <w:color w:val="000000" w:themeColor="text1"/>
          <w:vertAlign w:val="superscript"/>
        </w:rPr>
        <w:t>2</w:t>
      </w:r>
      <w:r w:rsidRPr="00D0161E">
        <w:rPr>
          <w:rFonts w:cstheme="minorHAnsi"/>
          <w:vanish/>
          <w:color w:val="000000" w:themeColor="text1"/>
        </w:rPr>
        <w:t>Vector Biology Department, Liverpool School of Tropical Medicine, Liverpool, L3 5QA, UK</w:t>
      </w:r>
    </w:p>
    <w:p w14:paraId="35939F8C" w14:textId="77777777" w:rsidR="00C63AA3" w:rsidRPr="00D0161E" w:rsidRDefault="00C63AA3" w:rsidP="00D0161E">
      <w:pPr>
        <w:shd w:val="clear" w:color="auto" w:fill="FFFFFF"/>
        <w:spacing w:line="480" w:lineRule="auto"/>
        <w:rPr>
          <w:rFonts w:cstheme="minorHAnsi"/>
          <w:vanish/>
          <w:color w:val="000000" w:themeColor="text1"/>
        </w:rPr>
      </w:pPr>
      <w:r w:rsidRPr="00D0161E">
        <w:rPr>
          <w:rFonts w:cstheme="minorHAnsi"/>
          <w:vanish/>
          <w:color w:val="000000" w:themeColor="text1"/>
          <w:vertAlign w:val="superscript"/>
        </w:rPr>
        <w:t>3</w:t>
      </w:r>
      <w:r w:rsidRPr="00D0161E">
        <w:rPr>
          <w:rFonts w:cstheme="minorHAnsi"/>
          <w:vanish/>
          <w:color w:val="000000" w:themeColor="text1"/>
        </w:rPr>
        <w:t>Innovative Vector Control Consortium (IVCC), Liverpool School of Tropical Medicine, Liverpool, Merseyside, L17 9QQ, UK</w:t>
      </w:r>
    </w:p>
    <w:p w14:paraId="7B5C9B84" w14:textId="77777777" w:rsidR="00C63AA3" w:rsidRPr="00D0161E" w:rsidRDefault="00C63AA3" w:rsidP="00D0161E">
      <w:pPr>
        <w:shd w:val="clear" w:color="auto" w:fill="FFFFFF"/>
        <w:spacing w:line="480" w:lineRule="auto"/>
        <w:rPr>
          <w:rFonts w:cstheme="minorHAnsi"/>
          <w:vanish/>
          <w:color w:val="000000" w:themeColor="text1"/>
        </w:rPr>
      </w:pPr>
      <w:r w:rsidRPr="00D0161E">
        <w:rPr>
          <w:rFonts w:cstheme="minorHAnsi"/>
          <w:vanish/>
          <w:color w:val="000000" w:themeColor="text1"/>
          <w:vertAlign w:val="superscript"/>
        </w:rPr>
        <w:t>1</w:t>
      </w:r>
      <w:r w:rsidRPr="00D0161E">
        <w:rPr>
          <w:rFonts w:cstheme="minorHAnsi"/>
          <w:vanish/>
          <w:color w:val="000000" w:themeColor="text1"/>
        </w:rPr>
        <w:t>Liverpool Insect Testing Establishment (LITE), Liverpool School of Tropical Medicine, Liverpool, L3 5QA, UK</w:t>
      </w:r>
    </w:p>
    <w:p w14:paraId="2AC7191B" w14:textId="77777777" w:rsidR="00C63AA3" w:rsidRPr="00D0161E" w:rsidRDefault="00C63AA3" w:rsidP="00D0161E">
      <w:pPr>
        <w:shd w:val="clear" w:color="auto" w:fill="FFFFFF"/>
        <w:spacing w:line="480" w:lineRule="auto"/>
        <w:rPr>
          <w:rFonts w:cstheme="minorHAnsi"/>
          <w:vanish/>
          <w:color w:val="000000" w:themeColor="text1"/>
        </w:rPr>
      </w:pPr>
      <w:r w:rsidRPr="00D0161E">
        <w:rPr>
          <w:rFonts w:cstheme="minorHAnsi"/>
          <w:vanish/>
          <w:color w:val="000000" w:themeColor="text1"/>
          <w:vertAlign w:val="superscript"/>
        </w:rPr>
        <w:t>2</w:t>
      </w:r>
      <w:r w:rsidRPr="00D0161E">
        <w:rPr>
          <w:rFonts w:cstheme="minorHAnsi"/>
          <w:vanish/>
          <w:color w:val="000000" w:themeColor="text1"/>
        </w:rPr>
        <w:t>Vector Biology Department, Liverpool School of Tropical Medicine, Liverpool, L3 5QA, UK</w:t>
      </w:r>
    </w:p>
    <w:p w14:paraId="331AE7EB" w14:textId="77777777" w:rsidR="00C63AA3" w:rsidRPr="00D0161E" w:rsidRDefault="00C63AA3" w:rsidP="00D0161E">
      <w:pPr>
        <w:shd w:val="clear" w:color="auto" w:fill="FFFFFF"/>
        <w:spacing w:line="480" w:lineRule="auto"/>
        <w:rPr>
          <w:rFonts w:cstheme="minorHAnsi"/>
          <w:vanish/>
          <w:color w:val="000000" w:themeColor="text1"/>
        </w:rPr>
      </w:pPr>
      <w:r w:rsidRPr="00D0161E">
        <w:rPr>
          <w:rFonts w:cstheme="minorHAnsi"/>
          <w:vanish/>
          <w:color w:val="000000" w:themeColor="text1"/>
          <w:vertAlign w:val="superscript"/>
        </w:rPr>
        <w:t>3</w:t>
      </w:r>
      <w:r w:rsidRPr="00D0161E">
        <w:rPr>
          <w:rFonts w:cstheme="minorHAnsi"/>
          <w:vanish/>
          <w:color w:val="000000" w:themeColor="text1"/>
        </w:rPr>
        <w:t>Innovative Vector Control Consortium (IVCC), Liverpool School of Tropical Medicine, Liverpool, Merseyside, L17 9QQ, UK</w:t>
      </w:r>
    </w:p>
    <w:p w14:paraId="2A3FE44F" w14:textId="77777777" w:rsidR="00C63AA3" w:rsidRPr="00D0161E" w:rsidRDefault="00C63AA3" w:rsidP="00D0161E">
      <w:pPr>
        <w:shd w:val="clear" w:color="auto" w:fill="FFFFFF"/>
        <w:spacing w:line="480" w:lineRule="auto"/>
        <w:rPr>
          <w:rFonts w:cstheme="minorHAnsi"/>
          <w:vanish/>
          <w:color w:val="000000" w:themeColor="text1"/>
        </w:rPr>
      </w:pPr>
      <w:r w:rsidRPr="00D0161E">
        <w:rPr>
          <w:rFonts w:cstheme="minorHAnsi"/>
          <w:vanish/>
          <w:color w:val="000000" w:themeColor="text1"/>
          <w:vertAlign w:val="superscript"/>
        </w:rPr>
        <w:t>1</w:t>
      </w:r>
      <w:r w:rsidRPr="00D0161E">
        <w:rPr>
          <w:rFonts w:cstheme="minorHAnsi"/>
          <w:vanish/>
          <w:color w:val="000000" w:themeColor="text1"/>
        </w:rPr>
        <w:t>Liverpool Insect Testing Establishment (LITE), Liverpool School of Tropical Medicine, Liverpool, L3 5QA, UK</w:t>
      </w:r>
    </w:p>
    <w:p w14:paraId="70267E8B" w14:textId="77777777" w:rsidR="00C63AA3" w:rsidRPr="00D0161E" w:rsidRDefault="00C63AA3" w:rsidP="00D0161E">
      <w:pPr>
        <w:shd w:val="clear" w:color="auto" w:fill="FFFFFF"/>
        <w:spacing w:line="480" w:lineRule="auto"/>
        <w:rPr>
          <w:rFonts w:cstheme="minorHAnsi"/>
          <w:vanish/>
          <w:color w:val="000000" w:themeColor="text1"/>
        </w:rPr>
      </w:pPr>
      <w:r w:rsidRPr="00D0161E">
        <w:rPr>
          <w:rFonts w:cstheme="minorHAnsi"/>
          <w:vanish/>
          <w:color w:val="000000" w:themeColor="text1"/>
          <w:vertAlign w:val="superscript"/>
        </w:rPr>
        <w:t>2</w:t>
      </w:r>
      <w:r w:rsidRPr="00D0161E">
        <w:rPr>
          <w:rFonts w:cstheme="minorHAnsi"/>
          <w:vanish/>
          <w:color w:val="000000" w:themeColor="text1"/>
        </w:rPr>
        <w:t>Vector Biology Department, Liverpool School of Tropical Medicine, Liverpool, L3 5QA, UK</w:t>
      </w:r>
    </w:p>
    <w:p w14:paraId="0FD17E27" w14:textId="77777777" w:rsidR="00C63AA3" w:rsidRPr="00D0161E" w:rsidRDefault="00C63AA3" w:rsidP="00D0161E">
      <w:pPr>
        <w:shd w:val="clear" w:color="auto" w:fill="FFFFFF"/>
        <w:spacing w:line="480" w:lineRule="auto"/>
        <w:rPr>
          <w:rFonts w:cstheme="minorHAnsi"/>
          <w:vanish/>
          <w:color w:val="000000" w:themeColor="text1"/>
        </w:rPr>
      </w:pPr>
      <w:r w:rsidRPr="00D0161E">
        <w:rPr>
          <w:rFonts w:cstheme="minorHAnsi"/>
          <w:vanish/>
          <w:color w:val="000000" w:themeColor="text1"/>
          <w:vertAlign w:val="superscript"/>
        </w:rPr>
        <w:t>3</w:t>
      </w:r>
      <w:r w:rsidRPr="00D0161E">
        <w:rPr>
          <w:rFonts w:cstheme="minorHAnsi"/>
          <w:vanish/>
          <w:color w:val="000000" w:themeColor="text1"/>
        </w:rPr>
        <w:t>Innovative Vector Control Consortium (IVCC), Liverpool School of Tropical Medicine, Liverpool, Merseyside, L17 9QQ, UK</w:t>
      </w:r>
    </w:p>
    <w:p w14:paraId="72E1681F" w14:textId="77777777" w:rsidR="00C63AA3" w:rsidRPr="00D0161E" w:rsidRDefault="00C63AA3" w:rsidP="00D0161E">
      <w:pPr>
        <w:spacing w:line="480" w:lineRule="auto"/>
        <w:rPr>
          <w:rFonts w:cstheme="minorHAnsi"/>
          <w:color w:val="000000" w:themeColor="text1"/>
          <w:shd w:val="clear" w:color="auto" w:fill="FFFFFF"/>
        </w:rPr>
      </w:pPr>
      <w:r w:rsidRPr="00D0161E">
        <w:rPr>
          <w:rFonts w:cstheme="minorHAnsi"/>
          <w:color w:val="000000" w:themeColor="text1"/>
          <w:shd w:val="clear" w:color="auto" w:fill="FFFFFF"/>
        </w:rPr>
        <w:t>Liverpool School of Tropical Medicine, Liverpool, L3 5QA, UK</w:t>
      </w:r>
    </w:p>
    <w:p w14:paraId="4C6451D1" w14:textId="77777777" w:rsidR="00C63AA3" w:rsidRPr="00D0161E" w:rsidRDefault="0018188F" w:rsidP="00D0161E">
      <w:pPr>
        <w:spacing w:line="480" w:lineRule="auto"/>
        <w:rPr>
          <w:rFonts w:cstheme="minorHAnsi"/>
          <w:color w:val="000000" w:themeColor="text1"/>
          <w:shd w:val="clear" w:color="auto" w:fill="FFFFFF"/>
        </w:rPr>
      </w:pPr>
      <w:r w:rsidRPr="00D0161E">
        <w:rPr>
          <w:rFonts w:cstheme="minorHAnsi"/>
          <w:color w:val="000000" w:themeColor="text1"/>
          <w:vertAlign w:val="superscript"/>
        </w:rPr>
        <w:t>2</w:t>
      </w:r>
      <w:r w:rsidR="002A1AF2" w:rsidRPr="00D0161E">
        <w:rPr>
          <w:rFonts w:cstheme="minorHAnsi"/>
          <w:color w:val="000000" w:themeColor="text1"/>
        </w:rPr>
        <w:t xml:space="preserve"> Bill &amp; Melinda Gates Foundation, Seattle, USA</w:t>
      </w:r>
    </w:p>
    <w:p w14:paraId="3FA38FC6" w14:textId="77777777" w:rsidR="002A1AF2" w:rsidRPr="00D0161E" w:rsidRDefault="002A1AF2" w:rsidP="00D0161E">
      <w:pPr>
        <w:spacing w:line="480" w:lineRule="auto"/>
        <w:rPr>
          <w:rFonts w:cstheme="minorHAnsi"/>
          <w:color w:val="000000" w:themeColor="text1"/>
          <w:shd w:val="clear" w:color="auto" w:fill="FFFFFF"/>
        </w:rPr>
      </w:pPr>
      <w:r w:rsidRPr="00D0161E">
        <w:rPr>
          <w:rFonts w:cs="Arial"/>
          <w:color w:val="000000" w:themeColor="text1"/>
          <w:szCs w:val="17"/>
          <w:vertAlign w:val="superscript"/>
        </w:rPr>
        <w:t xml:space="preserve">¤ </w:t>
      </w:r>
      <w:r w:rsidRPr="00D0161E">
        <w:rPr>
          <w:rFonts w:cs="Arial"/>
          <w:color w:val="000000" w:themeColor="text1"/>
        </w:rPr>
        <w:t xml:space="preserve">Affiliation at the time of the study: </w:t>
      </w:r>
      <w:r w:rsidRPr="00D0161E">
        <w:rPr>
          <w:rFonts w:cstheme="minorHAnsi"/>
          <w:color w:val="000000" w:themeColor="text1"/>
          <w:shd w:val="clear" w:color="auto" w:fill="FFFFFF"/>
        </w:rPr>
        <w:t>Innovative Vector Control Consortium (IVCC), Liverpool, Merseyside, L3 5QA, UK</w:t>
      </w:r>
    </w:p>
    <w:p w14:paraId="00CF7866" w14:textId="77777777" w:rsidR="000C167F" w:rsidRPr="00D0161E" w:rsidRDefault="000C167F" w:rsidP="00D0161E">
      <w:pPr>
        <w:spacing w:line="480" w:lineRule="auto"/>
        <w:rPr>
          <w:rFonts w:cstheme="minorHAnsi"/>
          <w:color w:val="000000" w:themeColor="text1"/>
        </w:rPr>
      </w:pPr>
    </w:p>
    <w:p w14:paraId="324A8FE3" w14:textId="77777777" w:rsidR="009D04AC" w:rsidRPr="00D0161E" w:rsidRDefault="009D04AC" w:rsidP="00D0161E">
      <w:pPr>
        <w:spacing w:line="480" w:lineRule="auto"/>
        <w:rPr>
          <w:rFonts w:cstheme="minorHAnsi"/>
          <w:color w:val="000000" w:themeColor="text1"/>
        </w:rPr>
      </w:pPr>
      <w:r w:rsidRPr="00D0161E">
        <w:rPr>
          <w:rFonts w:cstheme="minorHAnsi"/>
          <w:color w:val="000000" w:themeColor="text1"/>
        </w:rPr>
        <w:t>*corresponding author</w:t>
      </w:r>
    </w:p>
    <w:p w14:paraId="717EBF18" w14:textId="77777777" w:rsidR="009D04AC" w:rsidRPr="00D0161E" w:rsidRDefault="000C167F" w:rsidP="00D0161E">
      <w:pPr>
        <w:spacing w:line="480" w:lineRule="auto"/>
        <w:rPr>
          <w:color w:val="000000" w:themeColor="text1"/>
        </w:rPr>
      </w:pPr>
      <w:proofErr w:type="gramStart"/>
      <w:r w:rsidRPr="00025A3F">
        <w:rPr>
          <w:color w:val="000000" w:themeColor="text1"/>
        </w:rPr>
        <w:t>Email :</w:t>
      </w:r>
      <w:proofErr w:type="gramEnd"/>
      <w:r w:rsidR="00CC52E9">
        <w:rPr>
          <w:color w:val="000000" w:themeColor="text1"/>
        </w:rPr>
        <w:t xml:space="preserve"> rosemary.lees@lstmed.ac.uk</w:t>
      </w:r>
    </w:p>
    <w:p w14:paraId="2675F9F0" w14:textId="77777777" w:rsidR="000C167F" w:rsidRPr="00D0161E" w:rsidRDefault="000C167F" w:rsidP="00D0161E">
      <w:pPr>
        <w:spacing w:line="480" w:lineRule="auto"/>
        <w:rPr>
          <w:rFonts w:eastAsiaTheme="majorEastAsia" w:cstheme="majorBidi"/>
          <w:b/>
          <w:color w:val="000000" w:themeColor="text1"/>
          <w:szCs w:val="26"/>
          <w:lang w:eastAsia="en-US"/>
        </w:rPr>
      </w:pPr>
      <w:r w:rsidRPr="00D0161E">
        <w:rPr>
          <w:b/>
          <w:color w:val="000000" w:themeColor="text1"/>
        </w:rPr>
        <w:br w:type="page"/>
      </w:r>
    </w:p>
    <w:p w14:paraId="170231F3" w14:textId="77777777" w:rsidR="009D04AC" w:rsidRPr="00D0161E" w:rsidRDefault="009D04AC" w:rsidP="00D0161E">
      <w:pPr>
        <w:pStyle w:val="Heading2"/>
        <w:spacing w:before="0" w:line="480" w:lineRule="auto"/>
        <w:rPr>
          <w:rFonts w:ascii="Times New Roman" w:hAnsi="Times New Roman"/>
          <w:b/>
          <w:color w:val="000000" w:themeColor="text1"/>
          <w:sz w:val="24"/>
        </w:rPr>
      </w:pPr>
      <w:r w:rsidRPr="00D0161E">
        <w:rPr>
          <w:rFonts w:ascii="Times New Roman" w:hAnsi="Times New Roman"/>
          <w:b/>
          <w:color w:val="000000" w:themeColor="text1"/>
          <w:sz w:val="24"/>
        </w:rPr>
        <w:t>Abstract</w:t>
      </w:r>
    </w:p>
    <w:p w14:paraId="4A42EEE0" w14:textId="77777777" w:rsidR="0076446B" w:rsidRPr="00D0161E" w:rsidRDefault="0076446B" w:rsidP="00D0161E">
      <w:pPr>
        <w:spacing w:line="480" w:lineRule="auto"/>
        <w:rPr>
          <w:b/>
          <w:bCs/>
          <w:color w:val="000000" w:themeColor="text1"/>
        </w:rPr>
      </w:pPr>
      <w:r w:rsidRPr="00D0161E">
        <w:rPr>
          <w:b/>
          <w:bCs/>
          <w:color w:val="000000" w:themeColor="text1"/>
        </w:rPr>
        <w:t xml:space="preserve">Background </w:t>
      </w:r>
    </w:p>
    <w:p w14:paraId="04D2D8AD" w14:textId="44022DFB" w:rsidR="0076446B" w:rsidRPr="00D0161E" w:rsidRDefault="007045DB" w:rsidP="00D0161E">
      <w:pPr>
        <w:spacing w:line="480" w:lineRule="auto"/>
        <w:rPr>
          <w:color w:val="000000" w:themeColor="text1"/>
        </w:rPr>
      </w:pPr>
      <w:bookmarkStart w:id="0" w:name="_Hlk50111718"/>
      <w:r w:rsidRPr="00D0161E">
        <w:rPr>
          <w:color w:val="000000" w:themeColor="text1"/>
        </w:rPr>
        <w:t>There is an</w:t>
      </w:r>
      <w:r w:rsidR="0076446B" w:rsidRPr="00D0161E">
        <w:rPr>
          <w:color w:val="000000" w:themeColor="text1"/>
        </w:rPr>
        <w:t xml:space="preserve"> urgent need for insecticides with novel modes of action against </w:t>
      </w:r>
      <w:r w:rsidR="00A43071" w:rsidRPr="00D0161E">
        <w:rPr>
          <w:color w:val="000000" w:themeColor="text1"/>
        </w:rPr>
        <w:t>mosquito vectors</w:t>
      </w:r>
      <w:r w:rsidRPr="00D0161E">
        <w:rPr>
          <w:color w:val="000000" w:themeColor="text1"/>
        </w:rPr>
        <w:t>. Broflanilide is a meta-diamide</w:t>
      </w:r>
      <w:r w:rsidR="002A1AF2" w:rsidRPr="00D0161E">
        <w:rPr>
          <w:color w:val="000000" w:themeColor="text1"/>
        </w:rPr>
        <w:t xml:space="preserve">, </w:t>
      </w:r>
      <w:r w:rsidRPr="00D0161E">
        <w:rPr>
          <w:color w:val="000000" w:themeColor="text1"/>
        </w:rPr>
        <w:t xml:space="preserve">discovered and </w:t>
      </w:r>
      <w:r w:rsidR="0076446B" w:rsidRPr="00D0161E">
        <w:rPr>
          <w:color w:val="000000" w:themeColor="text1"/>
        </w:rPr>
        <w:t xml:space="preserve">named </w:t>
      </w:r>
      <w:r w:rsidR="00D54567" w:rsidRPr="00025A3F">
        <w:rPr>
          <w:color w:val="000000" w:themeColor="text1"/>
        </w:rPr>
        <w:t>Tenebenal</w:t>
      </w:r>
      <w:r w:rsidR="00E91D27" w:rsidRPr="00025A3F">
        <w:rPr>
          <w:color w:val="000000" w:themeColor="text1"/>
        </w:rPr>
        <w:t>™</w:t>
      </w:r>
      <w:r w:rsidR="0076446B" w:rsidRPr="00D54567">
        <w:rPr>
          <w:color w:val="000000" w:themeColor="text1"/>
        </w:rPr>
        <w:t xml:space="preserve"> </w:t>
      </w:r>
      <w:r w:rsidR="0076446B" w:rsidRPr="00D0161E">
        <w:rPr>
          <w:color w:val="000000" w:themeColor="text1"/>
        </w:rPr>
        <w:t xml:space="preserve">by </w:t>
      </w:r>
      <w:r w:rsidR="00430C73" w:rsidRPr="00D0161E">
        <w:rPr>
          <w:color w:val="000000" w:themeColor="text1"/>
        </w:rPr>
        <w:t xml:space="preserve">Mitsui Chemicals </w:t>
      </w:r>
      <w:proofErr w:type="spellStart"/>
      <w:r w:rsidR="00430C73" w:rsidRPr="00D0161E">
        <w:rPr>
          <w:color w:val="000000" w:themeColor="text1"/>
        </w:rPr>
        <w:t>Agro</w:t>
      </w:r>
      <w:proofErr w:type="spellEnd"/>
      <w:r w:rsidR="00B3715B" w:rsidRPr="00D0161E">
        <w:rPr>
          <w:color w:val="000000" w:themeColor="text1"/>
        </w:rPr>
        <w:t>,</w:t>
      </w:r>
      <w:r w:rsidR="00430C73" w:rsidRPr="00D0161E">
        <w:rPr>
          <w:color w:val="000000" w:themeColor="text1"/>
        </w:rPr>
        <w:t xml:space="preserve"> Inc.</w:t>
      </w:r>
      <w:r w:rsidR="002A1AF2" w:rsidRPr="00D0161E">
        <w:rPr>
          <w:color w:val="000000" w:themeColor="text1"/>
        </w:rPr>
        <w:t xml:space="preserve">, </w:t>
      </w:r>
      <w:r w:rsidRPr="00D0161E">
        <w:rPr>
          <w:color w:val="000000" w:themeColor="text1"/>
        </w:rPr>
        <w:t xml:space="preserve">which </w:t>
      </w:r>
      <w:r w:rsidR="0076446B" w:rsidRPr="00D0161E">
        <w:rPr>
          <w:color w:val="000000" w:themeColor="text1"/>
        </w:rPr>
        <w:t xml:space="preserve">has been identified as a candidate insecticide for </w:t>
      </w:r>
      <w:r w:rsidR="00762EFE" w:rsidRPr="00D0161E">
        <w:rPr>
          <w:color w:val="000000" w:themeColor="text1"/>
        </w:rPr>
        <w:t xml:space="preserve">use in </w:t>
      </w:r>
      <w:r w:rsidR="0076446B" w:rsidRPr="00D0161E">
        <w:rPr>
          <w:color w:val="000000" w:themeColor="text1"/>
        </w:rPr>
        <w:t>public health</w:t>
      </w:r>
      <w:r w:rsidR="00762EFE" w:rsidRPr="00D0161E">
        <w:rPr>
          <w:color w:val="000000" w:themeColor="text1"/>
        </w:rPr>
        <w:t xml:space="preserve"> products</w:t>
      </w:r>
      <w:r w:rsidR="0076446B" w:rsidRPr="00D0161E">
        <w:rPr>
          <w:color w:val="000000" w:themeColor="text1"/>
        </w:rPr>
        <w:t xml:space="preserve">.  </w:t>
      </w:r>
      <w:bookmarkEnd w:id="0"/>
    </w:p>
    <w:p w14:paraId="27CF1B66" w14:textId="77777777" w:rsidR="0076446B" w:rsidRPr="00D0161E" w:rsidRDefault="0076446B" w:rsidP="00D0161E">
      <w:pPr>
        <w:spacing w:line="480" w:lineRule="auto"/>
        <w:rPr>
          <w:b/>
          <w:bCs/>
          <w:color w:val="000000" w:themeColor="text1"/>
        </w:rPr>
      </w:pPr>
      <w:r w:rsidRPr="00D0161E">
        <w:rPr>
          <w:b/>
          <w:bCs/>
          <w:color w:val="000000" w:themeColor="text1"/>
        </w:rPr>
        <w:t xml:space="preserve">Methods </w:t>
      </w:r>
    </w:p>
    <w:p w14:paraId="4F5AD485" w14:textId="51A0E691" w:rsidR="0076446B" w:rsidRPr="00D0161E" w:rsidRDefault="00B51C59" w:rsidP="00D0161E">
      <w:pPr>
        <w:spacing w:line="480" w:lineRule="auto"/>
        <w:rPr>
          <w:color w:val="000000" w:themeColor="text1"/>
        </w:rPr>
      </w:pPr>
      <w:r w:rsidRPr="00D0161E">
        <w:rPr>
          <w:color w:val="000000" w:themeColor="text1"/>
        </w:rPr>
        <w:t xml:space="preserve">To evaluate </w:t>
      </w:r>
      <w:r w:rsidR="00015897" w:rsidRPr="00D0161E">
        <w:rPr>
          <w:color w:val="000000" w:themeColor="text1"/>
        </w:rPr>
        <w:t>its</w:t>
      </w:r>
      <w:r w:rsidRPr="00D0161E">
        <w:rPr>
          <w:color w:val="000000" w:themeColor="text1"/>
        </w:rPr>
        <w:t xml:space="preserve"> potential for use </w:t>
      </w:r>
      <w:r w:rsidR="00A43071" w:rsidRPr="00D0161E">
        <w:rPr>
          <w:color w:val="000000" w:themeColor="text1"/>
        </w:rPr>
        <w:t>in public health</w:t>
      </w:r>
      <w:r w:rsidRPr="00D0161E">
        <w:rPr>
          <w:color w:val="000000" w:themeColor="text1"/>
        </w:rPr>
        <w:t xml:space="preserve">, </w:t>
      </w:r>
      <w:proofErr w:type="spellStart"/>
      <w:r w:rsidR="00D54567" w:rsidRPr="00D54567">
        <w:rPr>
          <w:color w:val="000000" w:themeColor="text1"/>
        </w:rPr>
        <w:t>Tenebenal</w:t>
      </w:r>
      <w:r w:rsidR="00015897" w:rsidRPr="00D0161E">
        <w:rPr>
          <w:color w:val="000000" w:themeColor="text1"/>
          <w:vertAlign w:val="superscript"/>
        </w:rPr>
        <w:t>TM</w:t>
      </w:r>
      <w:proofErr w:type="spellEnd"/>
      <w:r w:rsidRPr="00D0161E">
        <w:rPr>
          <w:color w:val="000000" w:themeColor="text1"/>
        </w:rPr>
        <w:t xml:space="preserve"> was screened using an array of methodologies against </w:t>
      </w:r>
      <w:r w:rsidRPr="00D0161E">
        <w:rPr>
          <w:i/>
          <w:iCs/>
          <w:color w:val="000000" w:themeColor="text1"/>
        </w:rPr>
        <w:t>Anopheles</w:t>
      </w:r>
      <w:r w:rsidRPr="00D0161E">
        <w:rPr>
          <w:color w:val="000000" w:themeColor="text1"/>
        </w:rPr>
        <w:t xml:space="preserve"> and </w:t>
      </w:r>
      <w:r w:rsidRPr="00D0161E">
        <w:rPr>
          <w:i/>
          <w:iCs/>
          <w:color w:val="000000" w:themeColor="text1"/>
        </w:rPr>
        <w:t>Aedes</w:t>
      </w:r>
      <w:r w:rsidR="00A43071" w:rsidRPr="00D0161E">
        <w:rPr>
          <w:color w:val="000000" w:themeColor="text1"/>
        </w:rPr>
        <w:t xml:space="preserve"> </w:t>
      </w:r>
      <w:r w:rsidR="00994C95" w:rsidRPr="00D0161E">
        <w:rPr>
          <w:color w:val="000000" w:themeColor="text1"/>
        </w:rPr>
        <w:t>strains</w:t>
      </w:r>
      <w:r w:rsidRPr="00D0161E">
        <w:rPr>
          <w:color w:val="000000" w:themeColor="text1"/>
        </w:rPr>
        <w:t xml:space="preserve">. Initially it was assessed for intrinsic efficacy by topical application. </w:t>
      </w:r>
      <w:r w:rsidR="00A43071" w:rsidRPr="00D0161E">
        <w:rPr>
          <w:color w:val="000000" w:themeColor="text1"/>
        </w:rPr>
        <w:t>T</w:t>
      </w:r>
      <w:r w:rsidRPr="00D0161E">
        <w:rPr>
          <w:color w:val="000000" w:themeColor="text1"/>
        </w:rPr>
        <w:t xml:space="preserve">arsal contact bioassays were </w:t>
      </w:r>
      <w:r w:rsidR="00A43071" w:rsidRPr="00D0161E">
        <w:rPr>
          <w:color w:val="000000" w:themeColor="text1"/>
        </w:rPr>
        <w:t xml:space="preserve">then </w:t>
      </w:r>
      <w:r w:rsidRPr="00D0161E">
        <w:rPr>
          <w:color w:val="000000" w:themeColor="text1"/>
        </w:rPr>
        <w:t>conducted to further investigate its efficacy, as well as its potency and speed of action.</w:t>
      </w:r>
      <w:r w:rsidR="00015897" w:rsidRPr="00D0161E">
        <w:rPr>
          <w:color w:val="000000" w:themeColor="text1"/>
        </w:rPr>
        <w:t xml:space="preserve"> </w:t>
      </w:r>
      <w:r w:rsidR="0076446B" w:rsidRPr="00D0161E">
        <w:rPr>
          <w:color w:val="000000" w:themeColor="text1"/>
        </w:rPr>
        <w:t xml:space="preserve">The </w:t>
      </w:r>
      <w:r w:rsidR="00762EFE" w:rsidRPr="00D0161E">
        <w:rPr>
          <w:color w:val="000000" w:themeColor="text1"/>
        </w:rPr>
        <w:t xml:space="preserve">potential of the compound for use in </w:t>
      </w:r>
      <w:r w:rsidR="00DD3E29">
        <w:rPr>
          <w:color w:val="000000" w:themeColor="text1"/>
        </w:rPr>
        <w:t>i</w:t>
      </w:r>
      <w:r w:rsidR="00015897" w:rsidRPr="00D0161E">
        <w:rPr>
          <w:color w:val="000000" w:themeColor="text1"/>
        </w:rPr>
        <w:t xml:space="preserve">ndoor </w:t>
      </w:r>
      <w:r w:rsidR="00DD3E29">
        <w:rPr>
          <w:color w:val="000000" w:themeColor="text1"/>
        </w:rPr>
        <w:t>r</w:t>
      </w:r>
      <w:r w:rsidR="00015897" w:rsidRPr="00D0161E">
        <w:rPr>
          <w:color w:val="000000" w:themeColor="text1"/>
        </w:rPr>
        <w:t xml:space="preserve">esidual </w:t>
      </w:r>
      <w:r w:rsidR="00DD3E29">
        <w:rPr>
          <w:color w:val="000000" w:themeColor="text1"/>
        </w:rPr>
        <w:t>s</w:t>
      </w:r>
      <w:r w:rsidR="00015897" w:rsidRPr="00D0161E">
        <w:rPr>
          <w:color w:val="000000" w:themeColor="text1"/>
        </w:rPr>
        <w:t xml:space="preserve">pray (IRS) </w:t>
      </w:r>
      <w:r w:rsidR="00C018E6" w:rsidRPr="00D0161E">
        <w:rPr>
          <w:color w:val="000000" w:themeColor="text1"/>
        </w:rPr>
        <w:t xml:space="preserve">applications </w:t>
      </w:r>
      <w:r w:rsidR="00762EFE" w:rsidRPr="00D0161E">
        <w:rPr>
          <w:color w:val="000000" w:themeColor="text1"/>
        </w:rPr>
        <w:t xml:space="preserve">was investigated by testing the </w:t>
      </w:r>
      <w:r w:rsidR="0076446B" w:rsidRPr="00D0161E">
        <w:rPr>
          <w:color w:val="000000" w:themeColor="text1"/>
        </w:rPr>
        <w:t xml:space="preserve">residual </w:t>
      </w:r>
      <w:r w:rsidR="00762EFE" w:rsidRPr="00D0161E">
        <w:rPr>
          <w:color w:val="000000" w:themeColor="text1"/>
        </w:rPr>
        <w:t xml:space="preserve">efficacy </w:t>
      </w:r>
      <w:r w:rsidR="0076446B" w:rsidRPr="00D0161E">
        <w:rPr>
          <w:color w:val="000000" w:themeColor="text1"/>
        </w:rPr>
        <w:t xml:space="preserve">of a prototype </w:t>
      </w:r>
      <w:r w:rsidR="00015897" w:rsidRPr="00D0161E">
        <w:rPr>
          <w:color w:val="000000" w:themeColor="text1"/>
        </w:rPr>
        <w:t xml:space="preserve">IRS </w:t>
      </w:r>
      <w:r w:rsidR="0076446B" w:rsidRPr="00D0161E">
        <w:rPr>
          <w:color w:val="000000" w:themeColor="text1"/>
        </w:rPr>
        <w:t xml:space="preserve">formulation on a range of typical house building </w:t>
      </w:r>
      <w:r w:rsidR="00C018E6" w:rsidRPr="00D0161E">
        <w:rPr>
          <w:color w:val="000000" w:themeColor="text1"/>
        </w:rPr>
        <w:t>substrates</w:t>
      </w:r>
      <w:r w:rsidR="0076446B" w:rsidRPr="00D0161E">
        <w:rPr>
          <w:color w:val="000000" w:themeColor="text1"/>
        </w:rPr>
        <w:t xml:space="preserve">, and </w:t>
      </w:r>
      <w:r w:rsidR="00762EFE" w:rsidRPr="00D0161E">
        <w:rPr>
          <w:color w:val="000000" w:themeColor="text1"/>
        </w:rPr>
        <w:t xml:space="preserve">its potential for use in </w:t>
      </w:r>
      <w:r w:rsidR="00DD3E29">
        <w:rPr>
          <w:color w:val="000000" w:themeColor="text1"/>
        </w:rPr>
        <w:t>l</w:t>
      </w:r>
      <w:r w:rsidR="00015897" w:rsidRPr="00D0161E">
        <w:rPr>
          <w:color w:val="000000" w:themeColor="text1"/>
        </w:rPr>
        <w:t>ong</w:t>
      </w:r>
      <w:r w:rsidR="00DD3E29">
        <w:rPr>
          <w:color w:val="000000" w:themeColor="text1"/>
        </w:rPr>
        <w:t>-l</w:t>
      </w:r>
      <w:r w:rsidR="00015897" w:rsidRPr="00D0161E">
        <w:rPr>
          <w:color w:val="000000" w:themeColor="text1"/>
        </w:rPr>
        <w:t xml:space="preserve">asting </w:t>
      </w:r>
      <w:r w:rsidR="00DD3E29">
        <w:rPr>
          <w:color w:val="000000" w:themeColor="text1"/>
        </w:rPr>
        <w:t>i</w:t>
      </w:r>
      <w:r w:rsidR="00015897" w:rsidRPr="00D0161E">
        <w:rPr>
          <w:color w:val="000000" w:themeColor="text1"/>
        </w:rPr>
        <w:t xml:space="preserve">nsecticidal </w:t>
      </w:r>
      <w:r w:rsidR="00DD3E29">
        <w:rPr>
          <w:color w:val="000000" w:themeColor="text1"/>
        </w:rPr>
        <w:t>n</w:t>
      </w:r>
      <w:r w:rsidR="00015897" w:rsidRPr="00D0161E">
        <w:rPr>
          <w:color w:val="000000" w:themeColor="text1"/>
        </w:rPr>
        <w:t>et</w:t>
      </w:r>
      <w:r w:rsidR="00460051" w:rsidRPr="00D0161E">
        <w:rPr>
          <w:color w:val="000000" w:themeColor="text1"/>
        </w:rPr>
        <w:t>s</w:t>
      </w:r>
      <w:r w:rsidR="00015897" w:rsidRPr="00D0161E">
        <w:rPr>
          <w:color w:val="000000" w:themeColor="text1"/>
        </w:rPr>
        <w:t xml:space="preserve"> (LLIN) </w:t>
      </w:r>
      <w:r w:rsidR="00762EFE" w:rsidRPr="00D0161E">
        <w:rPr>
          <w:color w:val="000000" w:themeColor="text1"/>
        </w:rPr>
        <w:t xml:space="preserve">was tested </w:t>
      </w:r>
      <w:r w:rsidR="00A43071" w:rsidRPr="00D0161E">
        <w:rPr>
          <w:color w:val="000000" w:themeColor="text1"/>
        </w:rPr>
        <w:t>using</w:t>
      </w:r>
      <w:r w:rsidR="00762EFE" w:rsidRPr="00D0161E">
        <w:rPr>
          <w:color w:val="000000" w:themeColor="text1"/>
        </w:rPr>
        <w:t xml:space="preserve"> </w:t>
      </w:r>
      <w:r w:rsidR="0076446B" w:rsidRPr="00D0161E">
        <w:rPr>
          <w:color w:val="000000" w:themeColor="text1"/>
        </w:rPr>
        <w:t xml:space="preserve">dipped net samples. </w:t>
      </w:r>
      <w:bookmarkStart w:id="1" w:name="_Hlk50111862"/>
      <w:r w:rsidR="0076446B" w:rsidRPr="00D0161E">
        <w:rPr>
          <w:color w:val="000000" w:themeColor="text1"/>
        </w:rPr>
        <w:t xml:space="preserve">Finally, bioassays </w:t>
      </w:r>
      <w:r w:rsidRPr="00D0161E">
        <w:rPr>
          <w:color w:val="000000" w:themeColor="text1"/>
        </w:rPr>
        <w:t>using</w:t>
      </w:r>
      <w:r w:rsidR="00C018E6" w:rsidRPr="00D0161E">
        <w:rPr>
          <w:color w:val="000000" w:themeColor="text1"/>
        </w:rPr>
        <w:t xml:space="preserve"> well-characteri</w:t>
      </w:r>
      <w:r w:rsidR="00DD3E29">
        <w:rPr>
          <w:color w:val="000000" w:themeColor="text1"/>
        </w:rPr>
        <w:t>z</w:t>
      </w:r>
      <w:r w:rsidR="00C018E6" w:rsidRPr="00D0161E">
        <w:rPr>
          <w:color w:val="000000" w:themeColor="text1"/>
        </w:rPr>
        <w:t>ed insecticide</w:t>
      </w:r>
      <w:r w:rsidR="00DD3E29">
        <w:rPr>
          <w:color w:val="000000" w:themeColor="text1"/>
        </w:rPr>
        <w:t>-</w:t>
      </w:r>
      <w:r w:rsidR="00C018E6" w:rsidRPr="00D0161E">
        <w:rPr>
          <w:color w:val="000000" w:themeColor="text1"/>
        </w:rPr>
        <w:t>resistant mosquito strains</w:t>
      </w:r>
      <w:r w:rsidR="0076446B" w:rsidRPr="00D0161E">
        <w:rPr>
          <w:color w:val="000000" w:themeColor="text1"/>
        </w:rPr>
        <w:t xml:space="preserve"> and an </w:t>
      </w:r>
      <w:proofErr w:type="gramStart"/>
      <w:r w:rsidR="0076446B" w:rsidRPr="00D0161E">
        <w:rPr>
          <w:i/>
          <w:color w:val="000000" w:themeColor="text1"/>
        </w:rPr>
        <w:t>in silico</w:t>
      </w:r>
      <w:proofErr w:type="gramEnd"/>
      <w:r w:rsidR="0076446B" w:rsidRPr="00D0161E">
        <w:rPr>
          <w:i/>
          <w:color w:val="000000" w:themeColor="text1"/>
        </w:rPr>
        <w:t xml:space="preserve"> </w:t>
      </w:r>
      <w:r w:rsidR="0076446B" w:rsidRPr="00D0161E">
        <w:rPr>
          <w:color w:val="000000" w:themeColor="text1"/>
        </w:rPr>
        <w:t xml:space="preserve">screen for mutations in the </w:t>
      </w:r>
      <w:r w:rsidR="00A37D70" w:rsidRPr="00D0161E">
        <w:rPr>
          <w:color w:val="000000" w:themeColor="text1"/>
        </w:rPr>
        <w:t xml:space="preserve">insecticide’s </w:t>
      </w:r>
      <w:r w:rsidR="0076446B" w:rsidRPr="00D0161E">
        <w:rPr>
          <w:color w:val="000000" w:themeColor="text1"/>
        </w:rPr>
        <w:t>target site</w:t>
      </w:r>
      <w:r w:rsidR="00A43071" w:rsidRPr="00D0161E">
        <w:rPr>
          <w:color w:val="000000" w:themeColor="text1"/>
        </w:rPr>
        <w:t xml:space="preserve"> were </w:t>
      </w:r>
      <w:r w:rsidR="007045DB" w:rsidRPr="00D0161E">
        <w:rPr>
          <w:color w:val="000000" w:themeColor="text1"/>
        </w:rPr>
        <w:t xml:space="preserve">performed </w:t>
      </w:r>
      <w:r w:rsidR="00A43071" w:rsidRPr="00D0161E">
        <w:rPr>
          <w:color w:val="000000" w:themeColor="text1"/>
        </w:rPr>
        <w:t xml:space="preserve">to assess the risk of cross-resistance to </w:t>
      </w:r>
      <w:r w:rsidR="00D54567" w:rsidRPr="00D54567">
        <w:rPr>
          <w:color w:val="000000" w:themeColor="text1"/>
        </w:rPr>
        <w:t>Tenebenal</w:t>
      </w:r>
      <w:r w:rsidR="00A43071" w:rsidRPr="00D0161E">
        <w:rPr>
          <w:color w:val="000000" w:themeColor="text1"/>
        </w:rPr>
        <w:t>™</w:t>
      </w:r>
      <w:r w:rsidR="0076446B" w:rsidRPr="00D0161E">
        <w:rPr>
          <w:color w:val="000000" w:themeColor="text1"/>
        </w:rPr>
        <w:t>.</w:t>
      </w:r>
      <w:bookmarkEnd w:id="1"/>
    </w:p>
    <w:p w14:paraId="6A97E28F" w14:textId="77777777" w:rsidR="0076446B" w:rsidRPr="00D0161E" w:rsidRDefault="0076446B" w:rsidP="00D0161E">
      <w:pPr>
        <w:spacing w:line="480" w:lineRule="auto"/>
        <w:rPr>
          <w:b/>
          <w:bCs/>
          <w:color w:val="000000" w:themeColor="text1"/>
        </w:rPr>
      </w:pPr>
      <w:r w:rsidRPr="00D0161E">
        <w:rPr>
          <w:b/>
          <w:bCs/>
          <w:color w:val="000000" w:themeColor="text1"/>
        </w:rPr>
        <w:t xml:space="preserve">Results </w:t>
      </w:r>
    </w:p>
    <w:p w14:paraId="5FDB6588" w14:textId="6464B087" w:rsidR="0076446B" w:rsidRPr="00D0161E" w:rsidRDefault="00D54567" w:rsidP="00D0161E">
      <w:pPr>
        <w:spacing w:line="480" w:lineRule="auto"/>
        <w:rPr>
          <w:color w:val="000000" w:themeColor="text1"/>
        </w:rPr>
      </w:pPr>
      <w:r w:rsidRPr="00D54567">
        <w:rPr>
          <w:color w:val="000000" w:themeColor="text1"/>
        </w:rPr>
        <w:t>Tenebenal</w:t>
      </w:r>
      <w:proofErr w:type="gramStart"/>
      <w:r w:rsidR="00430C73" w:rsidRPr="00D0161E">
        <w:rPr>
          <w:color w:val="000000" w:themeColor="text1"/>
        </w:rPr>
        <w:t xml:space="preserve">™ </w:t>
      </w:r>
      <w:r w:rsidR="0076446B" w:rsidRPr="00D0161E">
        <w:rPr>
          <w:color w:val="000000" w:themeColor="text1"/>
        </w:rPr>
        <w:t xml:space="preserve"> </w:t>
      </w:r>
      <w:r w:rsidR="00A43071" w:rsidRPr="00D0161E">
        <w:rPr>
          <w:color w:val="000000" w:themeColor="text1"/>
        </w:rPr>
        <w:t>was</w:t>
      </w:r>
      <w:proofErr w:type="gramEnd"/>
      <w:r w:rsidR="00A43071" w:rsidRPr="00D0161E">
        <w:rPr>
          <w:color w:val="000000" w:themeColor="text1"/>
        </w:rPr>
        <w:t xml:space="preserve"> effective</w:t>
      </w:r>
      <w:r w:rsidR="0076446B" w:rsidRPr="00D0161E">
        <w:rPr>
          <w:color w:val="000000" w:themeColor="text1"/>
        </w:rPr>
        <w:t xml:space="preserve"> as a tarsal contact insecticide against both </w:t>
      </w:r>
      <w:r w:rsidR="0076446B" w:rsidRPr="00D0161E">
        <w:rPr>
          <w:i/>
          <w:iCs/>
          <w:color w:val="000000" w:themeColor="text1"/>
        </w:rPr>
        <w:t>Aedes</w:t>
      </w:r>
      <w:r w:rsidR="0076446B" w:rsidRPr="00D0161E">
        <w:rPr>
          <w:color w:val="000000" w:themeColor="text1"/>
        </w:rPr>
        <w:t xml:space="preserve"> and </w:t>
      </w:r>
      <w:r w:rsidR="0076446B" w:rsidRPr="00D0161E">
        <w:rPr>
          <w:i/>
          <w:iCs/>
          <w:color w:val="000000" w:themeColor="text1"/>
        </w:rPr>
        <w:t>Anopheles</w:t>
      </w:r>
      <w:r w:rsidR="0076446B" w:rsidRPr="00D0161E">
        <w:rPr>
          <w:color w:val="000000" w:themeColor="text1"/>
        </w:rPr>
        <w:t xml:space="preserve"> </w:t>
      </w:r>
      <w:r w:rsidR="00A43071" w:rsidRPr="00D0161E">
        <w:rPr>
          <w:color w:val="000000" w:themeColor="text1"/>
        </w:rPr>
        <w:t>mosquitoes</w:t>
      </w:r>
      <w:r w:rsidR="0076446B" w:rsidRPr="00D0161E">
        <w:rPr>
          <w:color w:val="000000" w:themeColor="text1"/>
        </w:rPr>
        <w:t>, with no apparent cross</w:t>
      </w:r>
      <w:r w:rsidR="003D19D7" w:rsidRPr="00D0161E">
        <w:rPr>
          <w:color w:val="000000" w:themeColor="text1"/>
        </w:rPr>
        <w:t>-</w:t>
      </w:r>
      <w:r w:rsidR="0076446B" w:rsidRPr="00D0161E">
        <w:rPr>
          <w:color w:val="000000" w:themeColor="text1"/>
        </w:rPr>
        <w:t xml:space="preserve">resistance </w:t>
      </w:r>
      <w:r w:rsidR="00015897" w:rsidRPr="00D0161E">
        <w:rPr>
          <w:color w:val="000000" w:themeColor="text1"/>
        </w:rPr>
        <w:t>caused by</w:t>
      </w:r>
      <w:r w:rsidR="003D19D7" w:rsidRPr="00D0161E">
        <w:rPr>
          <w:color w:val="000000" w:themeColor="text1"/>
        </w:rPr>
        <w:t xml:space="preserve"> mechanisms that have evolved to </w:t>
      </w:r>
      <w:r w:rsidR="0076446B" w:rsidRPr="00D0161E">
        <w:rPr>
          <w:color w:val="000000" w:themeColor="text1"/>
        </w:rPr>
        <w:t>insecticides</w:t>
      </w:r>
      <w:r w:rsidR="003D19D7" w:rsidRPr="00D0161E">
        <w:rPr>
          <w:color w:val="000000" w:themeColor="text1"/>
        </w:rPr>
        <w:t xml:space="preserve"> currently used in vector control</w:t>
      </w:r>
      <w:r w:rsidR="0076446B" w:rsidRPr="00D0161E">
        <w:rPr>
          <w:color w:val="000000" w:themeColor="text1"/>
        </w:rPr>
        <w:t xml:space="preserve">. </w:t>
      </w:r>
      <w:bookmarkStart w:id="2" w:name="_Hlk50478075"/>
      <w:r w:rsidR="009A2C9E" w:rsidRPr="00D0161E">
        <w:rPr>
          <w:color w:val="000000" w:themeColor="text1"/>
        </w:rPr>
        <w:t>Topical application showed potent intrinsic activity against a Kisumu reference strain and an insecticide</w:t>
      </w:r>
      <w:r w:rsidR="00DD3E29">
        <w:rPr>
          <w:color w:val="000000" w:themeColor="text1"/>
        </w:rPr>
        <w:t>-</w:t>
      </w:r>
      <w:r w:rsidR="009A2C9E" w:rsidRPr="00D0161E">
        <w:rPr>
          <w:color w:val="000000" w:themeColor="text1"/>
        </w:rPr>
        <w:t xml:space="preserve">resistant strain of </w:t>
      </w:r>
      <w:r w:rsidR="009A2C9E" w:rsidRPr="00D0161E">
        <w:rPr>
          <w:i/>
          <w:iCs/>
          <w:color w:val="000000" w:themeColor="text1"/>
        </w:rPr>
        <w:t xml:space="preserve">Anopheles gambiae. </w:t>
      </w:r>
      <w:r w:rsidR="009A2C9E" w:rsidRPr="00D0161E">
        <w:rPr>
          <w:color w:val="000000" w:themeColor="text1"/>
        </w:rPr>
        <w:t>Applied to filter paper in a WHO tube bioassay</w:t>
      </w:r>
      <w:r w:rsidR="00DD3E29">
        <w:rPr>
          <w:color w:val="000000" w:themeColor="text1"/>
        </w:rPr>
        <w:t>,</w:t>
      </w:r>
      <w:r w:rsidR="009A2C9E" w:rsidRPr="00D0161E">
        <w:rPr>
          <w:color w:val="000000" w:themeColor="text1"/>
        </w:rPr>
        <w:t xml:space="preserve"> </w:t>
      </w:r>
      <w:proofErr w:type="spellStart"/>
      <w:r w:rsidRPr="00D54567">
        <w:rPr>
          <w:color w:val="000000" w:themeColor="text1"/>
        </w:rPr>
        <w:t>Tenebenal</w:t>
      </w:r>
      <w:r w:rsidR="009A2C9E" w:rsidRPr="00D0161E">
        <w:rPr>
          <w:color w:val="000000" w:themeColor="text1"/>
          <w:vertAlign w:val="superscript"/>
        </w:rPr>
        <w:t>TM</w:t>
      </w:r>
      <w:proofErr w:type="spellEnd"/>
      <w:r w:rsidR="009A2C9E" w:rsidRPr="00D0161E">
        <w:rPr>
          <w:color w:val="000000" w:themeColor="text1"/>
        </w:rPr>
        <w:t xml:space="preserve"> was effective in killing 100% of susceptible and resistant strains of </w:t>
      </w:r>
      <w:r w:rsidR="009A2C9E" w:rsidRPr="00D0161E">
        <w:rPr>
          <w:i/>
          <w:iCs/>
          <w:color w:val="000000" w:themeColor="text1"/>
        </w:rPr>
        <w:t xml:space="preserve">An. gambiae </w:t>
      </w:r>
      <w:r w:rsidR="009A2C9E" w:rsidRPr="00D0161E">
        <w:rPr>
          <w:color w:val="000000" w:themeColor="text1"/>
        </w:rPr>
        <w:t xml:space="preserve">and </w:t>
      </w:r>
      <w:r w:rsidR="009A2C9E" w:rsidRPr="00D0161E">
        <w:rPr>
          <w:i/>
          <w:iCs/>
          <w:color w:val="000000" w:themeColor="text1"/>
        </w:rPr>
        <w:t xml:space="preserve">Aedes aegypti </w:t>
      </w:r>
      <w:r w:rsidR="009A2C9E" w:rsidRPr="00D0161E">
        <w:rPr>
          <w:color w:val="000000" w:themeColor="text1"/>
        </w:rPr>
        <w:t>at a concentration of 0.01%. The discriminating concentration of 11.91 µg/bottle shows it to be very potent relative to chemistries previously identified as having potential for vector control. Mortality occurs</w:t>
      </w:r>
      <w:r w:rsidR="00A43071" w:rsidRPr="00D0161E">
        <w:rPr>
          <w:color w:val="000000" w:themeColor="text1"/>
        </w:rPr>
        <w:t xml:space="preserve"> within</w:t>
      </w:r>
      <w:r w:rsidR="002A1AF2" w:rsidRPr="00D0161E">
        <w:rPr>
          <w:color w:val="000000" w:themeColor="text1"/>
        </w:rPr>
        <w:t xml:space="preserve"> 24</w:t>
      </w:r>
      <w:r w:rsidR="00A43071" w:rsidRPr="00D0161E">
        <w:rPr>
          <w:color w:val="000000" w:themeColor="text1"/>
        </w:rPr>
        <w:t xml:space="preserve"> </w:t>
      </w:r>
      <w:r w:rsidR="002A1AF2" w:rsidRPr="00D0161E">
        <w:rPr>
          <w:color w:val="000000" w:themeColor="text1"/>
        </w:rPr>
        <w:t xml:space="preserve">hours </w:t>
      </w:r>
      <w:r w:rsidR="00A43071" w:rsidRPr="00D0161E">
        <w:rPr>
          <w:color w:val="000000" w:themeColor="text1"/>
        </w:rPr>
        <w:t>of</w:t>
      </w:r>
      <w:r w:rsidR="002A1AF2" w:rsidRPr="00D0161E">
        <w:rPr>
          <w:color w:val="000000" w:themeColor="text1"/>
        </w:rPr>
        <w:t xml:space="preserve"> exposure, 80% of this mortality occurring within the first 10 hours</w:t>
      </w:r>
      <w:r w:rsidR="009A2C9E" w:rsidRPr="00D0161E">
        <w:rPr>
          <w:color w:val="000000" w:themeColor="text1"/>
        </w:rPr>
        <w:t xml:space="preserve">, a </w:t>
      </w:r>
      <w:r w:rsidR="002A1AF2" w:rsidRPr="00D0161E">
        <w:rPr>
          <w:color w:val="000000" w:themeColor="text1"/>
        </w:rPr>
        <w:t xml:space="preserve">speed of kill </w:t>
      </w:r>
      <w:r w:rsidR="009A2C9E" w:rsidRPr="00D0161E">
        <w:rPr>
          <w:color w:val="000000" w:themeColor="text1"/>
        </w:rPr>
        <w:t xml:space="preserve">somewhat </w:t>
      </w:r>
      <w:r w:rsidR="002A1AF2" w:rsidRPr="00D0161E">
        <w:rPr>
          <w:color w:val="000000" w:themeColor="text1"/>
        </w:rPr>
        <w:t xml:space="preserve">slower than </w:t>
      </w:r>
      <w:r w:rsidR="00A43071" w:rsidRPr="00D0161E">
        <w:rPr>
          <w:color w:val="000000" w:themeColor="text1"/>
        </w:rPr>
        <w:t>seen with</w:t>
      </w:r>
      <w:r w:rsidR="002A1AF2" w:rsidRPr="00D0161E">
        <w:rPr>
          <w:color w:val="000000" w:themeColor="text1"/>
        </w:rPr>
        <w:t xml:space="preserve"> pyrethroids</w:t>
      </w:r>
      <w:r w:rsidR="005A6F35" w:rsidRPr="00D0161E">
        <w:rPr>
          <w:color w:val="000000" w:themeColor="text1"/>
        </w:rPr>
        <w:t xml:space="preserve"> due to the mode of action</w:t>
      </w:r>
      <w:r w:rsidR="002A1AF2" w:rsidRPr="00D0161E">
        <w:rPr>
          <w:color w:val="000000" w:themeColor="text1"/>
        </w:rPr>
        <w:t xml:space="preserve">. </w:t>
      </w:r>
      <w:r w:rsidR="0076446B" w:rsidRPr="00D0161E">
        <w:rPr>
          <w:color w:val="000000" w:themeColor="text1"/>
        </w:rPr>
        <w:t xml:space="preserve">The potential of </w:t>
      </w:r>
      <w:r w:rsidRPr="00D54567">
        <w:rPr>
          <w:color w:val="000000" w:themeColor="text1"/>
        </w:rPr>
        <w:t>Tenebenal</w:t>
      </w:r>
      <w:r w:rsidR="00430C73" w:rsidRPr="00D0161E">
        <w:rPr>
          <w:color w:val="000000" w:themeColor="text1"/>
        </w:rPr>
        <w:t xml:space="preserve">™ </w:t>
      </w:r>
      <w:r w:rsidR="0076446B" w:rsidRPr="00D0161E">
        <w:rPr>
          <w:color w:val="000000" w:themeColor="text1"/>
        </w:rPr>
        <w:t>for</w:t>
      </w:r>
      <w:r w:rsidR="00460051" w:rsidRPr="00D0161E">
        <w:rPr>
          <w:color w:val="000000" w:themeColor="text1"/>
        </w:rPr>
        <w:t xml:space="preserve"> </w:t>
      </w:r>
      <w:r w:rsidR="0076446B" w:rsidRPr="00D0161E">
        <w:rPr>
          <w:color w:val="000000" w:themeColor="text1"/>
        </w:rPr>
        <w:t>development in LLIN and IRS products was demonstrated</w:t>
      </w:r>
      <w:r w:rsidR="00432E12" w:rsidRPr="00D0161E">
        <w:rPr>
          <w:color w:val="000000" w:themeColor="text1"/>
        </w:rPr>
        <w:t>. A</w:t>
      </w:r>
      <w:r w:rsidR="00A43071" w:rsidRPr="00D0161E">
        <w:rPr>
          <w:color w:val="000000" w:themeColor="text1"/>
        </w:rPr>
        <w:t xml:space="preserve">t least 12 months </w:t>
      </w:r>
      <w:r w:rsidR="0076446B" w:rsidRPr="00D0161E">
        <w:rPr>
          <w:color w:val="000000" w:themeColor="text1"/>
        </w:rPr>
        <w:t xml:space="preserve">residual efficacy of </w:t>
      </w:r>
      <w:r w:rsidR="009A2C9E" w:rsidRPr="00D0161E">
        <w:rPr>
          <w:color w:val="000000" w:themeColor="text1"/>
        </w:rPr>
        <w:t xml:space="preserve">a </w:t>
      </w:r>
      <w:r w:rsidR="00A37D70" w:rsidRPr="00D0161E">
        <w:rPr>
          <w:color w:val="000000" w:themeColor="text1"/>
        </w:rPr>
        <w:t xml:space="preserve">prototype </w:t>
      </w:r>
      <w:r w:rsidR="0076446B" w:rsidRPr="00D0161E">
        <w:rPr>
          <w:color w:val="000000" w:themeColor="text1"/>
        </w:rPr>
        <w:t xml:space="preserve">IRS formulation </w:t>
      </w:r>
      <w:r w:rsidR="00432E12" w:rsidRPr="00D0161E">
        <w:rPr>
          <w:color w:val="000000" w:themeColor="text1"/>
        </w:rPr>
        <w:t xml:space="preserve">applied at concentrations up to </w:t>
      </w:r>
      <w:r w:rsidR="00B022E5" w:rsidRPr="00D0161E">
        <w:rPr>
          <w:color w:val="000000" w:themeColor="text1"/>
        </w:rPr>
        <w:t xml:space="preserve">200 </w:t>
      </w:r>
      <w:r w:rsidR="00DD3E29">
        <w:rPr>
          <w:color w:val="000000" w:themeColor="text1"/>
        </w:rPr>
        <w:t>mg</w:t>
      </w:r>
      <w:r w:rsidR="00DD3E29" w:rsidRPr="00D0161E">
        <w:rPr>
          <w:color w:val="000000" w:themeColor="text1"/>
        </w:rPr>
        <w:t xml:space="preserve"> </w:t>
      </w:r>
      <w:r w:rsidR="00432E12" w:rsidRPr="00D0161E">
        <w:rPr>
          <w:color w:val="000000" w:themeColor="text1"/>
        </w:rPr>
        <w:t>of AI/</w:t>
      </w:r>
      <w:proofErr w:type="spellStart"/>
      <w:r w:rsidR="00DD3E29">
        <w:rPr>
          <w:color w:val="000000" w:themeColor="text1"/>
        </w:rPr>
        <w:t>sq</w:t>
      </w:r>
      <w:proofErr w:type="spellEnd"/>
      <w:r w:rsidR="00DD3E29">
        <w:rPr>
          <w:color w:val="000000" w:themeColor="text1"/>
        </w:rPr>
        <w:t xml:space="preserve"> </w:t>
      </w:r>
      <w:r w:rsidR="00432E12" w:rsidRPr="00D0161E">
        <w:rPr>
          <w:color w:val="000000" w:themeColor="text1"/>
        </w:rPr>
        <w:t xml:space="preserve">m was demonstrated </w:t>
      </w:r>
      <w:r w:rsidR="0076446B" w:rsidRPr="00D0161E">
        <w:rPr>
          <w:color w:val="000000" w:themeColor="text1"/>
        </w:rPr>
        <w:t xml:space="preserve">on a range of </w:t>
      </w:r>
      <w:r w:rsidR="003D19D7" w:rsidRPr="00D0161E">
        <w:rPr>
          <w:color w:val="000000" w:themeColor="text1"/>
        </w:rPr>
        <w:t>representative wall substrates</w:t>
      </w:r>
      <w:r w:rsidR="0076446B" w:rsidRPr="00D0161E">
        <w:rPr>
          <w:color w:val="000000" w:themeColor="text1"/>
        </w:rPr>
        <w:t>, and up to 18 months on more inert substrates</w:t>
      </w:r>
      <w:r w:rsidR="00432E12" w:rsidRPr="00D0161E">
        <w:rPr>
          <w:color w:val="000000" w:themeColor="text1"/>
        </w:rPr>
        <w:t>. A</w:t>
      </w:r>
      <w:r w:rsidR="009A2C9E" w:rsidRPr="00D0161E">
        <w:rPr>
          <w:color w:val="000000" w:themeColor="text1"/>
        </w:rPr>
        <w:t xml:space="preserve"> dipped net </w:t>
      </w:r>
      <w:r w:rsidR="00432E12" w:rsidRPr="00D0161E">
        <w:rPr>
          <w:color w:val="000000" w:themeColor="text1"/>
        </w:rPr>
        <w:t>with an application rate of around 2 g/</w:t>
      </w:r>
      <w:proofErr w:type="spellStart"/>
      <w:r w:rsidR="00DD3E29">
        <w:rPr>
          <w:color w:val="000000" w:themeColor="text1"/>
        </w:rPr>
        <w:t>sq</w:t>
      </w:r>
      <w:proofErr w:type="spellEnd"/>
      <w:r w:rsidR="00DD3E29">
        <w:rPr>
          <w:color w:val="000000" w:themeColor="text1"/>
        </w:rPr>
        <w:t xml:space="preserve"> </w:t>
      </w:r>
      <w:r w:rsidR="00432E12" w:rsidRPr="00D0161E">
        <w:rPr>
          <w:color w:val="000000" w:themeColor="text1"/>
        </w:rPr>
        <w:t xml:space="preserve">m </w:t>
      </w:r>
      <w:proofErr w:type="spellStart"/>
      <w:proofErr w:type="gramStart"/>
      <w:r w:rsidRPr="00D54567">
        <w:rPr>
          <w:color w:val="000000" w:themeColor="text1"/>
        </w:rPr>
        <w:t>Tenebenal</w:t>
      </w:r>
      <w:r w:rsidR="00432E12" w:rsidRPr="00D0161E">
        <w:rPr>
          <w:b/>
          <w:bCs/>
          <w:color w:val="000000" w:themeColor="text1"/>
          <w:vertAlign w:val="superscript"/>
        </w:rPr>
        <w:t>TM</w:t>
      </w:r>
      <w:proofErr w:type="spellEnd"/>
      <w:r w:rsidR="00432E12" w:rsidRPr="00D0161E">
        <w:rPr>
          <w:color w:val="000000" w:themeColor="text1"/>
        </w:rPr>
        <w:t xml:space="preserve">  killed</w:t>
      </w:r>
      <w:proofErr w:type="gramEnd"/>
      <w:r w:rsidR="00432E12" w:rsidRPr="00D0161E">
        <w:rPr>
          <w:color w:val="000000" w:themeColor="text1"/>
        </w:rPr>
        <w:t xml:space="preserve"> 100% of exposed mosquitoes within 3</w:t>
      </w:r>
      <w:r w:rsidR="00DD3E29">
        <w:rPr>
          <w:color w:val="000000" w:themeColor="text1"/>
        </w:rPr>
        <w:t>-</w:t>
      </w:r>
      <w:r w:rsidR="00432E12" w:rsidRPr="00D0161E">
        <w:rPr>
          <w:color w:val="000000" w:themeColor="text1"/>
        </w:rPr>
        <w:t>minute exposure in a WHO cone test</w:t>
      </w:r>
      <w:r w:rsidR="0076446B" w:rsidRPr="00D0161E">
        <w:rPr>
          <w:color w:val="000000" w:themeColor="text1"/>
        </w:rPr>
        <w:t xml:space="preserve">.  </w:t>
      </w:r>
      <w:bookmarkEnd w:id="2"/>
    </w:p>
    <w:p w14:paraId="7ED30D96" w14:textId="77777777" w:rsidR="0076446B" w:rsidRPr="00D0161E" w:rsidRDefault="0076446B" w:rsidP="00D0161E">
      <w:pPr>
        <w:spacing w:line="480" w:lineRule="auto"/>
        <w:rPr>
          <w:b/>
          <w:bCs/>
          <w:color w:val="000000" w:themeColor="text1"/>
        </w:rPr>
      </w:pPr>
      <w:r w:rsidRPr="00D0161E">
        <w:rPr>
          <w:b/>
          <w:bCs/>
          <w:color w:val="000000" w:themeColor="text1"/>
        </w:rPr>
        <w:t>Conclusions</w:t>
      </w:r>
    </w:p>
    <w:p w14:paraId="01BD2503" w14:textId="0CAEED2B" w:rsidR="009D04AC" w:rsidRPr="00D0161E" w:rsidRDefault="00D54567" w:rsidP="00D0161E">
      <w:pPr>
        <w:spacing w:line="480" w:lineRule="auto"/>
        <w:rPr>
          <w:color w:val="000000" w:themeColor="text1"/>
        </w:rPr>
      </w:pPr>
      <w:r w:rsidRPr="00D54567">
        <w:rPr>
          <w:color w:val="000000" w:themeColor="text1"/>
        </w:rPr>
        <w:t>Tenebenal</w:t>
      </w:r>
      <w:r w:rsidR="00430C73" w:rsidRPr="00D0161E">
        <w:rPr>
          <w:color w:val="000000" w:themeColor="text1"/>
        </w:rPr>
        <w:t xml:space="preserve">™ </w:t>
      </w:r>
      <w:r w:rsidR="00A43071" w:rsidRPr="00D0161E">
        <w:rPr>
          <w:color w:val="000000" w:themeColor="text1"/>
        </w:rPr>
        <w:t>is</w:t>
      </w:r>
      <w:r w:rsidR="0076446B" w:rsidRPr="00D0161E">
        <w:rPr>
          <w:color w:val="000000" w:themeColor="text1"/>
        </w:rPr>
        <w:t xml:space="preserve"> a potent insecticide against adult </w:t>
      </w:r>
      <w:r w:rsidR="0076446B" w:rsidRPr="00D0161E">
        <w:rPr>
          <w:i/>
          <w:iCs/>
          <w:color w:val="000000" w:themeColor="text1"/>
        </w:rPr>
        <w:t>Aedes</w:t>
      </w:r>
      <w:r w:rsidR="0076446B" w:rsidRPr="00D0161E">
        <w:rPr>
          <w:color w:val="000000" w:themeColor="text1"/>
        </w:rPr>
        <w:t xml:space="preserve"> and </w:t>
      </w:r>
      <w:r w:rsidR="0076446B" w:rsidRPr="00D0161E">
        <w:rPr>
          <w:i/>
          <w:iCs/>
          <w:color w:val="000000" w:themeColor="text1"/>
        </w:rPr>
        <w:t>Anopheles</w:t>
      </w:r>
      <w:r w:rsidR="0076446B" w:rsidRPr="00D0161E">
        <w:rPr>
          <w:color w:val="000000" w:themeColor="text1"/>
        </w:rPr>
        <w:t xml:space="preserve"> mosquitoes, including </w:t>
      </w:r>
      <w:r w:rsidR="00A43071" w:rsidRPr="00D0161E">
        <w:rPr>
          <w:color w:val="000000" w:themeColor="text1"/>
        </w:rPr>
        <w:t>strains</w:t>
      </w:r>
      <w:r w:rsidR="0076446B" w:rsidRPr="00D0161E">
        <w:rPr>
          <w:color w:val="000000" w:themeColor="text1"/>
        </w:rPr>
        <w:t xml:space="preserve"> resistant to classes of insecticide</w:t>
      </w:r>
      <w:r w:rsidR="003D19D7" w:rsidRPr="00D0161E">
        <w:rPr>
          <w:color w:val="000000" w:themeColor="text1"/>
        </w:rPr>
        <w:t xml:space="preserve"> currently used in vector control</w:t>
      </w:r>
      <w:r w:rsidR="0076446B" w:rsidRPr="00D0161E">
        <w:rPr>
          <w:color w:val="000000" w:themeColor="text1"/>
        </w:rPr>
        <w:t xml:space="preserve">. </w:t>
      </w:r>
      <w:bookmarkStart w:id="3" w:name="_Hlk50112255"/>
      <w:r w:rsidR="0076446B" w:rsidRPr="00D0161E">
        <w:rPr>
          <w:color w:val="000000" w:themeColor="text1"/>
        </w:rPr>
        <w:t>The compound</w:t>
      </w:r>
      <w:r w:rsidR="00CA52B4" w:rsidRPr="00D0161E">
        <w:rPr>
          <w:color w:val="000000" w:themeColor="text1"/>
        </w:rPr>
        <w:t xml:space="preserve"> </w:t>
      </w:r>
      <w:r w:rsidR="00A43071" w:rsidRPr="00D0161E">
        <w:rPr>
          <w:color w:val="000000" w:themeColor="text1"/>
        </w:rPr>
        <w:t>has</w:t>
      </w:r>
      <w:r w:rsidR="00C018E6" w:rsidRPr="00D0161E">
        <w:rPr>
          <w:color w:val="000000" w:themeColor="text1"/>
        </w:rPr>
        <w:t xml:space="preserve"> </w:t>
      </w:r>
      <w:r w:rsidR="00755D55" w:rsidRPr="00D0161E">
        <w:rPr>
          <w:color w:val="000000" w:themeColor="text1"/>
        </w:rPr>
        <w:t xml:space="preserve">shown </w:t>
      </w:r>
      <w:r w:rsidR="00C018E6" w:rsidRPr="00D0161E">
        <w:rPr>
          <w:color w:val="000000" w:themeColor="text1"/>
        </w:rPr>
        <w:t>great p</w:t>
      </w:r>
      <w:r w:rsidR="00A43071" w:rsidRPr="00D0161E">
        <w:rPr>
          <w:color w:val="000000" w:themeColor="text1"/>
        </w:rPr>
        <w:t xml:space="preserve">otential </w:t>
      </w:r>
      <w:r w:rsidR="00755D55" w:rsidRPr="00D0161E">
        <w:rPr>
          <w:color w:val="000000" w:themeColor="text1"/>
        </w:rPr>
        <w:t xml:space="preserve">in laboratory assessment and warrants </w:t>
      </w:r>
      <w:r w:rsidR="00CA52B4" w:rsidRPr="00D0161E">
        <w:rPr>
          <w:color w:val="000000" w:themeColor="text1"/>
        </w:rPr>
        <w:t xml:space="preserve">further </w:t>
      </w:r>
      <w:r w:rsidR="00755D55" w:rsidRPr="00D0161E">
        <w:rPr>
          <w:color w:val="000000" w:themeColor="text1"/>
        </w:rPr>
        <w:t xml:space="preserve">investigation into </w:t>
      </w:r>
      <w:r w:rsidR="00CA52B4" w:rsidRPr="00D0161E">
        <w:rPr>
          <w:color w:val="000000" w:themeColor="text1"/>
        </w:rPr>
        <w:t>development for the control of pyrethroid</w:t>
      </w:r>
      <w:r w:rsidR="00A87262" w:rsidRPr="00D0161E">
        <w:rPr>
          <w:color w:val="000000" w:themeColor="text1"/>
        </w:rPr>
        <w:t>-</w:t>
      </w:r>
      <w:r w:rsidR="00CA52B4" w:rsidRPr="00D0161E">
        <w:rPr>
          <w:color w:val="000000" w:themeColor="text1"/>
        </w:rPr>
        <w:t>resistant mosquitoes.</w:t>
      </w:r>
      <w:bookmarkEnd w:id="3"/>
    </w:p>
    <w:p w14:paraId="00745AF0" w14:textId="41D7064F" w:rsidR="00BB6F30" w:rsidRPr="00025A3F" w:rsidRDefault="009D04AC" w:rsidP="00025A3F">
      <w:pPr>
        <w:pStyle w:val="Heading2"/>
        <w:spacing w:before="0" w:line="480" w:lineRule="auto"/>
        <w:rPr>
          <w:color w:val="000000" w:themeColor="text1"/>
        </w:rPr>
      </w:pPr>
      <w:proofErr w:type="gramStart"/>
      <w:r w:rsidRPr="00D0161E">
        <w:rPr>
          <w:rFonts w:ascii="Times New Roman" w:hAnsi="Times New Roman"/>
          <w:b/>
          <w:color w:val="000000" w:themeColor="text1"/>
          <w:sz w:val="24"/>
        </w:rPr>
        <w:t>Keywords</w:t>
      </w:r>
      <w:r w:rsidR="00DD3E29">
        <w:rPr>
          <w:rFonts w:ascii="Times New Roman" w:hAnsi="Times New Roman"/>
          <w:b/>
          <w:color w:val="000000" w:themeColor="text1"/>
          <w:sz w:val="24"/>
        </w:rPr>
        <w:t xml:space="preserve">  </w:t>
      </w:r>
      <w:r w:rsidR="00BD1AEC" w:rsidRPr="00025A3F">
        <w:rPr>
          <w:rFonts w:ascii="Times New Roman" w:eastAsia="Times New Roman" w:hAnsi="Times New Roman" w:cs="Times New Roman"/>
          <w:color w:val="000000" w:themeColor="text1"/>
          <w:sz w:val="24"/>
          <w:szCs w:val="24"/>
          <w:lang w:eastAsia="en-GB"/>
        </w:rPr>
        <w:t>Insecticide</w:t>
      </w:r>
      <w:proofErr w:type="gramEnd"/>
      <w:r w:rsidR="00BD1AEC" w:rsidRPr="00025A3F">
        <w:rPr>
          <w:rFonts w:ascii="Times New Roman" w:eastAsia="Times New Roman" w:hAnsi="Times New Roman" w:cs="Times New Roman"/>
          <w:color w:val="000000" w:themeColor="text1"/>
          <w:sz w:val="24"/>
          <w:szCs w:val="24"/>
          <w:lang w:eastAsia="en-GB"/>
        </w:rPr>
        <w:t xml:space="preserve"> resistance management, </w:t>
      </w:r>
      <w:r w:rsidR="00BD1AEC" w:rsidRPr="00025A3F">
        <w:rPr>
          <w:rFonts w:ascii="Times New Roman" w:eastAsia="Times New Roman" w:hAnsi="Times New Roman" w:cs="Times New Roman"/>
          <w:i/>
          <w:color w:val="000000" w:themeColor="text1"/>
          <w:sz w:val="24"/>
          <w:szCs w:val="24"/>
          <w:lang w:eastAsia="en-GB"/>
        </w:rPr>
        <w:t>Anopheles gambiae</w:t>
      </w:r>
      <w:r w:rsidR="00BD1AEC" w:rsidRPr="00025A3F">
        <w:rPr>
          <w:rFonts w:ascii="Times New Roman" w:eastAsia="Times New Roman" w:hAnsi="Times New Roman" w:cs="Times New Roman"/>
          <w:color w:val="000000" w:themeColor="text1"/>
          <w:sz w:val="24"/>
          <w:szCs w:val="24"/>
          <w:lang w:eastAsia="en-GB"/>
        </w:rPr>
        <w:t xml:space="preserve">, </w:t>
      </w:r>
      <w:r w:rsidR="00BD1AEC" w:rsidRPr="00025A3F">
        <w:rPr>
          <w:rFonts w:ascii="Times New Roman" w:eastAsia="Times New Roman" w:hAnsi="Times New Roman" w:cs="Times New Roman"/>
          <w:i/>
          <w:color w:val="000000" w:themeColor="text1"/>
          <w:sz w:val="24"/>
          <w:szCs w:val="24"/>
          <w:lang w:eastAsia="en-GB"/>
        </w:rPr>
        <w:t>Aedes aegypti</w:t>
      </w:r>
      <w:r w:rsidR="00BD1AEC" w:rsidRPr="00025A3F">
        <w:rPr>
          <w:rFonts w:ascii="Times New Roman" w:eastAsia="Times New Roman" w:hAnsi="Times New Roman" w:cs="Times New Roman"/>
          <w:color w:val="000000" w:themeColor="text1"/>
          <w:sz w:val="24"/>
          <w:szCs w:val="24"/>
          <w:lang w:eastAsia="en-GB"/>
        </w:rPr>
        <w:t xml:space="preserve">, </w:t>
      </w:r>
      <w:r w:rsidR="00DD3E29">
        <w:rPr>
          <w:rFonts w:ascii="Times New Roman" w:eastAsia="Times New Roman" w:hAnsi="Times New Roman" w:cs="Times New Roman"/>
          <w:color w:val="000000" w:themeColor="text1"/>
          <w:sz w:val="24"/>
          <w:szCs w:val="24"/>
          <w:lang w:eastAsia="en-GB"/>
        </w:rPr>
        <w:t>M</w:t>
      </w:r>
      <w:r w:rsidR="00BD1AEC" w:rsidRPr="00025A3F">
        <w:rPr>
          <w:rFonts w:ascii="Times New Roman" w:eastAsia="Times New Roman" w:hAnsi="Times New Roman" w:cs="Times New Roman"/>
          <w:color w:val="000000" w:themeColor="text1"/>
          <w:sz w:val="24"/>
          <w:szCs w:val="24"/>
          <w:lang w:eastAsia="en-GB"/>
        </w:rPr>
        <w:t xml:space="preserve">eta-diamide, </w:t>
      </w:r>
      <w:r w:rsidR="00D54567" w:rsidRPr="00025A3F">
        <w:rPr>
          <w:rFonts w:ascii="Times New Roman" w:hAnsi="Times New Roman" w:cs="Times New Roman"/>
          <w:color w:val="000000" w:themeColor="text1"/>
          <w:sz w:val="24"/>
          <w:szCs w:val="24"/>
        </w:rPr>
        <w:t>Tenebenal</w:t>
      </w:r>
      <w:r w:rsidR="00BD1AEC" w:rsidRPr="00025A3F">
        <w:rPr>
          <w:rFonts w:ascii="Times New Roman" w:eastAsia="Times New Roman" w:hAnsi="Times New Roman" w:cs="Times New Roman"/>
          <w:color w:val="000000" w:themeColor="text1"/>
          <w:sz w:val="24"/>
          <w:szCs w:val="24"/>
          <w:lang w:eastAsia="en-GB"/>
        </w:rPr>
        <w:t xml:space="preserve">™, </w:t>
      </w:r>
      <w:r w:rsidR="00DD3E29">
        <w:rPr>
          <w:rFonts w:ascii="Times New Roman" w:eastAsia="Times New Roman" w:hAnsi="Times New Roman" w:cs="Times New Roman"/>
          <w:color w:val="000000" w:themeColor="text1"/>
          <w:sz w:val="24"/>
          <w:szCs w:val="24"/>
          <w:lang w:eastAsia="en-GB"/>
        </w:rPr>
        <w:t>B</w:t>
      </w:r>
      <w:r w:rsidR="00BD1AEC" w:rsidRPr="00025A3F">
        <w:rPr>
          <w:rFonts w:ascii="Times New Roman" w:eastAsia="Times New Roman" w:hAnsi="Times New Roman" w:cs="Times New Roman"/>
          <w:color w:val="000000" w:themeColor="text1"/>
          <w:sz w:val="24"/>
          <w:szCs w:val="24"/>
          <w:lang w:eastAsia="en-GB"/>
        </w:rPr>
        <w:t>roflanilide</w:t>
      </w:r>
    </w:p>
    <w:p w14:paraId="0AD1673B" w14:textId="77777777" w:rsidR="00D370B3" w:rsidRPr="00D0161E" w:rsidRDefault="00D370B3" w:rsidP="00D0161E">
      <w:pPr>
        <w:spacing w:line="480" w:lineRule="auto"/>
        <w:rPr>
          <w:rFonts w:eastAsiaTheme="majorEastAsia" w:cstheme="majorBidi"/>
          <w:color w:val="000000" w:themeColor="text1"/>
          <w:szCs w:val="26"/>
        </w:rPr>
      </w:pPr>
    </w:p>
    <w:p w14:paraId="1E720533" w14:textId="77777777" w:rsidR="000C167F" w:rsidRPr="00D0161E" w:rsidRDefault="000C167F" w:rsidP="00D0161E">
      <w:pPr>
        <w:spacing w:line="480" w:lineRule="auto"/>
        <w:rPr>
          <w:rFonts w:eastAsiaTheme="majorEastAsia" w:cstheme="majorBidi"/>
          <w:b/>
          <w:color w:val="000000" w:themeColor="text1"/>
          <w:szCs w:val="26"/>
          <w:lang w:eastAsia="en-US"/>
        </w:rPr>
      </w:pPr>
      <w:r w:rsidRPr="00D0161E">
        <w:rPr>
          <w:b/>
          <w:color w:val="000000" w:themeColor="text1"/>
        </w:rPr>
        <w:br w:type="page"/>
      </w:r>
    </w:p>
    <w:p w14:paraId="173E2E70" w14:textId="77777777" w:rsidR="00D85797" w:rsidRPr="00D0161E" w:rsidRDefault="009D04AC" w:rsidP="00D0161E">
      <w:pPr>
        <w:pStyle w:val="Heading2"/>
        <w:spacing w:before="0" w:line="480" w:lineRule="auto"/>
        <w:rPr>
          <w:rFonts w:ascii="Times New Roman" w:hAnsi="Times New Roman"/>
          <w:b/>
          <w:color w:val="000000" w:themeColor="text1"/>
          <w:sz w:val="24"/>
        </w:rPr>
      </w:pPr>
      <w:r w:rsidRPr="00D0161E">
        <w:rPr>
          <w:rFonts w:ascii="Times New Roman" w:hAnsi="Times New Roman"/>
          <w:b/>
          <w:color w:val="000000" w:themeColor="text1"/>
          <w:sz w:val="24"/>
        </w:rPr>
        <w:t>Background</w:t>
      </w:r>
    </w:p>
    <w:p w14:paraId="478843A9" w14:textId="77777777" w:rsidR="00DD3E29" w:rsidRDefault="00DD3E29" w:rsidP="00D0161E">
      <w:pPr>
        <w:spacing w:line="480" w:lineRule="auto"/>
        <w:rPr>
          <w:color w:val="000000" w:themeColor="text1"/>
        </w:rPr>
      </w:pPr>
    </w:p>
    <w:p w14:paraId="519878BB" w14:textId="543A2EA3" w:rsidR="00365287" w:rsidRPr="00D0161E" w:rsidRDefault="00312633" w:rsidP="00D0161E">
      <w:pPr>
        <w:spacing w:line="480" w:lineRule="auto"/>
        <w:rPr>
          <w:color w:val="000000" w:themeColor="text1"/>
        </w:rPr>
      </w:pPr>
      <w:r w:rsidRPr="00D0161E">
        <w:rPr>
          <w:color w:val="000000" w:themeColor="text1"/>
        </w:rPr>
        <w:t xml:space="preserve">The growing prevalence of </w:t>
      </w:r>
      <w:r w:rsidR="00A37D70" w:rsidRPr="00D0161E">
        <w:rPr>
          <w:color w:val="000000" w:themeColor="text1"/>
        </w:rPr>
        <w:t xml:space="preserve">insecticide </w:t>
      </w:r>
      <w:r w:rsidRPr="00D0161E">
        <w:rPr>
          <w:color w:val="000000" w:themeColor="text1"/>
        </w:rPr>
        <w:t xml:space="preserve">resistance </w:t>
      </w:r>
      <w:r w:rsidR="00A37D70" w:rsidRPr="00D0161E">
        <w:rPr>
          <w:color w:val="000000" w:themeColor="text1"/>
        </w:rPr>
        <w:t xml:space="preserve">in </w:t>
      </w:r>
      <w:r w:rsidRPr="00D0161E">
        <w:rPr>
          <w:color w:val="000000" w:themeColor="text1"/>
        </w:rPr>
        <w:t xml:space="preserve">mosquitoes, and the risk </w:t>
      </w:r>
      <w:r w:rsidR="00A37D70" w:rsidRPr="00D0161E">
        <w:rPr>
          <w:color w:val="000000" w:themeColor="text1"/>
        </w:rPr>
        <w:t xml:space="preserve">this </w:t>
      </w:r>
      <w:r w:rsidRPr="00D0161E">
        <w:rPr>
          <w:color w:val="000000" w:themeColor="text1"/>
        </w:rPr>
        <w:t xml:space="preserve">poses to maintaining the gains made in control of </w:t>
      </w:r>
      <w:r w:rsidR="00A37D70" w:rsidRPr="00D0161E">
        <w:rPr>
          <w:color w:val="000000" w:themeColor="text1"/>
        </w:rPr>
        <w:t xml:space="preserve">the </w:t>
      </w:r>
      <w:r w:rsidRPr="00D0161E">
        <w:rPr>
          <w:color w:val="000000" w:themeColor="text1"/>
        </w:rPr>
        <w:t>diseases</w:t>
      </w:r>
      <w:r w:rsidR="00A37D70" w:rsidRPr="00D0161E">
        <w:rPr>
          <w:color w:val="000000" w:themeColor="text1"/>
        </w:rPr>
        <w:t xml:space="preserve"> they transmit</w:t>
      </w:r>
      <w:r w:rsidRPr="00D0161E">
        <w:rPr>
          <w:color w:val="000000" w:themeColor="text1"/>
        </w:rPr>
        <w:t>, particularly malaria, are well</w:t>
      </w:r>
      <w:r w:rsidR="00A37D70" w:rsidRPr="00D0161E">
        <w:rPr>
          <w:color w:val="000000" w:themeColor="text1"/>
        </w:rPr>
        <w:t>-</w:t>
      </w:r>
      <w:r w:rsidRPr="00B63A44">
        <w:rPr>
          <w:color w:val="000000" w:themeColor="text1"/>
        </w:rPr>
        <w:t xml:space="preserve">documented </w:t>
      </w:r>
      <w:r w:rsidR="00BD1AEC" w:rsidRPr="00025A3F">
        <w:rPr>
          <w:color w:val="000000" w:themeColor="text1"/>
        </w:rPr>
        <w:fldChar w:fldCharType="begin" w:fldLock="1"/>
      </w:r>
      <w:r w:rsidR="00B63A44" w:rsidRPr="00025A3F">
        <w:rPr>
          <w:color w:val="000000" w:themeColor="text1"/>
        </w:rPr>
        <w:instrText>ADDIN CSL_CITATION {"citationItems":[{"id":"ITEM-1","itemData":{"DOI":"10.1371/journal.pntd.0005625","ISSN":"19352735","abstract":"Both Aedes aegytpi and Ae. albopictus are major vectors of 5 important arboviruses (namely chikungunya virus, dengue virus, Rift Valley fever virus, yellow fever virus, and Zika virus), making these mosquitoes an important factor in the worldwide burden of infectious disease. Vector control using insecticides coupled with larval source reduction is critical to control the transmission of these viruses to humans but is threatened by the emergence of insecticide resistance. Here, we review the available evidence for the geographical distribution of insecticide resistance in these 2 major vectors worldwide and map the data collated for the 4 main classes of neurotoxic insecticide (carbamates, organochlorines, organophosphates, and pyrethroids). Emerging resistance to all 4 of these insecticide classes has been detected in the Americas, Africa, and Asia. Target-site mutations and increased insecticide detoxification have both been linked to resistance in Ae. aegypti and Ae. albopictus but more work is required to further elucidate metabolic mechanisms and develop robust diagnostic assays. Geographical distributions are provided for the mechanisms that have been shown to be important to date. Estimating insecticide resistance in unsampled locations is hampered by a lack of standardisation in the diagnostic tools used and by a lack of data in a number of regions for both resistance phenotypes and genotypes. The need for increased sampling using standard methods is critical to tackle the issue of emerging insecticide resistance threatening human health. Specifically, diagnostic doses and well-characterised susceptible strains are needed for the full range of insecticides used to control Ae. aegypti and Ae. albopictus to standardise measurement of the resistant phenotype, and calibrated diagnostic assays are needed for the major mechanisms of resistance.","author":[{"dropping-particle":"","family":"Moyes","given":"Catherine L.","non-dropping-particle":"","parse-names":false,"suffix":""},{"dropping-particle":"","family":"Vontas","given":"John","non-dropping-particle":"","parse-names":false,"suffix":""},{"dropping-particle":"","family":"Martins","given":"Ademir J.","non-dropping-particle":"","parse-names":false,"suffix":""},{"dropping-particle":"","family":"Ng","given":"Lee Ching","non-dropping-particle":"","parse-names":false,"suffix":""},{"dropping-particle":"","family":"Koou","given":"Sin Ying","non-dropping-particle":"","parse-names":false,"suffix":""},{"dropping-particle":"","family":"Dusfour","given":"Isabelle","non-dropping-particle":"","parse-names":false,"suffix":""},{"dropping-particle":"","family":"Raghavendra","given":"Kamaraju","non-dropping-particle":"","parse-names":false,"suffix":""},{"dropping-particle":"","family":"Pinto","given":"João","non-dropping-particle":"","parse-names":false,"suffix":""},{"dropping-particle":"","family":"Corbel","given":"Vincent","non-dropping-particle":"","parse-names":false,"suffix":""},{"dropping-particle":"","family":"David","given":"Jean Philippe","non-dropping-particle":"","parse-names":false,"suffix":""},{"dropping-particle":"","family":"Weetman","given":"David","non-dropping-particle":"","parse-names":false,"suffix":""}],"container-title":"PLoS Neglected Tropical Diseases","id":"ITEM-1","issue":"7","issued":{"date-parts":[["2017"]]},"page":"e0005625","title":"Contemporary status of insecticide resistance in the major Aedes vectors of arboviruses infecting humans","type":"article-journal","volume":"11"},"uris":["http://www.mendeley.com/documents/?uuid=0abc110e-8413-3e2b-a024-db22d4b0c1b1"]},{"id":"ITEM-2","itemData":{"ISBN":"9789241565721","author":[{"dropping-particle":"","family":"WHO","given":"","non-dropping-particle":"","parse-names":false,"suffix":""}],"id":"ITEM-2","issued":{"date-parts":[["2019"]]},"publisher":"World Health Organization","publisher-place":"Geneva","title":"World Malaria Report 2019","type":"book"},"uris":["http://www.mendeley.com/documents/?uuid=62fa577b-af42-3e51-9a9f-b35335fdc8de"]}],"mendeley":{"formattedCitation":"[1,2]","plainTextFormattedCitation":"[1,2]","previouslyFormattedCitation":"[1,2]"},"properties":{"noteIndex":0},"schema":"https://github.com/citation-style-language/schema/raw/master/csl-citation.json"}</w:instrText>
      </w:r>
      <w:r w:rsidR="00BD1AEC" w:rsidRPr="00025A3F">
        <w:rPr>
          <w:color w:val="000000" w:themeColor="text1"/>
        </w:rPr>
        <w:fldChar w:fldCharType="separate"/>
      </w:r>
      <w:r w:rsidR="00CC52E9" w:rsidRPr="00025A3F">
        <w:rPr>
          <w:noProof/>
          <w:color w:val="000000" w:themeColor="text1"/>
        </w:rPr>
        <w:t>[1,2]</w:t>
      </w:r>
      <w:r w:rsidR="00BD1AEC" w:rsidRPr="00025A3F">
        <w:rPr>
          <w:color w:val="000000" w:themeColor="text1"/>
        </w:rPr>
        <w:fldChar w:fldCharType="end"/>
      </w:r>
      <w:r w:rsidRPr="00025A3F">
        <w:rPr>
          <w:color w:val="000000" w:themeColor="text1"/>
        </w:rPr>
        <w:t>.</w:t>
      </w:r>
      <w:r w:rsidRPr="00B63A44">
        <w:rPr>
          <w:color w:val="000000" w:themeColor="text1"/>
        </w:rPr>
        <w:t xml:space="preserve"> </w:t>
      </w:r>
      <w:r w:rsidR="00DD3E29">
        <w:rPr>
          <w:color w:val="000000" w:themeColor="text1"/>
        </w:rPr>
        <w:t>T</w:t>
      </w:r>
      <w:r w:rsidR="00A37D70" w:rsidRPr="00D0161E">
        <w:rPr>
          <w:color w:val="000000" w:themeColor="text1"/>
        </w:rPr>
        <w:t>here</w:t>
      </w:r>
      <w:r w:rsidRPr="00D0161E">
        <w:rPr>
          <w:color w:val="000000" w:themeColor="text1"/>
        </w:rPr>
        <w:t xml:space="preserve"> is an urgent need </w:t>
      </w:r>
      <w:r w:rsidR="00A37D70" w:rsidRPr="00D0161E">
        <w:rPr>
          <w:color w:val="000000" w:themeColor="text1"/>
        </w:rPr>
        <w:t xml:space="preserve">to discover and develop </w:t>
      </w:r>
      <w:r w:rsidRPr="00D0161E">
        <w:rPr>
          <w:color w:val="000000" w:themeColor="text1"/>
        </w:rPr>
        <w:t xml:space="preserve">compounds with novel modes of action to complement or replace the </w:t>
      </w:r>
      <w:r w:rsidR="00430C73" w:rsidRPr="00D0161E">
        <w:rPr>
          <w:color w:val="000000" w:themeColor="text1"/>
        </w:rPr>
        <w:t>small</w:t>
      </w:r>
      <w:r w:rsidRPr="00D0161E">
        <w:rPr>
          <w:color w:val="000000" w:themeColor="text1"/>
        </w:rPr>
        <w:t xml:space="preserve"> </w:t>
      </w:r>
      <w:r w:rsidR="00A37D70" w:rsidRPr="00D0161E">
        <w:rPr>
          <w:color w:val="000000" w:themeColor="text1"/>
        </w:rPr>
        <w:t xml:space="preserve">number </w:t>
      </w:r>
      <w:r w:rsidRPr="00D0161E">
        <w:rPr>
          <w:color w:val="000000" w:themeColor="text1"/>
        </w:rPr>
        <w:t>of insecticide classes approved by the World Health Organi</w:t>
      </w:r>
      <w:r w:rsidR="00DD3E29">
        <w:rPr>
          <w:color w:val="000000" w:themeColor="text1"/>
        </w:rPr>
        <w:t>z</w:t>
      </w:r>
      <w:r w:rsidRPr="00D0161E">
        <w:rPr>
          <w:color w:val="000000" w:themeColor="text1"/>
        </w:rPr>
        <w:t xml:space="preserve">ation </w:t>
      </w:r>
      <w:r w:rsidR="00A37D70" w:rsidRPr="00D0161E">
        <w:rPr>
          <w:color w:val="000000" w:themeColor="text1"/>
        </w:rPr>
        <w:t xml:space="preserve">(WHO) </w:t>
      </w:r>
      <w:r w:rsidRPr="00D0161E">
        <w:rPr>
          <w:color w:val="000000" w:themeColor="text1"/>
        </w:rPr>
        <w:t xml:space="preserve">for use in </w:t>
      </w:r>
      <w:r w:rsidRPr="00D0161E">
        <w:rPr>
          <w:color w:val="000000" w:themeColor="text1"/>
          <w:shd w:val="clear" w:color="auto" w:fill="FFFFFF"/>
        </w:rPr>
        <w:t>long-lasting insecticidal nets</w:t>
      </w:r>
      <w:r w:rsidRPr="00D0161E">
        <w:rPr>
          <w:color w:val="000000" w:themeColor="text1"/>
        </w:rPr>
        <w:t xml:space="preserve"> (LLIN</w:t>
      </w:r>
      <w:r w:rsidR="00DD3E29">
        <w:rPr>
          <w:color w:val="000000" w:themeColor="text1"/>
        </w:rPr>
        <w:t>s</w:t>
      </w:r>
      <w:r w:rsidRPr="00D0161E">
        <w:rPr>
          <w:color w:val="000000" w:themeColor="text1"/>
        </w:rPr>
        <w:t>), indoor residual spray</w:t>
      </w:r>
      <w:r w:rsidR="00DD3E29">
        <w:rPr>
          <w:color w:val="000000" w:themeColor="text1"/>
        </w:rPr>
        <w:t>ing</w:t>
      </w:r>
      <w:r w:rsidRPr="00D0161E">
        <w:rPr>
          <w:color w:val="000000" w:themeColor="text1"/>
        </w:rPr>
        <w:t xml:space="preserve"> (IRS), larvicides and space sprays </w:t>
      </w:r>
      <w:r w:rsidR="00BD1AEC" w:rsidRPr="00B63A44">
        <w:rPr>
          <w:color w:val="000000" w:themeColor="text1"/>
        </w:rPr>
        <w:fldChar w:fldCharType="begin" w:fldLock="1"/>
      </w:r>
      <w:r w:rsidR="00B63A44" w:rsidRPr="00025A3F">
        <w:rPr>
          <w:color w:val="000000" w:themeColor="text1"/>
        </w:rPr>
        <w:instrText>ADDIN CSL_CITATION {"citationItems":[{"id":"ITEM-1","itemData":{"DOI":"10.1016/S0140-6736(15)00417-1","ISBN":"0140-6736","ISSN":"1474547X","PMID":"26880124","abstract":"World Malaria Day 2015 highlighted the progress made in the development of new methods of prevention (vaccines and insecticides) and treatment (single dose drugs) of the disease. However, increasing drug and insecticide resistance threatens the successes made with existing methods. Insecticide resistance has decreased the efficacy of the most commonly used insecticide class of pyrethroids. This decreased efficacy has increased mosquito survival, which is a prelude to rising incidence of malaria and fatalities. Despite intensive research efforts, new insecticides will not reach the market for at least 5 years. Elimination of malaria is not possible without effective mosquito control. Therefore, to combat the threat of resistance, key stakeholders need to rapidly embrace a multifaceted approach including a reduction in the cost of bringing new resistance management methods to market and the streamlining of associated development, policy, and implementation pathways to counter this looming public health catastrophe.","author":[{"dropping-particle":"","family":"Hemingway","given":"Janet","non-dropping-particle":"","parse-names":false,"suffix":""},{"dropping-particle":"","family":"Ranson","given":"Hilary","non-dropping-particle":"","parse-names":false,"suffix":""},{"dropping-particle":"","family":"Magill","given":"Alan","non-dropping-particle":"","parse-names":false,"suffix":""},{"dropping-particle":"","family":"Kolaczinski","given":"Jan","non-dropping-particle":"","parse-names":false,"suffix":""},{"dropping-particle":"","family":"Fornadel","given":"Christen","non-dropping-particle":"","parse-names":false,"suffix":""},{"dropping-particle":"","family":"Gimnig","given":"John","non-dropping-particle":"","parse-names":false,"suffix":""},{"dropping-particle":"","family":"Coetzee","given":"Maureen","non-dropping-particle":"","parse-names":false,"suffix":""},{"dropping-particle":"","family":"Simard","given":"Frederic","non-dropping-particle":"","parse-names":false,"suffix":""},{"dropping-particle":"","family":"Roch","given":"Dabir?? K.","non-dropping-particle":"","parse-names":false,"suffix":""},{"dropping-particle":"","family":"Hinzoumbe","given":"Cl??ment Kerah","non-dropping-particle":"","parse-names":false,"suffix":""},{"dropping-particle":"","family":"Pickett","given":"John","non-dropping-particle":"","parse-names":false,"suffix":""},{"dropping-particle":"","family":"Schellenberg","given":"David","non-dropping-particle":"","parse-names":false,"suffix":""},{"dropping-particle":"","family":"Gething","given":"Peter","non-dropping-particle":"","parse-names":false,"suffix":""},{"dropping-particle":"","family":"Hopp??","given":"Mark","non-dropping-particle":"","parse-names":false,"suffix":""},{"dropping-particle":"","family":"Hamon","given":"Nicholas","non-dropping-particle":"","parse-names":false,"suffix":""}],"container-title":"The Lancet","id":"ITEM-1","issue":"10029","issued":{"date-parts":[["2016"]]},"page":"1785-1788","title":"Averting a malaria disaster: Will insecticide resistance derail malaria control?","type":"article-journal","volume":"387"},"uris":["http://www.mendeley.com/documents/?uuid=8426b4f0-2747-3cc2-a9d1-be30a436eff4"]}],"mendeley":{"formattedCitation":"[3]","plainTextFormattedCitation":"[3]","previouslyFormattedCitation":"[3]"},"properties":{"noteIndex":0},"schema":"https://github.com/citation-style-language/schema/raw/master/csl-citation.json"}</w:instrText>
      </w:r>
      <w:r w:rsidR="00BD1AEC" w:rsidRPr="00025A3F">
        <w:rPr>
          <w:color w:val="000000" w:themeColor="text1"/>
        </w:rPr>
        <w:fldChar w:fldCharType="separate"/>
      </w:r>
      <w:r w:rsidR="00CC52E9" w:rsidRPr="00025A3F">
        <w:rPr>
          <w:noProof/>
          <w:color w:val="000000" w:themeColor="text1"/>
        </w:rPr>
        <w:t>[3]</w:t>
      </w:r>
      <w:r w:rsidR="00BD1AEC" w:rsidRPr="00B63A44">
        <w:rPr>
          <w:color w:val="000000" w:themeColor="text1"/>
        </w:rPr>
        <w:fldChar w:fldCharType="end"/>
      </w:r>
      <w:r w:rsidR="00BD1AEC" w:rsidRPr="00B63A44">
        <w:rPr>
          <w:color w:val="000000" w:themeColor="text1"/>
        </w:rPr>
        <w:t>.</w:t>
      </w:r>
      <w:r w:rsidR="00284FD5" w:rsidRPr="00D0161E">
        <w:rPr>
          <w:color w:val="000000" w:themeColor="text1"/>
        </w:rPr>
        <w:t xml:space="preserve">  </w:t>
      </w:r>
    </w:p>
    <w:p w14:paraId="615C8748" w14:textId="77777777" w:rsidR="00DD3E29" w:rsidRDefault="00DD3E29" w:rsidP="00D0161E">
      <w:pPr>
        <w:spacing w:line="480" w:lineRule="auto"/>
        <w:rPr>
          <w:color w:val="000000" w:themeColor="text1"/>
        </w:rPr>
      </w:pPr>
    </w:p>
    <w:p w14:paraId="35BEBDD5" w14:textId="49AA9C89" w:rsidR="000C167F" w:rsidRPr="00D0161E" w:rsidRDefault="00D54567" w:rsidP="00D0161E">
      <w:pPr>
        <w:spacing w:line="480" w:lineRule="auto"/>
        <w:rPr>
          <w:color w:val="000000" w:themeColor="text1"/>
        </w:rPr>
      </w:pPr>
      <w:proofErr w:type="spellStart"/>
      <w:r w:rsidRPr="00D54567">
        <w:rPr>
          <w:color w:val="000000" w:themeColor="text1"/>
        </w:rPr>
        <w:t>Tenebenal</w:t>
      </w:r>
      <w:r w:rsidR="006B688A" w:rsidRPr="00D0161E">
        <w:rPr>
          <w:color w:val="000000" w:themeColor="text1"/>
          <w:vertAlign w:val="superscript"/>
        </w:rPr>
        <w:t>TM</w:t>
      </w:r>
      <w:proofErr w:type="spellEnd"/>
      <w:r w:rsidR="002A1AF2" w:rsidRPr="00D0161E">
        <w:rPr>
          <w:color w:val="000000" w:themeColor="text1"/>
          <w:vertAlign w:val="superscript"/>
        </w:rPr>
        <w:t xml:space="preserve"> </w:t>
      </w:r>
      <w:r w:rsidR="002A1AF2" w:rsidRPr="00D0161E">
        <w:rPr>
          <w:color w:val="000000" w:themeColor="text1"/>
        </w:rPr>
        <w:t>(broflanilide)</w:t>
      </w:r>
      <w:r w:rsidR="00473576" w:rsidRPr="00D0161E">
        <w:rPr>
          <w:color w:val="000000" w:themeColor="text1"/>
        </w:rPr>
        <w:t>,</w:t>
      </w:r>
      <w:r w:rsidR="00625D38" w:rsidRPr="00D0161E">
        <w:rPr>
          <w:color w:val="000000" w:themeColor="text1"/>
        </w:rPr>
        <w:t xml:space="preserve"> was</w:t>
      </w:r>
      <w:r w:rsidR="007A3382" w:rsidRPr="00D0161E">
        <w:rPr>
          <w:color w:val="000000" w:themeColor="text1"/>
        </w:rPr>
        <w:t xml:space="preserve"> one of the meta-diamides </w:t>
      </w:r>
      <w:r w:rsidR="00B3715B" w:rsidRPr="00D0161E">
        <w:rPr>
          <w:color w:val="000000" w:themeColor="text1"/>
        </w:rPr>
        <w:t>[</w:t>
      </w:r>
      <w:r w:rsidR="00B3715B" w:rsidRPr="00D0161E">
        <w:rPr>
          <w:i/>
          <w:color w:val="000000" w:themeColor="text1"/>
        </w:rPr>
        <w:t>N</w:t>
      </w:r>
      <w:r w:rsidR="00B3715B" w:rsidRPr="00D0161E">
        <w:rPr>
          <w:color w:val="000000" w:themeColor="text1"/>
        </w:rPr>
        <w:t>-[2-bromo-4-(perfluoropropan-2-yl)-6-(trifluoromethyl)phenyl]-2-fluoro-3-(</w:t>
      </w:r>
      <w:r w:rsidR="00B3715B" w:rsidRPr="00D0161E">
        <w:rPr>
          <w:i/>
          <w:color w:val="000000" w:themeColor="text1"/>
        </w:rPr>
        <w:t>N</w:t>
      </w:r>
      <w:r w:rsidR="00B3715B" w:rsidRPr="00D0161E">
        <w:rPr>
          <w:color w:val="000000" w:themeColor="text1"/>
        </w:rPr>
        <w:t>-methylbenzamido)benzamide</w:t>
      </w:r>
      <w:r w:rsidR="007A3382" w:rsidRPr="00D0161E">
        <w:rPr>
          <w:color w:val="000000" w:themeColor="text1"/>
        </w:rPr>
        <w:t xml:space="preserve">] discovered by Mitsui Chemicals </w:t>
      </w:r>
      <w:proofErr w:type="spellStart"/>
      <w:r w:rsidR="007A3382" w:rsidRPr="00D0161E">
        <w:rPr>
          <w:color w:val="000000" w:themeColor="text1"/>
        </w:rPr>
        <w:t>Agro</w:t>
      </w:r>
      <w:proofErr w:type="spellEnd"/>
      <w:r w:rsidR="007A3382" w:rsidRPr="00D0161E">
        <w:rPr>
          <w:color w:val="000000" w:themeColor="text1"/>
        </w:rPr>
        <w:t xml:space="preserve"> Inc.</w:t>
      </w:r>
      <w:r w:rsidR="00625D38" w:rsidRPr="00D0161E">
        <w:rPr>
          <w:color w:val="000000" w:themeColor="text1"/>
        </w:rPr>
        <w:t xml:space="preserve"> during drug discovery research, a compound with </w:t>
      </w:r>
      <w:r w:rsidR="00430C73" w:rsidRPr="00D0161E">
        <w:rPr>
          <w:color w:val="000000" w:themeColor="text1"/>
        </w:rPr>
        <w:t xml:space="preserve">a </w:t>
      </w:r>
      <w:r w:rsidR="00625D38" w:rsidRPr="00D0161E">
        <w:rPr>
          <w:color w:val="000000" w:themeColor="text1"/>
        </w:rPr>
        <w:t xml:space="preserve">structure unique </w:t>
      </w:r>
      <w:r w:rsidR="002A1AF2" w:rsidRPr="00D0161E">
        <w:rPr>
          <w:color w:val="000000" w:themeColor="text1"/>
        </w:rPr>
        <w:t>among agricultural insecticides</w:t>
      </w:r>
      <w:r w:rsidR="00625D38" w:rsidRPr="00D0161E">
        <w:rPr>
          <w:color w:val="000000" w:themeColor="text1"/>
        </w:rPr>
        <w:t xml:space="preserve"> and </w:t>
      </w:r>
      <w:r w:rsidR="00430C73" w:rsidRPr="00D0161E">
        <w:rPr>
          <w:color w:val="000000" w:themeColor="text1"/>
        </w:rPr>
        <w:t xml:space="preserve">with </w:t>
      </w:r>
      <w:r w:rsidR="00625D38" w:rsidRPr="00D0161E">
        <w:rPr>
          <w:color w:val="000000" w:themeColor="text1"/>
        </w:rPr>
        <w:t xml:space="preserve">high activity against several </w:t>
      </w:r>
      <w:r w:rsidR="00430C73" w:rsidRPr="00D0161E">
        <w:rPr>
          <w:color w:val="000000" w:themeColor="text1"/>
        </w:rPr>
        <w:t xml:space="preserve">arthropod </w:t>
      </w:r>
      <w:r w:rsidR="00625D38" w:rsidRPr="00D0161E">
        <w:rPr>
          <w:color w:val="000000" w:themeColor="text1"/>
        </w:rPr>
        <w:t xml:space="preserve">pest </w:t>
      </w:r>
      <w:r w:rsidR="00625D38" w:rsidRPr="00B63A44">
        <w:rPr>
          <w:color w:val="000000" w:themeColor="text1"/>
        </w:rPr>
        <w:t xml:space="preserve">species </w:t>
      </w:r>
      <w:r w:rsidR="00BD1AEC" w:rsidRPr="00B63A44">
        <w:rPr>
          <w:color w:val="000000" w:themeColor="text1"/>
        </w:rPr>
        <w:fldChar w:fldCharType="begin" w:fldLock="1"/>
      </w:r>
      <w:r w:rsidR="00B63A44" w:rsidRPr="00025A3F">
        <w:rPr>
          <w:color w:val="000000" w:themeColor="text1"/>
        </w:rPr>
        <w:instrText>ADDIN CSL_CITATION {"citationItems":[{"id":"ITEM-1","itemData":{"DOI":"10.1584/jpestics.D18-088","ISSN":"13490923","abstract":"Broflanilide (1), discovered by Mitsui Chemicals Agro, Inc., has a unique chemical structure characterized as a meta-diamide and exhibits high activity against various pests, including Lepidopteran, Coleopteran, and Thysanopteran pests. Because broflanilide has a novel mode of action, the Insecticide Resistance Action Committee (IRAC) categorized it as a member of a new group: Group 30. The meta-diamide structure was generated via drastic structural modification of a lead compound, flubendiamide (2), and the subsequent structural optimization of meta-diamides on each of its three benzene rings led to the discovery of broflanilide. In the present study, the details of the generation of meta-diamides from the lead compound and the structural optimization of meta-diamides are described.","author":[{"dropping-particle":"","family":"Katsuta","given":"Hiroyuki","non-dropping-particle":"","parse-names":false,"suffix":""},{"dropping-particle":"","family":"Nomura","given":"Michikazu","non-dropping-particle":"","parse-names":false,"suffix":""},{"dropping-particle":"","family":"Wakita","given":"Takeo","non-dropping-particle":"","parse-names":false,"suffix":""},{"dropping-particle":"","family":"Daido","given":"Hidenori","non-dropping-particle":"","parse-names":false,"suffix":""},{"dropping-particle":"","family":"Kobayashi","given":"Yumi","non-dropping-particle":"","parse-names":false,"suffix":""},{"dropping-particle":"","family":"Kawahara","given":"Atsuko","non-dropping-particle":"","parse-names":false,"suffix":""},{"dropping-particle":"","family":"Banba","given":"Shinichi","non-dropping-particle":"","parse-names":false,"suffix":""}],"container-title":"Journal of Pesticide Science","id":"ITEM-1","issue":"2","issued":{"date-parts":[["2019"]]},"page":"120 - 128","title":"Discovery of broflanilide, a novel insecticide","type":"article-journal","volume":"44"},"uris":["http://www.mendeley.com/documents/?uuid=77476ed0-216d-32e3-b061-b2433bbf49bc"]}],"mendeley":{"formattedCitation":"[4]","plainTextFormattedCitation":"[4]","previouslyFormattedCitation":"[4]"},"properties":{"noteIndex":0},"schema":"https://github.com/citation-style-language/schema/raw/master/csl-citation.json"}</w:instrText>
      </w:r>
      <w:r w:rsidR="00BD1AEC" w:rsidRPr="00025A3F">
        <w:rPr>
          <w:color w:val="000000" w:themeColor="text1"/>
        </w:rPr>
        <w:fldChar w:fldCharType="separate"/>
      </w:r>
      <w:r w:rsidR="00CC52E9" w:rsidRPr="00025A3F">
        <w:rPr>
          <w:noProof/>
          <w:color w:val="000000" w:themeColor="text1"/>
        </w:rPr>
        <w:t>[4]</w:t>
      </w:r>
      <w:r w:rsidR="00BD1AEC" w:rsidRPr="00B63A44">
        <w:rPr>
          <w:color w:val="000000" w:themeColor="text1"/>
        </w:rPr>
        <w:fldChar w:fldCharType="end"/>
      </w:r>
      <w:r w:rsidR="00BD1AEC" w:rsidRPr="00B63A44">
        <w:rPr>
          <w:color w:val="000000" w:themeColor="text1"/>
        </w:rPr>
        <w:t>.</w:t>
      </w:r>
      <w:r w:rsidR="007B668B" w:rsidRPr="00B63A44">
        <w:rPr>
          <w:color w:val="000000" w:themeColor="text1"/>
        </w:rPr>
        <w:t xml:space="preserve"> </w:t>
      </w:r>
      <w:r w:rsidR="002A1AF2" w:rsidRPr="00B63A44">
        <w:rPr>
          <w:color w:val="000000" w:themeColor="text1"/>
        </w:rPr>
        <w:t>Broflanilide</w:t>
      </w:r>
      <w:r w:rsidR="007B668B" w:rsidRPr="00D0161E">
        <w:rPr>
          <w:color w:val="000000" w:themeColor="text1"/>
        </w:rPr>
        <w:t xml:space="preserve"> was assigned to a new IRAC </w:t>
      </w:r>
      <w:proofErr w:type="spellStart"/>
      <w:r w:rsidR="007B668B" w:rsidRPr="00D0161E">
        <w:rPr>
          <w:color w:val="000000" w:themeColor="text1"/>
        </w:rPr>
        <w:t>MoA</w:t>
      </w:r>
      <w:proofErr w:type="spellEnd"/>
      <w:r w:rsidR="007B668B" w:rsidRPr="00D0161E">
        <w:rPr>
          <w:color w:val="000000" w:themeColor="text1"/>
        </w:rPr>
        <w:t xml:space="preserve"> class 30 (</w:t>
      </w:r>
      <w:r w:rsidR="00CC52E9" w:rsidRPr="00025A3F">
        <w:rPr>
          <w:iCs/>
          <w:color w:val="000000" w:themeColor="text1"/>
        </w:rPr>
        <w:t>meta</w:t>
      </w:r>
      <w:r w:rsidR="007B668B" w:rsidRPr="00D0161E">
        <w:rPr>
          <w:color w:val="000000" w:themeColor="text1"/>
        </w:rPr>
        <w:t>-diamides and Isoxazolines)</w:t>
      </w:r>
      <w:r w:rsidR="00284FD5" w:rsidRPr="00D0161E">
        <w:rPr>
          <w:color w:val="000000" w:themeColor="text1"/>
        </w:rPr>
        <w:t xml:space="preserve"> by the Insecticide </w:t>
      </w:r>
      <w:r w:rsidR="00430C73" w:rsidRPr="00D0161E">
        <w:rPr>
          <w:color w:val="000000" w:themeColor="text1"/>
        </w:rPr>
        <w:t>R</w:t>
      </w:r>
      <w:r w:rsidR="00284FD5" w:rsidRPr="00D0161E">
        <w:rPr>
          <w:color w:val="000000" w:themeColor="text1"/>
        </w:rPr>
        <w:t xml:space="preserve">esistance </w:t>
      </w:r>
      <w:r w:rsidR="00430C73" w:rsidRPr="00D0161E">
        <w:rPr>
          <w:color w:val="000000" w:themeColor="text1"/>
        </w:rPr>
        <w:t>A</w:t>
      </w:r>
      <w:r w:rsidR="00284FD5" w:rsidRPr="00D0161E">
        <w:rPr>
          <w:color w:val="000000" w:themeColor="text1"/>
        </w:rPr>
        <w:t xml:space="preserve">ction </w:t>
      </w:r>
      <w:r w:rsidR="00430C73" w:rsidRPr="00D0161E">
        <w:rPr>
          <w:color w:val="000000" w:themeColor="text1"/>
        </w:rPr>
        <w:t>C</w:t>
      </w:r>
      <w:r w:rsidR="00284FD5" w:rsidRPr="00D0161E">
        <w:rPr>
          <w:color w:val="000000" w:themeColor="text1"/>
        </w:rPr>
        <w:t>ommittee (IRAC)</w:t>
      </w:r>
      <w:r w:rsidR="007B668B" w:rsidRPr="00D0161E">
        <w:rPr>
          <w:color w:val="000000" w:themeColor="text1"/>
        </w:rPr>
        <w:t xml:space="preserve">, due to its novel mode of </w:t>
      </w:r>
      <w:r w:rsidR="007B668B" w:rsidRPr="00B63A44">
        <w:rPr>
          <w:color w:val="000000" w:themeColor="text1"/>
        </w:rPr>
        <w:t xml:space="preserve">action </w:t>
      </w:r>
      <w:r w:rsidR="00BD1AEC" w:rsidRPr="00B63A44">
        <w:rPr>
          <w:color w:val="000000" w:themeColor="text1"/>
        </w:rPr>
        <w:fldChar w:fldCharType="begin" w:fldLock="1"/>
      </w:r>
      <w:r w:rsidR="00B63A44" w:rsidRPr="00025A3F">
        <w:rPr>
          <w:color w:val="000000" w:themeColor="text1"/>
        </w:rPr>
        <w:instrText>ADDIN CSL_CITATION {"citationItems":[{"id":"ITEM-1","itemData":{"URL":"https://irac-online.org/modes-of-action/","accessed":{"date-parts":[["2020","5","6"]]},"author":[{"dropping-particle":"","family":"IRAC International","given":"","non-dropping-particle":"","parse-names":false,"suffix":""}],"id":"ITEM-1","issued":{"date-parts":[["2020"]]},"title":"Xml Version","type":"webpage"},"uris":["http://www.mendeley.com/documents/?uuid=c380556b-7303-4884-86ae-542c563f38a2"]}],"mendeley":{"formattedCitation":"[5]","plainTextFormattedCitation":"[5]","previouslyFormattedCitation":"[5]"},"properties":{"noteIndex":0},"schema":"https://github.com/citation-style-language/schema/raw/master/csl-citation.json"}</w:instrText>
      </w:r>
      <w:r w:rsidR="00BD1AEC" w:rsidRPr="00025A3F">
        <w:rPr>
          <w:color w:val="000000" w:themeColor="text1"/>
        </w:rPr>
        <w:fldChar w:fldCharType="separate"/>
      </w:r>
      <w:r w:rsidR="00CC52E9" w:rsidRPr="00025A3F">
        <w:rPr>
          <w:noProof/>
          <w:color w:val="000000" w:themeColor="text1"/>
        </w:rPr>
        <w:t>[5]</w:t>
      </w:r>
      <w:r w:rsidR="00BD1AEC" w:rsidRPr="00B63A44">
        <w:rPr>
          <w:color w:val="000000" w:themeColor="text1"/>
        </w:rPr>
        <w:fldChar w:fldCharType="end"/>
      </w:r>
      <w:r w:rsidR="00BD1AEC" w:rsidRPr="00B63A44">
        <w:rPr>
          <w:color w:val="000000" w:themeColor="text1"/>
        </w:rPr>
        <w:t>,</w:t>
      </w:r>
      <w:r w:rsidR="008C79E0" w:rsidRPr="00B63A44">
        <w:rPr>
          <w:color w:val="000000" w:themeColor="text1"/>
        </w:rPr>
        <w:t xml:space="preserve"> </w:t>
      </w:r>
      <w:r w:rsidR="00504076" w:rsidRPr="00B63A44">
        <w:rPr>
          <w:color w:val="000000" w:themeColor="text1"/>
        </w:rPr>
        <w:t>as a</w:t>
      </w:r>
      <w:r w:rsidR="003C3A6D" w:rsidRPr="00B63A44">
        <w:rPr>
          <w:color w:val="000000" w:themeColor="text1"/>
        </w:rPr>
        <w:t>n</w:t>
      </w:r>
      <w:r w:rsidR="00504076" w:rsidRPr="00D0161E">
        <w:rPr>
          <w:color w:val="000000" w:themeColor="text1"/>
        </w:rPr>
        <w:t xml:space="preserve"> </w:t>
      </w:r>
      <w:r w:rsidR="00021972" w:rsidRPr="00D0161E">
        <w:rPr>
          <w:color w:val="000000" w:themeColor="text1"/>
        </w:rPr>
        <w:t>ionotropic γ-aminobutyric acid (</w:t>
      </w:r>
      <w:r w:rsidR="00504076" w:rsidRPr="00D0161E">
        <w:rPr>
          <w:color w:val="000000" w:themeColor="text1"/>
        </w:rPr>
        <w:t>GABA</w:t>
      </w:r>
      <w:r w:rsidR="00021972" w:rsidRPr="00D0161E">
        <w:rPr>
          <w:color w:val="000000" w:themeColor="text1"/>
        </w:rPr>
        <w:t>)</w:t>
      </w:r>
      <w:r w:rsidR="00504076" w:rsidRPr="00D0161E">
        <w:rPr>
          <w:color w:val="000000" w:themeColor="text1"/>
        </w:rPr>
        <w:t xml:space="preserve">-gated chloride channel allosteric modulator. </w:t>
      </w:r>
      <w:r w:rsidR="00073D53" w:rsidRPr="00D0161E">
        <w:rPr>
          <w:color w:val="000000" w:themeColor="text1"/>
        </w:rPr>
        <w:t xml:space="preserve">Exposure of </w:t>
      </w:r>
      <w:r w:rsidR="00430C73" w:rsidRPr="00B63A44">
        <w:rPr>
          <w:color w:val="000000" w:themeColor="text1"/>
        </w:rPr>
        <w:t>L</w:t>
      </w:r>
      <w:r w:rsidR="00073D53" w:rsidRPr="00B63A44">
        <w:rPr>
          <w:color w:val="000000" w:themeColor="text1"/>
        </w:rPr>
        <w:t xml:space="preserve">epidoptera to </w:t>
      </w:r>
      <w:r w:rsidR="00BD1AEC" w:rsidRPr="00B63A44">
        <w:rPr>
          <w:color w:val="000000" w:themeColor="text1"/>
        </w:rPr>
        <w:t>meta</w:t>
      </w:r>
      <w:r w:rsidR="00073D53" w:rsidRPr="00B63A44">
        <w:rPr>
          <w:color w:val="000000" w:themeColor="text1"/>
        </w:rPr>
        <w:t>-</w:t>
      </w:r>
      <w:r w:rsidR="00073D53" w:rsidRPr="00D0161E">
        <w:rPr>
          <w:color w:val="000000" w:themeColor="text1"/>
        </w:rPr>
        <w:t xml:space="preserve">diamides causes symptoms including vomiting and vigorous </w:t>
      </w:r>
      <w:r w:rsidR="00073D53" w:rsidRPr="00B63A44">
        <w:rPr>
          <w:color w:val="000000" w:themeColor="text1"/>
        </w:rPr>
        <w:t xml:space="preserve">excitation </w:t>
      </w:r>
      <w:r w:rsidR="00BD1AEC" w:rsidRPr="00B63A44">
        <w:rPr>
          <w:color w:val="000000" w:themeColor="text1"/>
        </w:rPr>
        <w:fldChar w:fldCharType="begin" w:fldLock="1"/>
      </w:r>
      <w:r w:rsidR="00B63A44" w:rsidRPr="00025A3F">
        <w:rPr>
          <w:color w:val="000000" w:themeColor="text1"/>
        </w:rPr>
        <w:instrText>ADDIN CSL_CITATION {"citationItems":[{"id":"ITEM-1","itemData":{"DOI":"10.1584/jpestics.D18-088","ISSN":"13490923","abstract":"Broflanilide (1), discovered by Mitsui Chemicals Agro, Inc., has a unique chemical structure characterized as a meta-diamide and exhibits high activity against various pests, including Lepidopteran, Coleopteran, and Thysanopteran pests. Because broflanilide has a novel mode of action, the Insecticide Resistance Action Committee (IRAC) categorized it as a member of a new group: Group 30. The meta-diamide structure was generated via drastic structural modification of a lead compound, flubendiamide (2), and the subsequent structural optimization of meta-diamides on each of its three benzene rings led to the discovery of broflanilide. In the present study, the details of the generation of meta-diamides from the lead compound and the structural optimization of meta-diamides are described.","author":[{"dropping-particle":"","family":"Katsuta","given":"Hiroyuki","non-dropping-particle":"","parse-names":false,"suffix":""},{"dropping-particle":"","family":"Nomura","given":"Michikazu","non-dropping-particle":"","parse-names":false,"suffix":""},{"dropping-particle":"","family":"Wakita","given":"Takeo","non-dropping-particle":"","parse-names":false,"suffix":""},{"dropping-particle":"","family":"Daido","given":"Hidenori","non-dropping-particle":"","parse-names":false,"suffix":""},{"dropping-particle":"","family":"Kobayashi","given":"Yumi","non-dropping-particle":"","parse-names":false,"suffix":""},{"dropping-particle":"","family":"Kawahara","given":"Atsuko","non-dropping-particle":"","parse-names":false,"suffix":""},{"dropping-particle":"","family":"Banba","given":"Shinichi","non-dropping-particle":"","parse-names":false,"suffix":""}],"container-title":"Journal of Pesticide Science","id":"ITEM-1","issue":"2","issued":{"date-parts":[["2019"]]},"page":"120 - 128","title":"Discovery of broflanilide, a novel insecticide","type":"article-journal","volume":"44"},"uris":["http://www.mendeley.com/documents/?uuid=77476ed0-216d-32e3-b061-b2433bbf49bc"]}],"mendeley":{"formattedCitation":"[4]","plainTextFormattedCitation":"[4]","previouslyFormattedCitation":"[4]"},"properties":{"noteIndex":0},"schema":"https://github.com/citation-style-language/schema/raw/master/csl-citation.json"}</w:instrText>
      </w:r>
      <w:r w:rsidR="00BD1AEC" w:rsidRPr="00025A3F">
        <w:rPr>
          <w:color w:val="000000" w:themeColor="text1"/>
        </w:rPr>
        <w:fldChar w:fldCharType="separate"/>
      </w:r>
      <w:r w:rsidR="00CC52E9" w:rsidRPr="00025A3F">
        <w:rPr>
          <w:noProof/>
          <w:color w:val="000000" w:themeColor="text1"/>
        </w:rPr>
        <w:t>[4]</w:t>
      </w:r>
      <w:r w:rsidR="00BD1AEC" w:rsidRPr="00B63A44">
        <w:rPr>
          <w:color w:val="000000" w:themeColor="text1"/>
        </w:rPr>
        <w:fldChar w:fldCharType="end"/>
      </w:r>
      <w:r w:rsidR="00BD1AEC" w:rsidRPr="00B63A44">
        <w:rPr>
          <w:color w:val="000000" w:themeColor="text1"/>
        </w:rPr>
        <w:t>.</w:t>
      </w:r>
    </w:p>
    <w:p w14:paraId="718564B3" w14:textId="77777777" w:rsidR="00504076" w:rsidRPr="00D0161E" w:rsidRDefault="00504076" w:rsidP="00D0161E">
      <w:pPr>
        <w:spacing w:line="480" w:lineRule="auto"/>
        <w:rPr>
          <w:color w:val="000000" w:themeColor="text1"/>
        </w:rPr>
      </w:pPr>
    </w:p>
    <w:p w14:paraId="25751C71" w14:textId="4159D195" w:rsidR="000C167F" w:rsidRPr="00D0161E" w:rsidRDefault="00B80012" w:rsidP="00D0161E">
      <w:pPr>
        <w:spacing w:line="480" w:lineRule="auto"/>
        <w:rPr>
          <w:color w:val="000000" w:themeColor="text1"/>
        </w:rPr>
      </w:pPr>
      <w:r w:rsidRPr="00D0161E">
        <w:rPr>
          <w:color w:val="000000" w:themeColor="text1"/>
        </w:rPr>
        <w:t>The compound</w:t>
      </w:r>
      <w:r w:rsidR="008C79E0" w:rsidRPr="00D0161E">
        <w:rPr>
          <w:color w:val="000000" w:themeColor="text1"/>
        </w:rPr>
        <w:t xml:space="preserve"> is scheduled to be released onto the market in 2020 for agricultural use </w:t>
      </w:r>
      <w:r w:rsidR="00BD1AEC" w:rsidRPr="00D0161E">
        <w:rPr>
          <w:color w:val="000000" w:themeColor="text1"/>
        </w:rPr>
        <w:fldChar w:fldCharType="begin" w:fldLock="1"/>
      </w:r>
      <w:r w:rsidR="00B63A44">
        <w:rPr>
          <w:color w:val="000000" w:themeColor="text1"/>
        </w:rPr>
        <w:instrText>ADDIN CSL_CITATION {"citationItems":[{"id":"ITEM-1","itemData":{"DOI":"10.1584/jpestics.D18-088","ISSN":"13490923","abstract":"Broflanilide (1), discovered by Mitsui Chemicals Agro, Inc., has a unique chemical structure characterized as a meta-diamide and exhibits high activity against various pests, including Lepidopteran, Coleopteran, and Thysanopteran pests. Because broflanilide has a novel mode of action, the Insecticide Resistance Action Committee (IRAC) categorized it as a member of a new group: Group 30. The meta-diamide structure was generated via drastic structural modification of a lead compound, flubendiamide (2), and the subsequent structural optimization of meta-diamides on each of its three benzene rings led to the discovery of broflanilide. In the present study, the details of the generation of meta-diamides from the lead compound and the structural optimization of meta-diamides are described.","author":[{"dropping-particle":"","family":"Katsuta","given":"Hiroyuki","non-dropping-particle":"","parse-names":false,"suffix":""},{"dropping-particle":"","family":"Nomura","given":"Michikazu","non-dropping-particle":"","parse-names":false,"suffix":""},{"dropping-particle":"","family":"Wakita","given":"Takeo","non-dropping-particle":"","parse-names":false,"suffix":""},{"dropping-particle":"","family":"Daido","given":"Hidenori","non-dropping-particle":"","parse-names":false,"suffix":""},{"dropping-particle":"","family":"Kobayashi","given":"Yumi","non-dropping-particle":"","parse-names":false,"suffix":""},{"dropping-particle":"","family":"Kawahara","given":"Atsuko","non-dropping-particle":"","parse-names":false,"suffix":""},{"dropping-particle":"","family":"Banba","given":"Shinichi","non-dropping-particle":"","parse-names":false,"suffix":""}],"container-title":"Journal of Pesticide Science","id":"ITEM-1","issue":"2","issued":{"date-parts":[["2019"]]},"page":"120 - 128","title":"Discovery of broflanilide, a novel insecticide","type":"article-journal","volume":"44"},"uris":["http://www.mendeley.com/documents/?uuid=77476ed0-216d-32e3-b061-b2433bbf49bc"]}],"mendeley":{"formattedCitation":"[4]","plainTextFormattedCitation":"[4]","previouslyFormattedCitation":"[4]"},"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[4]</w:t>
      </w:r>
      <w:r w:rsidR="00BD1AEC" w:rsidRPr="00D0161E">
        <w:rPr>
          <w:color w:val="000000" w:themeColor="text1"/>
        </w:rPr>
        <w:fldChar w:fldCharType="end"/>
      </w:r>
      <w:r w:rsidR="00542828" w:rsidRPr="00D0161E">
        <w:rPr>
          <w:color w:val="000000" w:themeColor="text1"/>
        </w:rPr>
        <w:t xml:space="preserve">.  </w:t>
      </w:r>
      <w:r w:rsidR="00B3715B" w:rsidRPr="00D0161E">
        <w:rPr>
          <w:color w:val="000000" w:themeColor="text1"/>
        </w:rPr>
        <w:t>Mitsui</w:t>
      </w:r>
      <w:r w:rsidR="00B3715B" w:rsidRPr="00D0161E">
        <w:rPr>
          <w:color w:val="000000" w:themeColor="text1"/>
          <w:lang w:eastAsia="ja-JP"/>
        </w:rPr>
        <w:t xml:space="preserve"> Chemicals </w:t>
      </w:r>
      <w:proofErr w:type="spellStart"/>
      <w:r w:rsidR="00B3715B" w:rsidRPr="00D0161E">
        <w:rPr>
          <w:color w:val="000000" w:themeColor="text1"/>
          <w:lang w:eastAsia="ja-JP"/>
        </w:rPr>
        <w:t>Agro</w:t>
      </w:r>
      <w:proofErr w:type="spellEnd"/>
      <w:r w:rsidR="00B3715B" w:rsidRPr="00D0161E">
        <w:rPr>
          <w:color w:val="000000" w:themeColor="text1"/>
          <w:lang w:eastAsia="ja-JP"/>
        </w:rPr>
        <w:t xml:space="preserve"> Inc.</w:t>
      </w:r>
      <w:r w:rsidR="00B3715B" w:rsidRPr="00D0161E">
        <w:rPr>
          <w:color w:val="000000" w:themeColor="text1"/>
        </w:rPr>
        <w:t xml:space="preserve"> </w:t>
      </w:r>
      <w:r w:rsidR="00542828" w:rsidRPr="00D0161E">
        <w:rPr>
          <w:color w:val="000000" w:themeColor="text1"/>
        </w:rPr>
        <w:t>initiated a collaboration</w:t>
      </w:r>
      <w:r w:rsidR="00BD7F80" w:rsidRPr="00D0161E">
        <w:rPr>
          <w:color w:val="000000" w:themeColor="text1"/>
        </w:rPr>
        <w:t xml:space="preserve"> with </w:t>
      </w:r>
      <w:r w:rsidR="00BD7F80" w:rsidRPr="00D0161E">
        <w:rPr>
          <w:color w:val="000000" w:themeColor="text1"/>
          <w:shd w:val="clear" w:color="auto" w:fill="FFFFFF"/>
        </w:rPr>
        <w:t xml:space="preserve">the Innovative Vector Control Consortium (IVCC) </w:t>
      </w:r>
      <w:r w:rsidR="00BD1AEC" w:rsidRPr="00D0161E">
        <w:rPr>
          <w:color w:val="000000" w:themeColor="text1"/>
          <w:shd w:val="clear" w:color="auto" w:fill="FFFFFF"/>
        </w:rPr>
        <w:fldChar w:fldCharType="begin" w:fldLock="1"/>
      </w:r>
      <w:r w:rsidR="00B63A44">
        <w:rPr>
          <w:color w:val="000000" w:themeColor="text1"/>
          <w:shd w:val="clear" w:color="auto" w:fill="FFFFFF"/>
        </w:rPr>
        <w:instrText>ADDIN CSL_CITATION {"citationItems":[{"id":"ITEM-1","itemData":{"DOI":"10.1016/j.pt.2006.05.003","ISBN":"1471-4922","ISSN":"14714922","PMID":"16713358","abstract":"Few new insecticides have been produced for control of disease vectors for public health in developing countries over the past three decades, owing to market constraints, and the available insecticides are often poorly deployed. The Innovative Vector Control Consortium will address these market failures by developing a portfolio of chemical and technological tools that will be directly and immediately accessible to populations in the developing world. The Bill and Melinda Gates Foundation has supported this new initiative to enable industry and academia to change the vector control paradigm for malaria and dengue and to ensure that vector control, alongside drugs, case management and vaccines, can be better used to reduce disease. ?? 2006 Elsevier Ltd. All rights reserved.","author":[{"dropping-particle":"","family":"Hemingway","given":"Janet","non-dropping-particle":"","parse-names":false,"suffix":""},{"dropping-particle":"","family":"Beaty","given":"Barry J.","non-dropping-particle":"","parse-names":false,"suffix":""},{"dropping-particle":"","family":"Rowland","given":"Mark","non-dropping-particle":"","parse-names":false,"suffix":""},{"dropping-particle":"","family":"Scott","given":"Thomas W.","non-dropping-particle":"","parse-names":false,"suffix":""},{"dropping-particle":"","family":"Sharp","given":"Brian L.","non-dropping-particle":"","parse-names":false,"suffix":""}],"container-title":"Trends in Parasitology","id":"ITEM-1","issue":"7","issued":{"date-parts":[["2006"]]},"page":"308-312","title":"The Innovative Vector Control Consortium: improved control of mosquito-borne diseases","type":"article-journal","volume":"22"},"uris":["http://www.mendeley.com/documents/?uuid=dd613456-ace2-3078-a461-c41dafe98fb0"]}],"mendeley":{"formattedCitation":"[6]","plainTextFormattedCitation":"[6]","previouslyFormattedCitation":"[6]"},"properties":{"noteIndex":0},"schema":"https://github.com/citation-style-language/schema/raw/master/csl-citation.json"}</w:instrText>
      </w:r>
      <w:r w:rsidR="00BD1AEC" w:rsidRPr="00D0161E">
        <w:rPr>
          <w:color w:val="000000" w:themeColor="text1"/>
          <w:shd w:val="clear" w:color="auto" w:fill="FFFFFF"/>
        </w:rPr>
        <w:fldChar w:fldCharType="separate"/>
      </w:r>
      <w:r w:rsidR="00CC52E9" w:rsidRPr="00CC52E9">
        <w:rPr>
          <w:noProof/>
          <w:color w:val="000000" w:themeColor="text1"/>
          <w:shd w:val="clear" w:color="auto" w:fill="FFFFFF"/>
        </w:rPr>
        <w:t>[6]</w:t>
      </w:r>
      <w:r w:rsidR="00BD1AEC" w:rsidRPr="00D0161E">
        <w:rPr>
          <w:color w:val="000000" w:themeColor="text1"/>
          <w:shd w:val="clear" w:color="auto" w:fill="FFFFFF"/>
        </w:rPr>
        <w:fldChar w:fldCharType="end"/>
      </w:r>
      <w:r w:rsidR="00BD7F80" w:rsidRPr="00D0161E">
        <w:rPr>
          <w:color w:val="000000" w:themeColor="text1"/>
          <w:shd w:val="clear" w:color="auto" w:fill="FFFFFF"/>
        </w:rPr>
        <w:t xml:space="preserve"> </w:t>
      </w:r>
      <w:r w:rsidR="005A6F35" w:rsidRPr="00D0161E">
        <w:rPr>
          <w:color w:val="000000" w:themeColor="text1"/>
          <w:shd w:val="clear" w:color="auto" w:fill="FFFFFF"/>
        </w:rPr>
        <w:t xml:space="preserve">which </w:t>
      </w:r>
      <w:r w:rsidR="00BD7F80" w:rsidRPr="00D0161E">
        <w:rPr>
          <w:color w:val="000000" w:themeColor="text1"/>
          <w:shd w:val="clear" w:color="auto" w:fill="FFFFFF"/>
        </w:rPr>
        <w:t>evaluat</w:t>
      </w:r>
      <w:r w:rsidR="005A6F35" w:rsidRPr="00D0161E">
        <w:rPr>
          <w:color w:val="000000" w:themeColor="text1"/>
          <w:shd w:val="clear" w:color="auto" w:fill="FFFFFF"/>
        </w:rPr>
        <w:t>ed</w:t>
      </w:r>
      <w:r w:rsidR="00BD7F80" w:rsidRPr="00D0161E">
        <w:rPr>
          <w:color w:val="000000" w:themeColor="text1"/>
          <w:shd w:val="clear" w:color="auto" w:fill="FFFFFF"/>
        </w:rPr>
        <w:t xml:space="preserve"> the compound </w:t>
      </w:r>
      <w:r w:rsidR="00542828" w:rsidRPr="00D0161E">
        <w:rPr>
          <w:color w:val="000000" w:themeColor="text1"/>
          <w:shd w:val="clear" w:color="auto" w:fill="FFFFFF"/>
        </w:rPr>
        <w:t xml:space="preserve">for </w:t>
      </w:r>
      <w:r w:rsidR="00542828" w:rsidRPr="00D0161E">
        <w:rPr>
          <w:color w:val="000000" w:themeColor="text1"/>
        </w:rPr>
        <w:t>efficacy against mosquito species at</w:t>
      </w:r>
      <w:r w:rsidR="00BC3160" w:rsidRPr="00D0161E">
        <w:rPr>
          <w:color w:val="000000" w:themeColor="text1"/>
          <w:shd w:val="clear" w:color="auto" w:fill="FFFFFF"/>
        </w:rPr>
        <w:t xml:space="preserve"> the Liverpool Insect Testing Establishment (LITE)</w:t>
      </w:r>
      <w:r w:rsidR="006B688A" w:rsidRPr="00D0161E">
        <w:rPr>
          <w:color w:val="000000" w:themeColor="text1"/>
          <w:shd w:val="clear" w:color="auto" w:fill="FFFFFF"/>
        </w:rPr>
        <w:t>,</w:t>
      </w:r>
      <w:r w:rsidR="00BC3160" w:rsidRPr="00D0161E">
        <w:rPr>
          <w:color w:val="000000" w:themeColor="text1"/>
          <w:shd w:val="clear" w:color="auto" w:fill="FFFFFF"/>
        </w:rPr>
        <w:t xml:space="preserve"> Liverpool School of Tropical Medicine (LSTM)</w:t>
      </w:r>
      <w:bookmarkStart w:id="4" w:name="_Hlk50112868"/>
      <w:r w:rsidR="00C77102" w:rsidRPr="00D0161E">
        <w:rPr>
          <w:color w:val="000000" w:themeColor="text1"/>
          <w:shd w:val="clear" w:color="auto" w:fill="FFFFFF"/>
        </w:rPr>
        <w:t xml:space="preserve">. </w:t>
      </w:r>
      <w:r w:rsidR="001C7CD7" w:rsidRPr="00D0161E">
        <w:rPr>
          <w:color w:val="000000" w:themeColor="text1"/>
        </w:rPr>
        <w:t xml:space="preserve">IVCC was founded in 2005 with the key objective of facilitating the development of innovative vector control tools, key amongst which are insecticides effective against mosquitoes resistant to pyrethroids </w:t>
      </w:r>
      <w:r w:rsidR="00BD1AEC" w:rsidRPr="00D0161E">
        <w:rPr>
          <w:color w:val="000000" w:themeColor="text1"/>
        </w:rPr>
        <w:fldChar w:fldCharType="begin" w:fldLock="1"/>
      </w:r>
      <w:r w:rsidR="00B63A44">
        <w:rPr>
          <w:color w:val="000000" w:themeColor="text1"/>
        </w:rPr>
        <w:instrText>ADDIN CSL_CITATION {"citationItems":[{"id":"ITEM-1","itemData":{"DOI":"10.1016/j.pt.2006.05.003","ISBN":"1471-4922","ISSN":"14714922","PMID":"16713358","abstract":"Few new insecticides have been produced for control of disease vectors for public health in developing countries over the past three decades, owing to market constraints, and the available insecticides are often poorly deployed. The Innovative Vector Control Consortium will address these market failures by developing a portfolio of chemical and technological tools that will be directly and immediately accessible to populations in the developing world. The Bill and Melinda Gates Foundation has supported this new initiative to enable industry and academia to change the vector control paradigm for malaria and dengue and to ensure that vector control, alongside drugs, case management and vaccines, can be better used to reduce disease. ?? 2006 Elsevier Ltd. All rights reserved.","author":[{"dropping-particle":"","family":"Hemingway","given":"Janet","non-dropping-particle":"","parse-names":false,"suffix":""},{"dropping-particle":"","family":"Beaty","given":"Barry J.","non-dropping-particle":"","parse-names":false,"suffix":""},{"dropping-particle":"","family":"Rowland","given":"Mark","non-dropping-particle":"","parse-names":false,"suffix":""},{"dropping-particle":"","family":"Scott","given":"Thomas W.","non-dropping-particle":"","parse-names":false,"suffix":""},{"dropping-particle":"","family":"Sharp","given":"Brian L.","non-dropping-particle":"","parse-names":false,"suffix":""}],"container-title":"Trends in Parasitology","id":"ITEM-1","issue":"7","issued":{"date-parts":[["2006"]]},"page":"308-312","title":"The Innovative Vector Control Consortium: improved control of mosquito-borne diseases","type":"article-journal","volume":"22"},"uris":["http://www.mendeley.com/documents/?uuid=dd613456-ace2-3078-a461-c41dafe98fb0"]}],"mendeley":{"formattedCitation":"[6]","plainTextFormattedCitation":"[6]","previouslyFormattedCitation":"[6]"},"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[6]</w:t>
      </w:r>
      <w:r w:rsidR="00BD1AEC" w:rsidRPr="00D0161E">
        <w:rPr>
          <w:color w:val="000000" w:themeColor="text1"/>
        </w:rPr>
        <w:fldChar w:fldCharType="end"/>
      </w:r>
      <w:r w:rsidR="001C7CD7" w:rsidRPr="00D0161E">
        <w:rPr>
          <w:color w:val="000000" w:themeColor="text1"/>
        </w:rPr>
        <w:t xml:space="preserve">. </w:t>
      </w:r>
      <w:r w:rsidR="00C77102" w:rsidRPr="00D0161E">
        <w:rPr>
          <w:color w:val="000000" w:themeColor="text1"/>
          <w:shd w:val="clear" w:color="auto" w:fill="FFFFFF"/>
        </w:rPr>
        <w:t xml:space="preserve">A comprehensive evaluation </w:t>
      </w:r>
      <w:bookmarkEnd w:id="4"/>
      <w:r w:rsidR="00C77102" w:rsidRPr="00D0161E">
        <w:rPr>
          <w:color w:val="000000" w:themeColor="text1"/>
          <w:shd w:val="clear" w:color="auto" w:fill="FFFFFF"/>
        </w:rPr>
        <w:t>was performed</w:t>
      </w:r>
      <w:r w:rsidR="00DD3E29">
        <w:rPr>
          <w:color w:val="000000" w:themeColor="text1"/>
          <w:shd w:val="clear" w:color="auto" w:fill="FFFFFF"/>
        </w:rPr>
        <w:t>,</w:t>
      </w:r>
      <w:r w:rsidR="00C77102" w:rsidRPr="00D0161E">
        <w:rPr>
          <w:color w:val="000000" w:themeColor="text1"/>
          <w:shd w:val="clear" w:color="auto" w:fill="FFFFFF"/>
        </w:rPr>
        <w:t xml:space="preserve"> and i</w:t>
      </w:r>
      <w:r w:rsidR="00DD3E29">
        <w:rPr>
          <w:color w:val="000000" w:themeColor="text1"/>
          <w:shd w:val="clear" w:color="auto" w:fill="FFFFFF"/>
        </w:rPr>
        <w:t>s</w:t>
      </w:r>
      <w:r w:rsidR="00C77102" w:rsidRPr="00D0161E">
        <w:rPr>
          <w:color w:val="000000" w:themeColor="text1"/>
          <w:shd w:val="clear" w:color="auto" w:fill="FFFFFF"/>
        </w:rPr>
        <w:t xml:space="preserve"> presented here, involving bioassays for </w:t>
      </w:r>
      <w:r w:rsidR="00BC3160" w:rsidRPr="00D0161E">
        <w:rPr>
          <w:color w:val="000000" w:themeColor="text1"/>
        </w:rPr>
        <w:t xml:space="preserve">intrinsic activity </w:t>
      </w:r>
      <w:r w:rsidR="00A20A8D" w:rsidRPr="00D0161E">
        <w:rPr>
          <w:color w:val="000000" w:themeColor="text1"/>
        </w:rPr>
        <w:t>speed of kill,</w:t>
      </w:r>
      <w:r w:rsidR="00BC3160" w:rsidRPr="00D0161E">
        <w:rPr>
          <w:color w:val="000000" w:themeColor="text1"/>
        </w:rPr>
        <w:t xml:space="preserve"> </w:t>
      </w:r>
      <w:r w:rsidR="00A20A8D" w:rsidRPr="00D0161E">
        <w:rPr>
          <w:color w:val="000000" w:themeColor="text1"/>
        </w:rPr>
        <w:t xml:space="preserve">and potency </w:t>
      </w:r>
      <w:r w:rsidR="00C77102" w:rsidRPr="00D0161E">
        <w:rPr>
          <w:color w:val="000000" w:themeColor="text1"/>
        </w:rPr>
        <w:t xml:space="preserve">against </w:t>
      </w:r>
      <w:r w:rsidR="00BD1AEC" w:rsidRPr="00025A3F">
        <w:rPr>
          <w:i/>
          <w:color w:val="000000" w:themeColor="text1"/>
        </w:rPr>
        <w:t>Aedes</w:t>
      </w:r>
      <w:r w:rsidR="00C77102" w:rsidRPr="00D0161E">
        <w:rPr>
          <w:color w:val="000000" w:themeColor="text1"/>
        </w:rPr>
        <w:t xml:space="preserve"> and </w:t>
      </w:r>
      <w:r w:rsidR="00BD1AEC" w:rsidRPr="00025A3F">
        <w:rPr>
          <w:i/>
          <w:color w:val="000000" w:themeColor="text1"/>
        </w:rPr>
        <w:t>Anopheles</w:t>
      </w:r>
      <w:r w:rsidR="00C77102" w:rsidRPr="00D0161E">
        <w:rPr>
          <w:color w:val="000000" w:themeColor="text1"/>
        </w:rPr>
        <w:t xml:space="preserve"> mosquitoes</w:t>
      </w:r>
      <w:r w:rsidR="00BC3160" w:rsidRPr="00D0161E">
        <w:rPr>
          <w:color w:val="000000" w:themeColor="text1"/>
        </w:rPr>
        <w:t xml:space="preserve">. </w:t>
      </w:r>
      <w:bookmarkStart w:id="5" w:name="_Hlk50112478"/>
      <w:r w:rsidR="00C77102" w:rsidRPr="00D0161E">
        <w:rPr>
          <w:color w:val="000000" w:themeColor="text1"/>
        </w:rPr>
        <w:t xml:space="preserve">The potential of the compound for use in </w:t>
      </w:r>
      <w:r w:rsidR="00755D55" w:rsidRPr="00D0161E">
        <w:rPr>
          <w:color w:val="000000" w:themeColor="text1"/>
        </w:rPr>
        <w:t xml:space="preserve">IRS and </w:t>
      </w:r>
      <w:r w:rsidR="00DD3E29">
        <w:rPr>
          <w:color w:val="000000" w:themeColor="text1"/>
        </w:rPr>
        <w:t>LLIN</w:t>
      </w:r>
      <w:r w:rsidR="00DD3E29" w:rsidRPr="00D0161E">
        <w:rPr>
          <w:color w:val="000000" w:themeColor="text1"/>
        </w:rPr>
        <w:t xml:space="preserve"> </w:t>
      </w:r>
      <w:r w:rsidR="002A5484" w:rsidRPr="00D0161E">
        <w:rPr>
          <w:color w:val="000000" w:themeColor="text1"/>
        </w:rPr>
        <w:t xml:space="preserve">vector control products </w:t>
      </w:r>
      <w:r w:rsidR="00BC3160" w:rsidRPr="00D0161E">
        <w:rPr>
          <w:color w:val="000000" w:themeColor="text1"/>
        </w:rPr>
        <w:t>was evaluated.</w:t>
      </w:r>
      <w:bookmarkEnd w:id="5"/>
    </w:p>
    <w:p w14:paraId="18D0E6CE" w14:textId="77777777" w:rsidR="00BD7F80" w:rsidRPr="00D0161E" w:rsidRDefault="00BD7F80" w:rsidP="00D0161E">
      <w:pPr>
        <w:spacing w:line="480" w:lineRule="auto"/>
        <w:rPr>
          <w:color w:val="000000" w:themeColor="text1"/>
        </w:rPr>
      </w:pPr>
    </w:p>
    <w:p w14:paraId="213338D1" w14:textId="2066E750" w:rsidR="000C167F" w:rsidRPr="00D0161E" w:rsidRDefault="00312330" w:rsidP="00D0161E">
      <w:pPr>
        <w:spacing w:line="480" w:lineRule="auto"/>
        <w:rPr>
          <w:color w:val="000000" w:themeColor="text1"/>
        </w:rPr>
      </w:pPr>
      <w:r w:rsidRPr="00D0161E">
        <w:rPr>
          <w:color w:val="000000" w:themeColor="text1"/>
        </w:rPr>
        <w:t>Mosquitoes may become resistant to an insecticide as a result of mutations that affect binding of the active ingredient, known as target site resistance</w:t>
      </w:r>
      <w:r w:rsidRPr="00B63A44">
        <w:rPr>
          <w:color w:val="000000" w:themeColor="text1"/>
        </w:rPr>
        <w:t>.</w:t>
      </w:r>
      <w:r w:rsidRPr="00B63A44">
        <w:rPr>
          <w:rStyle w:val="CommentReference"/>
          <w:color w:val="000000" w:themeColor="text1"/>
          <w:sz w:val="24"/>
        </w:rPr>
        <w:t xml:space="preserve"> </w:t>
      </w:r>
      <w:bookmarkStart w:id="6" w:name="_Hlk39135458"/>
      <w:r w:rsidR="00BD1AEC" w:rsidRPr="00025A3F">
        <w:rPr>
          <w:iCs/>
          <w:color w:val="000000" w:themeColor="text1"/>
        </w:rPr>
        <w:t>Meta</w:t>
      </w:r>
      <w:r w:rsidR="00460E6D" w:rsidRPr="00B63A44">
        <w:rPr>
          <w:iCs/>
          <w:color w:val="000000" w:themeColor="text1"/>
        </w:rPr>
        <w:t>-</w:t>
      </w:r>
      <w:r w:rsidR="00460E6D" w:rsidRPr="00B63A44">
        <w:rPr>
          <w:color w:val="000000" w:themeColor="text1"/>
        </w:rPr>
        <w:t xml:space="preserve">diamides including </w:t>
      </w:r>
      <w:proofErr w:type="spellStart"/>
      <w:r w:rsidR="00D54567" w:rsidRPr="00D54567">
        <w:rPr>
          <w:color w:val="000000" w:themeColor="text1"/>
        </w:rPr>
        <w:t>Tenebenal</w:t>
      </w:r>
      <w:r w:rsidR="007556AB" w:rsidRPr="00B63A44">
        <w:rPr>
          <w:color w:val="000000" w:themeColor="text1"/>
          <w:vertAlign w:val="superscript"/>
        </w:rPr>
        <w:t>TM</w:t>
      </w:r>
      <w:proofErr w:type="spellEnd"/>
      <w:r w:rsidR="00460E6D" w:rsidRPr="00B63A44">
        <w:rPr>
          <w:color w:val="000000" w:themeColor="text1"/>
        </w:rPr>
        <w:t xml:space="preserve"> are antagonists of the GABA receptor, but with binding distinct from non-competitive antagonists (NCAs) such as dieldrin and fipronil</w:t>
      </w:r>
      <w:r w:rsidR="006B688A" w:rsidRPr="00BE1684">
        <w:rPr>
          <w:color w:val="000000" w:themeColor="text1"/>
        </w:rPr>
        <w:t xml:space="preserve"> </w:t>
      </w:r>
      <w:r w:rsidR="00BD1AEC" w:rsidRPr="00B63A44">
        <w:rPr>
          <w:color w:val="000000" w:themeColor="text1"/>
        </w:rPr>
        <w:fldChar w:fldCharType="begin" w:fldLock="1"/>
      </w:r>
      <w:r w:rsidR="00B63A44" w:rsidRPr="00BE1684">
        <w:rPr>
          <w:color w:val="000000" w:themeColor="text1"/>
        </w:rPr>
        <w:instrText>ADDIN CSL_CITATION {"citationItems":[{"id":"ITEM-1","itemData":{"DOI":"10.1016/j.ibmb.2013.02.002","ISSN":"09651748","abstract":"The RDL GABA receptor is an attractive target of insecticides. Here we demonstrate that meta-diamides [3-benzamido-N-(4-(perfluoropropan-2-yl)phenyl)benzamides] are a distinct class of RDL GABA receptor antagonists showing high insecticidal activity against Spodoptera litura. We also suggest that the mode of action of the meta-diamides is distinct from that of conventional noncompetitive antagonists (NCAs), such as fipronil, picrotoxin, lindane, dieldrin, and α-endosulfan. Using a membrane potential assay, we examined the effects of the meta-diamide 3-benzamido-N-(2-bromo-4-(perfluoropropan-2-yl)-6-(trifluoromethyl)phenyl)-2-fluorobenzamide (meta-diamide 7) and NCAs on mutant Drosophila RDL GABA receptors expressed in Drosophila Mel-2 cells. NCAs had little or no inhibitory activity against at least one of the three mutant receptors (A2'S, A2'G, and A2'N), which were reported to confer resistance to NCAs. In contrast, meta-diamide 7 inhibited all three A2' mutant receptors, at levels comparable to its activity with the wild-type receptor. Furthermore, the A2'S·T6'V mutation almost abolished the inhibitory effects of all NCAs. However, meta-diamide 7 inhibited the A2'S.T6'S mutant receptor at the same level as its activity with the wild-type receptor. In contrast, a G336M mutation in the third transmembrane domain of the RDL GABA receptor abolished the inhibitory activities of meta-diamide 7, although the G336M mutation had little effect on the inhibitory activities of conventional NCAs. Molecular modeling studies also suggested that the binding site of meta-diamides was different from those of NCAs. Meta-diamide insecticides are expected to be prominent insecticides effective against A2' mutant RDL GABA receptors with a different mode of action. © 2013 Elsevier Ltd.","author":[{"dropping-particle":"","family":"Nakao","given":"Toshifumi","non-dropping-particle":"","parse-names":false,"suffix":""},{"dropping-particle":"","family":"Banba","given":"Shinich","non-dropping-particle":"","parse-names":false,"suffix":""},{"dropping-particle":"","family":"Nomura","given":"Michikazu","non-dropping-particle":"","parse-names":false,"suffix":""},{"dropping-particle":"","family":"Hirase","given":"Kangetsu","non-dropping-particle":"","parse-names":false,"suffix":""}],"container-title":"Insect Biochemistry and Molecular Biology","id":"ITEM-1","issue":"4","issued":{"date-parts":[["2013"]]},"page":"366 - 375","title":"Meta-diamide insecticides acting on distinct sites of RDL GABA receptor from those for conventional noncompetitive antagonists","type":"article-journal","volume":"43"},"uris":["http://www.mendeley.com/documents/?uuid=c4849e89-a1c1-4481-812a-e72800f6d3a3"]}],"mendeley":{"formattedCitation":"[7]","plainTextFormattedCitation":"[7]","previouslyFormattedCitation":"[7]"},"properties":{"noteIndex":0},"schema":"https://github.com/citation-style-language/schema/raw/master/csl-citation.json"}</w:instrText>
      </w:r>
      <w:r w:rsidR="00BD1AEC" w:rsidRPr="00025A3F">
        <w:rPr>
          <w:color w:val="000000" w:themeColor="text1"/>
        </w:rPr>
        <w:fldChar w:fldCharType="separate"/>
      </w:r>
      <w:r w:rsidR="00CC52E9" w:rsidRPr="00B63A44">
        <w:rPr>
          <w:noProof/>
          <w:color w:val="000000" w:themeColor="text1"/>
        </w:rPr>
        <w:t>[7]</w:t>
      </w:r>
      <w:r w:rsidR="00BD1AEC" w:rsidRPr="00B63A44">
        <w:rPr>
          <w:color w:val="000000" w:themeColor="text1"/>
        </w:rPr>
        <w:fldChar w:fldCharType="end"/>
      </w:r>
      <w:r w:rsidR="00665DFE" w:rsidRPr="00B63A44">
        <w:rPr>
          <w:color w:val="000000" w:themeColor="text1"/>
        </w:rPr>
        <w:t xml:space="preserve">. </w:t>
      </w:r>
      <w:bookmarkStart w:id="7" w:name="_Hlk50113505"/>
      <w:bookmarkStart w:id="8" w:name="_Hlk50113547"/>
      <w:r w:rsidR="00E0556E" w:rsidRPr="00B63A44">
        <w:rPr>
          <w:color w:val="000000" w:themeColor="text1"/>
        </w:rPr>
        <w:t xml:space="preserve">In a </w:t>
      </w:r>
      <w:r w:rsidR="00F6454A" w:rsidRPr="00B63A44">
        <w:rPr>
          <w:color w:val="000000" w:themeColor="text1"/>
        </w:rPr>
        <w:t xml:space="preserve">previous investigation of broflanilide resistance mechanisms, a </w:t>
      </w:r>
      <w:r w:rsidR="00E0556E" w:rsidRPr="00B63A44">
        <w:rPr>
          <w:color w:val="000000" w:themeColor="text1"/>
        </w:rPr>
        <w:t>screen of mutant Drosophila cell lines</w:t>
      </w:r>
      <w:r w:rsidR="00F6454A" w:rsidRPr="00B63A44">
        <w:rPr>
          <w:color w:val="000000" w:themeColor="text1"/>
        </w:rPr>
        <w:t xml:space="preserve"> found</w:t>
      </w:r>
      <w:r w:rsidR="00E0556E" w:rsidRPr="00B63A44">
        <w:rPr>
          <w:color w:val="000000" w:themeColor="text1"/>
        </w:rPr>
        <w:t xml:space="preserve"> just one mutation </w:t>
      </w:r>
      <w:r w:rsidR="00F6454A" w:rsidRPr="00C0310F">
        <w:rPr>
          <w:color w:val="000000" w:themeColor="text1"/>
        </w:rPr>
        <w:t>which</w:t>
      </w:r>
      <w:r w:rsidR="00E0556E" w:rsidRPr="00C0310F">
        <w:rPr>
          <w:color w:val="000000" w:themeColor="text1"/>
        </w:rPr>
        <w:t xml:space="preserve"> completely abolish</w:t>
      </w:r>
      <w:r w:rsidR="00F6454A" w:rsidRPr="00C0310F">
        <w:rPr>
          <w:color w:val="000000" w:themeColor="text1"/>
        </w:rPr>
        <w:t>ed</w:t>
      </w:r>
      <w:r w:rsidR="00E0556E" w:rsidRPr="00D54567">
        <w:rPr>
          <w:color w:val="000000" w:themeColor="text1"/>
        </w:rPr>
        <w:t xml:space="preserve"> the inhibitory effect of </w:t>
      </w:r>
      <w:r w:rsidR="00BD1AEC" w:rsidRPr="00D54567">
        <w:rPr>
          <w:color w:val="000000" w:themeColor="text1"/>
        </w:rPr>
        <w:t>meta</w:t>
      </w:r>
      <w:r w:rsidR="00E0556E" w:rsidRPr="00D54567">
        <w:rPr>
          <w:color w:val="000000" w:themeColor="text1"/>
        </w:rPr>
        <w:t>-diamides</w:t>
      </w:r>
      <w:r w:rsidR="00E0556E" w:rsidRPr="00D0161E">
        <w:rPr>
          <w:color w:val="000000" w:themeColor="text1"/>
        </w:rPr>
        <w:t>, G336M</w:t>
      </w:r>
      <w:r w:rsidR="00F6454A" w:rsidRPr="00D0161E">
        <w:rPr>
          <w:color w:val="000000" w:themeColor="text1"/>
        </w:rPr>
        <w:t xml:space="preserve"> </w:t>
      </w:r>
      <w:r w:rsidR="00BD1AEC" w:rsidRPr="00D0161E">
        <w:rPr>
          <w:color w:val="000000" w:themeColor="text1"/>
        </w:rPr>
        <w:fldChar w:fldCharType="begin" w:fldLock="1"/>
      </w:r>
      <w:r w:rsidR="00B63A44">
        <w:rPr>
          <w:color w:val="000000" w:themeColor="text1"/>
        </w:rPr>
        <w:instrText>ADDIN CSL_CITATION {"citationItems":[{"id":"ITEM-1","itemData":{"DOI":"10.1016/j.bmc.2015.08.008","ISSN":"14643391","abstract":"Broflanilide is a meta-diamide [3-benzamido-N-(4-(perfluoropropan-2-yl)phenyl)benzamide] that exhibits high larvicidal activity against Spodoptera litura. It has been suggested that broflanilide is metabolized to desmethyl-broflanilide and that it acts as a noncompetitive resistant-to-dieldrin (RDL) γ-aminobutyric acid (GABA) receptor antagonist. The binding site of desmethyl-broflanilide was demonstrated to be distinct from that of conventional noncompetitive antagonists such as fipronil. It has been proposed that the site of action for desmethyl-broflanilide is close to G336 in the M3 region of the Drosophila RDL GABA receptor. However, although the site of action for desmethyl-broflanilide appears to overlap with that of macrocyclic lactones, different modes of actions have been demonstrated for desmethyl-broflanilide and the macrocyclic lactones. The mechanisms underlying the high selectivity of meta-diamides are also discussed in this review. Broflanilide is expected to become a prominent insecticide because it is effective against pests with resistance to cyclodienes and fipronil.","author":[{"dropping-particle":"","family":"Nakao","given":"Toshifumi","non-dropping-particle":"","parse-names":false,"suffix":""},{"dropping-particle":"","family":"Banba","given":"Shinichi","non-dropping-particle":"","parse-names":false,"suffix":""}],"container-title":"Bioorganic and Medicinal Chemistry","id":"ITEM-1","issue":"3","issued":{"date-parts":[["2016"]]},"page":"372 - 377","title":"Broflanilide: A meta-diamide insecticide with a novel mode of action","type":"article-journal","volume":"24"},"uris":["http://www.mendeley.com/documents/?uuid=54714f3f-bdcd-37cc-ba2e-8292b7afdc9d"]}],"mendeley":{"formattedCitation":"[8]","plainTextFormattedCitation":"[8]","previouslyFormattedCitation":"[8]"},"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[8]</w:t>
      </w:r>
      <w:r w:rsidR="00BD1AEC" w:rsidRPr="00D0161E">
        <w:rPr>
          <w:color w:val="000000" w:themeColor="text1"/>
        </w:rPr>
        <w:fldChar w:fldCharType="end"/>
      </w:r>
      <w:r w:rsidR="00E0556E" w:rsidRPr="00D0161E">
        <w:rPr>
          <w:color w:val="000000" w:themeColor="text1"/>
        </w:rPr>
        <w:t>.</w:t>
      </w:r>
      <w:bookmarkEnd w:id="7"/>
      <w:r w:rsidR="00E0556E" w:rsidRPr="00D0161E">
        <w:rPr>
          <w:color w:val="000000" w:themeColor="text1"/>
        </w:rPr>
        <w:t xml:space="preserve"> </w:t>
      </w:r>
      <w:bookmarkEnd w:id="8"/>
      <w:r w:rsidR="00E0556E" w:rsidRPr="00D0161E">
        <w:rPr>
          <w:color w:val="000000" w:themeColor="text1"/>
        </w:rPr>
        <w:t xml:space="preserve">Mutations in both I277 and L281 were also shown to reduce activity of meta-diamides by around </w:t>
      </w:r>
      <w:r w:rsidR="00DD3E29">
        <w:rPr>
          <w:color w:val="000000" w:themeColor="text1"/>
        </w:rPr>
        <w:t>six</w:t>
      </w:r>
      <w:r w:rsidR="00E0556E" w:rsidRPr="00D0161E">
        <w:rPr>
          <w:color w:val="000000" w:themeColor="text1"/>
        </w:rPr>
        <w:t xml:space="preserve">-fold. </w:t>
      </w:r>
      <w:bookmarkEnd w:id="6"/>
      <w:r w:rsidR="00665DFE" w:rsidRPr="00D0161E">
        <w:rPr>
          <w:color w:val="000000" w:themeColor="text1"/>
        </w:rPr>
        <w:t>Data from the Ag1000G project</w:t>
      </w:r>
      <w:r w:rsidR="00C02395" w:rsidRPr="00D0161E">
        <w:rPr>
          <w:color w:val="000000" w:themeColor="text1"/>
        </w:rPr>
        <w:t xml:space="preserve"> </w:t>
      </w:r>
      <w:r w:rsidR="00BD1AEC" w:rsidRPr="00D0161E">
        <w:rPr>
          <w:color w:val="000000" w:themeColor="text1"/>
        </w:rPr>
        <w:fldChar w:fldCharType="begin" w:fldLock="1"/>
      </w:r>
      <w:r w:rsidR="00B63A44">
        <w:rPr>
          <w:color w:val="000000" w:themeColor="text1"/>
        </w:rPr>
        <w:instrText>ADDIN CSL_CITATION {"citationItems":[{"id":"ITEM-1","itemData":{"URL":"https://www.malariagen.net/projects/ag1000g","author":[{"dropping-particle":"","family":"MalariaGEN","given":"","non-dropping-particle":"","parse-names":false,"suffix":""}],"id":"ITEM-1","issued":{"date-parts":[["2020"]]},"title":"Ag1000","type":"webpage"},"uris":["http://www.mendeley.com/documents/?uuid=320582f3-d8e3-44df-bf49-7ead338b0021"]}],"mendeley":{"formattedCitation":"[9]","plainTextFormattedCitation":"[9]","previouslyFormattedCitation":"[9]"},"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[9]</w:t>
      </w:r>
      <w:r w:rsidR="00BD1AEC" w:rsidRPr="00D0161E">
        <w:rPr>
          <w:color w:val="000000" w:themeColor="text1"/>
        </w:rPr>
        <w:fldChar w:fldCharType="end"/>
      </w:r>
      <w:r w:rsidR="00665DFE" w:rsidRPr="00D0161E">
        <w:rPr>
          <w:color w:val="000000" w:themeColor="text1"/>
        </w:rPr>
        <w:t xml:space="preserve"> </w:t>
      </w:r>
      <w:r w:rsidR="00DD3E29">
        <w:rPr>
          <w:color w:val="000000" w:themeColor="text1"/>
        </w:rPr>
        <w:t>were</w:t>
      </w:r>
      <w:r w:rsidR="00DD3E29" w:rsidRPr="00D0161E">
        <w:rPr>
          <w:color w:val="000000" w:themeColor="text1"/>
        </w:rPr>
        <w:t xml:space="preserve"> </w:t>
      </w:r>
      <w:r w:rsidR="00665DFE" w:rsidRPr="00D0161E">
        <w:rPr>
          <w:color w:val="000000" w:themeColor="text1"/>
        </w:rPr>
        <w:t xml:space="preserve">screened </w:t>
      </w:r>
      <w:r w:rsidRPr="00D0161E">
        <w:rPr>
          <w:color w:val="000000" w:themeColor="text1"/>
        </w:rPr>
        <w:t>for point mutations in the target site</w:t>
      </w:r>
      <w:r w:rsidR="00DD3E29">
        <w:rPr>
          <w:color w:val="000000" w:themeColor="text1"/>
        </w:rPr>
        <w:t>,</w:t>
      </w:r>
      <w:r w:rsidR="00665DFE" w:rsidRPr="00D0161E">
        <w:rPr>
          <w:color w:val="000000" w:themeColor="text1"/>
        </w:rPr>
        <w:t xml:space="preserve"> which may confer resistance to meta-diamides and isoxazolines</w:t>
      </w:r>
      <w:r w:rsidRPr="00D0161E">
        <w:rPr>
          <w:color w:val="000000" w:themeColor="text1"/>
        </w:rPr>
        <w:t>, as a measure of whether they</w:t>
      </w:r>
      <w:r w:rsidR="00665DFE" w:rsidRPr="00D0161E">
        <w:rPr>
          <w:color w:val="000000" w:themeColor="text1"/>
        </w:rPr>
        <w:t xml:space="preserve"> exist and are tolerated in target populations of</w:t>
      </w:r>
      <w:r w:rsidR="00665DFE" w:rsidRPr="00D0161E">
        <w:rPr>
          <w:i/>
          <w:color w:val="000000" w:themeColor="text1"/>
        </w:rPr>
        <w:t xml:space="preserve"> Anopheles gambiae</w:t>
      </w:r>
      <w:r w:rsidR="00665DFE" w:rsidRPr="00D0161E">
        <w:rPr>
          <w:color w:val="000000" w:themeColor="text1"/>
        </w:rPr>
        <w:t>.</w:t>
      </w:r>
      <w:r w:rsidR="00E0556E" w:rsidRPr="00D0161E">
        <w:rPr>
          <w:color w:val="000000" w:themeColor="text1"/>
        </w:rPr>
        <w:t xml:space="preserve"> </w:t>
      </w:r>
      <w:r w:rsidR="00C50F35" w:rsidRPr="00D0161E">
        <w:rPr>
          <w:color w:val="000000" w:themeColor="text1"/>
        </w:rPr>
        <w:t xml:space="preserve">Dose response to </w:t>
      </w:r>
      <w:proofErr w:type="spellStart"/>
      <w:r w:rsidR="00D54567" w:rsidRPr="00D54567">
        <w:rPr>
          <w:color w:val="000000" w:themeColor="text1"/>
        </w:rPr>
        <w:t>Tenebenal</w:t>
      </w:r>
      <w:r w:rsidR="00C50F35" w:rsidRPr="00D0161E">
        <w:rPr>
          <w:color w:val="000000" w:themeColor="text1"/>
          <w:vertAlign w:val="superscript"/>
        </w:rPr>
        <w:t>TM</w:t>
      </w:r>
      <w:proofErr w:type="spellEnd"/>
      <w:r w:rsidR="00C50F35" w:rsidRPr="00D0161E">
        <w:rPr>
          <w:color w:val="000000" w:themeColor="text1"/>
        </w:rPr>
        <w:t xml:space="preserve"> was determined in well-characteri</w:t>
      </w:r>
      <w:r w:rsidR="00DD3E29">
        <w:rPr>
          <w:color w:val="000000" w:themeColor="text1"/>
        </w:rPr>
        <w:t>z</w:t>
      </w:r>
      <w:r w:rsidR="00C50F35" w:rsidRPr="00D0161E">
        <w:rPr>
          <w:color w:val="000000" w:themeColor="text1"/>
        </w:rPr>
        <w:t>ed</w:t>
      </w:r>
      <w:r w:rsidR="00DD3E29">
        <w:rPr>
          <w:color w:val="000000" w:themeColor="text1"/>
        </w:rPr>
        <w:t>,</w:t>
      </w:r>
      <w:r w:rsidR="00C50F35" w:rsidRPr="00D0161E">
        <w:rPr>
          <w:color w:val="000000" w:themeColor="text1"/>
        </w:rPr>
        <w:t xml:space="preserve"> insecticide-resistant and -susceptible strains of </w:t>
      </w:r>
      <w:r w:rsidR="00DD3E29" w:rsidRPr="00D0161E">
        <w:rPr>
          <w:i/>
          <w:color w:val="000000" w:themeColor="text1"/>
        </w:rPr>
        <w:t>An</w:t>
      </w:r>
      <w:r w:rsidR="00DD3E29">
        <w:rPr>
          <w:i/>
          <w:color w:val="000000" w:themeColor="text1"/>
        </w:rPr>
        <w:t>.</w:t>
      </w:r>
      <w:r w:rsidR="00DD3E29" w:rsidRPr="00D0161E">
        <w:rPr>
          <w:i/>
          <w:color w:val="000000" w:themeColor="text1"/>
        </w:rPr>
        <w:t xml:space="preserve"> </w:t>
      </w:r>
      <w:r w:rsidR="00C50F35" w:rsidRPr="00D0161E">
        <w:rPr>
          <w:i/>
          <w:color w:val="000000" w:themeColor="text1"/>
        </w:rPr>
        <w:t xml:space="preserve">gambiae </w:t>
      </w:r>
      <w:r w:rsidR="00BD1AEC" w:rsidRPr="00D0161E">
        <w:rPr>
          <w:color w:val="000000" w:themeColor="text1"/>
        </w:rPr>
        <w:fldChar w:fldCharType="begin" w:fldLock="1"/>
      </w:r>
      <w:r w:rsidR="00B63A44">
        <w:rPr>
          <w:color w:val="000000" w:themeColor="text1"/>
        </w:rPr>
        <w:instrText>ADDIN CSL_CITATION {"citationItems":[{"id":"ITEM-1","itemData":{"DOI":"10.1186/s13071-019-3774-3","ISSN":"17563305","abstract":"© 2019 The Author(s). Background: Insecticides formulated into products that target Anopheles mosquitos have had an immense impact on reducing malaria cases in Africa. However, resistance to currently used insecticides is spreading rapidly and there is an urgent need for alternative public health insecticides. Potential new insecticides must be screened against a range of characterized mosquito strains to identify potential resistance liabilities. The Liverpool School of Tropical Medicine maintains three susceptible and four resistant Anopheles strains that are widely used for screening for new insecticides. The properties of these strains are described in this paper. Methods: WHO tube susceptibility bioassays were used for colony selection and to screen for resistance to the major classes of public health insecticides. Topical and tarsal contact bioassays were used to produce dose response curves to assess resistance intensity. Bioassays with the synergist piperonyl butoxide were also performed. Taqman™ assays were used to screen for known target site resistance alleles (kdr and ace-1). RT-qPCR was used to quantify expression of genes associated with pyrethroid resistance. Results: Pyrethroid selection pressure has maintained resistance to this class in all four resistant strains. Some carbamate and organophosphate resistance has been lost through lack of exposure to these insecticide classes. The Anopheles gambiae (sensu lato) strains, VK7 2014, Banfora M and Tiassalé 13 have higher levels of pyrethroid resistance than the An. funestus FUMOZ-R strain. Elevated expression of P450s is found in all four strains and the 1014F kdr mutation is present in all three An. gambiae strains at varying frequencies. Tarsal contact data and overexpression of CYP4G16 and SAP2 suggest penetration barriers and/or sequestration also confer resistance in Banfora M. Conclusions: Continual selection with deltamethrin has maintained a stable pyrethroid-resistant phenotype over many generations. In conjunction with a standardized rearing regime, this ensures quality control of strains over time allowing for robust product comparison and selection of optimal products for further development. The identification of multiple mechanisms underpinning insecticide resistance highlights the importance of screening new compounds against a range of mosquito strains.[Figure not available: see fulltext.].","author":[{"dropping-particle":"","family":"Williams","given":"J.","non-dropping-particle":"","parse-names":false,"suffix":""},{"dropping-particle":"","family":"Flood","given":"L.","non-dropping-particle":"","parse-names":false,"suffix":""},{"dropping-particle":"","family":"Praulins","given":"G.","non-dropping-particle":"","parse-names":false,"suffix":""},{"dropping-particle":"","family":"Ingham","given":"V.A.","non-dropping-particle":"","parse-names":false,"suffix":""},{"dropping-particle":"","family":"Morgan","given":"J.","non-dropping-particle":"","parse-names":false,"suffix":""},{"dropping-particle":"","family":"Lees","given":"R.S.","non-dropping-particle":"","parse-names":false,"suffix":""},{"dropping-particle":"","family":"Ranson","given":"H.","non-dropping-particle":"","parse-names":false,"suffix":""}],"container-title":"Parasites and Vectors","id":"ITEM-1","issue":"1","issued":{"date-parts":[["2019"]]},"title":"Characterisation of Anopheles strains used for laboratory screening of new vector control products","type":"article-journal","volume":"12"},"uris":["http://www.mendeley.com/documents/?uuid=b4c30973-fef7-31f5-ab2e-cc509fa7a053"]}],"mendeley":{"formattedCitation":"[10]","plainTextFormattedCitation":"[10]","previouslyFormattedCitation":"[10]"},"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[10]</w:t>
      </w:r>
      <w:r w:rsidR="00BD1AEC" w:rsidRPr="00D0161E">
        <w:rPr>
          <w:color w:val="000000" w:themeColor="text1"/>
        </w:rPr>
        <w:fldChar w:fldCharType="end"/>
      </w:r>
      <w:r w:rsidR="00C50F35" w:rsidRPr="00D0161E">
        <w:rPr>
          <w:color w:val="000000" w:themeColor="text1"/>
        </w:rPr>
        <w:t xml:space="preserve"> in order to detect any cross-resistance with pyrethroids or other common insecticide classes. </w:t>
      </w:r>
    </w:p>
    <w:p w14:paraId="45176472" w14:textId="77777777" w:rsidR="00E0556E" w:rsidRPr="00D0161E" w:rsidRDefault="00E0556E" w:rsidP="00D0161E">
      <w:pPr>
        <w:spacing w:line="480" w:lineRule="auto"/>
        <w:rPr>
          <w:color w:val="000000" w:themeColor="text1"/>
        </w:rPr>
      </w:pPr>
    </w:p>
    <w:p w14:paraId="2D753DEF" w14:textId="1E8C3008" w:rsidR="00312633" w:rsidRPr="00D0161E" w:rsidRDefault="00312633" w:rsidP="00D0161E">
      <w:pPr>
        <w:spacing w:line="480" w:lineRule="auto"/>
        <w:rPr>
          <w:color w:val="000000" w:themeColor="text1"/>
        </w:rPr>
      </w:pPr>
      <w:r w:rsidRPr="00D0161E">
        <w:rPr>
          <w:color w:val="000000" w:themeColor="text1"/>
        </w:rPr>
        <w:t xml:space="preserve">This study </w:t>
      </w:r>
      <w:r w:rsidR="00BC3160" w:rsidRPr="00D0161E">
        <w:rPr>
          <w:color w:val="000000" w:themeColor="text1"/>
        </w:rPr>
        <w:t xml:space="preserve">is the first to </w:t>
      </w:r>
      <w:r w:rsidRPr="00D0161E">
        <w:rPr>
          <w:color w:val="000000" w:themeColor="text1"/>
        </w:rPr>
        <w:t xml:space="preserve">demonstrate the efficacy </w:t>
      </w:r>
      <w:r w:rsidR="00A036E5" w:rsidRPr="00D0161E">
        <w:rPr>
          <w:color w:val="000000" w:themeColor="text1"/>
        </w:rPr>
        <w:t xml:space="preserve">and potency </w:t>
      </w:r>
      <w:r w:rsidRPr="00D0161E">
        <w:rPr>
          <w:color w:val="000000" w:themeColor="text1"/>
        </w:rPr>
        <w:t xml:space="preserve">of </w:t>
      </w:r>
      <w:proofErr w:type="spellStart"/>
      <w:r w:rsidR="00D54567" w:rsidRPr="00D54567">
        <w:rPr>
          <w:color w:val="000000" w:themeColor="text1"/>
        </w:rPr>
        <w:t>Tenebenal</w:t>
      </w:r>
      <w:r w:rsidR="007556AB" w:rsidRPr="00D0161E">
        <w:rPr>
          <w:color w:val="000000" w:themeColor="text1"/>
          <w:vertAlign w:val="superscript"/>
        </w:rPr>
        <w:t>TM</w:t>
      </w:r>
      <w:proofErr w:type="spellEnd"/>
      <w:r w:rsidRPr="00D0161E">
        <w:rPr>
          <w:color w:val="000000" w:themeColor="text1"/>
        </w:rPr>
        <w:t xml:space="preserve"> against mosquito vectors of disease, both in standard laboratory assays and in </w:t>
      </w:r>
      <w:r w:rsidR="0089602B" w:rsidRPr="00D0161E">
        <w:rPr>
          <w:color w:val="000000" w:themeColor="text1"/>
        </w:rPr>
        <w:t xml:space="preserve">tests on </w:t>
      </w:r>
      <w:r w:rsidRPr="00D0161E">
        <w:rPr>
          <w:color w:val="000000" w:themeColor="text1"/>
        </w:rPr>
        <w:t xml:space="preserve">prototype IRS formulation and </w:t>
      </w:r>
      <w:r w:rsidR="0089602B" w:rsidRPr="00D0161E">
        <w:rPr>
          <w:color w:val="000000" w:themeColor="text1"/>
        </w:rPr>
        <w:t>dipped</w:t>
      </w:r>
      <w:r w:rsidR="00A036E5" w:rsidRPr="00D0161E">
        <w:rPr>
          <w:color w:val="000000" w:themeColor="text1"/>
        </w:rPr>
        <w:t xml:space="preserve"> net</w:t>
      </w:r>
      <w:r w:rsidR="00776B20" w:rsidRPr="00D0161E">
        <w:rPr>
          <w:color w:val="000000" w:themeColor="text1"/>
        </w:rPr>
        <w:t>s</w:t>
      </w:r>
      <w:r w:rsidRPr="00D0161E">
        <w:rPr>
          <w:color w:val="000000" w:themeColor="text1"/>
        </w:rPr>
        <w:t>.</w:t>
      </w:r>
      <w:r w:rsidR="00312330" w:rsidRPr="00D0161E">
        <w:rPr>
          <w:color w:val="000000" w:themeColor="text1"/>
        </w:rPr>
        <w:t xml:space="preserve"> </w:t>
      </w:r>
      <w:bookmarkStart w:id="9" w:name="_Hlk50113974"/>
      <w:r w:rsidR="001F59B9" w:rsidRPr="00D0161E">
        <w:rPr>
          <w:color w:val="000000" w:themeColor="text1"/>
        </w:rPr>
        <w:t>S</w:t>
      </w:r>
      <w:r w:rsidR="00F6454A" w:rsidRPr="00D0161E">
        <w:rPr>
          <w:color w:val="000000" w:themeColor="text1"/>
        </w:rPr>
        <w:t xml:space="preserve">creening genomic data from field populations of </w:t>
      </w:r>
      <w:r w:rsidR="00BD1AEC" w:rsidRPr="00025A3F">
        <w:rPr>
          <w:i/>
          <w:color w:val="000000" w:themeColor="text1"/>
        </w:rPr>
        <w:t>Anopheles</w:t>
      </w:r>
      <w:r w:rsidR="001F59B9" w:rsidRPr="00D0161E">
        <w:rPr>
          <w:color w:val="000000" w:themeColor="text1"/>
        </w:rPr>
        <w:t xml:space="preserve"> and </w:t>
      </w:r>
      <w:r w:rsidRPr="00D0161E">
        <w:rPr>
          <w:color w:val="000000" w:themeColor="text1"/>
        </w:rPr>
        <w:t xml:space="preserve">testing against a range of </w:t>
      </w:r>
      <w:r w:rsidR="0089602B" w:rsidRPr="00D0161E">
        <w:rPr>
          <w:color w:val="000000" w:themeColor="text1"/>
        </w:rPr>
        <w:t xml:space="preserve">mosquito </w:t>
      </w:r>
      <w:r w:rsidR="00994C95" w:rsidRPr="00D0161E">
        <w:rPr>
          <w:color w:val="000000" w:themeColor="text1"/>
        </w:rPr>
        <w:t>strains</w:t>
      </w:r>
      <w:r w:rsidRPr="00D0161E">
        <w:rPr>
          <w:color w:val="000000" w:themeColor="text1"/>
        </w:rPr>
        <w:t xml:space="preserve"> </w:t>
      </w:r>
      <w:r w:rsidR="0089602B" w:rsidRPr="00D0161E">
        <w:rPr>
          <w:color w:val="000000" w:themeColor="text1"/>
        </w:rPr>
        <w:t xml:space="preserve">possessing </w:t>
      </w:r>
      <w:r w:rsidR="004B6123" w:rsidRPr="00D0161E">
        <w:rPr>
          <w:color w:val="000000" w:themeColor="text1"/>
        </w:rPr>
        <w:t>well-</w:t>
      </w:r>
      <w:r w:rsidRPr="00D0161E">
        <w:rPr>
          <w:color w:val="000000" w:themeColor="text1"/>
        </w:rPr>
        <w:t>characteri</w:t>
      </w:r>
      <w:r w:rsidR="00DD3E29">
        <w:rPr>
          <w:color w:val="000000" w:themeColor="text1"/>
        </w:rPr>
        <w:t>z</w:t>
      </w:r>
      <w:r w:rsidRPr="00D0161E">
        <w:rPr>
          <w:color w:val="000000" w:themeColor="text1"/>
        </w:rPr>
        <w:t xml:space="preserve">ed mechanisms </w:t>
      </w:r>
      <w:r w:rsidR="0089602B" w:rsidRPr="00D0161E">
        <w:rPr>
          <w:color w:val="000000" w:themeColor="text1"/>
        </w:rPr>
        <w:t xml:space="preserve">of resistance to </w:t>
      </w:r>
      <w:r w:rsidRPr="00D0161E">
        <w:rPr>
          <w:color w:val="000000" w:themeColor="text1"/>
        </w:rPr>
        <w:t>existing insecticide classes</w:t>
      </w:r>
      <w:r w:rsidR="00C50F35" w:rsidRPr="00D0161E">
        <w:rPr>
          <w:color w:val="000000" w:themeColor="text1"/>
        </w:rPr>
        <w:t xml:space="preserve"> </w:t>
      </w:r>
      <w:r w:rsidR="001F59B9" w:rsidRPr="00D0161E">
        <w:rPr>
          <w:color w:val="000000" w:themeColor="text1"/>
        </w:rPr>
        <w:t>provided no evidence for existing cross</w:t>
      </w:r>
      <w:r w:rsidR="00DD3E29">
        <w:rPr>
          <w:color w:val="000000" w:themeColor="text1"/>
        </w:rPr>
        <w:t>-</w:t>
      </w:r>
      <w:r w:rsidR="001F59B9" w:rsidRPr="00D0161E">
        <w:rPr>
          <w:color w:val="000000" w:themeColor="text1"/>
        </w:rPr>
        <w:t>resistance</w:t>
      </w:r>
      <w:r w:rsidR="00C50F35" w:rsidRPr="00D0161E">
        <w:rPr>
          <w:color w:val="000000" w:themeColor="text1"/>
        </w:rPr>
        <w:t xml:space="preserve">. </w:t>
      </w:r>
      <w:bookmarkStart w:id="10" w:name="_Hlk50114048"/>
      <w:bookmarkEnd w:id="9"/>
      <w:r w:rsidR="00B63A44">
        <w:rPr>
          <w:color w:val="000000" w:themeColor="text1"/>
        </w:rPr>
        <w:t>This study comprises</w:t>
      </w:r>
      <w:r w:rsidRPr="00D0161E">
        <w:rPr>
          <w:color w:val="000000" w:themeColor="text1"/>
        </w:rPr>
        <w:t xml:space="preserve"> a </w:t>
      </w:r>
      <w:r w:rsidR="0089602B" w:rsidRPr="00D0161E">
        <w:rPr>
          <w:color w:val="000000" w:themeColor="text1"/>
        </w:rPr>
        <w:t>significant body</w:t>
      </w:r>
      <w:r w:rsidRPr="00D0161E">
        <w:rPr>
          <w:color w:val="000000" w:themeColor="text1"/>
        </w:rPr>
        <w:t xml:space="preserve"> of evidence </w:t>
      </w:r>
      <w:r w:rsidR="00B63A44">
        <w:rPr>
          <w:color w:val="000000" w:themeColor="text1"/>
        </w:rPr>
        <w:t>for</w:t>
      </w:r>
      <w:r w:rsidR="00B63A44" w:rsidRPr="00D0161E">
        <w:rPr>
          <w:color w:val="000000" w:themeColor="text1"/>
        </w:rPr>
        <w:t xml:space="preserve"> </w:t>
      </w:r>
      <w:r w:rsidRPr="00D0161E">
        <w:rPr>
          <w:color w:val="000000" w:themeColor="text1"/>
        </w:rPr>
        <w:t>predicted efficacy</w:t>
      </w:r>
      <w:r w:rsidR="0089602B" w:rsidRPr="00D0161E">
        <w:rPr>
          <w:color w:val="000000" w:themeColor="text1"/>
        </w:rPr>
        <w:t xml:space="preserve"> for </w:t>
      </w:r>
      <w:proofErr w:type="spellStart"/>
      <w:r w:rsidR="00D54567" w:rsidRPr="00D54567">
        <w:rPr>
          <w:color w:val="000000" w:themeColor="text1"/>
        </w:rPr>
        <w:t>Tenebenal</w:t>
      </w:r>
      <w:r w:rsidR="0089602B" w:rsidRPr="00D0161E">
        <w:rPr>
          <w:color w:val="000000" w:themeColor="text1"/>
          <w:vertAlign w:val="superscript"/>
        </w:rPr>
        <w:t>TM</w:t>
      </w:r>
      <w:proofErr w:type="spellEnd"/>
      <w:r w:rsidRPr="00D0161E">
        <w:rPr>
          <w:color w:val="000000" w:themeColor="text1"/>
        </w:rPr>
        <w:t xml:space="preserve"> </w:t>
      </w:r>
      <w:r w:rsidR="001F59B9" w:rsidRPr="00D0161E">
        <w:rPr>
          <w:color w:val="000000" w:themeColor="text1"/>
        </w:rPr>
        <w:t>as well as an evaluation process</w:t>
      </w:r>
      <w:r w:rsidR="00DD3E29">
        <w:rPr>
          <w:color w:val="000000" w:themeColor="text1"/>
        </w:rPr>
        <w:t>,</w:t>
      </w:r>
      <w:r w:rsidR="001F59B9" w:rsidRPr="00D0161E">
        <w:rPr>
          <w:color w:val="000000" w:themeColor="text1"/>
        </w:rPr>
        <w:t xml:space="preserve"> which is </w:t>
      </w:r>
      <w:r w:rsidRPr="00D0161E">
        <w:rPr>
          <w:color w:val="000000" w:themeColor="text1"/>
        </w:rPr>
        <w:t xml:space="preserve">a model </w:t>
      </w:r>
      <w:r w:rsidR="00DD3E29">
        <w:rPr>
          <w:color w:val="000000" w:themeColor="text1"/>
        </w:rPr>
        <w:t>that</w:t>
      </w:r>
      <w:r w:rsidR="00DD3E29" w:rsidRPr="00D0161E">
        <w:rPr>
          <w:color w:val="000000" w:themeColor="text1"/>
        </w:rPr>
        <w:t xml:space="preserve"> </w:t>
      </w:r>
      <w:r w:rsidRPr="00D0161E">
        <w:rPr>
          <w:color w:val="000000" w:themeColor="text1"/>
        </w:rPr>
        <w:t xml:space="preserve">could be applied when evaluating future </w:t>
      </w:r>
      <w:r w:rsidR="00B51C59" w:rsidRPr="00D0161E">
        <w:rPr>
          <w:color w:val="000000" w:themeColor="text1"/>
        </w:rPr>
        <w:t xml:space="preserve">novel </w:t>
      </w:r>
      <w:r w:rsidRPr="00D0161E">
        <w:rPr>
          <w:color w:val="000000" w:themeColor="text1"/>
        </w:rPr>
        <w:t xml:space="preserve">compounds for </w:t>
      </w:r>
      <w:r w:rsidR="0089602B" w:rsidRPr="00D0161E">
        <w:rPr>
          <w:color w:val="000000" w:themeColor="text1"/>
        </w:rPr>
        <w:t xml:space="preserve">their </w:t>
      </w:r>
      <w:r w:rsidRPr="00D0161E">
        <w:rPr>
          <w:color w:val="000000" w:themeColor="text1"/>
        </w:rPr>
        <w:t xml:space="preserve">potential </w:t>
      </w:r>
      <w:r w:rsidR="0089602B" w:rsidRPr="00D0161E">
        <w:rPr>
          <w:color w:val="000000" w:themeColor="text1"/>
        </w:rPr>
        <w:t>use</w:t>
      </w:r>
      <w:r w:rsidRPr="00D0161E">
        <w:rPr>
          <w:color w:val="000000" w:themeColor="text1"/>
        </w:rPr>
        <w:t xml:space="preserve"> in mosquito </w:t>
      </w:r>
      <w:r w:rsidR="0089602B" w:rsidRPr="00D0161E">
        <w:rPr>
          <w:color w:val="000000" w:themeColor="text1"/>
        </w:rPr>
        <w:t xml:space="preserve">vector </w:t>
      </w:r>
      <w:r w:rsidRPr="00D0161E">
        <w:rPr>
          <w:color w:val="000000" w:themeColor="text1"/>
        </w:rPr>
        <w:t>control.</w:t>
      </w:r>
      <w:bookmarkEnd w:id="10"/>
    </w:p>
    <w:p w14:paraId="05D5CF79" w14:textId="77777777" w:rsidR="000C167F" w:rsidRPr="00D0161E" w:rsidRDefault="000C167F" w:rsidP="00D0161E">
      <w:pPr>
        <w:spacing w:line="480" w:lineRule="auto"/>
        <w:rPr>
          <w:color w:val="000000" w:themeColor="text1"/>
        </w:rPr>
      </w:pPr>
    </w:p>
    <w:p w14:paraId="7684F9AB" w14:textId="77777777" w:rsidR="0086036D" w:rsidRPr="00D0161E" w:rsidRDefault="0086036D" w:rsidP="00D0161E">
      <w:pPr>
        <w:spacing w:line="480" w:lineRule="auto"/>
        <w:rPr>
          <w:color w:val="000000" w:themeColor="text1"/>
        </w:rPr>
      </w:pPr>
    </w:p>
    <w:p w14:paraId="666B1579" w14:textId="77777777" w:rsidR="000C167F" w:rsidRPr="00D0161E" w:rsidRDefault="00D85797" w:rsidP="00D0161E">
      <w:pPr>
        <w:pStyle w:val="Heading2"/>
        <w:spacing w:before="0" w:line="480" w:lineRule="auto"/>
        <w:rPr>
          <w:rFonts w:ascii="Times New Roman" w:hAnsi="Times New Roman"/>
          <w:b/>
          <w:color w:val="000000" w:themeColor="text1"/>
          <w:sz w:val="24"/>
        </w:rPr>
      </w:pPr>
      <w:r w:rsidRPr="00D0161E">
        <w:rPr>
          <w:rFonts w:ascii="Times New Roman" w:hAnsi="Times New Roman"/>
          <w:b/>
          <w:color w:val="000000" w:themeColor="text1"/>
          <w:sz w:val="24"/>
        </w:rPr>
        <w:t xml:space="preserve">Methods </w:t>
      </w:r>
    </w:p>
    <w:p w14:paraId="3523A2A4" w14:textId="77777777" w:rsidR="00D85797" w:rsidRPr="00D0161E" w:rsidRDefault="00D85797" w:rsidP="00D0161E">
      <w:pPr>
        <w:spacing w:line="480" w:lineRule="auto"/>
      </w:pPr>
    </w:p>
    <w:p w14:paraId="332345B2" w14:textId="585A4C3E" w:rsidR="000C167F" w:rsidRPr="00D0161E" w:rsidRDefault="0038053F" w:rsidP="00D0161E">
      <w:pPr>
        <w:spacing w:line="480" w:lineRule="auto"/>
        <w:rPr>
          <w:color w:val="000000" w:themeColor="text1"/>
        </w:rPr>
      </w:pPr>
      <w:r w:rsidRPr="00D0161E">
        <w:rPr>
          <w:color w:val="000000" w:themeColor="text1"/>
        </w:rPr>
        <w:t xml:space="preserve">Intrinsic activity of </w:t>
      </w:r>
      <w:proofErr w:type="spellStart"/>
      <w:r w:rsidR="00D54567" w:rsidRPr="00D54567">
        <w:rPr>
          <w:color w:val="000000" w:themeColor="text1"/>
        </w:rPr>
        <w:t>Tenebenal</w:t>
      </w:r>
      <w:r w:rsidR="007556AB" w:rsidRPr="00D0161E">
        <w:rPr>
          <w:color w:val="000000" w:themeColor="text1"/>
          <w:vertAlign w:val="superscript"/>
        </w:rPr>
        <w:t>TM</w:t>
      </w:r>
      <w:proofErr w:type="spellEnd"/>
      <w:r w:rsidRPr="00D0161E">
        <w:rPr>
          <w:color w:val="000000" w:themeColor="text1"/>
        </w:rPr>
        <w:t xml:space="preserve"> </w:t>
      </w:r>
      <w:r w:rsidR="00746737" w:rsidRPr="00D0161E">
        <w:rPr>
          <w:color w:val="000000" w:themeColor="text1"/>
        </w:rPr>
        <w:t xml:space="preserve">against </w:t>
      </w:r>
      <w:r w:rsidR="0089602B" w:rsidRPr="00D0161E">
        <w:rPr>
          <w:color w:val="000000" w:themeColor="text1"/>
        </w:rPr>
        <w:t xml:space="preserve">an </w:t>
      </w:r>
      <w:r w:rsidR="002A2C05" w:rsidRPr="00D0161E">
        <w:rPr>
          <w:color w:val="000000" w:themeColor="text1"/>
        </w:rPr>
        <w:t>insecticide susceptible and a characteri</w:t>
      </w:r>
      <w:r w:rsidR="00DD3E29">
        <w:rPr>
          <w:color w:val="000000" w:themeColor="text1"/>
        </w:rPr>
        <w:t>z</w:t>
      </w:r>
      <w:r w:rsidR="002A2C05" w:rsidRPr="00D0161E">
        <w:rPr>
          <w:color w:val="000000" w:themeColor="text1"/>
        </w:rPr>
        <w:t>ed</w:t>
      </w:r>
      <w:r w:rsidR="00746737" w:rsidRPr="00D0161E">
        <w:rPr>
          <w:color w:val="000000" w:themeColor="text1"/>
        </w:rPr>
        <w:t xml:space="preserve"> </w:t>
      </w:r>
      <w:r w:rsidR="002A2C05" w:rsidRPr="00D0161E">
        <w:rPr>
          <w:color w:val="000000" w:themeColor="text1"/>
        </w:rPr>
        <w:t xml:space="preserve">resistant </w:t>
      </w:r>
      <w:r w:rsidR="0089602B" w:rsidRPr="00D0161E">
        <w:rPr>
          <w:color w:val="000000" w:themeColor="text1"/>
        </w:rPr>
        <w:t xml:space="preserve">strain of </w:t>
      </w:r>
      <w:r w:rsidR="0089602B" w:rsidRPr="00D0161E">
        <w:rPr>
          <w:i/>
          <w:iCs/>
          <w:color w:val="000000" w:themeColor="text1"/>
        </w:rPr>
        <w:t>Anopheles</w:t>
      </w:r>
      <w:r w:rsidR="0089602B" w:rsidRPr="00D0161E">
        <w:rPr>
          <w:color w:val="000000" w:themeColor="text1"/>
        </w:rPr>
        <w:t xml:space="preserve"> </w:t>
      </w:r>
      <w:r w:rsidRPr="00D0161E">
        <w:rPr>
          <w:color w:val="000000" w:themeColor="text1"/>
        </w:rPr>
        <w:t>was evaluated through topical application</w:t>
      </w:r>
      <w:r w:rsidR="002A1AF2" w:rsidRPr="00D0161E">
        <w:rPr>
          <w:color w:val="000000" w:themeColor="text1"/>
        </w:rPr>
        <w:t xml:space="preserve">, which bypasses </w:t>
      </w:r>
      <w:r w:rsidR="00312330" w:rsidRPr="00D0161E">
        <w:rPr>
          <w:color w:val="000000" w:themeColor="text1"/>
        </w:rPr>
        <w:t>most barriers</w:t>
      </w:r>
      <w:r w:rsidR="002A1AF2" w:rsidRPr="00D0161E">
        <w:rPr>
          <w:color w:val="000000" w:themeColor="text1"/>
        </w:rPr>
        <w:t xml:space="preserve"> to uptake by applying a known quantity of active ingredient (</w:t>
      </w:r>
      <w:r w:rsidR="00DD3E29">
        <w:rPr>
          <w:color w:val="000000" w:themeColor="text1"/>
        </w:rPr>
        <w:t>AI</w:t>
      </w:r>
      <w:r w:rsidR="002A1AF2" w:rsidRPr="00D0161E">
        <w:rPr>
          <w:color w:val="000000" w:themeColor="text1"/>
        </w:rPr>
        <w:t>) directly onto the insect</w:t>
      </w:r>
      <w:r w:rsidR="0007281B" w:rsidRPr="00D0161E">
        <w:rPr>
          <w:color w:val="000000" w:themeColor="text1"/>
        </w:rPr>
        <w:t>. E</w:t>
      </w:r>
      <w:r w:rsidR="00746737" w:rsidRPr="00D0161E">
        <w:rPr>
          <w:color w:val="000000" w:themeColor="text1"/>
        </w:rPr>
        <w:t xml:space="preserve">fficacy through tarsal contact was evaluated through standard WHO </w:t>
      </w:r>
      <w:r w:rsidR="00823517" w:rsidRPr="00D0161E">
        <w:rPr>
          <w:color w:val="000000" w:themeColor="text1"/>
        </w:rPr>
        <w:t xml:space="preserve">susceptibility </w:t>
      </w:r>
      <w:r w:rsidR="00746737" w:rsidRPr="00D0161E">
        <w:rPr>
          <w:color w:val="000000" w:themeColor="text1"/>
        </w:rPr>
        <w:t>bioassays</w:t>
      </w:r>
      <w:r w:rsidR="0051161D" w:rsidRPr="00D0161E">
        <w:rPr>
          <w:color w:val="000000" w:themeColor="text1"/>
        </w:rPr>
        <w:t xml:space="preserve">, and </w:t>
      </w:r>
      <w:r w:rsidR="00215C54" w:rsidRPr="00D0161E">
        <w:rPr>
          <w:color w:val="000000" w:themeColor="text1"/>
        </w:rPr>
        <w:t>speed of</w:t>
      </w:r>
      <w:r w:rsidR="00746737" w:rsidRPr="00D0161E">
        <w:rPr>
          <w:color w:val="000000" w:themeColor="text1"/>
        </w:rPr>
        <w:t xml:space="preserve"> kill </w:t>
      </w:r>
      <w:r w:rsidR="00823517" w:rsidRPr="00D0161E">
        <w:rPr>
          <w:color w:val="000000" w:themeColor="text1"/>
        </w:rPr>
        <w:t xml:space="preserve">determined </w:t>
      </w:r>
      <w:r w:rsidR="00746737" w:rsidRPr="00D0161E">
        <w:rPr>
          <w:color w:val="000000" w:themeColor="text1"/>
        </w:rPr>
        <w:t>to assess the compound’s speed of action</w:t>
      </w:r>
      <w:r w:rsidR="0051161D" w:rsidRPr="00D0161E">
        <w:rPr>
          <w:color w:val="000000" w:themeColor="text1"/>
        </w:rPr>
        <w:t xml:space="preserve">, both </w:t>
      </w:r>
      <w:r w:rsidR="00823517" w:rsidRPr="00D0161E">
        <w:rPr>
          <w:color w:val="000000" w:themeColor="text1"/>
        </w:rPr>
        <w:t xml:space="preserve">against </w:t>
      </w:r>
      <w:r w:rsidR="0051161D" w:rsidRPr="00D0161E">
        <w:rPr>
          <w:color w:val="000000" w:themeColor="text1"/>
        </w:rPr>
        <w:t xml:space="preserve">insecticide susceptible and resistant </w:t>
      </w:r>
      <w:r w:rsidR="00994C95" w:rsidRPr="00D0161E">
        <w:rPr>
          <w:color w:val="000000" w:themeColor="text1"/>
        </w:rPr>
        <w:t>strains</w:t>
      </w:r>
      <w:r w:rsidR="00746737" w:rsidRPr="00D0161E">
        <w:rPr>
          <w:color w:val="000000" w:themeColor="text1"/>
        </w:rPr>
        <w:t xml:space="preserve">.  </w:t>
      </w:r>
    </w:p>
    <w:p w14:paraId="6B358884" w14:textId="77777777" w:rsidR="00433888" w:rsidRPr="00D0161E" w:rsidRDefault="00433888" w:rsidP="00D0161E">
      <w:pPr>
        <w:spacing w:line="480" w:lineRule="auto"/>
        <w:rPr>
          <w:color w:val="000000" w:themeColor="text1"/>
        </w:rPr>
      </w:pPr>
    </w:p>
    <w:p w14:paraId="7FC31B66" w14:textId="1B2BCCA7" w:rsidR="000C167F" w:rsidRPr="00D0161E" w:rsidRDefault="00D54567" w:rsidP="00D0161E">
      <w:pPr>
        <w:spacing w:line="480" w:lineRule="auto"/>
        <w:rPr>
          <w:color w:val="000000" w:themeColor="text1"/>
        </w:rPr>
      </w:pPr>
      <w:proofErr w:type="spellStart"/>
      <w:r w:rsidRPr="00D54567">
        <w:rPr>
          <w:color w:val="000000" w:themeColor="text1"/>
        </w:rPr>
        <w:t>Tenebenal</w:t>
      </w:r>
      <w:r w:rsidR="007556AB" w:rsidRPr="00D0161E">
        <w:rPr>
          <w:color w:val="000000" w:themeColor="text1"/>
          <w:vertAlign w:val="superscript"/>
        </w:rPr>
        <w:t>TM</w:t>
      </w:r>
      <w:proofErr w:type="spellEnd"/>
      <w:r w:rsidR="00746737" w:rsidRPr="00D0161E">
        <w:rPr>
          <w:color w:val="000000" w:themeColor="text1"/>
        </w:rPr>
        <w:t xml:space="preserve"> was applied to representative building </w:t>
      </w:r>
      <w:r w:rsidR="00823517" w:rsidRPr="00D0161E">
        <w:rPr>
          <w:color w:val="000000" w:themeColor="text1"/>
        </w:rPr>
        <w:t xml:space="preserve">substrates </w:t>
      </w:r>
      <w:r w:rsidR="00746737" w:rsidRPr="00D0161E">
        <w:rPr>
          <w:color w:val="000000" w:themeColor="text1"/>
        </w:rPr>
        <w:t xml:space="preserve">and tested for residual tarsal activity to evaluate </w:t>
      </w:r>
      <w:r w:rsidR="001A1365" w:rsidRPr="00D0161E">
        <w:rPr>
          <w:color w:val="000000" w:themeColor="text1"/>
        </w:rPr>
        <w:t>its potential</w:t>
      </w:r>
      <w:r w:rsidR="00746737" w:rsidRPr="00D0161E">
        <w:rPr>
          <w:color w:val="000000" w:themeColor="text1"/>
        </w:rPr>
        <w:t xml:space="preserve"> for use </w:t>
      </w:r>
      <w:r w:rsidR="00823517" w:rsidRPr="00D0161E">
        <w:rPr>
          <w:color w:val="000000" w:themeColor="text1"/>
        </w:rPr>
        <w:t>i</w:t>
      </w:r>
      <w:r w:rsidR="00746737" w:rsidRPr="00D0161E">
        <w:rPr>
          <w:color w:val="000000" w:themeColor="text1"/>
        </w:rPr>
        <w:t>n IRS</w:t>
      </w:r>
      <w:r w:rsidR="00823517" w:rsidRPr="00D0161E">
        <w:rPr>
          <w:color w:val="000000" w:themeColor="text1"/>
        </w:rPr>
        <w:t xml:space="preserve"> applications. It was also </w:t>
      </w:r>
      <w:r w:rsidR="00746737" w:rsidRPr="00D0161E">
        <w:rPr>
          <w:color w:val="000000" w:themeColor="text1"/>
        </w:rPr>
        <w:t xml:space="preserve">applied to bed net samples to which mosquitoes were </w:t>
      </w:r>
      <w:r w:rsidR="00823517" w:rsidRPr="00D0161E">
        <w:rPr>
          <w:color w:val="000000" w:themeColor="text1"/>
        </w:rPr>
        <w:t xml:space="preserve">then </w:t>
      </w:r>
      <w:r w:rsidR="00746737" w:rsidRPr="00D0161E">
        <w:rPr>
          <w:color w:val="000000" w:themeColor="text1"/>
        </w:rPr>
        <w:t>exposed for different periods of time to evaluate its potential for use on LLIN</w:t>
      </w:r>
      <w:r w:rsidR="00823517" w:rsidRPr="00D0161E">
        <w:rPr>
          <w:color w:val="000000" w:themeColor="text1"/>
        </w:rPr>
        <w:t>s</w:t>
      </w:r>
      <w:r w:rsidR="00746737" w:rsidRPr="00D0161E">
        <w:rPr>
          <w:color w:val="000000" w:themeColor="text1"/>
        </w:rPr>
        <w:t>.</w:t>
      </w:r>
    </w:p>
    <w:p w14:paraId="7AFF042C" w14:textId="77777777" w:rsidR="0038053F" w:rsidRPr="00D0161E" w:rsidRDefault="0038053F" w:rsidP="00D0161E">
      <w:pPr>
        <w:spacing w:line="480" w:lineRule="auto"/>
        <w:rPr>
          <w:color w:val="000000" w:themeColor="text1"/>
        </w:rPr>
      </w:pPr>
    </w:p>
    <w:p w14:paraId="24501062" w14:textId="11DB06C0" w:rsidR="000C167F" w:rsidRPr="00D0161E" w:rsidRDefault="00557990" w:rsidP="00D0161E">
      <w:pPr>
        <w:spacing w:line="480" w:lineRule="auto"/>
        <w:rPr>
          <w:color w:val="000000" w:themeColor="text1"/>
        </w:rPr>
      </w:pPr>
      <w:r w:rsidRPr="00D0161E">
        <w:rPr>
          <w:color w:val="000000" w:themeColor="text1"/>
        </w:rPr>
        <w:t xml:space="preserve">Finally, </w:t>
      </w:r>
      <w:r w:rsidR="00E0556E" w:rsidRPr="00D0161E">
        <w:rPr>
          <w:color w:val="000000" w:themeColor="text1"/>
        </w:rPr>
        <w:t>bioassays were performed with well-</w:t>
      </w:r>
      <w:r w:rsidR="00A11FF3" w:rsidRPr="00D0161E">
        <w:rPr>
          <w:color w:val="000000" w:themeColor="text1"/>
        </w:rPr>
        <w:t>characteri</w:t>
      </w:r>
      <w:r w:rsidR="00DD3E29">
        <w:rPr>
          <w:color w:val="000000" w:themeColor="text1"/>
        </w:rPr>
        <w:t>z</w:t>
      </w:r>
      <w:r w:rsidR="00A11FF3" w:rsidRPr="00D0161E">
        <w:rPr>
          <w:color w:val="000000" w:themeColor="text1"/>
        </w:rPr>
        <w:t>ed</w:t>
      </w:r>
      <w:r w:rsidR="00DD3E29">
        <w:rPr>
          <w:color w:val="000000" w:themeColor="text1"/>
        </w:rPr>
        <w:t>,</w:t>
      </w:r>
      <w:r w:rsidR="00A11FF3" w:rsidRPr="00D0161E">
        <w:rPr>
          <w:color w:val="000000" w:themeColor="text1"/>
        </w:rPr>
        <w:t xml:space="preserve"> insecticide-resistant </w:t>
      </w:r>
      <w:r w:rsidR="00DD3E29" w:rsidRPr="00D0161E">
        <w:rPr>
          <w:i/>
          <w:color w:val="000000" w:themeColor="text1"/>
        </w:rPr>
        <w:t>An</w:t>
      </w:r>
      <w:r w:rsidR="00DD3E29">
        <w:rPr>
          <w:i/>
          <w:color w:val="000000" w:themeColor="text1"/>
        </w:rPr>
        <w:t>.</w:t>
      </w:r>
      <w:r w:rsidR="00DD3E29" w:rsidRPr="00D0161E">
        <w:rPr>
          <w:i/>
          <w:color w:val="000000" w:themeColor="text1"/>
        </w:rPr>
        <w:t xml:space="preserve"> </w:t>
      </w:r>
      <w:r w:rsidR="00A11FF3" w:rsidRPr="00D0161E">
        <w:rPr>
          <w:i/>
          <w:color w:val="000000" w:themeColor="text1"/>
        </w:rPr>
        <w:t xml:space="preserve">gambiae </w:t>
      </w:r>
      <w:r w:rsidR="00A11FF3" w:rsidRPr="00D0161E">
        <w:rPr>
          <w:color w:val="000000" w:themeColor="text1"/>
        </w:rPr>
        <w:t xml:space="preserve">strains </w:t>
      </w:r>
      <w:r w:rsidR="00E0556E" w:rsidRPr="00D0161E">
        <w:rPr>
          <w:color w:val="000000" w:themeColor="text1"/>
        </w:rPr>
        <w:t>to screen for efficacy of the compound against pyrethroid</w:t>
      </w:r>
      <w:r w:rsidR="00DD3E29">
        <w:rPr>
          <w:color w:val="000000" w:themeColor="text1"/>
        </w:rPr>
        <w:t>-</w:t>
      </w:r>
      <w:r w:rsidR="00E0556E" w:rsidRPr="00D0161E">
        <w:rPr>
          <w:color w:val="000000" w:themeColor="text1"/>
        </w:rPr>
        <w:t>resistant strains</w:t>
      </w:r>
      <w:r w:rsidR="00A11FF3" w:rsidRPr="00D0161E">
        <w:rPr>
          <w:color w:val="000000" w:themeColor="text1"/>
        </w:rPr>
        <w:t xml:space="preserve">, </w:t>
      </w:r>
      <w:r w:rsidRPr="00D0161E">
        <w:rPr>
          <w:color w:val="000000" w:themeColor="text1"/>
        </w:rPr>
        <w:t>and</w:t>
      </w:r>
      <w:r w:rsidR="00E0556E" w:rsidRPr="00D0161E">
        <w:rPr>
          <w:color w:val="000000" w:themeColor="text1"/>
        </w:rPr>
        <w:t xml:space="preserve"> the risk of resistance being seen in field </w:t>
      </w:r>
      <w:proofErr w:type="spellStart"/>
      <w:r w:rsidR="00E0556E" w:rsidRPr="00D0161E">
        <w:rPr>
          <w:color w:val="000000" w:themeColor="text1"/>
        </w:rPr>
        <w:t>populatons</w:t>
      </w:r>
      <w:proofErr w:type="spellEnd"/>
      <w:r w:rsidR="00E0556E" w:rsidRPr="00D0161E">
        <w:rPr>
          <w:color w:val="000000" w:themeColor="text1"/>
        </w:rPr>
        <w:t xml:space="preserve"> assessed</w:t>
      </w:r>
      <w:r w:rsidRPr="00D0161E">
        <w:rPr>
          <w:color w:val="000000" w:themeColor="text1"/>
        </w:rPr>
        <w:t xml:space="preserve"> </w:t>
      </w:r>
      <w:r w:rsidRPr="00D0161E">
        <w:rPr>
          <w:i/>
          <w:color w:val="000000" w:themeColor="text1"/>
        </w:rPr>
        <w:t>in silico</w:t>
      </w:r>
      <w:r w:rsidRPr="00D0161E">
        <w:rPr>
          <w:color w:val="000000" w:themeColor="text1"/>
        </w:rPr>
        <w:t xml:space="preserve"> by screening </w:t>
      </w:r>
      <w:r w:rsidRPr="00D0161E">
        <w:rPr>
          <w:i/>
          <w:color w:val="000000" w:themeColor="text1"/>
        </w:rPr>
        <w:t>An</w:t>
      </w:r>
      <w:r w:rsidR="00A11FF3" w:rsidRPr="00D0161E">
        <w:rPr>
          <w:i/>
          <w:color w:val="000000" w:themeColor="text1"/>
        </w:rPr>
        <w:t>.</w:t>
      </w:r>
      <w:r w:rsidRPr="00D0161E">
        <w:rPr>
          <w:i/>
          <w:color w:val="000000" w:themeColor="text1"/>
        </w:rPr>
        <w:t xml:space="preserve"> gambiae </w:t>
      </w:r>
      <w:r w:rsidRPr="00D0161E">
        <w:rPr>
          <w:color w:val="000000" w:themeColor="text1"/>
        </w:rPr>
        <w:t xml:space="preserve">genome data for mutations in the </w:t>
      </w:r>
      <w:r w:rsidR="00A11FF3" w:rsidRPr="00D0161E">
        <w:rPr>
          <w:color w:val="000000" w:themeColor="text1"/>
        </w:rPr>
        <w:t>TENEBANAL</w:t>
      </w:r>
      <w:r w:rsidR="007556AB" w:rsidRPr="00D0161E">
        <w:rPr>
          <w:color w:val="000000" w:themeColor="text1"/>
          <w:vertAlign w:val="superscript"/>
        </w:rPr>
        <w:t>TM</w:t>
      </w:r>
      <w:r w:rsidR="00A11FF3" w:rsidRPr="00D0161E">
        <w:rPr>
          <w:color w:val="000000" w:themeColor="text1"/>
        </w:rPr>
        <w:t xml:space="preserve"> </w:t>
      </w:r>
      <w:r w:rsidRPr="00D0161E">
        <w:rPr>
          <w:color w:val="000000" w:themeColor="text1"/>
        </w:rPr>
        <w:t>target site</w:t>
      </w:r>
      <w:r w:rsidR="00A11FF3" w:rsidRPr="00D0161E">
        <w:rPr>
          <w:color w:val="000000" w:themeColor="text1"/>
        </w:rPr>
        <w:t>.</w:t>
      </w:r>
    </w:p>
    <w:p w14:paraId="2E9157F2" w14:textId="77777777" w:rsidR="00557990" w:rsidRPr="00D0161E" w:rsidRDefault="00557990" w:rsidP="00D0161E">
      <w:pPr>
        <w:spacing w:line="480" w:lineRule="auto"/>
        <w:rPr>
          <w:color w:val="000000" w:themeColor="text1"/>
        </w:rPr>
      </w:pPr>
    </w:p>
    <w:p w14:paraId="07CAEDC9" w14:textId="77777777" w:rsidR="00042C62" w:rsidRPr="00D0161E" w:rsidRDefault="004A05C3" w:rsidP="00D0161E">
      <w:pPr>
        <w:pStyle w:val="Heading3"/>
        <w:spacing w:before="0" w:line="480" w:lineRule="auto"/>
        <w:rPr>
          <w:rFonts w:ascii="Times New Roman" w:hAnsi="Times New Roman"/>
          <w:b/>
          <w:color w:val="000000" w:themeColor="text1"/>
        </w:rPr>
      </w:pPr>
      <w:r w:rsidRPr="00D0161E">
        <w:rPr>
          <w:rFonts w:ascii="Times New Roman" w:hAnsi="Times New Roman"/>
          <w:b/>
          <w:color w:val="000000" w:themeColor="text1"/>
        </w:rPr>
        <w:t>Rearing</w:t>
      </w:r>
    </w:p>
    <w:p w14:paraId="0F10FEC1" w14:textId="485B96FF" w:rsidR="000C167F" w:rsidRPr="00D0161E" w:rsidRDefault="001C2053" w:rsidP="00D0161E">
      <w:pPr>
        <w:spacing w:line="480" w:lineRule="auto"/>
        <w:rPr>
          <w:color w:val="000000" w:themeColor="text1"/>
        </w:rPr>
      </w:pPr>
      <w:r w:rsidRPr="00D0161E">
        <w:rPr>
          <w:color w:val="000000" w:themeColor="text1"/>
        </w:rPr>
        <w:t xml:space="preserve">Mosquito colonies </w:t>
      </w:r>
      <w:r w:rsidR="0089602B" w:rsidRPr="00D0161E">
        <w:rPr>
          <w:color w:val="000000" w:themeColor="text1"/>
        </w:rPr>
        <w:t>we</w:t>
      </w:r>
      <w:r w:rsidRPr="00D0161E">
        <w:rPr>
          <w:color w:val="000000" w:themeColor="text1"/>
        </w:rPr>
        <w:t xml:space="preserve">re maintained as described by Williams </w:t>
      </w:r>
      <w:r w:rsidRPr="00D0161E">
        <w:rPr>
          <w:i/>
          <w:iCs/>
          <w:color w:val="000000" w:themeColor="text1"/>
        </w:rPr>
        <w:t>et al</w:t>
      </w:r>
      <w:r w:rsidR="00823517" w:rsidRPr="00D0161E">
        <w:rPr>
          <w:color w:val="000000" w:themeColor="text1"/>
        </w:rPr>
        <w:t>.</w:t>
      </w:r>
      <w:r w:rsidRPr="00D0161E">
        <w:rPr>
          <w:color w:val="000000" w:themeColor="text1"/>
        </w:rPr>
        <w:t xml:space="preserve"> </w:t>
      </w:r>
      <w:r w:rsidR="00BD1AEC" w:rsidRPr="00D0161E">
        <w:rPr>
          <w:color w:val="000000" w:themeColor="text1"/>
        </w:rPr>
        <w:fldChar w:fldCharType="begin" w:fldLock="1"/>
      </w:r>
      <w:r w:rsidR="00B63A44">
        <w:rPr>
          <w:color w:val="000000" w:themeColor="text1"/>
        </w:rPr>
        <w:instrText>ADDIN CSL_CITATION {"citationItems":[{"id":"ITEM-1","itemData":{"DOI":"10.1186/s13071-019-3774-3","ISSN":"17563305","abstract":"© 2019 The Author(s). Background: Insecticides formulated into products that target Anopheles mosquitos have had an immense impact on reducing malaria cases in Africa. However, resistance to currently used insecticides is spreading rapidly and there is an urgent need for alternative public health insecticides. Potential new insecticides must be screened against a range of characterized mosquito strains to identify potential resistance liabilities. The Liverpool School of Tropical Medicine maintains three susceptible and four resistant Anopheles strains that are widely used for screening for new insecticides. The properties of these strains are described in this paper. Methods: WHO tube susceptibility bioassays were used for colony selection and to screen for resistance to the major classes of public health insecticides. Topical and tarsal contact bioassays were used to produce dose response curves to assess resistance intensity. Bioassays with the synergist piperonyl butoxide were also performed. Taqman™ assays were used to screen for known target site resistance alleles (kdr and ace-1). RT-qPCR was used to quantify expression of genes associated with pyrethroid resistance. Results: Pyrethroid selection pressure has maintained resistance to this class in all four resistant strains. Some carbamate and organophosphate resistance has been lost through lack of exposure to these insecticide classes. The Anopheles gambiae (sensu lato) strains, VK7 2014, Banfora M and Tiassalé 13 have higher levels of pyrethroid resistance than the An. funestus FUMOZ-R strain. Elevated expression of P450s is found in all four strains and the 1014F kdr mutation is present in all three An. gambiae strains at varying frequencies. Tarsal contact data and overexpression of CYP4G16 and SAP2 suggest penetration barriers and/or sequestration also confer resistance in Banfora M. Conclusions: Continual selection with deltamethrin has maintained a stable pyrethroid-resistant phenotype over many generations. In conjunction with a standardized rearing regime, this ensures quality control of strains over time allowing for robust product comparison and selection of optimal products for further development. The identification of multiple mechanisms underpinning insecticide resistance highlights the importance of screening new compounds against a range of mosquito strains.[Figure not available: see fulltext.].","author":[{"dropping-particle":"","family":"Williams","given":"J.","non-dropping-particle":"","parse-names":false,"suffix":""},{"dropping-particle":"","family":"Flood","given":"L.","non-dropping-particle":"","parse-names":false,"suffix":""},{"dropping-particle":"","family":"Praulins","given":"G.","non-dropping-particle":"","parse-names":false,"suffix":""},{"dropping-particle":"","family":"Ingham","given":"V.A.","non-dropping-particle":"","parse-names":false,"suffix":""},{"dropping-particle":"","family":"Morgan","given":"J.","non-dropping-particle":"","parse-names":false,"suffix":""},{"dropping-particle":"","family":"Lees","given":"R.S.","non-dropping-particle":"","parse-names":false,"suffix":""},{"dropping-particle":"","family":"Ranson","given":"H.","non-dropping-particle":"","parse-names":false,"suffix":""}],"container-title":"Parasites and Vectors","id":"ITEM-1","issue":"1","issued":{"date-parts":[["2019"]]},"title":"Characterisation of Anopheles strains used for laboratory screening of new vector control products","type":"article-journal","volume":"12"},"uris":["http://www.mendeley.com/documents/?uuid=b4c30973-fef7-31f5-ab2e-cc509fa7a053"]}],"mendeley":{"formattedCitation":"[10]","plainTextFormattedCitation":"[10]","previouslyFormattedCitation":"[10]"},"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[10]</w:t>
      </w:r>
      <w:r w:rsidR="00BD1AEC" w:rsidRPr="00D0161E">
        <w:rPr>
          <w:color w:val="000000" w:themeColor="text1"/>
        </w:rPr>
        <w:fldChar w:fldCharType="end"/>
      </w:r>
      <w:r w:rsidRPr="00D0161E">
        <w:rPr>
          <w:color w:val="000000" w:themeColor="text1"/>
        </w:rPr>
        <w:t xml:space="preserve">, </w:t>
      </w:r>
      <w:r w:rsidR="00823517" w:rsidRPr="00D0161E">
        <w:rPr>
          <w:color w:val="000000" w:themeColor="text1"/>
        </w:rPr>
        <w:t xml:space="preserve">in </w:t>
      </w:r>
      <w:r w:rsidRPr="00D0161E">
        <w:rPr>
          <w:color w:val="000000" w:themeColor="text1"/>
        </w:rPr>
        <w:t>the LITE</w:t>
      </w:r>
      <w:r w:rsidR="00823517" w:rsidRPr="00D0161E">
        <w:rPr>
          <w:color w:val="000000" w:themeColor="text1"/>
        </w:rPr>
        <w:t xml:space="preserve"> facility at LSTM</w:t>
      </w:r>
      <w:r w:rsidRPr="00D0161E">
        <w:rPr>
          <w:color w:val="000000" w:themeColor="text1"/>
        </w:rPr>
        <w:t xml:space="preserve">. Insectary conditions were </w:t>
      </w:r>
      <w:r w:rsidR="00823517" w:rsidRPr="00D0161E">
        <w:rPr>
          <w:color w:val="000000" w:themeColor="text1"/>
        </w:rPr>
        <w:t xml:space="preserve">maintained </w:t>
      </w:r>
      <w:r w:rsidRPr="00D0161E">
        <w:rPr>
          <w:color w:val="000000" w:themeColor="text1"/>
        </w:rPr>
        <w:t>at 26</w:t>
      </w:r>
      <w:r w:rsidR="00823517" w:rsidRPr="00D0161E">
        <w:rPr>
          <w:color w:val="000000" w:themeColor="text1"/>
        </w:rPr>
        <w:t>±</w:t>
      </w:r>
      <w:r w:rsidRPr="00D0161E">
        <w:rPr>
          <w:color w:val="000000" w:themeColor="text1"/>
        </w:rPr>
        <w:t>2°C and 80</w:t>
      </w:r>
      <w:r w:rsidR="00823517" w:rsidRPr="00D0161E">
        <w:rPr>
          <w:color w:val="000000" w:themeColor="text1"/>
        </w:rPr>
        <w:t>±</w:t>
      </w:r>
      <w:r w:rsidRPr="00D0161E">
        <w:rPr>
          <w:color w:val="000000" w:themeColor="text1"/>
        </w:rPr>
        <w:t xml:space="preserve">10% </w:t>
      </w:r>
      <w:r w:rsidR="00823517" w:rsidRPr="00D0161E">
        <w:rPr>
          <w:color w:val="000000" w:themeColor="text1"/>
        </w:rPr>
        <w:t>relative humidity</w:t>
      </w:r>
      <w:r w:rsidR="006C4A36" w:rsidRPr="00D0161E">
        <w:rPr>
          <w:color w:val="000000" w:themeColor="text1"/>
        </w:rPr>
        <w:t xml:space="preserve"> (RH)</w:t>
      </w:r>
      <w:r w:rsidR="00823517" w:rsidRPr="00D0161E">
        <w:rPr>
          <w:color w:val="000000" w:themeColor="text1"/>
        </w:rPr>
        <w:t xml:space="preserve">, with </w:t>
      </w:r>
      <w:r w:rsidRPr="00D0161E">
        <w:rPr>
          <w:color w:val="000000" w:themeColor="text1"/>
        </w:rPr>
        <w:t xml:space="preserve">a L12:D12 hour </w:t>
      </w:r>
      <w:proofErr w:type="spellStart"/>
      <w:proofErr w:type="gramStart"/>
      <w:r w:rsidRPr="00D0161E">
        <w:rPr>
          <w:color w:val="000000" w:themeColor="text1"/>
        </w:rPr>
        <w:t>light:dark</w:t>
      </w:r>
      <w:proofErr w:type="spellEnd"/>
      <w:proofErr w:type="gramEnd"/>
      <w:r w:rsidRPr="00D0161E">
        <w:rPr>
          <w:color w:val="000000" w:themeColor="text1"/>
        </w:rPr>
        <w:t xml:space="preserve"> cycle </w:t>
      </w:r>
      <w:r w:rsidR="00823517" w:rsidRPr="00D0161E">
        <w:rPr>
          <w:color w:val="000000" w:themeColor="text1"/>
        </w:rPr>
        <w:t xml:space="preserve">and </w:t>
      </w:r>
      <w:r w:rsidRPr="00D0161E">
        <w:rPr>
          <w:color w:val="000000" w:themeColor="text1"/>
        </w:rPr>
        <w:t xml:space="preserve">a 1-hour dawn and dusk. Larvae </w:t>
      </w:r>
      <w:r w:rsidR="009474E5" w:rsidRPr="00D0161E">
        <w:rPr>
          <w:color w:val="000000" w:themeColor="text1"/>
        </w:rPr>
        <w:t>we</w:t>
      </w:r>
      <w:r w:rsidRPr="00D0161E">
        <w:rPr>
          <w:color w:val="000000" w:themeColor="text1"/>
        </w:rPr>
        <w:t xml:space="preserve">re reared in purified water and fed ground </w:t>
      </w:r>
      <w:proofErr w:type="spellStart"/>
      <w:r w:rsidRPr="00D0161E">
        <w:rPr>
          <w:color w:val="000000" w:themeColor="text1"/>
        </w:rPr>
        <w:t>TetraMin</w:t>
      </w:r>
      <w:proofErr w:type="spellEnd"/>
      <w:r w:rsidR="00353235" w:rsidRPr="00D0161E">
        <w:rPr>
          <w:color w:val="000000" w:themeColor="text1"/>
        </w:rPr>
        <w:t>®</w:t>
      </w:r>
      <w:r w:rsidRPr="00D0161E">
        <w:rPr>
          <w:color w:val="000000" w:themeColor="text1"/>
        </w:rPr>
        <w:t xml:space="preserve"> tropical flakes (Blacksburg, VA, USA), adults </w:t>
      </w:r>
      <w:r w:rsidR="009474E5" w:rsidRPr="00D0161E">
        <w:rPr>
          <w:color w:val="000000" w:themeColor="text1"/>
        </w:rPr>
        <w:t xml:space="preserve">were </w:t>
      </w:r>
      <w:r w:rsidRPr="00D0161E">
        <w:rPr>
          <w:color w:val="000000" w:themeColor="text1"/>
        </w:rPr>
        <w:t xml:space="preserve">provided continuous access to a 10% sucrose solution, and </w:t>
      </w:r>
      <w:r w:rsidR="009474E5" w:rsidRPr="00D0161E">
        <w:rPr>
          <w:color w:val="000000" w:themeColor="text1"/>
        </w:rPr>
        <w:t xml:space="preserve">adult </w:t>
      </w:r>
      <w:r w:rsidRPr="00D0161E">
        <w:rPr>
          <w:color w:val="000000" w:themeColor="text1"/>
        </w:rPr>
        <w:t xml:space="preserve">females given access to blood using a </w:t>
      </w:r>
      <w:proofErr w:type="spellStart"/>
      <w:r w:rsidRPr="00D0161E">
        <w:rPr>
          <w:color w:val="000000" w:themeColor="text1"/>
        </w:rPr>
        <w:t>Hemotek</w:t>
      </w:r>
      <w:proofErr w:type="spellEnd"/>
      <w:r w:rsidRPr="00D0161E">
        <w:rPr>
          <w:color w:val="000000" w:themeColor="text1"/>
        </w:rPr>
        <w:t xml:space="preserve"> </w:t>
      </w:r>
      <w:r w:rsidR="009474E5" w:rsidRPr="00D0161E">
        <w:rPr>
          <w:color w:val="000000" w:themeColor="text1"/>
        </w:rPr>
        <w:t>m</w:t>
      </w:r>
      <w:r w:rsidRPr="00D0161E">
        <w:rPr>
          <w:color w:val="000000" w:themeColor="text1"/>
        </w:rPr>
        <w:t xml:space="preserve">embrane </w:t>
      </w:r>
      <w:r w:rsidR="009474E5" w:rsidRPr="00D0161E">
        <w:rPr>
          <w:color w:val="000000" w:themeColor="text1"/>
        </w:rPr>
        <w:t>f</w:t>
      </w:r>
      <w:r w:rsidRPr="00D0161E">
        <w:rPr>
          <w:color w:val="000000" w:themeColor="text1"/>
        </w:rPr>
        <w:t xml:space="preserve">eeding </w:t>
      </w:r>
      <w:r w:rsidR="009474E5" w:rsidRPr="00D0161E">
        <w:rPr>
          <w:color w:val="000000" w:themeColor="text1"/>
        </w:rPr>
        <w:t>s</w:t>
      </w:r>
      <w:r w:rsidRPr="00D0161E">
        <w:rPr>
          <w:color w:val="000000" w:themeColor="text1"/>
        </w:rPr>
        <w:t>ystem (</w:t>
      </w:r>
      <w:proofErr w:type="spellStart"/>
      <w:r w:rsidRPr="00D0161E">
        <w:rPr>
          <w:color w:val="000000" w:themeColor="text1"/>
        </w:rPr>
        <w:t>Hemotek</w:t>
      </w:r>
      <w:proofErr w:type="spellEnd"/>
      <w:r w:rsidRPr="00D0161E">
        <w:rPr>
          <w:color w:val="000000" w:themeColor="text1"/>
        </w:rPr>
        <w:t xml:space="preserve"> Ltd, Blackburn, </w:t>
      </w:r>
      <w:r w:rsidR="000C167F" w:rsidRPr="00D0161E">
        <w:rPr>
          <w:color w:val="000000" w:themeColor="text1"/>
        </w:rPr>
        <w:t>UK</w:t>
      </w:r>
      <w:r w:rsidRPr="00D0161E">
        <w:rPr>
          <w:color w:val="000000" w:themeColor="text1"/>
        </w:rPr>
        <w:t>).</w:t>
      </w:r>
    </w:p>
    <w:p w14:paraId="1A09F793" w14:textId="77777777" w:rsidR="001C2053" w:rsidRPr="00D0161E" w:rsidRDefault="001C2053" w:rsidP="00D0161E">
      <w:pPr>
        <w:spacing w:line="480" w:lineRule="auto"/>
        <w:rPr>
          <w:color w:val="000000" w:themeColor="text1"/>
        </w:rPr>
      </w:pPr>
    </w:p>
    <w:p w14:paraId="0B6B847E" w14:textId="726984E0" w:rsidR="000C167F" w:rsidRPr="00D0161E" w:rsidRDefault="006C33D6" w:rsidP="00D0161E">
      <w:pPr>
        <w:spacing w:line="480" w:lineRule="auto"/>
        <w:rPr>
          <w:color w:val="000000" w:themeColor="text1"/>
        </w:rPr>
      </w:pPr>
      <w:r w:rsidRPr="00D0161E">
        <w:rPr>
          <w:i/>
          <w:color w:val="000000" w:themeColor="text1"/>
        </w:rPr>
        <w:t xml:space="preserve">Anopheles gambiae </w:t>
      </w:r>
      <w:r w:rsidRPr="00D0161E">
        <w:rPr>
          <w:color w:val="000000" w:themeColor="text1"/>
        </w:rPr>
        <w:t xml:space="preserve">Kisumu and </w:t>
      </w:r>
      <w:r w:rsidRPr="00D0161E">
        <w:rPr>
          <w:i/>
          <w:color w:val="000000" w:themeColor="text1"/>
        </w:rPr>
        <w:t>Aedes aegypti</w:t>
      </w:r>
      <w:r w:rsidRPr="00D0161E">
        <w:rPr>
          <w:color w:val="000000" w:themeColor="text1"/>
        </w:rPr>
        <w:t xml:space="preserve"> New Orleans are reference insecticide</w:t>
      </w:r>
      <w:r w:rsidR="00AA1697">
        <w:rPr>
          <w:color w:val="000000" w:themeColor="text1"/>
        </w:rPr>
        <w:t>-</w:t>
      </w:r>
      <w:r w:rsidRPr="00D0161E">
        <w:rPr>
          <w:color w:val="000000" w:themeColor="text1"/>
        </w:rPr>
        <w:t xml:space="preserve">susceptible </w:t>
      </w:r>
      <w:r w:rsidR="00994C95" w:rsidRPr="00D0161E">
        <w:rPr>
          <w:color w:val="000000" w:themeColor="text1"/>
        </w:rPr>
        <w:t>strains</w:t>
      </w:r>
      <w:r w:rsidR="001A2D2C" w:rsidRPr="00D0161E">
        <w:rPr>
          <w:color w:val="000000" w:themeColor="text1"/>
        </w:rPr>
        <w:t xml:space="preserve">. </w:t>
      </w:r>
      <w:r w:rsidR="00412F08" w:rsidRPr="00D0161E">
        <w:rPr>
          <w:color w:val="000000" w:themeColor="text1"/>
        </w:rPr>
        <w:t>Kisumu RDL was selected for dieldrin resistance from the Kisumu strain</w:t>
      </w:r>
      <w:r w:rsidR="004F4E3F" w:rsidRPr="00D0161E">
        <w:rPr>
          <w:color w:val="000000" w:themeColor="text1"/>
        </w:rPr>
        <w:t xml:space="preserve">, and included in this study </w:t>
      </w:r>
      <w:r w:rsidR="009474E5" w:rsidRPr="00D0161E">
        <w:rPr>
          <w:color w:val="000000" w:themeColor="text1"/>
        </w:rPr>
        <w:t xml:space="preserve">as </w:t>
      </w:r>
      <w:r w:rsidR="004F4E3F" w:rsidRPr="00D0161E">
        <w:rPr>
          <w:color w:val="000000" w:themeColor="text1"/>
        </w:rPr>
        <w:t xml:space="preserve">it contains a mutation in the γ-aminobutyric acid (GABA) receptor to which </w:t>
      </w:r>
      <w:proofErr w:type="spellStart"/>
      <w:r w:rsidR="00D54567" w:rsidRPr="00D54567">
        <w:rPr>
          <w:color w:val="000000" w:themeColor="text1"/>
        </w:rPr>
        <w:t>Tenebenal</w:t>
      </w:r>
      <w:r w:rsidR="007556AB" w:rsidRPr="00D0161E">
        <w:rPr>
          <w:color w:val="000000" w:themeColor="text1"/>
          <w:vertAlign w:val="superscript"/>
        </w:rPr>
        <w:t>TM</w:t>
      </w:r>
      <w:proofErr w:type="spellEnd"/>
      <w:r w:rsidR="004F4E3F" w:rsidRPr="00D0161E">
        <w:rPr>
          <w:color w:val="000000" w:themeColor="text1"/>
        </w:rPr>
        <w:t xml:space="preserve"> binds</w:t>
      </w:r>
      <w:r w:rsidR="00412F08" w:rsidRPr="00D0161E">
        <w:rPr>
          <w:color w:val="000000" w:themeColor="text1"/>
        </w:rPr>
        <w:t xml:space="preserve">. </w:t>
      </w:r>
      <w:r w:rsidR="0075074B" w:rsidRPr="00D0161E">
        <w:rPr>
          <w:color w:val="000000" w:themeColor="text1"/>
        </w:rPr>
        <w:t xml:space="preserve">The </w:t>
      </w:r>
      <w:r w:rsidR="00317B71" w:rsidRPr="00D0161E">
        <w:rPr>
          <w:color w:val="000000" w:themeColor="text1"/>
        </w:rPr>
        <w:t>Tiassal</w:t>
      </w:r>
      <w:r w:rsidR="00317B71" w:rsidRPr="00D0161E">
        <w:rPr>
          <w:rFonts w:cstheme="minorHAnsi"/>
          <w:color w:val="000000" w:themeColor="text1"/>
        </w:rPr>
        <w:t>é</w:t>
      </w:r>
      <w:r w:rsidR="00317B71" w:rsidRPr="00D0161E">
        <w:rPr>
          <w:color w:val="000000" w:themeColor="text1"/>
        </w:rPr>
        <w:t xml:space="preserve"> 2 </w:t>
      </w:r>
      <w:r w:rsidR="00994C95" w:rsidRPr="00D0161E">
        <w:rPr>
          <w:color w:val="000000" w:themeColor="text1"/>
        </w:rPr>
        <w:t>strain</w:t>
      </w:r>
      <w:r w:rsidR="00412F08" w:rsidRPr="00D0161E">
        <w:rPr>
          <w:color w:val="000000" w:themeColor="text1"/>
        </w:rPr>
        <w:t xml:space="preserve"> of</w:t>
      </w:r>
      <w:r w:rsidR="00317B71" w:rsidRPr="00D0161E">
        <w:rPr>
          <w:color w:val="000000" w:themeColor="text1"/>
        </w:rPr>
        <w:t xml:space="preserve"> </w:t>
      </w:r>
      <w:r w:rsidR="00412F08" w:rsidRPr="00D0161E">
        <w:rPr>
          <w:i/>
          <w:color w:val="000000" w:themeColor="text1"/>
        </w:rPr>
        <w:t xml:space="preserve">An. gambiae </w:t>
      </w:r>
      <w:r w:rsidR="00412F08" w:rsidRPr="00D0161E">
        <w:rPr>
          <w:color w:val="000000" w:themeColor="text1"/>
        </w:rPr>
        <w:t>w</w:t>
      </w:r>
      <w:r w:rsidR="0075074B" w:rsidRPr="00D0161E">
        <w:rPr>
          <w:color w:val="000000" w:themeColor="text1"/>
        </w:rPr>
        <w:t>as</w:t>
      </w:r>
      <w:r w:rsidR="00412F08" w:rsidRPr="00D0161E">
        <w:rPr>
          <w:color w:val="000000" w:themeColor="text1"/>
        </w:rPr>
        <w:t xml:space="preserve"> </w:t>
      </w:r>
      <w:r w:rsidR="00317B71" w:rsidRPr="00D0161E">
        <w:rPr>
          <w:color w:val="000000" w:themeColor="text1"/>
        </w:rPr>
        <w:t>coloni</w:t>
      </w:r>
      <w:r w:rsidR="00AA1697">
        <w:rPr>
          <w:color w:val="000000" w:themeColor="text1"/>
        </w:rPr>
        <w:t>z</w:t>
      </w:r>
      <w:r w:rsidR="00317B71" w:rsidRPr="00D0161E">
        <w:rPr>
          <w:color w:val="000000" w:themeColor="text1"/>
        </w:rPr>
        <w:t xml:space="preserve">ed from </w:t>
      </w:r>
      <w:r w:rsidR="00412F08" w:rsidRPr="00D0161E">
        <w:rPr>
          <w:color w:val="000000" w:themeColor="text1"/>
        </w:rPr>
        <w:t>C</w:t>
      </w:r>
      <w:r w:rsidR="009474E5" w:rsidRPr="00D0161E">
        <w:rPr>
          <w:color w:val="000000" w:themeColor="text1"/>
        </w:rPr>
        <w:t>ô</w:t>
      </w:r>
      <w:r w:rsidR="00412F08" w:rsidRPr="00D0161E">
        <w:rPr>
          <w:color w:val="000000" w:themeColor="text1"/>
        </w:rPr>
        <w:t xml:space="preserve">te d’Ivoire in 2002, and </w:t>
      </w:r>
      <w:r w:rsidR="0075074B" w:rsidRPr="00D0161E">
        <w:rPr>
          <w:color w:val="000000" w:themeColor="text1"/>
        </w:rPr>
        <w:t>replaced by a subsequent collection in 2013 to establish the Tiassal</w:t>
      </w:r>
      <w:r w:rsidR="0075074B" w:rsidRPr="00D0161E">
        <w:rPr>
          <w:rFonts w:cstheme="minorHAnsi"/>
          <w:color w:val="000000" w:themeColor="text1"/>
        </w:rPr>
        <w:t>é</w:t>
      </w:r>
      <w:r w:rsidR="0075074B" w:rsidRPr="00D0161E">
        <w:rPr>
          <w:color w:val="000000" w:themeColor="text1"/>
        </w:rPr>
        <w:t xml:space="preserve"> 13 </w:t>
      </w:r>
      <w:r w:rsidR="00994C95" w:rsidRPr="00D0161E">
        <w:rPr>
          <w:color w:val="000000" w:themeColor="text1"/>
        </w:rPr>
        <w:t>strain</w:t>
      </w:r>
      <w:r w:rsidR="0075074B" w:rsidRPr="00D0161E">
        <w:rPr>
          <w:color w:val="000000" w:themeColor="text1"/>
        </w:rPr>
        <w:t xml:space="preserve">; both </w:t>
      </w:r>
      <w:r w:rsidR="00994C95" w:rsidRPr="00D0161E">
        <w:rPr>
          <w:color w:val="000000" w:themeColor="text1"/>
        </w:rPr>
        <w:t>strains</w:t>
      </w:r>
      <w:r w:rsidR="009474E5" w:rsidRPr="00D0161E">
        <w:rPr>
          <w:color w:val="000000" w:themeColor="text1"/>
        </w:rPr>
        <w:t xml:space="preserve"> </w:t>
      </w:r>
      <w:r w:rsidR="0075074B" w:rsidRPr="00D0161E">
        <w:rPr>
          <w:color w:val="000000" w:themeColor="text1"/>
        </w:rPr>
        <w:t>showed</w:t>
      </w:r>
      <w:r w:rsidR="00412F08" w:rsidRPr="00D0161E">
        <w:rPr>
          <w:color w:val="000000" w:themeColor="text1"/>
        </w:rPr>
        <w:t xml:space="preserve"> resistance to all classes of public health insecticides </w:t>
      </w:r>
      <w:r w:rsidR="00BD1AEC" w:rsidRPr="00D0161E">
        <w:rPr>
          <w:color w:val="000000" w:themeColor="text1"/>
        </w:rPr>
        <w:fldChar w:fldCharType="begin" w:fldLock="1"/>
      </w:r>
      <w:r w:rsidR="00B63A44">
        <w:rPr>
          <w:color w:val="000000" w:themeColor="text1"/>
        </w:rPr>
        <w:instrText>ADDIN CSL_CITATION {"citationItems":[{"id":"ITEM-1","itemData":{"DOI":"10.1186/s13071-019-3774-3","ISSN":"17563305","abstract":"© 2019 The Author(s). Background: Insecticides formulated into products that target Anopheles mosquitos have had an immense impact on reducing malaria cases in Africa. However, resistance to currently used insecticides is spreading rapidly and there is an urgent need for alternative public health insecticides. Potential new insecticides must be screened against a range of characterized mosquito strains to identify potential resistance liabilities. The Liverpool School of Tropical Medicine maintains three susceptible and four resistant Anopheles strains that are widely used for screening for new insecticides. The properties of these strains are described in this paper. Methods: WHO tube susceptibility bioassays were used for colony selection and to screen for resistance to the major classes of public health insecticides. Topical and tarsal contact bioassays were used to produce dose response curves to assess resistance intensity. Bioassays with the synergist piperonyl butoxide were also performed. Taqman™ assays were used to screen for known target site resistance alleles (kdr and ace-1). RT-qPCR was used to quantify expression of genes associated with pyrethroid resistance. Results: Pyrethroid selection pressure has maintained resistance to this class in all four resistant strains. Some carbamate and organophosphate resistance has been lost through lack of exposure to these insecticide classes. The Anopheles gambiae (sensu lato) strains, VK7 2014, Banfora M and Tiassalé 13 have higher levels of pyrethroid resistance than the An. funestus FUMOZ-R strain. Elevated expression of P450s is found in all four strains and the 1014F kdr mutation is present in all three An. gambiae strains at varying frequencies. Tarsal contact data and overexpression of CYP4G16 and SAP2 suggest penetration barriers and/or sequestration also confer resistance in Banfora M. Conclusions: Continual selection with deltamethrin has maintained a stable pyrethroid-resistant phenotype over many generations. In conjunction with a standardized rearing regime, this ensures quality control of strains over time allowing for robust product comparison and selection of optimal products for further development. The identification of multiple mechanisms underpinning insecticide resistance highlights the importance of screening new compounds against a range of mosquito strains.[Figure not available: see fulltext.].","author":[{"dropping-particle":"","family":"Williams","given":"J.","non-dropping-particle":"","parse-names":false,"suffix":""},{"dropping-particle":"","family":"Flood","given":"L.","non-dropping-particle":"","parse-names":false,"suffix":""},{"dropping-particle":"","family":"Praulins","given":"G.","non-dropping-particle":"","parse-names":false,"suffix":""},{"dropping-particle":"","family":"Ingham","given":"V.A.","non-dropping-particle":"","parse-names":false,"suffix":""},{"dropping-particle":"","family":"Morgan","given":"J.","non-dropping-particle":"","parse-names":false,"suffix":""},{"dropping-particle":"","family":"Lees","given":"R.S.","non-dropping-particle":"","parse-names":false,"suffix":""},{"dropping-particle":"","family":"Ranson","given":"H.","non-dropping-particle":"","parse-names":false,"suffix":""}],"container-title":"Parasites and Vectors","id":"ITEM-1","issue":"1","issued":{"date-parts":[["2019"]]},"title":"Characterisation of Anopheles strains used for laboratory screening of new vector control products","type":"article-journal","volume":"12"},"uris":["http://www.mendeley.com/documents/?uuid=b4c30973-fef7-31f5-ab2e-cc509fa7a053"]}],"mendeley":{"formattedCitation":"[10]","plainTextFormattedCitation":"[10]","previouslyFormattedCitation":"[10]"},"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[10]</w:t>
      </w:r>
      <w:r w:rsidR="00BD1AEC" w:rsidRPr="00D0161E">
        <w:rPr>
          <w:color w:val="000000" w:themeColor="text1"/>
        </w:rPr>
        <w:fldChar w:fldCharType="end"/>
      </w:r>
      <w:r w:rsidR="004F4E3F" w:rsidRPr="00D0161E">
        <w:rPr>
          <w:color w:val="000000" w:themeColor="text1"/>
        </w:rPr>
        <w:t xml:space="preserve"> and were</w:t>
      </w:r>
      <w:r w:rsidR="009474E5" w:rsidRPr="00D0161E">
        <w:rPr>
          <w:color w:val="000000" w:themeColor="text1"/>
        </w:rPr>
        <w:t>, therefore,</w:t>
      </w:r>
      <w:r w:rsidR="004F4E3F" w:rsidRPr="00D0161E">
        <w:rPr>
          <w:color w:val="000000" w:themeColor="text1"/>
        </w:rPr>
        <w:t xml:space="preserve"> included in this study to </w:t>
      </w:r>
      <w:r w:rsidR="009474E5" w:rsidRPr="00D0161E">
        <w:rPr>
          <w:color w:val="000000" w:themeColor="text1"/>
        </w:rPr>
        <w:t>help assess</w:t>
      </w:r>
      <w:r w:rsidR="004F4E3F" w:rsidRPr="00D0161E">
        <w:rPr>
          <w:color w:val="000000" w:themeColor="text1"/>
        </w:rPr>
        <w:t xml:space="preserve"> </w:t>
      </w:r>
      <w:r w:rsidR="009474E5" w:rsidRPr="00D0161E">
        <w:rPr>
          <w:color w:val="000000" w:themeColor="text1"/>
        </w:rPr>
        <w:t xml:space="preserve">the </w:t>
      </w:r>
      <w:r w:rsidR="004F4E3F" w:rsidRPr="00D0161E">
        <w:rPr>
          <w:color w:val="000000" w:themeColor="text1"/>
        </w:rPr>
        <w:t>cross</w:t>
      </w:r>
      <w:r w:rsidR="009474E5" w:rsidRPr="00D0161E">
        <w:rPr>
          <w:color w:val="000000" w:themeColor="text1"/>
        </w:rPr>
        <w:t>-</w:t>
      </w:r>
      <w:r w:rsidR="004F4E3F" w:rsidRPr="00D0161E">
        <w:rPr>
          <w:color w:val="000000" w:themeColor="text1"/>
        </w:rPr>
        <w:t xml:space="preserve">resistance </w:t>
      </w:r>
      <w:r w:rsidR="009474E5" w:rsidRPr="00D0161E">
        <w:rPr>
          <w:color w:val="000000" w:themeColor="text1"/>
        </w:rPr>
        <w:t xml:space="preserve">risk for </w:t>
      </w:r>
      <w:proofErr w:type="spellStart"/>
      <w:r w:rsidR="00D54567" w:rsidRPr="00D54567">
        <w:rPr>
          <w:color w:val="000000" w:themeColor="text1"/>
        </w:rPr>
        <w:t>Tenebenal</w:t>
      </w:r>
      <w:r w:rsidR="007556AB" w:rsidRPr="00D0161E">
        <w:rPr>
          <w:color w:val="000000" w:themeColor="text1"/>
          <w:vertAlign w:val="superscript"/>
        </w:rPr>
        <w:t>TM</w:t>
      </w:r>
      <w:proofErr w:type="spellEnd"/>
      <w:r w:rsidR="00412F08" w:rsidRPr="00D0161E">
        <w:rPr>
          <w:color w:val="000000" w:themeColor="text1"/>
        </w:rPr>
        <w:t xml:space="preserve">. The </w:t>
      </w:r>
      <w:r w:rsidR="00412F08" w:rsidRPr="00D0161E">
        <w:rPr>
          <w:i/>
          <w:color w:val="000000" w:themeColor="text1"/>
        </w:rPr>
        <w:t>An. gambiae</w:t>
      </w:r>
      <w:r w:rsidR="00412F08" w:rsidRPr="00D0161E">
        <w:rPr>
          <w:color w:val="000000" w:themeColor="text1"/>
        </w:rPr>
        <w:t xml:space="preserve"> </w:t>
      </w:r>
      <w:r w:rsidR="00994C95" w:rsidRPr="00D0161E">
        <w:rPr>
          <w:color w:val="000000" w:themeColor="text1"/>
        </w:rPr>
        <w:t>strain</w:t>
      </w:r>
      <w:r w:rsidR="00412F08" w:rsidRPr="00D0161E">
        <w:rPr>
          <w:color w:val="000000" w:themeColor="text1"/>
        </w:rPr>
        <w:t xml:space="preserve"> Akron was coloni</w:t>
      </w:r>
      <w:r w:rsidR="00AA1697">
        <w:rPr>
          <w:color w:val="000000" w:themeColor="text1"/>
        </w:rPr>
        <w:t>z</w:t>
      </w:r>
      <w:r w:rsidR="00412F08" w:rsidRPr="00D0161E">
        <w:rPr>
          <w:color w:val="000000" w:themeColor="text1"/>
        </w:rPr>
        <w:t xml:space="preserve">ed from Akron in Southern Benin </w:t>
      </w:r>
      <w:r w:rsidR="00BD1AEC" w:rsidRPr="00D0161E">
        <w:rPr>
          <w:color w:val="000000" w:themeColor="text1"/>
        </w:rPr>
        <w:fldChar w:fldCharType="begin" w:fldLock="1"/>
      </w:r>
      <w:r w:rsidR="00B63A44">
        <w:rPr>
          <w:color w:val="000000" w:themeColor="text1"/>
        </w:rPr>
        <w:instrText>ADDIN CSL_CITATION {"citationItems":[{"id":"ITEM-1","itemData":{"DOI":"10.1186/1471-2164-9-538","ISBN":"1471-2164 (Electronic)\\r1471-2164 (Linking)","ISSN":"14712164","PMID":"19014539","abstract":"BACKGROUND: Insecticide resistance in Anopheles mosquitoes is threatening the success of malaria control programmes. This is particularly true in Benin where pyrethroid resistance has been linked to the failure of insecticide treated bed nets. The role of mutations in the insecticide target sites in conferring resistance has been clearly established. In this study, the contribution of other potential resistance mechanisms was investigated in Anopheles gambiae s.s. from a number of localities in Southern Benin and Nigeria. The mosquitoes were sampled from a variety of breeding sites in a preliminary attempt to investigate the role of contamination of mosquito breeding sites in selecting for resistance in adult mosquitoes.\\n\\nRESULTS: All mosquitoes sampled belonged to the M form of An. gambiae s.s. There were high levels of permethrin resistance in an agricultural area (Akron) and an urban area (Gbedjromede), low levels of resistance in mosquito samples from an oil contaminated site (Ojoo) and complete susceptibility in the rural Orogun location. The target site mutation kdrW was detected at high levels in two of the populations (Akron f = 0.86 and Gbedjromede f = 0.84) but was not detected in Ojoo or Orogun. Microarray analysis using the Anopheles gambiae detox chip identified two P450s, CYP6P3 and CYP6M2 up regulated in all three populations, the former was expressed at particularly high levels in the Akron (12.4-fold) and Ojoo (7.4-fold) populations compared to the susceptible population. Additional detoxification and redox genes were also over expressed in one or more populations including two cuticular pre-cursor genes which were elevated in two of the three resistant populations.\\n\\nCONCLUSION: Multiple resistance mechanisms incurred in the different breeding sites contribute to resistance to permethrin in Benin. The cytochrome P450 genes, CYP6P3 and CYP6M2 are upregulated in all three resistant populations analysed. Several additional potential resistance mechanisms were also identified that warrant further investigation. Metabolic genes were over expressed irrespective of the presence of kdr, the latter resistance mechanism being absent in one resistant population. The discovery that mosquitoes collected from different types of breeding sites display differing profiles of metabolic genes at the adult stage may reflect the influence of a range of xenobiotics on selecting for resistance in mosquitoes.","author":[{"dropping-particle":"","family":"Djouaka","given":"Rousseau F.","non-dropping-particle":"","parse-names":false,"suffix":""},{"dropping-particle":"","family":"Bakare","given":"Adekunle A.","non-dropping-particle":"","parse-names":false,"suffix":""},{"dropping-particle":"","family":"Coulibaly","given":"Ousmane N.","non-dropping-particle":"","parse-names":false,"suffix":""},{"dropping-particle":"","family":"Akogbeto","given":"Martin C.","non-dropping-particle":"","parse-names":false,"suffix":""},{"dropping-particle":"","family":"Ranson","given":"Hilary","non-dropping-particle":"","parse-names":false,"suffix":""},{"dropping-particle":"","family":"Hemingway","given":"Janet","non-dropping-particle":"","parse-names":false,"suffix":""},{"dropping-particle":"","family":"Strode","given":"Clare","non-dropping-particle":"","parse-names":false,"suffix":""}],"container-title":"BMC Genomics","id":"ITEM-1","issued":{"date-parts":[["2008"]]},"page":"538","title":"Expression of the cytochrome P450s, CYP6P3 and CYP6M2 are significantly elevated in multiple pyrethroid resistant populations of Anopheles gambiae s.s. from Southern Benin and Nigeria","type":"article-journal","volume":"9"},"uris":["http://www.mendeley.com/documents/?uuid=bdd27299-5856-3740-8dab-e28f1ba5e58d"]}],"mendeley":{"formattedCitation":"[11]","plainTextFormattedCitation":"[11]","previouslyFormattedCitation":"[11]"},"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[11]</w:t>
      </w:r>
      <w:r w:rsidR="00BD1AEC" w:rsidRPr="00D0161E">
        <w:rPr>
          <w:color w:val="000000" w:themeColor="text1"/>
        </w:rPr>
        <w:fldChar w:fldCharType="end"/>
      </w:r>
      <w:r w:rsidR="00412F08" w:rsidRPr="00D0161E">
        <w:rPr>
          <w:color w:val="000000" w:themeColor="text1"/>
        </w:rPr>
        <w:t xml:space="preserve">, and </w:t>
      </w:r>
      <w:r w:rsidR="009705E6" w:rsidRPr="00D0161E">
        <w:rPr>
          <w:color w:val="000000" w:themeColor="text1"/>
        </w:rPr>
        <w:t>showe</w:t>
      </w:r>
      <w:r w:rsidR="00412F08" w:rsidRPr="00D0161E">
        <w:rPr>
          <w:color w:val="000000" w:themeColor="text1"/>
        </w:rPr>
        <w:t>d resistance to carbamates, organophosphates and dieldrin</w:t>
      </w:r>
      <w:r w:rsidR="004F4E3F" w:rsidRPr="00D0161E">
        <w:rPr>
          <w:color w:val="000000" w:themeColor="text1"/>
        </w:rPr>
        <w:t xml:space="preserve"> </w:t>
      </w:r>
      <w:r w:rsidR="00BD1AEC" w:rsidRPr="00D0161E">
        <w:rPr>
          <w:color w:val="000000" w:themeColor="text1"/>
        </w:rPr>
        <w:fldChar w:fldCharType="begin" w:fldLock="1"/>
      </w:r>
      <w:r w:rsidR="00B63A44">
        <w:rPr>
          <w:color w:val="000000" w:themeColor="text1"/>
        </w:rPr>
        <w:instrText>ADDIN CSL_CITATION {"citationItems":[{"id":"ITEM-1","itemData":{"DOI":"10.3390/insects9040146","ISSN":"2075-4450","abstract":"&lt;p&gt;Anopheles gambiae Giles (Diptera: Culicidae) is the most prolific malaria vector in sub-Saharan Africa, where widespread insecticide resistance has been reported. An. gambiae laboratory strains are commonly used to study the basic biology of this important mosquito vector, and also in new insecticide discovery programs, where insecticide-susceptible and -resistant strains are often used to screen new molecules for potency and cross-resistance, respectively. This study investigated the toxicity of permethrin, a Type-I pyrethroid insecticide, and etofenprox, a non-ester containing pyrethroid insecticide, against An. gambiae at three life stages. This characterization was performed with susceptible (G3; MRA-112) and resistant (Akdr; MRA-1280) An. gambiae strains; the Akdr strain is known to contain the L1014F mutation in the voltage-sensitive sodium channel. Surprisingly, etofenprox displays a lower level of resistance than permethrin against all stages of mosquitoes, except in a headless larval paralysis assay designed to minimize penetration factors. In first-instar An. gambiae larvae, permethrin had significant resistance, determined by the resistance ratio (RR50 = 5), but etofenprox was not significantly different (RR50 = 3.4) from the wild-type strain. Fourth-instar larvae displayed the highest level of resistance for permethrin (RR50 = 108) and etofenprox (RR50 = 35). Permethrin (PC50 = 2 ppb) and etofenprox (PC50 = 9 ppb) resulted in headless larval paralysis (5-h), but resistance, albeit lower, was still present for permethrin (RR50 = 5) and etofenprox (RR50 = 6.9). In adult female mosquitoes, permethrin displayed higher resistance (RR50 = 14) compared to etofenprox (RR50 = 4.3). The level of etofenprox resistance was different from that previously reported for a similar Akron An. gambiae laboratory strain (MRA-913). The chemical synergists piperonyl butoxide (PBO) and diethyl maleate (DEM) were able to synergize permethrin, but not etofenprox in the resistant strain (Akdr). In conclusion, multiple mechanisms are likely involved in pyrethroid resistance, but resistance profiles are dependent upon selection. Etofenprox is an effective insecticide against An. gambiae in the lab but will likely suffer from resistance in the field.&lt;/p&gt;","author":[{"dropping-particle":"","family":"Gross","given":"Aaron","non-dropping-particle":"","parse-names":false,"suffix":""},{"dropping-particle":"","family":"Bloomquist","given":"Jeffrey","non-dropping-particle":"","parse-names":false,"suffix":""}],"container-title":"Insects","id":"ITEM-1","issue":"4","issued":{"date-parts":[["2018","10","22"]]},"page":"146","publisher":"MDPI AG","title":"Characterizing Permethrin and Etofenprox Resistance in Two Common Laboratory Strains of Anopheles gambiae (Diptera: Culicidae)","type":"article-journal","volume":"9"},"uris":["http://www.mendeley.com/documents/?uuid=ce762433-f0bf-3bc9-8421-8554339126b1"]}],"mendeley":{"formattedCitation":"[12]","plainTextFormattedCitation":"[12]","previouslyFormattedCitation":"[12]"},"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[12]</w:t>
      </w:r>
      <w:r w:rsidR="00BD1AEC" w:rsidRPr="00D0161E">
        <w:rPr>
          <w:color w:val="000000" w:themeColor="text1"/>
        </w:rPr>
        <w:fldChar w:fldCharType="end"/>
      </w:r>
      <w:r w:rsidR="00412F08" w:rsidRPr="00D0161E">
        <w:rPr>
          <w:color w:val="000000" w:themeColor="text1"/>
        </w:rPr>
        <w:t xml:space="preserve">. Cayman is an </w:t>
      </w:r>
      <w:r w:rsidR="00412F08" w:rsidRPr="00D0161E">
        <w:rPr>
          <w:i/>
          <w:color w:val="000000" w:themeColor="text1"/>
        </w:rPr>
        <w:t xml:space="preserve">Ae. aegypti </w:t>
      </w:r>
      <w:r w:rsidR="00994C95" w:rsidRPr="00D0161E">
        <w:rPr>
          <w:color w:val="000000" w:themeColor="text1"/>
        </w:rPr>
        <w:t>strain</w:t>
      </w:r>
      <w:r w:rsidR="00412F08" w:rsidRPr="00D0161E">
        <w:rPr>
          <w:color w:val="000000" w:themeColor="text1"/>
        </w:rPr>
        <w:t xml:space="preserve"> with resistance to DDT and pyrethroids coloni</w:t>
      </w:r>
      <w:r w:rsidR="00AA1697">
        <w:rPr>
          <w:color w:val="000000" w:themeColor="text1"/>
        </w:rPr>
        <w:t>z</w:t>
      </w:r>
      <w:r w:rsidR="00412F08" w:rsidRPr="00D0161E">
        <w:rPr>
          <w:color w:val="000000" w:themeColor="text1"/>
        </w:rPr>
        <w:t>ed from Grand Cayman in 2008</w:t>
      </w:r>
      <w:r w:rsidR="00353235" w:rsidRPr="00D0161E">
        <w:rPr>
          <w:color w:val="000000" w:themeColor="text1"/>
        </w:rPr>
        <w:t xml:space="preserve"> </w:t>
      </w:r>
      <w:r w:rsidR="00BD1AEC" w:rsidRPr="00D0161E">
        <w:rPr>
          <w:color w:val="000000" w:themeColor="text1"/>
        </w:rPr>
        <w:fldChar w:fldCharType="begin" w:fldLock="1"/>
      </w:r>
      <w:r w:rsidR="00B63A44">
        <w:rPr>
          <w:color w:val="000000" w:themeColor="text1"/>
        </w:rPr>
        <w:instrText>ADDIN CSL_CITATION {"citationItems":[{"id":"ITEM-1","itemData":{"DOI":"10.4269/ajtmh.2010.09-0623","ISSN":"00029637","abstract":"The Grand Cayman population of Aedes aegypti is highly resistant to DDT and pyrethroid insecticides. Glutathione transferase, cytochrome P450, and esterase levels were increased in the Grand Cayman population relative to a susceptible laboratory strain, but synergist studies did not implicate elevated insecticide detoxification as a major cause of resistance. The role of target site resistance was therefore investigated. Two substitutions in the voltage-gated sodium channel were identified, V1016I in domain II, segment 6 (IIS6) (allele frequency = 0.79) and F1534C in IIIS6 (allele frequency = 0.68). The role of the F1534C mutation in conferring resistance to insecticides has not been previously established and so a tetraplex polymerase chain reaction assay was designed and used to genotype mosquitoes that had been exposed to insecticides. The F1534C mutation was strongly correlated with resistance to DDT and permethrin. Copyright © 2010 by The American Society of Tropical Medicine and Hygiene.","author":[{"dropping-particle":"","family":"Harris","given":"Angela F.","non-dropping-particle":"","parse-names":false,"suffix":""},{"dropping-particle":"","family":"Rajatileka","given":"Shavanthi","non-dropping-particle":"","parse-names":false,"suffix":""},{"dropping-particle":"","family":"Ranson","given":"Hilary","non-dropping-particle":"","parse-names":false,"suffix":""}],"container-title":"American Journal of Tropical Medicine and Hygiene","id":"ITEM-1","issued":{"date-parts":[["2010"]]},"title":"Pyrethroid resistance in Aedes aegypti from Grand Cayman","type":"article-journal"},"uris":["http://www.mendeley.com/documents/?uuid=625fca81-84ab-418a-8615-5e19ef475c55"]}],"mendeley":{"formattedCitation":"[13]","plainTextFormattedCitation":"[13]","previouslyFormattedCitation":"[13]"},"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[13]</w:t>
      </w:r>
      <w:r w:rsidR="00BD1AEC" w:rsidRPr="00D0161E">
        <w:rPr>
          <w:color w:val="000000" w:themeColor="text1"/>
        </w:rPr>
        <w:fldChar w:fldCharType="end"/>
      </w:r>
      <w:r w:rsidR="00412F08" w:rsidRPr="00D0161E">
        <w:rPr>
          <w:color w:val="000000" w:themeColor="text1"/>
        </w:rPr>
        <w:t xml:space="preserve">.  </w:t>
      </w:r>
    </w:p>
    <w:p w14:paraId="36C69131" w14:textId="77777777" w:rsidR="00317B71" w:rsidRPr="00D0161E" w:rsidRDefault="00317B71" w:rsidP="00D0161E">
      <w:pPr>
        <w:spacing w:line="480" w:lineRule="auto"/>
        <w:rPr>
          <w:color w:val="000000" w:themeColor="text1"/>
        </w:rPr>
      </w:pPr>
    </w:p>
    <w:p w14:paraId="7ABCE036" w14:textId="551B6C07" w:rsidR="00B57899" w:rsidRPr="00D0161E" w:rsidRDefault="009474E5" w:rsidP="00D0161E">
      <w:pPr>
        <w:spacing w:line="480" w:lineRule="auto"/>
        <w:rPr>
          <w:color w:val="000000" w:themeColor="text1"/>
        </w:rPr>
      </w:pPr>
      <w:r w:rsidRPr="00D0161E">
        <w:rPr>
          <w:color w:val="000000" w:themeColor="text1"/>
        </w:rPr>
        <w:t>Two</w:t>
      </w:r>
      <w:r w:rsidR="002A1AF2" w:rsidRPr="00D0161E">
        <w:rPr>
          <w:color w:val="000000" w:themeColor="text1"/>
        </w:rPr>
        <w:t xml:space="preserve"> to </w:t>
      </w:r>
      <w:proofErr w:type="gramStart"/>
      <w:r w:rsidRPr="00D0161E">
        <w:rPr>
          <w:color w:val="000000" w:themeColor="text1"/>
        </w:rPr>
        <w:t>five</w:t>
      </w:r>
      <w:r w:rsidR="00B57899" w:rsidRPr="00D0161E">
        <w:rPr>
          <w:color w:val="000000" w:themeColor="text1"/>
        </w:rPr>
        <w:t xml:space="preserve"> day</w:t>
      </w:r>
      <w:r w:rsidR="00AA1697">
        <w:rPr>
          <w:color w:val="000000" w:themeColor="text1"/>
        </w:rPr>
        <w:t>-</w:t>
      </w:r>
      <w:r w:rsidR="00B57899" w:rsidRPr="00D0161E">
        <w:rPr>
          <w:color w:val="000000" w:themeColor="text1"/>
        </w:rPr>
        <w:t>old</w:t>
      </w:r>
      <w:proofErr w:type="gramEnd"/>
      <w:r w:rsidR="00B57899" w:rsidRPr="00D0161E">
        <w:rPr>
          <w:color w:val="000000" w:themeColor="text1"/>
        </w:rPr>
        <w:t xml:space="preserve"> female adult mosquitoes, allowed to mate but not blood</w:t>
      </w:r>
      <w:r w:rsidRPr="00D0161E">
        <w:rPr>
          <w:color w:val="000000" w:themeColor="text1"/>
        </w:rPr>
        <w:t>-</w:t>
      </w:r>
      <w:r w:rsidR="00B57899" w:rsidRPr="00D0161E">
        <w:rPr>
          <w:color w:val="000000" w:themeColor="text1"/>
        </w:rPr>
        <w:t xml:space="preserve">fed, were used </w:t>
      </w:r>
      <w:r w:rsidRPr="00D0161E">
        <w:rPr>
          <w:color w:val="000000" w:themeColor="text1"/>
        </w:rPr>
        <w:t xml:space="preserve">in </w:t>
      </w:r>
      <w:r w:rsidR="00B57899" w:rsidRPr="00D0161E">
        <w:rPr>
          <w:color w:val="000000" w:themeColor="text1"/>
        </w:rPr>
        <w:t xml:space="preserve">all bioassays.  </w:t>
      </w:r>
    </w:p>
    <w:p w14:paraId="3AF26889" w14:textId="77777777" w:rsidR="00412F08" w:rsidRPr="00D0161E" w:rsidRDefault="00412F08" w:rsidP="00D0161E">
      <w:pPr>
        <w:spacing w:line="480" w:lineRule="auto"/>
        <w:rPr>
          <w:color w:val="000000" w:themeColor="text1"/>
        </w:rPr>
      </w:pPr>
    </w:p>
    <w:p w14:paraId="00A11F6C" w14:textId="77777777" w:rsidR="00707C9D" w:rsidRPr="00D0161E" w:rsidRDefault="00487224" w:rsidP="00D0161E">
      <w:pPr>
        <w:pStyle w:val="Heading3"/>
        <w:spacing w:before="0" w:line="480" w:lineRule="auto"/>
        <w:rPr>
          <w:rFonts w:ascii="Times New Roman" w:hAnsi="Times New Roman"/>
          <w:b/>
          <w:color w:val="000000" w:themeColor="text1"/>
        </w:rPr>
      </w:pPr>
      <w:r w:rsidRPr="00D0161E">
        <w:rPr>
          <w:rFonts w:ascii="Times New Roman" w:hAnsi="Times New Roman"/>
          <w:b/>
          <w:color w:val="000000" w:themeColor="text1"/>
        </w:rPr>
        <w:t>Evaluation of intrinsic activity by t</w:t>
      </w:r>
      <w:r w:rsidR="004A05C3" w:rsidRPr="00D0161E">
        <w:rPr>
          <w:rFonts w:ascii="Times New Roman" w:hAnsi="Times New Roman"/>
          <w:b/>
          <w:color w:val="000000" w:themeColor="text1"/>
        </w:rPr>
        <w:t xml:space="preserve">opical </w:t>
      </w:r>
      <w:r w:rsidRPr="00D0161E">
        <w:rPr>
          <w:rFonts w:ascii="Times New Roman" w:hAnsi="Times New Roman"/>
          <w:b/>
          <w:color w:val="000000" w:themeColor="text1"/>
        </w:rPr>
        <w:t>a</w:t>
      </w:r>
      <w:r w:rsidR="004A05C3" w:rsidRPr="00D0161E">
        <w:rPr>
          <w:rFonts w:ascii="Times New Roman" w:hAnsi="Times New Roman"/>
          <w:b/>
          <w:color w:val="000000" w:themeColor="text1"/>
        </w:rPr>
        <w:t>pplication</w:t>
      </w:r>
      <w:r w:rsidR="00517A14" w:rsidRPr="00D0161E">
        <w:rPr>
          <w:rFonts w:ascii="Times New Roman" w:hAnsi="Times New Roman"/>
          <w:b/>
          <w:color w:val="000000" w:themeColor="text1"/>
        </w:rPr>
        <w:t xml:space="preserve"> </w:t>
      </w:r>
    </w:p>
    <w:p w14:paraId="403F28EF" w14:textId="584FFB40" w:rsidR="000C167F" w:rsidRPr="00D0161E" w:rsidRDefault="009474E5" w:rsidP="00D0161E">
      <w:pPr>
        <w:spacing w:line="480" w:lineRule="auto"/>
        <w:rPr>
          <w:color w:val="000000" w:themeColor="text1"/>
        </w:rPr>
      </w:pPr>
      <w:r w:rsidRPr="00D0161E">
        <w:rPr>
          <w:color w:val="000000" w:themeColor="text1"/>
        </w:rPr>
        <w:t>A</w:t>
      </w:r>
      <w:r w:rsidR="00734BD3" w:rsidRPr="00D0161E">
        <w:rPr>
          <w:color w:val="000000" w:themeColor="text1"/>
        </w:rPr>
        <w:t xml:space="preserve"> range of concentrations </w:t>
      </w:r>
      <w:r w:rsidRPr="00D0161E">
        <w:rPr>
          <w:color w:val="000000" w:themeColor="text1"/>
        </w:rPr>
        <w:t xml:space="preserve">of </w:t>
      </w:r>
      <w:proofErr w:type="spellStart"/>
      <w:r w:rsidR="00D54567" w:rsidRPr="00D54567">
        <w:rPr>
          <w:color w:val="000000" w:themeColor="text1"/>
        </w:rPr>
        <w:t>Tenebenal</w:t>
      </w:r>
      <w:r w:rsidRPr="00D0161E">
        <w:rPr>
          <w:color w:val="000000" w:themeColor="text1"/>
          <w:vertAlign w:val="superscript"/>
        </w:rPr>
        <w:t>TM</w:t>
      </w:r>
      <w:proofErr w:type="spellEnd"/>
      <w:r w:rsidRPr="00D0161E">
        <w:rPr>
          <w:color w:val="000000" w:themeColor="text1"/>
        </w:rPr>
        <w:t xml:space="preserve"> </w:t>
      </w:r>
      <w:r w:rsidR="00734BD3" w:rsidRPr="00D0161E">
        <w:rPr>
          <w:color w:val="000000" w:themeColor="text1"/>
        </w:rPr>
        <w:t xml:space="preserve">was </w:t>
      </w:r>
      <w:r w:rsidRPr="00D0161E">
        <w:rPr>
          <w:color w:val="000000" w:themeColor="text1"/>
        </w:rPr>
        <w:t xml:space="preserve">applied </w:t>
      </w:r>
      <w:r w:rsidR="001A1365" w:rsidRPr="00D0161E">
        <w:rPr>
          <w:color w:val="000000" w:themeColor="text1"/>
        </w:rPr>
        <w:t xml:space="preserve">topically </w:t>
      </w:r>
      <w:r w:rsidR="00734BD3" w:rsidRPr="00D0161E">
        <w:rPr>
          <w:color w:val="000000" w:themeColor="text1"/>
        </w:rPr>
        <w:t xml:space="preserve">to </w:t>
      </w:r>
      <w:r w:rsidR="00582B85" w:rsidRPr="00D0161E">
        <w:rPr>
          <w:color w:val="000000" w:themeColor="text1"/>
        </w:rPr>
        <w:t xml:space="preserve">determine </w:t>
      </w:r>
      <w:r w:rsidRPr="00D0161E">
        <w:rPr>
          <w:color w:val="000000" w:themeColor="text1"/>
        </w:rPr>
        <w:t xml:space="preserve">its </w:t>
      </w:r>
      <w:r w:rsidR="00734BD3" w:rsidRPr="00D0161E">
        <w:rPr>
          <w:color w:val="000000" w:themeColor="text1"/>
        </w:rPr>
        <w:t xml:space="preserve">intrinsic activity </w:t>
      </w:r>
      <w:r w:rsidR="00B94B60" w:rsidRPr="00D0161E">
        <w:rPr>
          <w:color w:val="000000" w:themeColor="text1"/>
        </w:rPr>
        <w:t xml:space="preserve">against </w:t>
      </w:r>
      <w:r w:rsidRPr="00D0161E">
        <w:rPr>
          <w:color w:val="000000" w:themeColor="text1"/>
        </w:rPr>
        <w:t xml:space="preserve">adult </w:t>
      </w:r>
      <w:r w:rsidR="00B94B60" w:rsidRPr="00D0161E">
        <w:rPr>
          <w:color w:val="000000" w:themeColor="text1"/>
        </w:rPr>
        <w:t xml:space="preserve">female </w:t>
      </w:r>
      <w:r w:rsidR="00AA1697" w:rsidRPr="00D0161E">
        <w:rPr>
          <w:i/>
          <w:color w:val="000000" w:themeColor="text1"/>
        </w:rPr>
        <w:t>An</w:t>
      </w:r>
      <w:r w:rsidR="00AA1697">
        <w:rPr>
          <w:i/>
          <w:color w:val="000000" w:themeColor="text1"/>
        </w:rPr>
        <w:t>.</w:t>
      </w:r>
      <w:r w:rsidR="00AA1697" w:rsidRPr="00D0161E">
        <w:rPr>
          <w:i/>
          <w:color w:val="000000" w:themeColor="text1"/>
        </w:rPr>
        <w:t xml:space="preserve"> </w:t>
      </w:r>
      <w:r w:rsidR="00B94B60" w:rsidRPr="00D0161E">
        <w:rPr>
          <w:i/>
          <w:color w:val="000000" w:themeColor="text1"/>
        </w:rPr>
        <w:t>gambiae</w:t>
      </w:r>
      <w:r w:rsidR="001C5681" w:rsidRPr="00D0161E">
        <w:rPr>
          <w:color w:val="000000" w:themeColor="text1"/>
        </w:rPr>
        <w:t xml:space="preserve"> of the susceptible Kisumu and resistant Tiassal</w:t>
      </w:r>
      <w:r w:rsidR="001C5681" w:rsidRPr="00D0161E">
        <w:rPr>
          <w:rFonts w:cstheme="minorHAnsi"/>
          <w:color w:val="000000" w:themeColor="text1"/>
        </w:rPr>
        <w:t>é</w:t>
      </w:r>
      <w:r w:rsidR="001C5681" w:rsidRPr="00D0161E">
        <w:rPr>
          <w:color w:val="000000" w:themeColor="text1"/>
        </w:rPr>
        <w:t xml:space="preserve"> 2 </w:t>
      </w:r>
      <w:r w:rsidR="00994C95" w:rsidRPr="00D0161E">
        <w:rPr>
          <w:color w:val="000000" w:themeColor="text1"/>
        </w:rPr>
        <w:t>strains</w:t>
      </w:r>
      <w:r w:rsidR="00734BD3" w:rsidRPr="00D0161E">
        <w:rPr>
          <w:color w:val="000000" w:themeColor="text1"/>
        </w:rPr>
        <w:t>. Three replicates of 10 adult female mosquitoes per treatment were anaestheti</w:t>
      </w:r>
      <w:r w:rsidR="00AA1697">
        <w:rPr>
          <w:color w:val="000000" w:themeColor="text1"/>
        </w:rPr>
        <w:t>z</w:t>
      </w:r>
      <w:r w:rsidR="00734BD3" w:rsidRPr="00D0161E">
        <w:rPr>
          <w:color w:val="000000" w:themeColor="text1"/>
        </w:rPr>
        <w:t xml:space="preserve">ed using </w:t>
      </w:r>
      <w:proofErr w:type="spellStart"/>
      <w:r w:rsidR="00734BD3" w:rsidRPr="00D0161E">
        <w:rPr>
          <w:color w:val="000000" w:themeColor="text1"/>
        </w:rPr>
        <w:t>carbondioxide</w:t>
      </w:r>
      <w:proofErr w:type="spellEnd"/>
      <w:r w:rsidR="00734BD3" w:rsidRPr="00D0161E">
        <w:rPr>
          <w:color w:val="000000" w:themeColor="text1"/>
        </w:rPr>
        <w:t xml:space="preserve"> and distributed across a Petri dish lined with filter paper (</w:t>
      </w:r>
      <w:r w:rsidRPr="00D0161E">
        <w:rPr>
          <w:rStyle w:val="e24kjd"/>
          <w:color w:val="000000" w:themeColor="text1"/>
        </w:rPr>
        <w:t>Whatman</w:t>
      </w:r>
      <w:r w:rsidRPr="00D0161E">
        <w:rPr>
          <w:rStyle w:val="e24kjd"/>
          <w:color w:val="000000" w:themeColor="text1"/>
          <w:vertAlign w:val="superscript"/>
        </w:rPr>
        <w:t>®</w:t>
      </w:r>
      <w:r w:rsidRPr="00D0161E">
        <w:rPr>
          <w:rStyle w:val="e24kjd"/>
          <w:color w:val="000000" w:themeColor="text1"/>
        </w:rPr>
        <w:t xml:space="preserve"> Grade 1</w:t>
      </w:r>
      <w:r w:rsidR="00734BD3" w:rsidRPr="00D0161E">
        <w:rPr>
          <w:color w:val="000000" w:themeColor="text1"/>
        </w:rPr>
        <w:t>) on a 4°C chill table (</w:t>
      </w:r>
      <w:proofErr w:type="spellStart"/>
      <w:r w:rsidR="00734BD3" w:rsidRPr="00D0161E">
        <w:rPr>
          <w:color w:val="000000" w:themeColor="text1"/>
        </w:rPr>
        <w:t>BioQuip</w:t>
      </w:r>
      <w:proofErr w:type="spellEnd"/>
      <w:r w:rsidR="00734BD3" w:rsidRPr="00D0161E">
        <w:rPr>
          <w:color w:val="000000" w:themeColor="text1"/>
        </w:rPr>
        <w:t>, Rancho Dominguez, CA</w:t>
      </w:r>
      <w:r w:rsidR="00AA1697">
        <w:rPr>
          <w:color w:val="000000" w:themeColor="text1"/>
        </w:rPr>
        <w:t>, USA</w:t>
      </w:r>
      <w:r w:rsidR="00734BD3" w:rsidRPr="00D0161E">
        <w:rPr>
          <w:color w:val="000000" w:themeColor="text1"/>
        </w:rPr>
        <w:t>). A 0.25</w:t>
      </w:r>
      <w:r w:rsidR="00AA1697">
        <w:rPr>
          <w:color w:val="000000" w:themeColor="text1"/>
        </w:rPr>
        <w:t>-</w:t>
      </w:r>
      <w:r w:rsidR="00734BD3" w:rsidRPr="00D0161E">
        <w:rPr>
          <w:color w:val="000000" w:themeColor="text1"/>
        </w:rPr>
        <w:t>µl droplet of</w:t>
      </w:r>
      <w:r w:rsidR="0067689C" w:rsidRPr="00D0161E">
        <w:rPr>
          <w:color w:val="000000" w:themeColor="text1"/>
        </w:rPr>
        <w:t xml:space="preserve"> technical grade</w:t>
      </w:r>
      <w:r w:rsidR="00734BD3" w:rsidRPr="00D0161E">
        <w:rPr>
          <w:color w:val="000000" w:themeColor="text1"/>
        </w:rPr>
        <w:t xml:space="preserve"> insecticide dissolved in acetone was applied to the dorsal thorax of each </w:t>
      </w:r>
      <w:r w:rsidR="006C4A36" w:rsidRPr="00D0161E">
        <w:rPr>
          <w:color w:val="000000" w:themeColor="text1"/>
        </w:rPr>
        <w:t xml:space="preserve">mosquito </w:t>
      </w:r>
      <w:r w:rsidR="00734BD3" w:rsidRPr="00D0161E">
        <w:rPr>
          <w:color w:val="000000" w:themeColor="text1"/>
        </w:rPr>
        <w:t xml:space="preserve">using a 1 </w:t>
      </w:r>
      <w:r w:rsidR="00AA1697">
        <w:rPr>
          <w:color w:val="000000" w:themeColor="text1"/>
        </w:rPr>
        <w:t xml:space="preserve">cu </w:t>
      </w:r>
      <w:r w:rsidR="00734BD3" w:rsidRPr="00D0161E">
        <w:rPr>
          <w:color w:val="000000" w:themeColor="text1"/>
        </w:rPr>
        <w:t xml:space="preserve">cm syringe and a hand-operated micro applicator (Burkhard Scientific, Uxbridge, UK). </w:t>
      </w:r>
      <w:r w:rsidR="006C4A36" w:rsidRPr="00D0161E">
        <w:rPr>
          <w:color w:val="000000" w:themeColor="text1"/>
        </w:rPr>
        <w:t>Insecticide treatment</w:t>
      </w:r>
      <w:r w:rsidR="00D84CF5" w:rsidRPr="00D0161E">
        <w:rPr>
          <w:color w:val="000000" w:themeColor="text1"/>
        </w:rPr>
        <w:t>s</w:t>
      </w:r>
      <w:r w:rsidR="00580FCE" w:rsidRPr="00D0161E">
        <w:rPr>
          <w:color w:val="000000" w:themeColor="text1"/>
        </w:rPr>
        <w:t xml:space="preserve"> </w:t>
      </w:r>
      <w:r w:rsidR="006C4A36" w:rsidRPr="00D0161E">
        <w:rPr>
          <w:color w:val="000000" w:themeColor="text1"/>
        </w:rPr>
        <w:t xml:space="preserve">consisted </w:t>
      </w:r>
      <w:r w:rsidR="00580FCE" w:rsidRPr="00D0161E">
        <w:rPr>
          <w:color w:val="000000" w:themeColor="text1"/>
        </w:rPr>
        <w:t xml:space="preserve">of </w:t>
      </w:r>
      <w:r w:rsidR="00D84CF5" w:rsidRPr="00D0161E">
        <w:rPr>
          <w:color w:val="000000" w:themeColor="text1"/>
        </w:rPr>
        <w:t xml:space="preserve">a </w:t>
      </w:r>
      <w:r w:rsidR="006C33D6" w:rsidRPr="00D0161E">
        <w:rPr>
          <w:color w:val="000000" w:themeColor="text1"/>
        </w:rPr>
        <w:t>0.0001, 0.001, 0.01, 0.1</w:t>
      </w:r>
      <w:r w:rsidR="00AA1697">
        <w:rPr>
          <w:color w:val="000000" w:themeColor="text1"/>
        </w:rPr>
        <w:t>,</w:t>
      </w:r>
      <w:r w:rsidR="006C33D6" w:rsidRPr="00D0161E">
        <w:rPr>
          <w:color w:val="000000" w:themeColor="text1"/>
        </w:rPr>
        <w:t xml:space="preserve"> and 1% </w:t>
      </w:r>
      <w:r w:rsidR="00580FCE" w:rsidRPr="00D0161E">
        <w:rPr>
          <w:color w:val="000000" w:themeColor="text1"/>
        </w:rPr>
        <w:t>of</w:t>
      </w:r>
      <w:r w:rsidR="00D84CF5" w:rsidRPr="00D0161E">
        <w:rPr>
          <w:color w:val="000000" w:themeColor="text1"/>
        </w:rPr>
        <w:t xml:space="preserve"> etofenprox and</w:t>
      </w:r>
      <w:r w:rsidR="00580FCE" w:rsidRPr="00D0161E">
        <w:rPr>
          <w:color w:val="000000" w:themeColor="text1"/>
        </w:rPr>
        <w:t xml:space="preserve"> deltamethrin</w:t>
      </w:r>
      <w:r w:rsidR="000D42A6" w:rsidRPr="00D0161E">
        <w:rPr>
          <w:color w:val="000000" w:themeColor="text1"/>
        </w:rPr>
        <w:t xml:space="preserve"> (corresponding to </w:t>
      </w:r>
      <w:r w:rsidR="00490655" w:rsidRPr="00D0161E">
        <w:rPr>
          <w:color w:val="000000" w:themeColor="text1"/>
        </w:rPr>
        <w:t xml:space="preserve">0.25 to </w:t>
      </w:r>
      <w:r w:rsidR="000D42A6" w:rsidRPr="00D0161E">
        <w:rPr>
          <w:color w:val="000000" w:themeColor="text1"/>
        </w:rPr>
        <w:t>2</w:t>
      </w:r>
      <w:r w:rsidR="00490655" w:rsidRPr="00D0161E">
        <w:rPr>
          <w:color w:val="000000" w:themeColor="text1"/>
        </w:rPr>
        <w:t>,</w:t>
      </w:r>
      <w:r w:rsidR="000D42A6" w:rsidRPr="00D0161E">
        <w:rPr>
          <w:color w:val="000000" w:themeColor="text1"/>
        </w:rPr>
        <w:t>5</w:t>
      </w:r>
      <w:r w:rsidR="00490655" w:rsidRPr="00D0161E">
        <w:rPr>
          <w:color w:val="000000" w:themeColor="text1"/>
        </w:rPr>
        <w:t>00</w:t>
      </w:r>
      <w:r w:rsidR="000D42A6" w:rsidRPr="00D0161E">
        <w:rPr>
          <w:color w:val="000000" w:themeColor="text1"/>
        </w:rPr>
        <w:t xml:space="preserve"> </w:t>
      </w:r>
      <w:proofErr w:type="spellStart"/>
      <w:r w:rsidR="00490655" w:rsidRPr="00D0161E">
        <w:rPr>
          <w:color w:val="000000" w:themeColor="text1"/>
        </w:rPr>
        <w:t>pg</w:t>
      </w:r>
      <w:proofErr w:type="spellEnd"/>
      <w:r w:rsidR="000D42A6" w:rsidRPr="00D0161E">
        <w:rPr>
          <w:color w:val="000000" w:themeColor="text1"/>
        </w:rPr>
        <w:t>/mosquito)</w:t>
      </w:r>
      <w:r w:rsidR="00580FCE" w:rsidRPr="00D0161E">
        <w:rPr>
          <w:color w:val="000000" w:themeColor="text1"/>
        </w:rPr>
        <w:t xml:space="preserve">, and </w:t>
      </w:r>
      <w:r w:rsidR="007709BF" w:rsidRPr="00D0161E">
        <w:rPr>
          <w:color w:val="000000" w:themeColor="text1"/>
        </w:rPr>
        <w:t>6.25x10</w:t>
      </w:r>
      <w:r w:rsidR="007709BF" w:rsidRPr="00D0161E">
        <w:rPr>
          <w:color w:val="000000" w:themeColor="text1"/>
          <w:vertAlign w:val="superscript"/>
        </w:rPr>
        <w:t>-6</w:t>
      </w:r>
      <w:r w:rsidR="007709BF" w:rsidRPr="00D0161E">
        <w:rPr>
          <w:color w:val="000000" w:themeColor="text1"/>
        </w:rPr>
        <w:t>, 1.25 x10</w:t>
      </w:r>
      <w:r w:rsidR="007709BF" w:rsidRPr="00D0161E">
        <w:rPr>
          <w:color w:val="000000" w:themeColor="text1"/>
          <w:vertAlign w:val="superscript"/>
        </w:rPr>
        <w:t>-6</w:t>
      </w:r>
      <w:r w:rsidR="007709BF" w:rsidRPr="00D0161E">
        <w:rPr>
          <w:color w:val="000000" w:themeColor="text1"/>
        </w:rPr>
        <w:t>,</w:t>
      </w:r>
      <w:r w:rsidR="007709BF" w:rsidRPr="00D0161E">
        <w:rPr>
          <w:color w:val="000000" w:themeColor="text1"/>
          <w:vertAlign w:val="superscript"/>
        </w:rPr>
        <w:t xml:space="preserve"> </w:t>
      </w:r>
      <w:r w:rsidR="007709BF" w:rsidRPr="00D0161E">
        <w:rPr>
          <w:color w:val="000000" w:themeColor="text1"/>
        </w:rPr>
        <w:t>2.5 x10</w:t>
      </w:r>
      <w:r w:rsidR="007709BF" w:rsidRPr="00D0161E">
        <w:rPr>
          <w:color w:val="000000" w:themeColor="text1"/>
          <w:vertAlign w:val="superscript"/>
        </w:rPr>
        <w:t>-5</w:t>
      </w:r>
      <w:r w:rsidR="007709BF" w:rsidRPr="00D0161E">
        <w:rPr>
          <w:color w:val="000000" w:themeColor="text1"/>
        </w:rPr>
        <w:t>,</w:t>
      </w:r>
      <w:r w:rsidR="007709BF" w:rsidRPr="00D0161E">
        <w:rPr>
          <w:color w:val="000000" w:themeColor="text1"/>
          <w:vertAlign w:val="superscript"/>
        </w:rPr>
        <w:t xml:space="preserve"> </w:t>
      </w:r>
      <w:r w:rsidR="007709BF" w:rsidRPr="00D0161E">
        <w:rPr>
          <w:color w:val="000000" w:themeColor="text1"/>
        </w:rPr>
        <w:t>5x10</w:t>
      </w:r>
      <w:r w:rsidR="007709BF" w:rsidRPr="00D0161E">
        <w:rPr>
          <w:color w:val="000000" w:themeColor="text1"/>
          <w:vertAlign w:val="superscript"/>
        </w:rPr>
        <w:t>-5</w:t>
      </w:r>
      <w:r w:rsidR="007709BF" w:rsidRPr="00D0161E">
        <w:rPr>
          <w:color w:val="000000" w:themeColor="text1"/>
        </w:rPr>
        <w:t>, and 1x10</w:t>
      </w:r>
      <w:r w:rsidR="007709BF" w:rsidRPr="00D0161E">
        <w:rPr>
          <w:color w:val="000000" w:themeColor="text1"/>
          <w:vertAlign w:val="superscript"/>
        </w:rPr>
        <w:t>-4</w:t>
      </w:r>
      <w:r w:rsidR="00734BD3" w:rsidRPr="00D0161E">
        <w:rPr>
          <w:color w:val="000000" w:themeColor="text1"/>
        </w:rPr>
        <w:t xml:space="preserve">% of </w:t>
      </w:r>
      <w:proofErr w:type="spellStart"/>
      <w:r w:rsidR="00D54567" w:rsidRPr="00D54567">
        <w:rPr>
          <w:color w:val="000000" w:themeColor="text1"/>
        </w:rPr>
        <w:t>Tenebenal</w:t>
      </w:r>
      <w:r w:rsidR="007556AB" w:rsidRPr="00D0161E">
        <w:rPr>
          <w:color w:val="000000" w:themeColor="text1"/>
          <w:vertAlign w:val="superscript"/>
        </w:rPr>
        <w:t>TM</w:t>
      </w:r>
      <w:proofErr w:type="spellEnd"/>
      <w:r w:rsidR="000D42A6" w:rsidRPr="00D0161E">
        <w:rPr>
          <w:color w:val="000000" w:themeColor="text1"/>
        </w:rPr>
        <w:t xml:space="preserve"> (</w:t>
      </w:r>
      <w:r w:rsidR="007709BF" w:rsidRPr="00D0161E">
        <w:rPr>
          <w:color w:val="000000" w:themeColor="text1"/>
        </w:rPr>
        <w:t xml:space="preserve">15.625 </w:t>
      </w:r>
      <w:r w:rsidR="000D42A6" w:rsidRPr="00D0161E">
        <w:rPr>
          <w:color w:val="000000" w:themeColor="text1"/>
        </w:rPr>
        <w:t xml:space="preserve">to </w:t>
      </w:r>
      <w:r w:rsidR="007709BF" w:rsidRPr="00D0161E">
        <w:rPr>
          <w:color w:val="000000" w:themeColor="text1"/>
        </w:rPr>
        <w:t>250</w:t>
      </w:r>
      <w:r w:rsidR="000D42A6" w:rsidRPr="00D0161E">
        <w:rPr>
          <w:color w:val="000000" w:themeColor="text1"/>
        </w:rPr>
        <w:t xml:space="preserve"> </w:t>
      </w:r>
      <w:proofErr w:type="spellStart"/>
      <w:r w:rsidR="007709BF" w:rsidRPr="00D0161E">
        <w:rPr>
          <w:color w:val="000000" w:themeColor="text1"/>
        </w:rPr>
        <w:t>p</w:t>
      </w:r>
      <w:r w:rsidR="000D42A6" w:rsidRPr="00D0161E">
        <w:rPr>
          <w:color w:val="000000" w:themeColor="text1"/>
        </w:rPr>
        <w:t>g</w:t>
      </w:r>
      <w:proofErr w:type="spellEnd"/>
      <w:r w:rsidR="000D42A6" w:rsidRPr="00D0161E">
        <w:rPr>
          <w:color w:val="000000" w:themeColor="text1"/>
        </w:rPr>
        <w:t>/mosquito</w:t>
      </w:r>
      <w:r w:rsidR="006C4A36" w:rsidRPr="00D0161E">
        <w:rPr>
          <w:color w:val="000000" w:themeColor="text1"/>
        </w:rPr>
        <w:t>;</w:t>
      </w:r>
      <w:r w:rsidR="00734BD3" w:rsidRPr="00D0161E">
        <w:rPr>
          <w:color w:val="000000" w:themeColor="text1"/>
        </w:rPr>
        <w:t xml:space="preserve"> </w:t>
      </w:r>
      <w:r w:rsidR="00153022" w:rsidRPr="00D0161E">
        <w:rPr>
          <w:color w:val="000000" w:themeColor="text1"/>
        </w:rPr>
        <w:t xml:space="preserve">concentrations </w:t>
      </w:r>
      <w:r w:rsidR="00580FCE" w:rsidRPr="00D0161E">
        <w:rPr>
          <w:color w:val="000000" w:themeColor="text1"/>
        </w:rPr>
        <w:t xml:space="preserve">selected to identify potency </w:t>
      </w:r>
      <w:r w:rsidR="00582B85" w:rsidRPr="00D0161E">
        <w:rPr>
          <w:color w:val="000000" w:themeColor="text1"/>
        </w:rPr>
        <w:t>relative to</w:t>
      </w:r>
      <w:r w:rsidR="00580FCE" w:rsidRPr="00D0161E">
        <w:rPr>
          <w:color w:val="000000" w:themeColor="text1"/>
        </w:rPr>
        <w:t xml:space="preserve"> deltamethrin</w:t>
      </w:r>
      <w:r w:rsidR="006C4A36" w:rsidRPr="00D0161E">
        <w:rPr>
          <w:color w:val="000000" w:themeColor="text1"/>
        </w:rPr>
        <w:t>).</w:t>
      </w:r>
      <w:r w:rsidR="00734BD3" w:rsidRPr="00D0161E">
        <w:rPr>
          <w:color w:val="000000" w:themeColor="text1"/>
        </w:rPr>
        <w:t xml:space="preserve"> </w:t>
      </w:r>
      <w:r w:rsidR="006C4A36" w:rsidRPr="00D0161E">
        <w:rPr>
          <w:color w:val="000000" w:themeColor="text1"/>
        </w:rPr>
        <w:t>A negative control treatment of</w:t>
      </w:r>
      <w:r w:rsidR="00734BD3" w:rsidRPr="00D0161E">
        <w:rPr>
          <w:color w:val="000000" w:themeColor="text1"/>
        </w:rPr>
        <w:t xml:space="preserve"> acetone-only </w:t>
      </w:r>
      <w:r w:rsidR="006C4A36" w:rsidRPr="00D0161E">
        <w:rPr>
          <w:color w:val="000000" w:themeColor="text1"/>
        </w:rPr>
        <w:t>was also included</w:t>
      </w:r>
      <w:r w:rsidR="00734BD3" w:rsidRPr="00D0161E">
        <w:rPr>
          <w:color w:val="000000" w:themeColor="text1"/>
        </w:rPr>
        <w:t xml:space="preserve">.  </w:t>
      </w:r>
    </w:p>
    <w:p w14:paraId="5212233A" w14:textId="77777777" w:rsidR="00734BD3" w:rsidRPr="00D0161E" w:rsidRDefault="00734BD3" w:rsidP="00D0161E">
      <w:pPr>
        <w:spacing w:line="480" w:lineRule="auto"/>
        <w:rPr>
          <w:color w:val="000000" w:themeColor="text1"/>
        </w:rPr>
      </w:pPr>
    </w:p>
    <w:p w14:paraId="1CDE5B8A" w14:textId="3C34B804" w:rsidR="00734BD3" w:rsidRPr="00D0161E" w:rsidRDefault="001614E9" w:rsidP="00D0161E">
      <w:pPr>
        <w:spacing w:line="480" w:lineRule="auto"/>
        <w:rPr>
          <w:color w:val="000000" w:themeColor="text1"/>
        </w:rPr>
      </w:pPr>
      <w:r w:rsidRPr="00D0161E">
        <w:rPr>
          <w:color w:val="000000" w:themeColor="text1"/>
        </w:rPr>
        <w:t xml:space="preserve">Mosquitoes were </w:t>
      </w:r>
      <w:r w:rsidR="006C4A36" w:rsidRPr="00D0161E">
        <w:rPr>
          <w:color w:val="000000" w:themeColor="text1"/>
        </w:rPr>
        <w:t xml:space="preserve">assessed </w:t>
      </w:r>
      <w:r w:rsidRPr="00D0161E">
        <w:rPr>
          <w:color w:val="000000" w:themeColor="text1"/>
        </w:rPr>
        <w:t>for knockdown (</w:t>
      </w:r>
      <w:r w:rsidR="003D03AB" w:rsidRPr="00D0161E">
        <w:rPr>
          <w:color w:val="000000" w:themeColor="text1"/>
        </w:rPr>
        <w:t>KD</w:t>
      </w:r>
      <w:r w:rsidR="00AA1697">
        <w:rPr>
          <w:color w:val="000000" w:themeColor="text1"/>
        </w:rPr>
        <w:t>),</w:t>
      </w:r>
      <w:r w:rsidR="003D03AB" w:rsidRPr="00D0161E">
        <w:rPr>
          <w:color w:val="000000" w:themeColor="text1"/>
        </w:rPr>
        <w:t xml:space="preserve"> </w:t>
      </w:r>
      <w:r w:rsidR="006C4A36" w:rsidRPr="00D0161E">
        <w:rPr>
          <w:color w:val="000000" w:themeColor="text1"/>
        </w:rPr>
        <w:t>defined as</w:t>
      </w:r>
      <w:r w:rsidR="0021138E" w:rsidRPr="00D0161E">
        <w:rPr>
          <w:color w:val="000000" w:themeColor="text1"/>
        </w:rPr>
        <w:t xml:space="preserve"> being</w:t>
      </w:r>
      <w:r w:rsidR="00D84CF5" w:rsidRPr="00D0161E">
        <w:rPr>
          <w:color w:val="000000" w:themeColor="text1"/>
        </w:rPr>
        <w:t xml:space="preserve"> </w:t>
      </w:r>
      <w:r w:rsidRPr="00D0161E">
        <w:rPr>
          <w:color w:val="000000" w:themeColor="text1"/>
        </w:rPr>
        <w:t>immobile or unable to stand or take</w:t>
      </w:r>
      <w:r w:rsidR="00AA1697">
        <w:rPr>
          <w:color w:val="000000" w:themeColor="text1"/>
        </w:rPr>
        <w:t>-</w:t>
      </w:r>
      <w:r w:rsidRPr="00D0161E">
        <w:rPr>
          <w:color w:val="000000" w:themeColor="text1"/>
        </w:rPr>
        <w:t xml:space="preserve">off 30 min after application of the insecticide, then held in cups with access to 10% sucrose at 26±2°C and 70±10% </w:t>
      </w:r>
      <w:r w:rsidR="006C4A36" w:rsidRPr="00D0161E">
        <w:rPr>
          <w:color w:val="000000" w:themeColor="text1"/>
        </w:rPr>
        <w:t xml:space="preserve">RH </w:t>
      </w:r>
      <w:r w:rsidRPr="00D0161E">
        <w:rPr>
          <w:color w:val="000000" w:themeColor="text1"/>
        </w:rPr>
        <w:t>under a L12:D12 hour light: dark cycle in</w:t>
      </w:r>
      <w:r w:rsidR="006C4A36" w:rsidRPr="00D0161E">
        <w:rPr>
          <w:color w:val="000000" w:themeColor="text1"/>
        </w:rPr>
        <w:t>side</w:t>
      </w:r>
      <w:r w:rsidRPr="00D0161E">
        <w:rPr>
          <w:color w:val="000000" w:themeColor="text1"/>
        </w:rPr>
        <w:t xml:space="preserve"> a</w:t>
      </w:r>
      <w:r w:rsidR="006C4A36" w:rsidRPr="00D0161E">
        <w:rPr>
          <w:color w:val="000000" w:themeColor="text1"/>
        </w:rPr>
        <w:t xml:space="preserve">n environmental </w:t>
      </w:r>
      <w:r w:rsidRPr="00D0161E">
        <w:rPr>
          <w:color w:val="000000" w:themeColor="text1"/>
        </w:rPr>
        <w:t xml:space="preserve">stability cabinet </w:t>
      </w:r>
      <w:r w:rsidR="006C4A36" w:rsidRPr="00D0161E">
        <w:rPr>
          <w:color w:val="000000" w:themeColor="text1"/>
        </w:rPr>
        <w:t>for assessment of</w:t>
      </w:r>
      <w:r w:rsidRPr="00D0161E">
        <w:rPr>
          <w:color w:val="000000" w:themeColor="text1"/>
        </w:rPr>
        <w:t xml:space="preserve"> mortality at 24, 48 and 72 hours post-application.</w:t>
      </w:r>
    </w:p>
    <w:p w14:paraId="196A6D17" w14:textId="77777777" w:rsidR="00734BD3" w:rsidRPr="00D0161E" w:rsidRDefault="00734BD3" w:rsidP="00D0161E">
      <w:pPr>
        <w:spacing w:line="480" w:lineRule="auto"/>
        <w:rPr>
          <w:color w:val="000000" w:themeColor="text1"/>
        </w:rPr>
      </w:pPr>
    </w:p>
    <w:p w14:paraId="22E7C86D" w14:textId="77777777" w:rsidR="00517A14" w:rsidRPr="00D0161E" w:rsidRDefault="00055FFA" w:rsidP="00D0161E">
      <w:pPr>
        <w:pStyle w:val="Heading3"/>
        <w:spacing w:before="0" w:line="480" w:lineRule="auto"/>
        <w:rPr>
          <w:rFonts w:ascii="Times New Roman" w:hAnsi="Times New Roman"/>
          <w:b/>
          <w:color w:val="000000" w:themeColor="text1"/>
        </w:rPr>
      </w:pPr>
      <w:r w:rsidRPr="00D0161E">
        <w:rPr>
          <w:rFonts w:ascii="Times New Roman" w:hAnsi="Times New Roman"/>
          <w:b/>
          <w:color w:val="000000" w:themeColor="text1"/>
        </w:rPr>
        <w:t>Evaluation of activity by tarsal contact</w:t>
      </w:r>
    </w:p>
    <w:p w14:paraId="3100B280" w14:textId="77777777" w:rsidR="00055FFA"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Tarsal contact assay</w:t>
      </w:r>
    </w:p>
    <w:p w14:paraId="02CC951F" w14:textId="2F04571A" w:rsidR="000C167F" w:rsidRPr="00D0161E" w:rsidRDefault="004B6123" w:rsidP="00D0161E">
      <w:pPr>
        <w:spacing w:line="480" w:lineRule="auto"/>
        <w:rPr>
          <w:color w:val="000000" w:themeColor="text1"/>
        </w:rPr>
      </w:pPr>
      <w:r w:rsidRPr="00D0161E">
        <w:rPr>
          <w:color w:val="000000" w:themeColor="text1"/>
        </w:rPr>
        <w:t>The e</w:t>
      </w:r>
      <w:r w:rsidR="00C43283" w:rsidRPr="00D0161E">
        <w:rPr>
          <w:color w:val="000000" w:themeColor="text1"/>
        </w:rPr>
        <w:t xml:space="preserve">fficacy of </w:t>
      </w:r>
      <w:proofErr w:type="spellStart"/>
      <w:r w:rsidR="00D54567" w:rsidRPr="00D54567">
        <w:rPr>
          <w:color w:val="000000" w:themeColor="text1"/>
        </w:rPr>
        <w:t>Tenebenal</w:t>
      </w:r>
      <w:r w:rsidR="007556AB" w:rsidRPr="00D0161E">
        <w:rPr>
          <w:color w:val="000000" w:themeColor="text1"/>
          <w:vertAlign w:val="superscript"/>
        </w:rPr>
        <w:t>TM</w:t>
      </w:r>
      <w:proofErr w:type="spellEnd"/>
      <w:r w:rsidR="00C43283" w:rsidRPr="00D0161E">
        <w:rPr>
          <w:color w:val="000000" w:themeColor="text1"/>
        </w:rPr>
        <w:t xml:space="preserve"> via tarsal contact was evaluated </w:t>
      </w:r>
      <w:r w:rsidR="007709BF" w:rsidRPr="00D0161E">
        <w:rPr>
          <w:color w:val="000000" w:themeColor="text1"/>
        </w:rPr>
        <w:t xml:space="preserve">against </w:t>
      </w:r>
      <w:r w:rsidR="00AA1697">
        <w:rPr>
          <w:color w:val="000000" w:themeColor="text1"/>
        </w:rPr>
        <w:t>4</w:t>
      </w:r>
      <w:r w:rsidR="00AA1697" w:rsidRPr="00D0161E">
        <w:rPr>
          <w:color w:val="000000" w:themeColor="text1"/>
        </w:rPr>
        <w:t xml:space="preserve"> </w:t>
      </w:r>
      <w:r w:rsidR="007709BF" w:rsidRPr="00D0161E">
        <w:rPr>
          <w:color w:val="000000" w:themeColor="text1"/>
        </w:rPr>
        <w:t xml:space="preserve">mosquito </w:t>
      </w:r>
      <w:r w:rsidR="00994C95" w:rsidRPr="00D0161E">
        <w:rPr>
          <w:color w:val="000000" w:themeColor="text1"/>
        </w:rPr>
        <w:t>strains</w:t>
      </w:r>
      <w:r w:rsidR="007709BF" w:rsidRPr="00D0161E">
        <w:rPr>
          <w:color w:val="000000" w:themeColor="text1"/>
        </w:rPr>
        <w:t xml:space="preserve"> (</w:t>
      </w:r>
      <w:r w:rsidR="007709BF" w:rsidRPr="00D0161E">
        <w:rPr>
          <w:i/>
          <w:iCs/>
          <w:color w:val="000000" w:themeColor="text1"/>
        </w:rPr>
        <w:t>An. gambiae</w:t>
      </w:r>
      <w:r w:rsidR="007709BF" w:rsidRPr="00D0161E">
        <w:rPr>
          <w:color w:val="000000" w:themeColor="text1"/>
        </w:rPr>
        <w:t xml:space="preserve">: susceptible Kisumu, resistant Kisumu RDL; </w:t>
      </w:r>
      <w:r w:rsidR="007709BF" w:rsidRPr="00D0161E">
        <w:rPr>
          <w:i/>
          <w:iCs/>
          <w:color w:val="000000" w:themeColor="text1"/>
        </w:rPr>
        <w:t>Ae. aegypti</w:t>
      </w:r>
      <w:r w:rsidR="007709BF" w:rsidRPr="00D0161E">
        <w:rPr>
          <w:color w:val="000000" w:themeColor="text1"/>
        </w:rPr>
        <w:t>: susceptible New Orleans, resistant Cayman)</w:t>
      </w:r>
      <w:r w:rsidR="00C43283" w:rsidRPr="00D0161E">
        <w:rPr>
          <w:color w:val="000000" w:themeColor="text1"/>
        </w:rPr>
        <w:t xml:space="preserve"> </w:t>
      </w:r>
      <w:r w:rsidR="00BD1AEC" w:rsidRPr="00D0161E">
        <w:rPr>
          <w:color w:val="000000" w:themeColor="text1"/>
        </w:rPr>
        <w:fldChar w:fldCharType="begin" w:fldLock="1"/>
      </w:r>
      <w:r w:rsidR="00B63A44">
        <w:rPr>
          <w:color w:val="000000" w:themeColor="text1"/>
        </w:rPr>
        <w:instrText>ADDIN CSL_CITATION {"citationItems":[{"id":"ITEM-1","itemData":{"DOI":"10.1186/s13071-019-3774-3","ISSN":"17563305","abstract":"© 2019 The Author(s). Background: Insecticides formulated into products that target Anopheles mosquitos have had an immense impact on reducing malaria cases in Africa. However, resistance to currently used insecticides is spreading rapidly and there is an urgent need for alternative public health insecticides. Potential new insecticides must be screened against a range of characterized mosquito strains to identify potential resistance liabilities. The Liverpool School of Tropical Medicine maintains three susceptible and four resistant Anopheles strains that are widely used for screening for new insecticides. The properties of these strains are described in this paper. Methods: WHO tube susceptibility bioassays were used for colony selection and to screen for resistance to the major classes of public health insecticides. Topical and tarsal contact bioassays were used to produce dose response curves to assess resistance intensity. Bioassays with the synergist piperonyl butoxide were also performed. Taqman™ assays were used to screen for known target site resistance alleles (kdr and ace-1). RT-qPCR was used to quantify expression of genes associated with pyrethroid resistance. Results: Pyrethroid selection pressure has maintained resistance to this class in all four resistant strains. Some carbamate and organophosphate resistance has been lost through lack of exposure to these insecticide classes. The Anopheles gambiae (sensu lato) strains, VK7 2014, Banfora M and Tiassalé 13 have higher levels of pyrethroid resistance than the An. funestus FUMOZ-R strain. Elevated expression of P450s is found in all four strains and the 1014F kdr mutation is present in all three An. gambiae strains at varying frequencies. Tarsal contact data and overexpression of CYP4G16 and SAP2 suggest penetration barriers and/or sequestration also confer resistance in Banfora M. Conclusions: Continual selection with deltamethrin has maintained a stable pyrethroid-resistant phenotype over many generations. In conjunction with a standardized rearing regime, this ensures quality control of strains over time allowing for robust product comparison and selection of optimal products for further development. The identification of multiple mechanisms underpinning insecticide resistance highlights the importance of screening new compounds against a range of mosquito strains.[Figure not available: see fulltext.].","author":[{"dropping-particle":"","family":"Williams","given":"J.","non-dropping-particle":"","parse-names":false,"suffix":""},{"dropping-particle":"","family":"Flood","given":"L.","non-dropping-particle":"","parse-names":false,"suffix":""},{"dropping-particle":"","family":"Praulins","given":"G.","non-dropping-particle":"","parse-names":false,"suffix":""},{"dropping-particle":"","family":"Ingham","given":"V.A.","non-dropping-particle":"","parse-names":false,"suffix":""},{"dropping-particle":"","family":"Morgan","given":"J.","non-dropping-particle":"","parse-names":false,"suffix":""},{"dropping-particle":"","family":"Lees","given":"R.S.","non-dropping-particle":"","parse-names":false,"suffix":""},{"dropping-particle":"","family":"Ranson","given":"H.","non-dropping-particle":"","parse-names":false,"suffix":""}],"container-title":"Parasites and Vectors","id":"ITEM-1","issue":"1","issued":{"date-parts":[["2019"]]},"title":"Characterisation of Anopheles strains used for laboratory screening of new vector control products","type":"article-journal","volume":"12"},"uris":["http://www.mendeley.com/documents/?uuid=b4c30973-fef7-31f5-ab2e-cc509fa7a053"]}],"mendeley":{"formattedCitation":"[10]","plainTextFormattedCitation":"[10]","previouslyFormattedCitation":"[10]"},"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[10]</w:t>
      </w:r>
      <w:r w:rsidR="00BD1AEC" w:rsidRPr="00D0161E">
        <w:rPr>
          <w:color w:val="000000" w:themeColor="text1"/>
        </w:rPr>
        <w:fldChar w:fldCharType="end"/>
      </w:r>
      <w:r w:rsidR="00C43283" w:rsidRPr="00D0161E">
        <w:rPr>
          <w:color w:val="000000" w:themeColor="text1"/>
        </w:rPr>
        <w:t xml:space="preserve">. </w:t>
      </w:r>
      <w:r w:rsidR="00C00B4A" w:rsidRPr="00D0161E">
        <w:rPr>
          <w:color w:val="000000" w:themeColor="text1"/>
        </w:rPr>
        <w:t xml:space="preserve">Solutions of </w:t>
      </w:r>
      <w:proofErr w:type="spellStart"/>
      <w:r w:rsidR="00D54567" w:rsidRPr="00D54567">
        <w:rPr>
          <w:color w:val="000000" w:themeColor="text1"/>
        </w:rPr>
        <w:t>Tenebenal</w:t>
      </w:r>
      <w:r w:rsidR="007556AB" w:rsidRPr="00D0161E">
        <w:rPr>
          <w:color w:val="000000" w:themeColor="text1"/>
          <w:vertAlign w:val="superscript"/>
        </w:rPr>
        <w:t>TM</w:t>
      </w:r>
      <w:proofErr w:type="spellEnd"/>
      <w:r w:rsidR="00C00B4A" w:rsidRPr="00D0161E">
        <w:rPr>
          <w:color w:val="000000" w:themeColor="text1"/>
        </w:rPr>
        <w:t xml:space="preserve"> were made up in acetone in a </w:t>
      </w:r>
      <w:r w:rsidR="00AA1697">
        <w:rPr>
          <w:color w:val="000000" w:themeColor="text1"/>
        </w:rPr>
        <w:t>10</w:t>
      </w:r>
      <w:r w:rsidR="00C00B4A" w:rsidRPr="00D0161E">
        <w:rPr>
          <w:color w:val="000000" w:themeColor="text1"/>
        </w:rPr>
        <w:t>-fold dilution</w:t>
      </w:r>
      <w:r w:rsidR="004B50D5" w:rsidRPr="00D0161E">
        <w:rPr>
          <w:color w:val="000000" w:themeColor="text1"/>
        </w:rPr>
        <w:t xml:space="preserve"> series</w:t>
      </w:r>
      <w:r w:rsidR="00C00B4A" w:rsidRPr="00D0161E">
        <w:rPr>
          <w:color w:val="000000" w:themeColor="text1"/>
        </w:rPr>
        <w:t xml:space="preserve"> from 1 to 0.00001%.  </w:t>
      </w:r>
      <w:r w:rsidR="0067689C" w:rsidRPr="00D0161E">
        <w:rPr>
          <w:color w:val="000000" w:themeColor="text1"/>
        </w:rPr>
        <w:t xml:space="preserve">An aliquot of </w:t>
      </w:r>
      <w:r w:rsidR="00DA055C" w:rsidRPr="00D0161E">
        <w:rPr>
          <w:color w:val="000000" w:themeColor="text1"/>
        </w:rPr>
        <w:t>0.66 ml of each solution was added to 0.66</w:t>
      </w:r>
      <w:r w:rsidR="00AA1697">
        <w:rPr>
          <w:color w:val="000000" w:themeColor="text1"/>
        </w:rPr>
        <w:t xml:space="preserve"> </w:t>
      </w:r>
      <w:r w:rsidR="00DA055C" w:rsidRPr="00D0161E">
        <w:rPr>
          <w:color w:val="000000" w:themeColor="text1"/>
        </w:rPr>
        <w:t xml:space="preserve">ml of a carrier oil (Dow Corning 556 cosmetic grade fluid, </w:t>
      </w:r>
      <w:proofErr w:type="spellStart"/>
      <w:r w:rsidR="00DA055C" w:rsidRPr="00D0161E">
        <w:rPr>
          <w:color w:val="000000" w:themeColor="text1"/>
        </w:rPr>
        <w:t>Azelis</w:t>
      </w:r>
      <w:proofErr w:type="spellEnd"/>
      <w:r w:rsidR="00DA055C" w:rsidRPr="00D0161E">
        <w:rPr>
          <w:color w:val="000000" w:themeColor="text1"/>
        </w:rPr>
        <w:t xml:space="preserve"> UK Life Sciences Ltd, Hertford, UK) and 0.66</w:t>
      </w:r>
      <w:r w:rsidR="00AA1697">
        <w:rPr>
          <w:color w:val="000000" w:themeColor="text1"/>
        </w:rPr>
        <w:t xml:space="preserve"> </w:t>
      </w:r>
      <w:r w:rsidR="00DA055C" w:rsidRPr="00D0161E">
        <w:rPr>
          <w:color w:val="000000" w:themeColor="text1"/>
        </w:rPr>
        <w:t>ml of additional acetone</w:t>
      </w:r>
      <w:r w:rsidR="00571028" w:rsidRPr="00D0161E">
        <w:rPr>
          <w:color w:val="000000" w:themeColor="text1"/>
        </w:rPr>
        <w:t xml:space="preserve">. </w:t>
      </w:r>
      <w:bookmarkStart w:id="11" w:name="_Hlk50392179"/>
      <w:r w:rsidR="006451A6" w:rsidRPr="00D0161E">
        <w:rPr>
          <w:color w:val="000000" w:themeColor="text1"/>
        </w:rPr>
        <w:t>Using a pipette with a disposable tip</w:t>
      </w:r>
      <w:r w:rsidR="00AA1697">
        <w:rPr>
          <w:color w:val="000000" w:themeColor="text1"/>
        </w:rPr>
        <w:t>,</w:t>
      </w:r>
      <w:r w:rsidR="006451A6" w:rsidRPr="00D0161E">
        <w:rPr>
          <w:color w:val="000000" w:themeColor="text1"/>
        </w:rPr>
        <w:t xml:space="preserve"> the resulting 1.98</w:t>
      </w:r>
      <w:r w:rsidR="00AA1697">
        <w:rPr>
          <w:color w:val="000000" w:themeColor="text1"/>
        </w:rPr>
        <w:t xml:space="preserve"> </w:t>
      </w:r>
      <w:r w:rsidR="006451A6" w:rsidRPr="00D0161E">
        <w:rPr>
          <w:color w:val="000000" w:themeColor="text1"/>
        </w:rPr>
        <w:t>ml of mixture was dripped carefully onto each 12</w:t>
      </w:r>
      <w:r w:rsidR="00AA1697">
        <w:rPr>
          <w:color w:val="000000" w:themeColor="text1"/>
        </w:rPr>
        <w:t xml:space="preserve"> </w:t>
      </w:r>
      <w:r w:rsidR="006451A6" w:rsidRPr="00D0161E">
        <w:rPr>
          <w:color w:val="000000" w:themeColor="text1"/>
        </w:rPr>
        <w:t>cm x 15</w:t>
      </w:r>
      <w:r w:rsidR="00AA1697">
        <w:rPr>
          <w:color w:val="000000" w:themeColor="text1"/>
        </w:rPr>
        <w:t xml:space="preserve"> </w:t>
      </w:r>
      <w:r w:rsidR="006451A6" w:rsidRPr="00D0161E">
        <w:rPr>
          <w:color w:val="000000" w:themeColor="text1"/>
        </w:rPr>
        <w:t xml:space="preserve">cm filter paper </w:t>
      </w:r>
      <w:r w:rsidR="00571028" w:rsidRPr="00D0161E">
        <w:rPr>
          <w:color w:val="000000" w:themeColor="text1"/>
        </w:rPr>
        <w:t>(Whatman</w:t>
      </w:r>
      <w:r w:rsidR="00770C8E" w:rsidRPr="00D0161E">
        <w:rPr>
          <w:color w:val="000000" w:themeColor="text1"/>
        </w:rPr>
        <w:t>®</w:t>
      </w:r>
      <w:r w:rsidR="00571028" w:rsidRPr="00D0161E">
        <w:rPr>
          <w:color w:val="000000" w:themeColor="text1"/>
        </w:rPr>
        <w:t xml:space="preserve"> Grade 1)</w:t>
      </w:r>
      <w:r w:rsidR="006451A6" w:rsidRPr="00D0161E">
        <w:rPr>
          <w:color w:val="000000" w:themeColor="text1"/>
        </w:rPr>
        <w:t xml:space="preserve"> , trying to cover the paper as evenly as possible</w:t>
      </w:r>
      <w:r w:rsidR="003B46E3" w:rsidRPr="00D0161E">
        <w:rPr>
          <w:color w:val="000000" w:themeColor="text1"/>
        </w:rPr>
        <w:t xml:space="preserve">, </w:t>
      </w:r>
      <w:r w:rsidR="006451A6" w:rsidRPr="00D0161E">
        <w:rPr>
          <w:color w:val="000000" w:themeColor="text1"/>
        </w:rPr>
        <w:t>to give</w:t>
      </w:r>
      <w:r w:rsidR="003B46E3" w:rsidRPr="00D0161E">
        <w:rPr>
          <w:color w:val="000000" w:themeColor="text1"/>
        </w:rPr>
        <w:t xml:space="preserve"> a </w:t>
      </w:r>
      <w:r w:rsidR="00AA1697">
        <w:rPr>
          <w:color w:val="000000" w:themeColor="text1"/>
        </w:rPr>
        <w:t>10</w:t>
      </w:r>
      <w:r w:rsidR="003B46E3" w:rsidRPr="00D0161E">
        <w:rPr>
          <w:color w:val="000000" w:themeColor="text1"/>
        </w:rPr>
        <w:t>-fold dilution series from 366.66 to 0.0036 mg/</w:t>
      </w:r>
      <w:proofErr w:type="spellStart"/>
      <w:r w:rsidR="00AA1697">
        <w:rPr>
          <w:color w:val="000000" w:themeColor="text1"/>
        </w:rPr>
        <w:t>sq</w:t>
      </w:r>
      <w:proofErr w:type="spellEnd"/>
      <w:r w:rsidR="00AA1697">
        <w:rPr>
          <w:color w:val="000000" w:themeColor="text1"/>
        </w:rPr>
        <w:t xml:space="preserve"> </w:t>
      </w:r>
      <w:r w:rsidR="003B46E3" w:rsidRPr="00D0161E">
        <w:rPr>
          <w:color w:val="000000" w:themeColor="text1"/>
        </w:rPr>
        <w:t>m.</w:t>
      </w:r>
      <w:bookmarkEnd w:id="11"/>
      <w:r w:rsidR="003B46E3" w:rsidRPr="00D0161E">
        <w:rPr>
          <w:color w:val="000000" w:themeColor="text1"/>
        </w:rPr>
        <w:t xml:space="preserve"> Papers were</w:t>
      </w:r>
      <w:r w:rsidR="00571028" w:rsidRPr="00D0161E">
        <w:rPr>
          <w:color w:val="000000" w:themeColor="text1"/>
        </w:rPr>
        <w:t xml:space="preserve"> </w:t>
      </w:r>
      <w:r w:rsidR="00770C8E" w:rsidRPr="00D0161E">
        <w:rPr>
          <w:color w:val="000000" w:themeColor="text1"/>
        </w:rPr>
        <w:t>dried</w:t>
      </w:r>
      <w:r w:rsidR="00571028" w:rsidRPr="00D0161E">
        <w:rPr>
          <w:color w:val="000000" w:themeColor="text1"/>
        </w:rPr>
        <w:t xml:space="preserve"> overnight in a fume hood. Treated filter papers were wrapped in aluminium foil and stored at 4</w:t>
      </w:r>
      <w:r w:rsidR="00571028" w:rsidRPr="00D0161E">
        <w:rPr>
          <w:rFonts w:cstheme="minorHAnsi"/>
          <w:color w:val="000000" w:themeColor="text1"/>
        </w:rPr>
        <w:t>˚</w:t>
      </w:r>
      <w:r w:rsidR="00571028" w:rsidRPr="00D0161E">
        <w:rPr>
          <w:color w:val="000000" w:themeColor="text1"/>
        </w:rPr>
        <w:t>C until used for bioassays.</w:t>
      </w:r>
    </w:p>
    <w:p w14:paraId="7D8177B6" w14:textId="77777777" w:rsidR="00C00B4A" w:rsidRPr="00D0161E" w:rsidRDefault="00C00B4A" w:rsidP="00D0161E">
      <w:pPr>
        <w:spacing w:line="480" w:lineRule="auto"/>
        <w:rPr>
          <w:color w:val="000000" w:themeColor="text1"/>
        </w:rPr>
      </w:pPr>
    </w:p>
    <w:p w14:paraId="6ADA7CD3" w14:textId="4BF010E8" w:rsidR="007372E5" w:rsidRPr="00D0161E" w:rsidRDefault="004B50D5" w:rsidP="00D0161E">
      <w:pPr>
        <w:spacing w:line="480" w:lineRule="auto"/>
        <w:rPr>
          <w:color w:val="000000" w:themeColor="text1"/>
        </w:rPr>
      </w:pPr>
      <w:r w:rsidRPr="00D0161E">
        <w:rPr>
          <w:color w:val="000000" w:themeColor="text1"/>
        </w:rPr>
        <w:t xml:space="preserve">Three replicates of </w:t>
      </w:r>
      <w:r w:rsidR="007372E5" w:rsidRPr="00D0161E">
        <w:rPr>
          <w:color w:val="000000" w:themeColor="text1"/>
        </w:rPr>
        <w:t xml:space="preserve">10 </w:t>
      </w:r>
      <w:r w:rsidR="00770C8E" w:rsidRPr="00D0161E">
        <w:rPr>
          <w:color w:val="000000" w:themeColor="text1"/>
        </w:rPr>
        <w:t xml:space="preserve">adult female </w:t>
      </w:r>
      <w:r w:rsidR="007372E5" w:rsidRPr="00D0161E">
        <w:rPr>
          <w:color w:val="000000" w:themeColor="text1"/>
        </w:rPr>
        <w:t>mosquitoes</w:t>
      </w:r>
      <w:r w:rsidRPr="00D0161E">
        <w:rPr>
          <w:color w:val="000000" w:themeColor="text1"/>
        </w:rPr>
        <w:t xml:space="preserve"> of each </w:t>
      </w:r>
      <w:r w:rsidR="00994C95" w:rsidRPr="00D0161E">
        <w:rPr>
          <w:color w:val="000000" w:themeColor="text1"/>
        </w:rPr>
        <w:t>strain</w:t>
      </w:r>
      <w:r w:rsidRPr="00D0161E">
        <w:rPr>
          <w:color w:val="000000" w:themeColor="text1"/>
        </w:rPr>
        <w:t xml:space="preserve"> were exposed to each filter paper</w:t>
      </w:r>
      <w:r w:rsidR="00A05500" w:rsidRPr="00D0161E">
        <w:rPr>
          <w:color w:val="000000" w:themeColor="text1"/>
        </w:rPr>
        <w:t xml:space="preserve"> for 60 min</w:t>
      </w:r>
      <w:r w:rsidRPr="00D0161E">
        <w:rPr>
          <w:color w:val="000000" w:themeColor="text1"/>
        </w:rPr>
        <w:t xml:space="preserve"> </w:t>
      </w:r>
      <w:r w:rsidR="00582B85" w:rsidRPr="00D0161E">
        <w:rPr>
          <w:color w:val="000000" w:themeColor="text1"/>
        </w:rPr>
        <w:t>using the</w:t>
      </w:r>
      <w:r w:rsidR="007709BF" w:rsidRPr="00D0161E">
        <w:rPr>
          <w:color w:val="000000" w:themeColor="text1"/>
        </w:rPr>
        <w:t xml:space="preserve"> World Health Organi</w:t>
      </w:r>
      <w:r w:rsidR="00AA1697">
        <w:rPr>
          <w:color w:val="000000" w:themeColor="text1"/>
        </w:rPr>
        <w:t>z</w:t>
      </w:r>
      <w:r w:rsidR="007709BF" w:rsidRPr="00D0161E">
        <w:rPr>
          <w:color w:val="000000" w:themeColor="text1"/>
        </w:rPr>
        <w:t>ation (WHO)</w:t>
      </w:r>
      <w:r w:rsidR="00582B85" w:rsidRPr="00D0161E">
        <w:rPr>
          <w:color w:val="000000" w:themeColor="text1"/>
        </w:rPr>
        <w:t xml:space="preserve"> standard </w:t>
      </w:r>
      <w:r w:rsidR="00770C8E" w:rsidRPr="00D0161E">
        <w:rPr>
          <w:color w:val="000000" w:themeColor="text1"/>
        </w:rPr>
        <w:t xml:space="preserve">susceptibility </w:t>
      </w:r>
      <w:r w:rsidR="00582B85" w:rsidRPr="00D0161E">
        <w:rPr>
          <w:color w:val="000000" w:themeColor="text1"/>
        </w:rPr>
        <w:t xml:space="preserve">test method </w:t>
      </w:r>
      <w:r w:rsidR="00BD1AEC" w:rsidRPr="00D0161E">
        <w:rPr>
          <w:color w:val="000000" w:themeColor="text1"/>
        </w:rPr>
        <w:fldChar w:fldCharType="begin" w:fldLock="1"/>
      </w:r>
      <w:r w:rsidR="00B63A44">
        <w:rPr>
          <w:color w:val="000000" w:themeColor="text1"/>
        </w:rPr>
        <w:instrText>ADDIN CSL_CITATION {"citationItems":[{"id":"ITEM-1","itemData":{"DOI":"10.1007/978-3-642-10565-4","ISBN":"9783642105654","ISSN":"924150515X","author":[{"dropping-particle":"","family":"WHO","given":"","non-dropping-particle":"","parse-names":false,"suffix":""}],"id":"ITEM-1","issued":{"date-parts":[["2016"]]},"publisher":"World Health Organization","publisher-place":"Geneva","title":"Test procedures for insecticide resistance monitoring in malaria vector mosquitoes","type":"book"},"uris":["http://www.mendeley.com/documents/?uuid=146dd1f5-95f5-3212-bce2-1bf5f4fbdc30"]}],"mendeley":{"formattedCitation":"[14]","plainTextFormattedCitation":"[14]","previouslyFormattedCitation":"[14]"},"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[14]</w:t>
      </w:r>
      <w:r w:rsidR="00BD1AEC" w:rsidRPr="00D0161E">
        <w:rPr>
          <w:color w:val="000000" w:themeColor="text1"/>
        </w:rPr>
        <w:fldChar w:fldCharType="end"/>
      </w:r>
      <w:r w:rsidR="00A05500" w:rsidRPr="00D0161E">
        <w:rPr>
          <w:color w:val="000000" w:themeColor="text1"/>
        </w:rPr>
        <w:t>, with parallel exposures to a</w:t>
      </w:r>
      <w:r w:rsidR="007709BF" w:rsidRPr="00D0161E">
        <w:rPr>
          <w:color w:val="000000" w:themeColor="text1"/>
        </w:rPr>
        <w:t>n untreated</w:t>
      </w:r>
      <w:r w:rsidR="00A05500" w:rsidRPr="00D0161E">
        <w:rPr>
          <w:color w:val="000000" w:themeColor="text1"/>
        </w:rPr>
        <w:t xml:space="preserve"> </w:t>
      </w:r>
      <w:r w:rsidR="009E4314" w:rsidRPr="00D0161E">
        <w:rPr>
          <w:color w:val="000000" w:themeColor="text1"/>
        </w:rPr>
        <w:t>paper</w:t>
      </w:r>
      <w:r w:rsidR="00A05500" w:rsidRPr="00D0161E">
        <w:rPr>
          <w:color w:val="000000" w:themeColor="text1"/>
        </w:rPr>
        <w:t xml:space="preserve"> and 0.01, 0.1 and 1% etofenprox and deltamethrin </w:t>
      </w:r>
      <w:r w:rsidR="009E4314" w:rsidRPr="00D0161E">
        <w:rPr>
          <w:color w:val="000000" w:themeColor="text1"/>
        </w:rPr>
        <w:t>papers</w:t>
      </w:r>
      <w:r w:rsidR="00A05500" w:rsidRPr="00D0161E">
        <w:rPr>
          <w:color w:val="000000" w:themeColor="text1"/>
        </w:rPr>
        <w:t xml:space="preserve"> as </w:t>
      </w:r>
      <w:r w:rsidR="00770C8E" w:rsidRPr="00D0161E">
        <w:rPr>
          <w:color w:val="000000" w:themeColor="text1"/>
        </w:rPr>
        <w:t>reference treatments</w:t>
      </w:r>
      <w:r w:rsidR="00A05500" w:rsidRPr="00D0161E">
        <w:rPr>
          <w:color w:val="000000" w:themeColor="text1"/>
        </w:rPr>
        <w:t xml:space="preserve">. </w:t>
      </w:r>
      <w:r w:rsidR="00582169" w:rsidRPr="00D0161E">
        <w:rPr>
          <w:color w:val="000000" w:themeColor="text1"/>
        </w:rPr>
        <w:t>After exposure</w:t>
      </w:r>
      <w:r w:rsidR="00770C8E" w:rsidRPr="00D0161E">
        <w:rPr>
          <w:color w:val="000000" w:themeColor="text1"/>
        </w:rPr>
        <w:t>,</w:t>
      </w:r>
      <w:r w:rsidR="00582169" w:rsidRPr="00D0161E">
        <w:rPr>
          <w:color w:val="000000" w:themeColor="text1"/>
        </w:rPr>
        <w:t xml:space="preserve"> mosquitoes were held as for the topical application assay and scored for </w:t>
      </w:r>
      <w:r w:rsidR="00AA1697">
        <w:rPr>
          <w:color w:val="000000" w:themeColor="text1"/>
        </w:rPr>
        <w:t>KD</w:t>
      </w:r>
      <w:r w:rsidR="00582169" w:rsidRPr="00D0161E">
        <w:rPr>
          <w:color w:val="000000" w:themeColor="text1"/>
        </w:rPr>
        <w:t xml:space="preserve"> </w:t>
      </w:r>
      <w:r w:rsidR="00314CF5" w:rsidRPr="00D0161E">
        <w:rPr>
          <w:color w:val="000000" w:themeColor="text1"/>
        </w:rPr>
        <w:t>(</w:t>
      </w:r>
      <w:proofErr w:type="gramStart"/>
      <w:r w:rsidR="00314CF5" w:rsidRPr="00D0161E">
        <w:rPr>
          <w:color w:val="000000" w:themeColor="text1"/>
        </w:rPr>
        <w:t>1 hour</w:t>
      </w:r>
      <w:proofErr w:type="gramEnd"/>
      <w:r w:rsidR="00314CF5" w:rsidRPr="00D0161E">
        <w:rPr>
          <w:color w:val="000000" w:themeColor="text1"/>
        </w:rPr>
        <w:t xml:space="preserve"> post-exposure) and mortality (24, 48 and 72 hours post-exposure)</w:t>
      </w:r>
      <w:r w:rsidR="00582169" w:rsidRPr="00D0161E">
        <w:rPr>
          <w:color w:val="000000" w:themeColor="text1"/>
        </w:rPr>
        <w:t>.</w:t>
      </w:r>
    </w:p>
    <w:p w14:paraId="5AF39739" w14:textId="77777777" w:rsidR="00B72EB8" w:rsidRPr="00D0161E" w:rsidRDefault="00B72EB8" w:rsidP="00D0161E">
      <w:pPr>
        <w:spacing w:line="480" w:lineRule="auto"/>
        <w:rPr>
          <w:color w:val="000000" w:themeColor="text1"/>
        </w:rPr>
      </w:pPr>
    </w:p>
    <w:p w14:paraId="4DFD4730" w14:textId="55FF2560" w:rsidR="00B72EB8"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 xml:space="preserve">Determining the </w:t>
      </w:r>
      <w:r w:rsidR="00AA1697">
        <w:rPr>
          <w:rFonts w:ascii="Times New Roman" w:hAnsi="Times New Roman"/>
          <w:b/>
          <w:i w:val="0"/>
          <w:color w:val="000000" w:themeColor="text1"/>
          <w:sz w:val="24"/>
        </w:rPr>
        <w:t>d</w:t>
      </w:r>
      <w:r w:rsidRPr="00025A3F">
        <w:rPr>
          <w:rFonts w:ascii="Times New Roman" w:hAnsi="Times New Roman"/>
          <w:b/>
          <w:i w:val="0"/>
          <w:color w:val="000000" w:themeColor="text1"/>
          <w:sz w:val="24"/>
        </w:rPr>
        <w:t xml:space="preserve">iscriminating </w:t>
      </w:r>
      <w:r w:rsidR="00AA1697">
        <w:rPr>
          <w:rFonts w:ascii="Times New Roman" w:hAnsi="Times New Roman"/>
          <w:b/>
          <w:i w:val="0"/>
          <w:color w:val="000000" w:themeColor="text1"/>
          <w:sz w:val="24"/>
        </w:rPr>
        <w:t>d</w:t>
      </w:r>
      <w:r w:rsidRPr="00025A3F">
        <w:rPr>
          <w:rFonts w:ascii="Times New Roman" w:hAnsi="Times New Roman"/>
          <w:b/>
          <w:i w:val="0"/>
          <w:color w:val="000000" w:themeColor="text1"/>
          <w:sz w:val="24"/>
        </w:rPr>
        <w:t xml:space="preserve">ose </w:t>
      </w:r>
    </w:p>
    <w:p w14:paraId="08A0E258" w14:textId="0E8FE555" w:rsidR="00B72EB8" w:rsidRPr="00D0161E" w:rsidRDefault="00B72EB8" w:rsidP="00D0161E">
      <w:pPr>
        <w:spacing w:line="480" w:lineRule="auto"/>
        <w:rPr>
          <w:color w:val="000000" w:themeColor="text1"/>
        </w:rPr>
      </w:pPr>
      <w:r w:rsidRPr="00D0161E">
        <w:rPr>
          <w:color w:val="000000" w:themeColor="text1"/>
        </w:rPr>
        <w:t xml:space="preserve">The discriminating dose of </w:t>
      </w:r>
      <w:proofErr w:type="spellStart"/>
      <w:r w:rsidR="00D54567" w:rsidRPr="00D54567">
        <w:rPr>
          <w:color w:val="000000" w:themeColor="text1"/>
        </w:rPr>
        <w:t>Tenebenal</w:t>
      </w:r>
      <w:r w:rsidR="007556AB" w:rsidRPr="00D0161E">
        <w:rPr>
          <w:color w:val="000000" w:themeColor="text1"/>
          <w:vertAlign w:val="superscript"/>
        </w:rPr>
        <w:t>TM</w:t>
      </w:r>
      <w:proofErr w:type="spellEnd"/>
      <w:r w:rsidRPr="00D0161E">
        <w:rPr>
          <w:color w:val="000000" w:themeColor="text1"/>
        </w:rPr>
        <w:t xml:space="preserve"> </w:t>
      </w:r>
      <w:r w:rsidR="00215C54" w:rsidRPr="00D0161E">
        <w:rPr>
          <w:color w:val="000000" w:themeColor="text1"/>
        </w:rPr>
        <w:t xml:space="preserve">against the susceptible reference strain Kisumu </w:t>
      </w:r>
      <w:r w:rsidRPr="00D0161E">
        <w:rPr>
          <w:color w:val="000000" w:themeColor="text1"/>
        </w:rPr>
        <w:t xml:space="preserve">was determined </w:t>
      </w:r>
      <w:r w:rsidR="00770C8E" w:rsidRPr="00D0161E">
        <w:rPr>
          <w:color w:val="000000" w:themeColor="text1"/>
        </w:rPr>
        <w:t>to assess</w:t>
      </w:r>
      <w:r w:rsidRPr="00D0161E">
        <w:rPr>
          <w:color w:val="000000" w:themeColor="text1"/>
        </w:rPr>
        <w:t xml:space="preserve"> its potency relative to other insecticides, and to provide </w:t>
      </w:r>
      <w:r w:rsidR="00314CF5" w:rsidRPr="00D0161E">
        <w:rPr>
          <w:color w:val="000000" w:themeColor="text1"/>
        </w:rPr>
        <w:t xml:space="preserve">a </w:t>
      </w:r>
      <w:r w:rsidRPr="00D0161E">
        <w:rPr>
          <w:color w:val="000000" w:themeColor="text1"/>
        </w:rPr>
        <w:t xml:space="preserve">dose that can be used to screen field populations for resistance. </w:t>
      </w:r>
      <w:r w:rsidR="00BE1684">
        <w:rPr>
          <w:color w:val="000000" w:themeColor="text1"/>
        </w:rPr>
        <w:t>T</w:t>
      </w:r>
      <w:r w:rsidRPr="00D0161E">
        <w:rPr>
          <w:color w:val="000000" w:themeColor="text1"/>
        </w:rPr>
        <w:t>he discriminating dose (DD)</w:t>
      </w:r>
      <w:r w:rsidR="00BE1684">
        <w:rPr>
          <w:color w:val="000000" w:themeColor="text1"/>
        </w:rPr>
        <w:t xml:space="preserve"> is defined</w:t>
      </w:r>
      <w:r w:rsidRPr="00D0161E">
        <w:rPr>
          <w:color w:val="000000" w:themeColor="text1"/>
        </w:rPr>
        <w:t xml:space="preserve"> as the LC</w:t>
      </w:r>
      <w:r w:rsidRPr="00D0161E">
        <w:rPr>
          <w:color w:val="000000" w:themeColor="text1"/>
          <w:vertAlign w:val="subscript"/>
        </w:rPr>
        <w:t>95</w:t>
      </w:r>
      <w:r w:rsidRPr="00D0161E">
        <w:rPr>
          <w:color w:val="000000" w:themeColor="text1"/>
        </w:rPr>
        <w:t xml:space="preserve"> multiplied by 3 </w:t>
      </w:r>
      <w:r w:rsidR="00BD1AEC" w:rsidRPr="00D0161E">
        <w:rPr>
          <w:color w:val="000000" w:themeColor="text1"/>
        </w:rPr>
        <w:fldChar w:fldCharType="begin" w:fldLock="1"/>
      </w:r>
      <w:r w:rsidR="00B63A44">
        <w:rPr>
          <w:color w:val="000000" w:themeColor="text1"/>
        </w:rPr>
        <w:instrText>ADDIN CSL_CITATION {"citationItems":[{"id":"ITEM-1","itemData":{"DOI":"10.12688/gatesopenres.12957.2","ISSN":"25724754","abstract":"Background: With insecticide resistance in malaria vectors spreading in geographical range and intensity, there is a need for compounds with novel modes of action to maintain the successes achieved to date by long-lasting insecticidal nets and indoor residual sprays, used as part of an insecticide resistance management strategy. Screening existing registered pesticides, predominantly those developed for use in agriculture, may provide a more rapid and less logistically challenging route to identifying active ingredients of value to public health than screening and chemical synthesis programmes for novel compounds. Methods: Insecticides and acaricides from all IRAC classes, including those with unclassified modes of action, were assessed for inclusion in a laboratory bioassay testing cascade against adult female Anopheles gambiae mosquitoes. A longlist of representative candidate compounds was selected, excluding those with safety concerns, unsuitable physiochemical properties, and likely hurdles to registration for public health use. An initial screen using topical application eliminated compounds with insufficient intrinsic activity, and a tarsal contact assay identified those with activity at an appropriate concentration. Compounds of interest were ranked by relative potency using dose response assays and discriminating dose calculations. Results: Inclusion of an adjuvant enhanced the tarsal efficacy of several compounds, facilitating the promotion of chemistries with great potential, given suitable formulation, which would not progress based on activity of compound alone. Comparison of data between stages in the testing cascade suggest that a more streamlined approach, topical application to test for intrinsic activity and determining the discriminating dose to compare relative potency of compounds, may be sufficient to identify compounds with potential value for use in long lasting insecticidal nets and indoor residual spray products. Conclusions: Identified were 11 compounds of interest as vector control agents (in descending order of potency): clothianidin, spinetoram, metaflumizone, dinotefuran, indoxacarb, abamectin, sulfoxaflor, oxazosulfyl, triflumezopyrim, fenpyroximate, and tolfenpyrad.","author":[{"dropping-particle":"","family":"Lees","given":"Rosemary","non-dropping-particle":"","parse-names":false,"suffix":""},{"dropping-particle":"","family":"Praulins","given":"Giorgio","non-dropping-particle":"","parse-names":false,"suffix":""},{"dropping-particle":"","family":"Davies","given":"Rachel","non-dropping-particle":"","parse-names":false,"suffix":""},{"dropping-particle":"","family":"Brown","given":"Faye","non-dropping-particle":"","parse-names":false,"suffix":""},{"dropping-particle":"","family":"Parsons","given":"George","non-dropping-particle":"","parse-names":false,"suffix":""},{"dropping-particle":"","family":"White","given":"Anthony","non-dropping-particle":"","parse-names":false,"suffix":""},{"dropping-particle":"","family":"Ranson","given":"Hilary","non-dropping-particle":"","parse-names":false,"suffix":""},{"dropping-particle":"","family":"Small","given":"Graham","non-dropping-particle":"","parse-names":false,"suffix":""},{"dropping-particle":"","family":"Malone","given":"David","non-dropping-particle":"","parse-names":false,"suffix":""}],"container-title":"Gates Open Research","id":"ITEM-1","issued":{"date-parts":[["2019"]]},"page":"1464","title":"A testing cascade to identify repurposed insecticides for next-generation vector control tools: Screening a panel of chemistries with novel modes of action against a malaria vector","type":"article-journal","volume":"3"},"uris":["http://www.mendeley.com/documents/?uuid=1acd47f2-bf5d-4856-8545-3d50c29f821a"]}],"mendeley":{"formattedCitation":"[15]","plainTextFormattedCitation":"[15]","previouslyFormattedCitation":"[15]"},"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[15]</w:t>
      </w:r>
      <w:r w:rsidR="00BD1AEC" w:rsidRPr="00D0161E">
        <w:rPr>
          <w:color w:val="000000" w:themeColor="text1"/>
        </w:rPr>
        <w:fldChar w:fldCharType="end"/>
      </w:r>
      <w:r w:rsidRPr="00D0161E">
        <w:rPr>
          <w:color w:val="000000" w:themeColor="text1"/>
        </w:rPr>
        <w:t xml:space="preserve">. </w:t>
      </w:r>
      <w:bookmarkStart w:id="12" w:name="_Hlk50132324"/>
      <w:r w:rsidR="00770C8E" w:rsidRPr="00D0161E">
        <w:rPr>
          <w:color w:val="000000" w:themeColor="text1"/>
        </w:rPr>
        <w:t>T</w:t>
      </w:r>
      <w:r w:rsidRPr="00D0161E">
        <w:rPr>
          <w:color w:val="000000" w:themeColor="text1"/>
        </w:rPr>
        <w:t xml:space="preserve">o </w:t>
      </w:r>
      <w:r w:rsidR="00770C8E" w:rsidRPr="00D0161E">
        <w:rPr>
          <w:color w:val="000000" w:themeColor="text1"/>
        </w:rPr>
        <w:t xml:space="preserve">determine </w:t>
      </w:r>
      <w:r w:rsidRPr="00D0161E">
        <w:rPr>
          <w:color w:val="000000" w:themeColor="text1"/>
        </w:rPr>
        <w:t>the LC</w:t>
      </w:r>
      <w:r w:rsidRPr="00D0161E">
        <w:rPr>
          <w:color w:val="000000" w:themeColor="text1"/>
          <w:vertAlign w:val="subscript"/>
        </w:rPr>
        <w:t>95</w:t>
      </w:r>
      <w:r w:rsidRPr="00D0161E">
        <w:rPr>
          <w:color w:val="000000" w:themeColor="text1"/>
        </w:rPr>
        <w:t xml:space="preserve"> for </w:t>
      </w:r>
      <w:proofErr w:type="spellStart"/>
      <w:r w:rsidR="00D54567" w:rsidRPr="00D54567">
        <w:rPr>
          <w:color w:val="000000" w:themeColor="text1"/>
        </w:rPr>
        <w:t>Tenebenal</w:t>
      </w:r>
      <w:r w:rsidR="007556AB" w:rsidRPr="00D0161E">
        <w:rPr>
          <w:color w:val="000000" w:themeColor="text1"/>
          <w:vertAlign w:val="superscript"/>
        </w:rPr>
        <w:t>TM</w:t>
      </w:r>
      <w:proofErr w:type="spellEnd"/>
      <w:r w:rsidRPr="00D0161E">
        <w:rPr>
          <w:color w:val="000000" w:themeColor="text1"/>
        </w:rPr>
        <w:t xml:space="preserve">, the CDC bottle bioassay </w:t>
      </w:r>
      <w:r w:rsidR="00B63A44">
        <w:rPr>
          <w:color w:val="000000" w:themeColor="text1"/>
        </w:rPr>
        <w:fldChar w:fldCharType="begin" w:fldLock="1"/>
      </w:r>
      <w:r w:rsidR="00B63A44">
        <w:rPr>
          <w:color w:val="000000" w:themeColor="text1"/>
        </w:rPr>
        <w:instrText>ADDIN CSL_CITATION {"citationItems":[{"id":"ITEM-1","itemData":{"author":[{"dropping-particle":"","family":"Brogdon","given":"William","non-dropping-particle":"","parse-names":false,"suffix":""},{"dropping-particle":"","family":"Chan","given":"Adeline","non-dropping-particle":"","parse-names":false,"suffix":""}],"id":"ITEM-1","issued":{"date-parts":[["2010"]]},"publisher-place":"Atlanta","title":"Guideline for Evaluating Insecticide Resistance in Vectors Using the CDC Bottle Bioassay","type":"report"},"uris":["http://www.mendeley.com/documents/?uuid=a45d69d7-13aa-3130-a1de-72c958be0acd"]}],"mendeley":{"formattedCitation":"[16]","plainTextFormattedCitation":"[16]","previouslyFormattedCitation":"[16]"},"properties":{"noteIndex":0},"schema":"https://github.com/citation-style-language/schema/raw/master/csl-citation.json"}</w:instrText>
      </w:r>
      <w:r w:rsidR="00B63A44">
        <w:rPr>
          <w:color w:val="000000" w:themeColor="text1"/>
        </w:rPr>
        <w:fldChar w:fldCharType="separate"/>
      </w:r>
      <w:r w:rsidR="00B63A44" w:rsidRPr="00B63A44">
        <w:rPr>
          <w:noProof/>
          <w:color w:val="000000" w:themeColor="text1"/>
        </w:rPr>
        <w:t>[16]</w:t>
      </w:r>
      <w:r w:rsidR="00B63A44">
        <w:rPr>
          <w:color w:val="000000" w:themeColor="text1"/>
        </w:rPr>
        <w:fldChar w:fldCharType="end"/>
      </w:r>
      <w:r w:rsidRPr="00D0161E">
        <w:rPr>
          <w:color w:val="000000" w:themeColor="text1"/>
        </w:rPr>
        <w:t xml:space="preserve"> was used</w:t>
      </w:r>
      <w:r w:rsidR="00D770E1" w:rsidRPr="00D0161E">
        <w:rPr>
          <w:color w:val="000000" w:themeColor="text1"/>
        </w:rPr>
        <w:t xml:space="preserve"> with some adaptation</w:t>
      </w:r>
      <w:r w:rsidRPr="00D0161E">
        <w:rPr>
          <w:color w:val="000000" w:themeColor="text1"/>
        </w:rPr>
        <w:t xml:space="preserve">. </w:t>
      </w:r>
      <w:bookmarkEnd w:id="12"/>
      <w:r w:rsidRPr="00D0161E">
        <w:rPr>
          <w:color w:val="000000" w:themeColor="text1"/>
        </w:rPr>
        <w:t>Wheaton bottles (250 ml, Fisher Scientific, Loughborough, UK) were coated with 0.01, 0.05, 0.1, 0.25, 0.5, 0.75, 2, 2.5</w:t>
      </w:r>
      <w:r w:rsidR="00AA1697">
        <w:rPr>
          <w:color w:val="000000" w:themeColor="text1"/>
        </w:rPr>
        <w:t>,</w:t>
      </w:r>
      <w:r w:rsidRPr="00D0161E">
        <w:rPr>
          <w:color w:val="000000" w:themeColor="text1"/>
        </w:rPr>
        <w:t xml:space="preserve"> and 5 </w:t>
      </w:r>
      <w:r w:rsidRPr="00D0161E">
        <w:rPr>
          <w:rFonts w:cstheme="minorHAnsi"/>
          <w:color w:val="000000" w:themeColor="text1"/>
        </w:rPr>
        <w:t>µ</w:t>
      </w:r>
      <w:r w:rsidRPr="00D0161E">
        <w:rPr>
          <w:color w:val="000000" w:themeColor="text1"/>
        </w:rPr>
        <w:t xml:space="preserve">g/bottle </w:t>
      </w:r>
      <w:proofErr w:type="spellStart"/>
      <w:r w:rsidR="00D54567" w:rsidRPr="00D54567">
        <w:rPr>
          <w:color w:val="000000" w:themeColor="text1"/>
        </w:rPr>
        <w:t>Tenebenal</w:t>
      </w:r>
      <w:r w:rsidR="007556AB" w:rsidRPr="00D0161E">
        <w:rPr>
          <w:color w:val="000000" w:themeColor="text1"/>
          <w:vertAlign w:val="superscript"/>
        </w:rPr>
        <w:t>TM</w:t>
      </w:r>
      <w:proofErr w:type="spellEnd"/>
      <w:r w:rsidRPr="00D0161E">
        <w:rPr>
          <w:color w:val="000000" w:themeColor="text1"/>
        </w:rPr>
        <w:t xml:space="preserve"> applied </w:t>
      </w:r>
      <w:r w:rsidR="00314CF5" w:rsidRPr="00D0161E">
        <w:rPr>
          <w:color w:val="000000" w:themeColor="text1"/>
        </w:rPr>
        <w:t xml:space="preserve">as a solution </w:t>
      </w:r>
      <w:r w:rsidRPr="00D0161E">
        <w:rPr>
          <w:color w:val="000000" w:themeColor="text1"/>
        </w:rPr>
        <w:t xml:space="preserve">in acetone and allowed to dry overnight at 26±2°C and 70±10% </w:t>
      </w:r>
      <w:r w:rsidR="00064A16" w:rsidRPr="00D0161E">
        <w:rPr>
          <w:color w:val="000000" w:themeColor="text1"/>
        </w:rPr>
        <w:t>RH</w:t>
      </w:r>
      <w:r w:rsidRPr="00D0161E">
        <w:rPr>
          <w:color w:val="000000" w:themeColor="text1"/>
        </w:rPr>
        <w:t xml:space="preserve">. </w:t>
      </w:r>
      <w:bookmarkStart w:id="13" w:name="_Hlk50391763"/>
      <w:bookmarkStart w:id="14" w:name="_Hlk50132251"/>
      <w:r w:rsidR="00E91D27" w:rsidRPr="00D0161E">
        <w:rPr>
          <w:color w:val="000000" w:themeColor="text1"/>
        </w:rPr>
        <w:t>Twenty-five</w:t>
      </w:r>
      <w:r w:rsidRPr="00D0161E">
        <w:rPr>
          <w:color w:val="000000" w:themeColor="text1"/>
        </w:rPr>
        <w:t xml:space="preserve"> female mosquitoes were then exposed </w:t>
      </w:r>
      <w:r w:rsidR="006451A6" w:rsidRPr="00D0161E">
        <w:rPr>
          <w:color w:val="000000" w:themeColor="text1"/>
        </w:rPr>
        <w:t xml:space="preserve">per bottle </w:t>
      </w:r>
      <w:r w:rsidRPr="00D0161E">
        <w:rPr>
          <w:color w:val="000000" w:themeColor="text1"/>
        </w:rPr>
        <w:t xml:space="preserve">for 1 hour </w:t>
      </w:r>
      <w:bookmarkEnd w:id="13"/>
      <w:r w:rsidRPr="00D0161E">
        <w:rPr>
          <w:color w:val="000000" w:themeColor="text1"/>
        </w:rPr>
        <w:t>under the same conditions</w:t>
      </w:r>
      <w:r w:rsidR="00D770E1" w:rsidRPr="00D0161E">
        <w:rPr>
          <w:color w:val="000000" w:themeColor="text1"/>
        </w:rPr>
        <w:t>. A</w:t>
      </w:r>
      <w:r w:rsidRPr="00D0161E">
        <w:rPr>
          <w:color w:val="000000" w:themeColor="text1"/>
        </w:rPr>
        <w:t xml:space="preserve">n acetone-only bottle and a bottle </w:t>
      </w:r>
      <w:r w:rsidR="00064A16" w:rsidRPr="00D0161E">
        <w:rPr>
          <w:color w:val="000000" w:themeColor="text1"/>
        </w:rPr>
        <w:t xml:space="preserve">treated </w:t>
      </w:r>
      <w:r w:rsidRPr="00D0161E">
        <w:rPr>
          <w:color w:val="000000" w:themeColor="text1"/>
        </w:rPr>
        <w:t xml:space="preserve">with 20 µg/bottle permethrin </w:t>
      </w:r>
      <w:r w:rsidR="00064A16" w:rsidRPr="00D0161E">
        <w:rPr>
          <w:color w:val="000000" w:themeColor="text1"/>
        </w:rPr>
        <w:t xml:space="preserve">dissolved </w:t>
      </w:r>
      <w:r w:rsidRPr="00D0161E">
        <w:rPr>
          <w:color w:val="000000" w:themeColor="text1"/>
        </w:rPr>
        <w:t>in acetone</w:t>
      </w:r>
      <w:r w:rsidR="00D770E1" w:rsidRPr="00D0161E">
        <w:rPr>
          <w:color w:val="000000" w:themeColor="text1"/>
        </w:rPr>
        <w:t xml:space="preserve"> were included as internal controls to validate each assay; if the mortality in these control bottles was outside the expected range then the assay was rejected and repeated</w:t>
      </w:r>
      <w:r w:rsidRPr="00D0161E">
        <w:rPr>
          <w:color w:val="000000" w:themeColor="text1"/>
        </w:rPr>
        <w:t xml:space="preserve">. </w:t>
      </w:r>
      <w:bookmarkEnd w:id="14"/>
      <w:r w:rsidRPr="00D0161E">
        <w:rPr>
          <w:color w:val="000000" w:themeColor="text1"/>
        </w:rPr>
        <w:t xml:space="preserve">This range of concentrations </w:t>
      </w:r>
      <w:r w:rsidR="00064A16" w:rsidRPr="00D0161E">
        <w:rPr>
          <w:color w:val="000000" w:themeColor="text1"/>
        </w:rPr>
        <w:t>was</w:t>
      </w:r>
      <w:r w:rsidRPr="00D0161E">
        <w:rPr>
          <w:color w:val="000000" w:themeColor="text1"/>
        </w:rPr>
        <w:t xml:space="preserve"> shown </w:t>
      </w:r>
      <w:r w:rsidR="00064A16" w:rsidRPr="00D0161E">
        <w:rPr>
          <w:color w:val="000000" w:themeColor="text1"/>
        </w:rPr>
        <w:t>in range finder</w:t>
      </w:r>
      <w:r w:rsidRPr="00D0161E">
        <w:rPr>
          <w:color w:val="000000" w:themeColor="text1"/>
        </w:rPr>
        <w:t xml:space="preserve"> assays to </w:t>
      </w:r>
      <w:r w:rsidR="00064A16" w:rsidRPr="00D0161E">
        <w:rPr>
          <w:color w:val="000000" w:themeColor="text1"/>
        </w:rPr>
        <w:t xml:space="preserve">result in </w:t>
      </w:r>
      <w:r w:rsidRPr="00D0161E">
        <w:rPr>
          <w:color w:val="000000" w:themeColor="text1"/>
        </w:rPr>
        <w:t>mortalit</w:t>
      </w:r>
      <w:r w:rsidR="00064A16" w:rsidRPr="00D0161E">
        <w:rPr>
          <w:color w:val="000000" w:themeColor="text1"/>
        </w:rPr>
        <w:t>ies</w:t>
      </w:r>
      <w:r w:rsidRPr="00D0161E">
        <w:rPr>
          <w:color w:val="000000" w:themeColor="text1"/>
        </w:rPr>
        <w:t xml:space="preserve"> </w:t>
      </w:r>
      <w:r w:rsidR="00064A16" w:rsidRPr="00D0161E">
        <w:rPr>
          <w:color w:val="000000" w:themeColor="text1"/>
        </w:rPr>
        <w:t xml:space="preserve">between </w:t>
      </w:r>
      <w:r w:rsidRPr="00D0161E">
        <w:rPr>
          <w:color w:val="000000" w:themeColor="text1"/>
        </w:rPr>
        <w:t xml:space="preserve">0 to 100%. Mosquitoes were held as described for the topical application assay and mortality scored 24 hours after exposure. </w:t>
      </w:r>
      <w:bookmarkStart w:id="15" w:name="_Hlk50391800"/>
      <w:r w:rsidR="006451A6" w:rsidRPr="00D0161E">
        <w:rPr>
          <w:color w:val="000000" w:themeColor="text1"/>
        </w:rPr>
        <w:t>Data from three replicate bottles, each prepared independently, were used</w:t>
      </w:r>
      <w:r w:rsidRPr="00D0161E">
        <w:rPr>
          <w:color w:val="000000" w:themeColor="text1"/>
        </w:rPr>
        <w:t xml:space="preserve"> to </w:t>
      </w:r>
      <w:r w:rsidR="00064A16" w:rsidRPr="00D0161E">
        <w:rPr>
          <w:color w:val="000000" w:themeColor="text1"/>
        </w:rPr>
        <w:t xml:space="preserve">generate </w:t>
      </w:r>
      <w:r w:rsidRPr="00D0161E">
        <w:rPr>
          <w:color w:val="000000" w:themeColor="text1"/>
        </w:rPr>
        <w:t>the data used to calculate the LC</w:t>
      </w:r>
      <w:r w:rsidRPr="00D0161E">
        <w:rPr>
          <w:color w:val="000000" w:themeColor="text1"/>
          <w:vertAlign w:val="subscript"/>
        </w:rPr>
        <w:t>95</w:t>
      </w:r>
      <w:r w:rsidRPr="00D0161E">
        <w:rPr>
          <w:color w:val="000000" w:themeColor="text1"/>
        </w:rPr>
        <w:t>.</w:t>
      </w:r>
      <w:bookmarkEnd w:id="15"/>
    </w:p>
    <w:p w14:paraId="1F17FEA5" w14:textId="77777777" w:rsidR="000F409B" w:rsidRPr="00D0161E" w:rsidRDefault="000F409B" w:rsidP="00D0161E">
      <w:pPr>
        <w:spacing w:line="480" w:lineRule="auto"/>
        <w:rPr>
          <w:color w:val="000000" w:themeColor="text1"/>
        </w:rPr>
      </w:pPr>
    </w:p>
    <w:p w14:paraId="7690CE04" w14:textId="77777777" w:rsidR="00707C9D"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Speed of kill assays for speed of action</w:t>
      </w:r>
    </w:p>
    <w:p w14:paraId="21614226" w14:textId="79502F4C" w:rsidR="00314CF5" w:rsidRPr="00D0161E" w:rsidRDefault="009E4314" w:rsidP="00D0161E">
      <w:pPr>
        <w:spacing w:line="480" w:lineRule="auto"/>
        <w:rPr>
          <w:color w:val="000000" w:themeColor="text1"/>
        </w:rPr>
      </w:pPr>
      <w:r w:rsidRPr="00D0161E">
        <w:rPr>
          <w:color w:val="000000" w:themeColor="text1"/>
        </w:rPr>
        <w:t xml:space="preserve">Filter papers were </w:t>
      </w:r>
      <w:proofErr w:type="gramStart"/>
      <w:r w:rsidRPr="00D0161E">
        <w:rPr>
          <w:color w:val="000000" w:themeColor="text1"/>
        </w:rPr>
        <w:t>treated</w:t>
      </w:r>
      <w:proofErr w:type="gramEnd"/>
      <w:r w:rsidRPr="00D0161E">
        <w:rPr>
          <w:color w:val="000000" w:themeColor="text1"/>
        </w:rPr>
        <w:t xml:space="preserve"> and </w:t>
      </w:r>
      <w:r w:rsidR="00E123A2" w:rsidRPr="00D0161E">
        <w:rPr>
          <w:color w:val="000000" w:themeColor="text1"/>
        </w:rPr>
        <w:t>mosquitoes exposed</w:t>
      </w:r>
      <w:r w:rsidRPr="00D0161E">
        <w:rPr>
          <w:color w:val="000000" w:themeColor="text1"/>
        </w:rPr>
        <w:t xml:space="preserve"> as for the tarsal contact assay described above</w:t>
      </w:r>
      <w:r w:rsidR="00314CF5" w:rsidRPr="00D0161E">
        <w:rPr>
          <w:color w:val="000000" w:themeColor="text1"/>
        </w:rPr>
        <w:t xml:space="preserve">. A single dose of </w:t>
      </w:r>
      <w:proofErr w:type="spellStart"/>
      <w:r w:rsidR="00D54567" w:rsidRPr="00D54567">
        <w:rPr>
          <w:color w:val="000000" w:themeColor="text1"/>
        </w:rPr>
        <w:t>Tenebenal</w:t>
      </w:r>
      <w:r w:rsidR="00314CF5" w:rsidRPr="00D0161E">
        <w:rPr>
          <w:color w:val="000000" w:themeColor="text1"/>
          <w:vertAlign w:val="superscript"/>
        </w:rPr>
        <w:t>TM</w:t>
      </w:r>
      <w:proofErr w:type="spellEnd"/>
      <w:r w:rsidR="00582169" w:rsidRPr="00D0161E">
        <w:rPr>
          <w:color w:val="000000" w:themeColor="text1"/>
        </w:rPr>
        <w:t xml:space="preserve"> was selected for each </w:t>
      </w:r>
      <w:r w:rsidR="00994C95" w:rsidRPr="00D0161E">
        <w:rPr>
          <w:color w:val="000000" w:themeColor="text1"/>
        </w:rPr>
        <w:t>strain</w:t>
      </w:r>
      <w:r w:rsidR="00727458" w:rsidRPr="00D0161E">
        <w:rPr>
          <w:color w:val="000000" w:themeColor="text1"/>
        </w:rPr>
        <w:t xml:space="preserve"> as</w:t>
      </w:r>
      <w:r w:rsidR="00EF2A3B" w:rsidRPr="00D0161E">
        <w:rPr>
          <w:color w:val="000000" w:themeColor="text1"/>
        </w:rPr>
        <w:t xml:space="preserve"> </w:t>
      </w:r>
      <w:r w:rsidR="00727458" w:rsidRPr="00D0161E">
        <w:rPr>
          <w:color w:val="000000" w:themeColor="text1"/>
        </w:rPr>
        <w:t xml:space="preserve">those needed to provide 100% mortality in each strain </w:t>
      </w:r>
      <w:r w:rsidR="00EF2A3B" w:rsidRPr="00D0161E">
        <w:rPr>
          <w:color w:val="000000" w:themeColor="text1"/>
        </w:rPr>
        <w:t xml:space="preserve">based on preliminary </w:t>
      </w:r>
      <w:r w:rsidR="0075074B" w:rsidRPr="00D0161E">
        <w:rPr>
          <w:color w:val="000000" w:themeColor="text1"/>
        </w:rPr>
        <w:t>dose response experiments</w:t>
      </w:r>
      <w:r w:rsidR="00B63A44">
        <w:rPr>
          <w:color w:val="000000" w:themeColor="text1"/>
        </w:rPr>
        <w:t>:</w:t>
      </w:r>
      <w:r w:rsidR="00582169" w:rsidRPr="00D0161E">
        <w:rPr>
          <w:color w:val="000000" w:themeColor="text1"/>
        </w:rPr>
        <w:t xml:space="preserve"> 6.2% for Kisumu, 2.7% for Kisumu RDL, 1.</w:t>
      </w:r>
      <w:r w:rsidR="00727458" w:rsidRPr="00D0161E">
        <w:rPr>
          <w:color w:val="000000" w:themeColor="text1"/>
        </w:rPr>
        <w:t>5</w:t>
      </w:r>
      <w:r w:rsidR="00EB5CD5" w:rsidRPr="00D0161E">
        <w:rPr>
          <w:color w:val="000000" w:themeColor="text1"/>
        </w:rPr>
        <w:t>%</w:t>
      </w:r>
      <w:r w:rsidR="00582169" w:rsidRPr="00D0161E">
        <w:rPr>
          <w:color w:val="000000" w:themeColor="text1"/>
        </w:rPr>
        <w:t xml:space="preserve"> for New Orleans</w:t>
      </w:r>
      <w:r w:rsidR="002870B0">
        <w:rPr>
          <w:color w:val="000000" w:themeColor="text1"/>
        </w:rPr>
        <w:t>,</w:t>
      </w:r>
      <w:r w:rsidR="00EB5CD5" w:rsidRPr="00D0161E">
        <w:rPr>
          <w:color w:val="000000" w:themeColor="text1"/>
        </w:rPr>
        <w:t xml:space="preserve"> and</w:t>
      </w:r>
      <w:r w:rsidR="00582169" w:rsidRPr="00D0161E">
        <w:rPr>
          <w:color w:val="000000" w:themeColor="text1"/>
        </w:rPr>
        <w:t xml:space="preserve"> 5.</w:t>
      </w:r>
      <w:r w:rsidR="00727458" w:rsidRPr="00D0161E">
        <w:rPr>
          <w:color w:val="000000" w:themeColor="text1"/>
        </w:rPr>
        <w:t>3</w:t>
      </w:r>
      <w:r w:rsidR="00582169" w:rsidRPr="00D0161E">
        <w:rPr>
          <w:color w:val="000000" w:themeColor="text1"/>
        </w:rPr>
        <w:t xml:space="preserve">% for Tiassalé 2. </w:t>
      </w:r>
      <w:bookmarkStart w:id="16" w:name="_Hlk50132717"/>
      <w:r w:rsidR="00E123A2" w:rsidRPr="00D0161E">
        <w:rPr>
          <w:color w:val="000000" w:themeColor="text1"/>
        </w:rPr>
        <w:t>A negative control blank paper was included</w:t>
      </w:r>
      <w:r w:rsidR="00E54C3B" w:rsidRPr="00D0161E">
        <w:rPr>
          <w:color w:val="000000" w:themeColor="text1"/>
        </w:rPr>
        <w:t xml:space="preserve"> as an internal control; if mortality in the control was above 20% then the assay was rejected and repeated</w:t>
      </w:r>
      <w:r w:rsidR="00E123A2" w:rsidRPr="00D0161E">
        <w:rPr>
          <w:color w:val="000000" w:themeColor="text1"/>
        </w:rPr>
        <w:t xml:space="preserve">. </w:t>
      </w:r>
      <w:bookmarkEnd w:id="16"/>
      <w:r w:rsidR="00400804" w:rsidRPr="00D0161E">
        <w:rPr>
          <w:color w:val="000000" w:themeColor="text1"/>
        </w:rPr>
        <w:t xml:space="preserve">Three replicate papers were tested </w:t>
      </w:r>
      <w:r w:rsidR="00EB5CD5" w:rsidRPr="00D0161E">
        <w:rPr>
          <w:color w:val="000000" w:themeColor="text1"/>
        </w:rPr>
        <w:t xml:space="preserve">for each </w:t>
      </w:r>
      <w:r w:rsidR="00400804" w:rsidRPr="00D0161E">
        <w:rPr>
          <w:color w:val="000000" w:themeColor="text1"/>
        </w:rPr>
        <w:t xml:space="preserve">treatment and </w:t>
      </w:r>
      <w:r w:rsidR="00EB5CD5" w:rsidRPr="00D0161E">
        <w:rPr>
          <w:color w:val="000000" w:themeColor="text1"/>
        </w:rPr>
        <w:t xml:space="preserve">for the negative </w:t>
      </w:r>
      <w:r w:rsidR="00400804" w:rsidRPr="00D0161E">
        <w:rPr>
          <w:color w:val="000000" w:themeColor="text1"/>
        </w:rPr>
        <w:t xml:space="preserve">control. </w:t>
      </w:r>
      <w:r w:rsidR="00E123A2" w:rsidRPr="00D0161E">
        <w:rPr>
          <w:color w:val="000000" w:themeColor="text1"/>
        </w:rPr>
        <w:t>M</w:t>
      </w:r>
      <w:r w:rsidR="00582169" w:rsidRPr="00D0161E">
        <w:rPr>
          <w:color w:val="000000" w:themeColor="text1"/>
        </w:rPr>
        <w:t xml:space="preserve">osquitoes were </w:t>
      </w:r>
      <w:r w:rsidR="00215C54" w:rsidRPr="00D0161E">
        <w:rPr>
          <w:color w:val="000000" w:themeColor="text1"/>
        </w:rPr>
        <w:t xml:space="preserve">all exposed for 60 min, then </w:t>
      </w:r>
      <w:r w:rsidR="00EB5CD5" w:rsidRPr="00D0161E">
        <w:rPr>
          <w:color w:val="000000" w:themeColor="text1"/>
        </w:rPr>
        <w:t xml:space="preserve">maintained under </w:t>
      </w:r>
      <w:r w:rsidR="00582169" w:rsidRPr="00D0161E">
        <w:rPr>
          <w:color w:val="000000" w:themeColor="text1"/>
        </w:rPr>
        <w:t xml:space="preserve">the same conditions as for the previous tarsal contact </w:t>
      </w:r>
      <w:r w:rsidR="00E91D27" w:rsidRPr="00D0161E">
        <w:rPr>
          <w:color w:val="000000" w:themeColor="text1"/>
        </w:rPr>
        <w:t xml:space="preserve">assay </w:t>
      </w:r>
      <w:r w:rsidR="00314CF5" w:rsidRPr="00D0161E">
        <w:rPr>
          <w:color w:val="000000" w:themeColor="text1"/>
        </w:rPr>
        <w:t xml:space="preserve">and scored for </w:t>
      </w:r>
      <w:r w:rsidR="002870B0">
        <w:rPr>
          <w:color w:val="000000" w:themeColor="text1"/>
        </w:rPr>
        <w:t>KD</w:t>
      </w:r>
      <w:r w:rsidR="00314CF5" w:rsidRPr="00D0161E">
        <w:rPr>
          <w:color w:val="000000" w:themeColor="text1"/>
        </w:rPr>
        <w:t xml:space="preserve"> </w:t>
      </w:r>
      <w:r w:rsidR="00215C54" w:rsidRPr="00D0161E">
        <w:rPr>
          <w:color w:val="000000" w:themeColor="text1"/>
        </w:rPr>
        <w:t>every hour until</w:t>
      </w:r>
      <w:r w:rsidR="002870B0">
        <w:rPr>
          <w:color w:val="000000" w:themeColor="text1"/>
        </w:rPr>
        <w:t xml:space="preserve"> </w:t>
      </w:r>
      <w:r w:rsidR="00314CF5" w:rsidRPr="00D0161E">
        <w:rPr>
          <w:color w:val="000000" w:themeColor="text1"/>
        </w:rPr>
        <w:t xml:space="preserve">12 hours post-exposure and </w:t>
      </w:r>
      <w:r w:rsidR="00215C54" w:rsidRPr="00D0161E">
        <w:rPr>
          <w:color w:val="000000" w:themeColor="text1"/>
        </w:rPr>
        <w:t xml:space="preserve">for </w:t>
      </w:r>
      <w:r w:rsidR="00314CF5" w:rsidRPr="00D0161E">
        <w:rPr>
          <w:color w:val="000000" w:themeColor="text1"/>
        </w:rPr>
        <w:t>mortality 24, 48 and 72 hours post-exposure</w:t>
      </w:r>
      <w:r w:rsidR="004569CB" w:rsidRPr="00D0161E">
        <w:rPr>
          <w:color w:val="000000" w:themeColor="text1"/>
        </w:rPr>
        <w:t>,</w:t>
      </w:r>
      <w:bookmarkStart w:id="17" w:name="_Hlk50393027"/>
      <w:r w:rsidR="004569CB" w:rsidRPr="00D0161E">
        <w:rPr>
          <w:color w:val="000000" w:themeColor="text1"/>
        </w:rPr>
        <w:t xml:space="preserve"> to determine how quickly </w:t>
      </w:r>
      <w:proofErr w:type="spellStart"/>
      <w:r w:rsidR="00D54567" w:rsidRPr="00D0161E">
        <w:rPr>
          <w:color w:val="000000" w:themeColor="text1"/>
        </w:rPr>
        <w:t>T</w:t>
      </w:r>
      <w:r w:rsidR="00D54567">
        <w:rPr>
          <w:color w:val="000000" w:themeColor="text1"/>
        </w:rPr>
        <w:t>enebenal</w:t>
      </w:r>
      <w:r w:rsidR="004569CB" w:rsidRPr="00D0161E">
        <w:rPr>
          <w:color w:val="000000" w:themeColor="text1"/>
          <w:vertAlign w:val="superscript"/>
        </w:rPr>
        <w:t>TM</w:t>
      </w:r>
      <w:proofErr w:type="spellEnd"/>
      <w:r w:rsidR="004569CB" w:rsidRPr="00D0161E">
        <w:rPr>
          <w:color w:val="000000" w:themeColor="text1"/>
        </w:rPr>
        <w:t xml:space="preserve"> kills mosquitoes of different strains post-exposure</w:t>
      </w:r>
      <w:r w:rsidR="00314CF5" w:rsidRPr="00D0161E">
        <w:rPr>
          <w:color w:val="000000" w:themeColor="text1"/>
        </w:rPr>
        <w:t xml:space="preserve">. </w:t>
      </w:r>
      <w:bookmarkEnd w:id="17"/>
    </w:p>
    <w:p w14:paraId="6ED7E7EF" w14:textId="77777777" w:rsidR="00557990" w:rsidRPr="00D0161E" w:rsidRDefault="00557990" w:rsidP="00D0161E">
      <w:pPr>
        <w:spacing w:line="480" w:lineRule="auto"/>
        <w:rPr>
          <w:color w:val="000000" w:themeColor="text1"/>
        </w:rPr>
      </w:pPr>
    </w:p>
    <w:p w14:paraId="6BE9BB0D" w14:textId="77777777" w:rsidR="004A05C3" w:rsidRPr="00D0161E" w:rsidRDefault="005E03F1" w:rsidP="00D0161E">
      <w:pPr>
        <w:pStyle w:val="Heading3"/>
        <w:spacing w:before="0" w:line="480" w:lineRule="auto"/>
        <w:rPr>
          <w:rFonts w:ascii="Times New Roman" w:hAnsi="Times New Roman"/>
          <w:b/>
          <w:color w:val="000000" w:themeColor="text1"/>
        </w:rPr>
      </w:pPr>
      <w:r w:rsidRPr="00D0161E">
        <w:rPr>
          <w:rFonts w:ascii="Times New Roman" w:hAnsi="Times New Roman"/>
          <w:b/>
          <w:color w:val="000000" w:themeColor="text1"/>
        </w:rPr>
        <w:t>Testing efficacy and residuality as an IRS formulation</w:t>
      </w:r>
    </w:p>
    <w:p w14:paraId="00B9CC0D" w14:textId="77777777" w:rsidR="00B72EB8"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Preparation of surfaces</w:t>
      </w:r>
    </w:p>
    <w:p w14:paraId="72D5B89B" w14:textId="5A423924" w:rsidR="000C167F" w:rsidRPr="00D0161E" w:rsidRDefault="00B05C0D" w:rsidP="00D0161E">
      <w:pPr>
        <w:spacing w:line="480" w:lineRule="auto"/>
        <w:rPr>
          <w:color w:val="000000" w:themeColor="text1"/>
        </w:rPr>
      </w:pPr>
      <w:r w:rsidRPr="00D0161E">
        <w:rPr>
          <w:color w:val="000000" w:themeColor="text1"/>
        </w:rPr>
        <w:t>Untreated beech plywood was cut into 12</w:t>
      </w:r>
      <w:r w:rsidR="00C47A50" w:rsidRPr="00D0161E">
        <w:rPr>
          <w:color w:val="000000" w:themeColor="text1"/>
        </w:rPr>
        <w:t xml:space="preserve"> </w:t>
      </w:r>
      <w:r w:rsidRPr="00D0161E">
        <w:rPr>
          <w:color w:val="000000" w:themeColor="text1"/>
        </w:rPr>
        <w:t>×</w:t>
      </w:r>
      <w:r w:rsidR="00C47A50" w:rsidRPr="00D0161E">
        <w:rPr>
          <w:color w:val="000000" w:themeColor="text1"/>
        </w:rPr>
        <w:t xml:space="preserve"> </w:t>
      </w:r>
      <w:r w:rsidRPr="00D0161E">
        <w:rPr>
          <w:color w:val="000000" w:themeColor="text1"/>
        </w:rPr>
        <w:t>12</w:t>
      </w:r>
      <w:r w:rsidR="00E51DA2" w:rsidRPr="00D0161E">
        <w:rPr>
          <w:color w:val="000000" w:themeColor="text1"/>
        </w:rPr>
        <w:t xml:space="preserve"> </w:t>
      </w:r>
      <w:r w:rsidRPr="00D0161E">
        <w:rPr>
          <w:color w:val="000000" w:themeColor="text1"/>
        </w:rPr>
        <w:t xml:space="preserve">cm squares. </w:t>
      </w:r>
      <w:proofErr w:type="spellStart"/>
      <w:r w:rsidRPr="00D0161E">
        <w:rPr>
          <w:color w:val="000000" w:themeColor="text1"/>
        </w:rPr>
        <w:t>Readymix</w:t>
      </w:r>
      <w:proofErr w:type="spellEnd"/>
      <w:r w:rsidRPr="00D0161E">
        <w:rPr>
          <w:color w:val="000000" w:themeColor="text1"/>
        </w:rPr>
        <w:t xml:space="preserve"> cement/concrete (</w:t>
      </w:r>
      <w:r w:rsidR="0054092F" w:rsidRPr="00D0161E">
        <w:rPr>
          <w:color w:val="000000" w:themeColor="text1"/>
        </w:rPr>
        <w:t xml:space="preserve">Cemex UK; </w:t>
      </w:r>
      <w:r w:rsidRPr="00D0161E">
        <w:rPr>
          <w:color w:val="000000" w:themeColor="text1"/>
        </w:rPr>
        <w:t>plasticiser free) was poured into 10</w:t>
      </w:r>
      <w:r w:rsidR="002870B0">
        <w:rPr>
          <w:color w:val="000000" w:themeColor="text1"/>
        </w:rPr>
        <w:t>-</w:t>
      </w:r>
      <w:r w:rsidRPr="00D0161E">
        <w:rPr>
          <w:color w:val="000000" w:themeColor="text1"/>
        </w:rPr>
        <w:t xml:space="preserve">cm </w:t>
      </w:r>
      <w:r w:rsidR="00D133AA" w:rsidRPr="00D0161E">
        <w:rPr>
          <w:color w:val="000000" w:themeColor="text1"/>
        </w:rPr>
        <w:t xml:space="preserve">diameter </w:t>
      </w:r>
      <w:r w:rsidRPr="00D0161E">
        <w:rPr>
          <w:color w:val="000000" w:themeColor="text1"/>
        </w:rPr>
        <w:t xml:space="preserve">Petri dishes and allowed to dry </w:t>
      </w:r>
      <w:r w:rsidR="00314CF5" w:rsidRPr="00D0161E">
        <w:rPr>
          <w:color w:val="000000" w:themeColor="text1"/>
        </w:rPr>
        <w:t xml:space="preserve">in a climate-controlled stability cabinet (27±2°C and 80±10% RH) </w:t>
      </w:r>
      <w:r w:rsidRPr="00D0161E">
        <w:rPr>
          <w:color w:val="000000" w:themeColor="text1"/>
        </w:rPr>
        <w:t xml:space="preserve">for at least 30 days to produce </w:t>
      </w:r>
      <w:r w:rsidR="00D133AA" w:rsidRPr="00D0161E">
        <w:rPr>
          <w:color w:val="000000" w:themeColor="text1"/>
        </w:rPr>
        <w:t xml:space="preserve">blocks </w:t>
      </w:r>
      <w:r w:rsidRPr="00D0161E">
        <w:rPr>
          <w:color w:val="000000" w:themeColor="text1"/>
        </w:rPr>
        <w:t xml:space="preserve">at least 5 mm thick. </w:t>
      </w:r>
      <w:bookmarkStart w:id="18" w:name="_Hlk50393478"/>
      <w:r w:rsidRPr="00D0161E">
        <w:rPr>
          <w:color w:val="000000" w:themeColor="text1"/>
        </w:rPr>
        <w:t xml:space="preserve">Plain glazed ceramic tiles </w:t>
      </w:r>
      <w:r w:rsidR="00D133AA" w:rsidRPr="00D0161E">
        <w:rPr>
          <w:color w:val="000000" w:themeColor="text1"/>
        </w:rPr>
        <w:t xml:space="preserve">were </w:t>
      </w:r>
      <w:r w:rsidRPr="00D0161E">
        <w:rPr>
          <w:color w:val="000000" w:themeColor="text1"/>
        </w:rPr>
        <w:t xml:space="preserve">rinsed in purified water </w:t>
      </w:r>
      <w:r w:rsidR="00AF1D00" w:rsidRPr="00D0161E">
        <w:rPr>
          <w:color w:val="000000" w:themeColor="text1"/>
        </w:rPr>
        <w:t xml:space="preserve">to remove any factory dust or </w:t>
      </w:r>
      <w:proofErr w:type="gramStart"/>
      <w:r w:rsidR="00AF1D00" w:rsidRPr="00D0161E">
        <w:rPr>
          <w:color w:val="000000" w:themeColor="text1"/>
        </w:rPr>
        <w:t>dirt, and</w:t>
      </w:r>
      <w:proofErr w:type="gramEnd"/>
      <w:r w:rsidR="00AF1D00" w:rsidRPr="00D0161E">
        <w:rPr>
          <w:color w:val="000000" w:themeColor="text1"/>
        </w:rPr>
        <w:t xml:space="preserve"> allowed to dry prior to treatment</w:t>
      </w:r>
      <w:r w:rsidRPr="00D0161E">
        <w:rPr>
          <w:color w:val="000000" w:themeColor="text1"/>
        </w:rPr>
        <w:t xml:space="preserve">. </w:t>
      </w:r>
      <w:bookmarkEnd w:id="18"/>
      <w:r w:rsidRPr="00D0161E">
        <w:rPr>
          <w:color w:val="000000" w:themeColor="text1"/>
        </w:rPr>
        <w:t xml:space="preserve">A mud house brick </w:t>
      </w:r>
      <w:r w:rsidR="0036250E" w:rsidRPr="00D0161E">
        <w:rPr>
          <w:color w:val="000000" w:themeColor="text1"/>
        </w:rPr>
        <w:t xml:space="preserve">was </w:t>
      </w:r>
      <w:r w:rsidRPr="00D0161E">
        <w:rPr>
          <w:color w:val="000000" w:themeColor="text1"/>
        </w:rPr>
        <w:t>obtained from partners at</w:t>
      </w:r>
      <w:r w:rsidR="0036250E" w:rsidRPr="00D0161E">
        <w:rPr>
          <w:color w:val="000000" w:themeColor="text1"/>
        </w:rPr>
        <w:t xml:space="preserve"> Centre Suisse de Recherche </w:t>
      </w:r>
      <w:proofErr w:type="spellStart"/>
      <w:r w:rsidR="0036250E" w:rsidRPr="00D0161E">
        <w:rPr>
          <w:color w:val="000000" w:themeColor="text1"/>
        </w:rPr>
        <w:t>Scientifique</w:t>
      </w:r>
      <w:proofErr w:type="spellEnd"/>
      <w:r w:rsidR="0036250E" w:rsidRPr="00D0161E">
        <w:rPr>
          <w:color w:val="000000" w:themeColor="text1"/>
        </w:rPr>
        <w:t xml:space="preserve"> (CSRS)</w:t>
      </w:r>
      <w:r w:rsidR="00C47915" w:rsidRPr="00D0161E">
        <w:rPr>
          <w:color w:val="000000" w:themeColor="text1"/>
        </w:rPr>
        <w:t>, C</w:t>
      </w:r>
      <w:r w:rsidR="00C47915" w:rsidRPr="00D0161E">
        <w:rPr>
          <w:rFonts w:cstheme="minorHAnsi"/>
          <w:color w:val="000000" w:themeColor="text1"/>
        </w:rPr>
        <w:t>ô</w:t>
      </w:r>
      <w:r w:rsidR="00C47915" w:rsidRPr="00D0161E">
        <w:rPr>
          <w:color w:val="000000" w:themeColor="text1"/>
        </w:rPr>
        <w:t>te d’Ivoire and characteri</w:t>
      </w:r>
      <w:r w:rsidR="002870B0">
        <w:rPr>
          <w:color w:val="000000" w:themeColor="text1"/>
        </w:rPr>
        <w:t>z</w:t>
      </w:r>
      <w:r w:rsidR="00C47915" w:rsidRPr="00D0161E">
        <w:rPr>
          <w:color w:val="000000" w:themeColor="text1"/>
        </w:rPr>
        <w:t xml:space="preserve">ed by </w:t>
      </w:r>
      <w:r w:rsidR="0036250E" w:rsidRPr="00D0161E">
        <w:rPr>
          <w:color w:val="000000" w:themeColor="text1"/>
        </w:rPr>
        <w:t>ACS, Poole, UK</w:t>
      </w:r>
      <w:r w:rsidR="00C47915" w:rsidRPr="00D0161E">
        <w:rPr>
          <w:color w:val="000000" w:themeColor="text1"/>
        </w:rPr>
        <w:t xml:space="preserve"> (</w:t>
      </w:r>
      <w:r w:rsidR="00CF1BEF" w:rsidRPr="00D0161E">
        <w:rPr>
          <w:color w:val="000000" w:themeColor="text1"/>
        </w:rPr>
        <w:t xml:space="preserve">Supplementary </w:t>
      </w:r>
      <w:r w:rsidR="00C47915" w:rsidRPr="00D0161E">
        <w:rPr>
          <w:color w:val="000000" w:themeColor="text1"/>
        </w:rPr>
        <w:t xml:space="preserve">Table </w:t>
      </w:r>
      <w:r w:rsidR="009467E6" w:rsidRPr="00D0161E">
        <w:rPr>
          <w:color w:val="000000" w:themeColor="text1"/>
        </w:rPr>
        <w:t>1</w:t>
      </w:r>
      <w:r w:rsidR="00C47915" w:rsidRPr="00D0161E">
        <w:rPr>
          <w:color w:val="000000" w:themeColor="text1"/>
        </w:rPr>
        <w:t>)</w:t>
      </w:r>
      <w:r w:rsidR="0036250E" w:rsidRPr="00D0161E">
        <w:rPr>
          <w:color w:val="000000" w:themeColor="text1"/>
        </w:rPr>
        <w:t>.</w:t>
      </w:r>
      <w:r w:rsidR="00C47915" w:rsidRPr="00D0161E">
        <w:rPr>
          <w:color w:val="000000" w:themeColor="text1"/>
        </w:rPr>
        <w:t xml:space="preserve"> </w:t>
      </w:r>
      <w:r w:rsidR="0036250E" w:rsidRPr="00D0161E">
        <w:rPr>
          <w:color w:val="000000" w:themeColor="text1"/>
        </w:rPr>
        <w:t xml:space="preserve">The brick </w:t>
      </w:r>
      <w:r w:rsidRPr="00D0161E">
        <w:rPr>
          <w:color w:val="000000" w:themeColor="text1"/>
        </w:rPr>
        <w:t xml:space="preserve">was </w:t>
      </w:r>
      <w:r w:rsidR="00C47915" w:rsidRPr="00D0161E">
        <w:rPr>
          <w:color w:val="000000" w:themeColor="text1"/>
        </w:rPr>
        <w:t xml:space="preserve">broken </w:t>
      </w:r>
      <w:r w:rsidR="006B688A" w:rsidRPr="00D0161E">
        <w:rPr>
          <w:color w:val="000000" w:themeColor="text1"/>
        </w:rPr>
        <w:t>down, sieved</w:t>
      </w:r>
      <w:r w:rsidR="00C47915" w:rsidRPr="00D0161E">
        <w:rPr>
          <w:color w:val="000000" w:themeColor="text1"/>
        </w:rPr>
        <w:t xml:space="preserve">, reconstituted </w:t>
      </w:r>
      <w:r w:rsidR="006B688A" w:rsidRPr="00D0161E">
        <w:rPr>
          <w:color w:val="000000" w:themeColor="text1"/>
        </w:rPr>
        <w:t>with water</w:t>
      </w:r>
      <w:r w:rsidR="002870B0">
        <w:rPr>
          <w:color w:val="000000" w:themeColor="text1"/>
        </w:rPr>
        <w:t>,</w:t>
      </w:r>
      <w:r w:rsidR="006B688A" w:rsidRPr="00D0161E">
        <w:rPr>
          <w:color w:val="000000" w:themeColor="text1"/>
        </w:rPr>
        <w:t xml:space="preserve"> </w:t>
      </w:r>
      <w:r w:rsidR="00C47915" w:rsidRPr="00D0161E">
        <w:rPr>
          <w:color w:val="000000" w:themeColor="text1"/>
        </w:rPr>
        <w:t xml:space="preserve">and </w:t>
      </w:r>
      <w:r w:rsidR="00D133AA" w:rsidRPr="00D0161E">
        <w:rPr>
          <w:color w:val="000000" w:themeColor="text1"/>
        </w:rPr>
        <w:t xml:space="preserve">then </w:t>
      </w:r>
      <w:r w:rsidRPr="00D0161E">
        <w:rPr>
          <w:color w:val="000000" w:themeColor="text1"/>
        </w:rPr>
        <w:t>used to fill 10</w:t>
      </w:r>
      <w:r w:rsidR="002870B0">
        <w:rPr>
          <w:color w:val="000000" w:themeColor="text1"/>
        </w:rPr>
        <w:t>-</w:t>
      </w:r>
      <w:r w:rsidRPr="00D0161E">
        <w:rPr>
          <w:color w:val="000000" w:themeColor="text1"/>
        </w:rPr>
        <w:t xml:space="preserve">cm </w:t>
      </w:r>
      <w:r w:rsidR="00D133AA" w:rsidRPr="00D0161E">
        <w:rPr>
          <w:color w:val="000000" w:themeColor="text1"/>
        </w:rPr>
        <w:t xml:space="preserve">diameter </w:t>
      </w:r>
      <w:r w:rsidRPr="00D0161E">
        <w:rPr>
          <w:color w:val="000000" w:themeColor="text1"/>
        </w:rPr>
        <w:t>Petri dishes to produce a smooth mud surface, which was allowed to dry for at least 30 days in a climate-controlled stability cabinet (27±2°C and 80±10% RH) before treatment</w:t>
      </w:r>
      <w:r w:rsidR="00C47915" w:rsidRPr="00D0161E">
        <w:rPr>
          <w:color w:val="000000" w:themeColor="text1"/>
        </w:rPr>
        <w:t xml:space="preserve"> and use in bioassays</w:t>
      </w:r>
      <w:r w:rsidRPr="00D0161E">
        <w:rPr>
          <w:color w:val="000000" w:themeColor="text1"/>
        </w:rPr>
        <w:t>.</w:t>
      </w:r>
    </w:p>
    <w:p w14:paraId="0C1800C2" w14:textId="77777777" w:rsidR="000C167F" w:rsidRPr="00D0161E" w:rsidRDefault="000C167F" w:rsidP="00D0161E">
      <w:pPr>
        <w:spacing w:line="480" w:lineRule="auto"/>
        <w:rPr>
          <w:color w:val="000000" w:themeColor="text1"/>
        </w:rPr>
      </w:pPr>
    </w:p>
    <w:p w14:paraId="63AD70B9" w14:textId="39970514" w:rsidR="002870B0" w:rsidRPr="00025A3F" w:rsidDel="002870B0" w:rsidRDefault="00BD1AEC" w:rsidP="00D0161E">
      <w:pPr>
        <w:spacing w:line="480" w:lineRule="auto"/>
        <w:rPr>
          <w:b/>
          <w:color w:val="000000" w:themeColor="text1"/>
        </w:rPr>
      </w:pPr>
      <w:r w:rsidRPr="00025A3F">
        <w:rPr>
          <w:b/>
          <w:color w:val="000000" w:themeColor="text1"/>
        </w:rPr>
        <w:t>Treatment of surfaces with IRS formulation</w:t>
      </w:r>
    </w:p>
    <w:p w14:paraId="0FCA6345" w14:textId="72077258" w:rsidR="00BB6F30" w:rsidRDefault="00E63725" w:rsidP="00025A3F">
      <w:pPr>
        <w:spacing w:line="480" w:lineRule="auto"/>
      </w:pPr>
      <w:r w:rsidRPr="00D0161E">
        <w:t xml:space="preserve">A prototype wettable powder (WP) formulation of </w:t>
      </w:r>
      <w:proofErr w:type="spellStart"/>
      <w:r w:rsidR="00D54567" w:rsidRPr="00D0161E">
        <w:rPr>
          <w:color w:val="000000" w:themeColor="text1"/>
        </w:rPr>
        <w:t>T</w:t>
      </w:r>
      <w:r w:rsidR="00D54567">
        <w:rPr>
          <w:color w:val="000000" w:themeColor="text1"/>
        </w:rPr>
        <w:t>enebenal</w:t>
      </w:r>
      <w:r w:rsidR="007556AB" w:rsidRPr="00D0161E">
        <w:rPr>
          <w:vertAlign w:val="superscript"/>
        </w:rPr>
        <w:t>TM</w:t>
      </w:r>
      <w:proofErr w:type="spellEnd"/>
      <w:r w:rsidRPr="00D0161E">
        <w:t xml:space="preserve"> supplied directly from </w:t>
      </w:r>
      <w:r w:rsidR="00B3715B" w:rsidRPr="00D0161E">
        <w:t>Mitsui</w:t>
      </w:r>
      <w:r w:rsidR="00B3715B" w:rsidRPr="00D0161E">
        <w:rPr>
          <w:lang w:eastAsia="ja-JP"/>
        </w:rPr>
        <w:t xml:space="preserve"> Chemicals </w:t>
      </w:r>
      <w:proofErr w:type="spellStart"/>
      <w:r w:rsidR="00B3715B" w:rsidRPr="00D0161E">
        <w:rPr>
          <w:lang w:eastAsia="ja-JP"/>
        </w:rPr>
        <w:t>Agro</w:t>
      </w:r>
      <w:proofErr w:type="spellEnd"/>
      <w:r w:rsidR="00B3715B" w:rsidRPr="00D0161E">
        <w:rPr>
          <w:lang w:eastAsia="ja-JP"/>
        </w:rPr>
        <w:t xml:space="preserve"> Inc. </w:t>
      </w:r>
      <w:r w:rsidRPr="00D0161E">
        <w:t xml:space="preserve">was </w:t>
      </w:r>
      <w:bookmarkStart w:id="19" w:name="_Hlk33194672"/>
      <w:r w:rsidRPr="00D0161E">
        <w:t xml:space="preserve">applied at a rate of </w:t>
      </w:r>
      <w:r w:rsidRPr="002870B0">
        <w:rPr>
          <w:rStyle w:val="Strong"/>
          <w:b w:val="0"/>
          <w:color w:val="000000" w:themeColor="text1"/>
          <w:szCs w:val="22"/>
        </w:rPr>
        <w:t>0.2, 0.1, 0.05</w:t>
      </w:r>
      <w:r w:rsidR="002870B0">
        <w:rPr>
          <w:rStyle w:val="Strong"/>
          <w:b w:val="0"/>
          <w:color w:val="000000" w:themeColor="text1"/>
          <w:szCs w:val="22"/>
        </w:rPr>
        <w:t>,</w:t>
      </w:r>
      <w:r w:rsidRPr="002870B0">
        <w:rPr>
          <w:rStyle w:val="Strong"/>
          <w:b w:val="0"/>
          <w:color w:val="000000" w:themeColor="text1"/>
          <w:szCs w:val="22"/>
        </w:rPr>
        <w:t xml:space="preserve"> and 0.025 g </w:t>
      </w:r>
      <w:r w:rsidR="00257B0E" w:rsidRPr="002870B0">
        <w:rPr>
          <w:rStyle w:val="Strong"/>
          <w:b w:val="0"/>
          <w:color w:val="000000" w:themeColor="text1"/>
          <w:szCs w:val="22"/>
        </w:rPr>
        <w:t>AI</w:t>
      </w:r>
      <w:r w:rsidRPr="002870B0">
        <w:rPr>
          <w:rStyle w:val="Strong"/>
          <w:b w:val="0"/>
          <w:color w:val="000000" w:themeColor="text1"/>
          <w:szCs w:val="22"/>
        </w:rPr>
        <w:t>/</w:t>
      </w:r>
      <w:proofErr w:type="spellStart"/>
      <w:r w:rsidR="002870B0">
        <w:rPr>
          <w:rStyle w:val="Strong"/>
          <w:b w:val="0"/>
          <w:color w:val="000000" w:themeColor="text1"/>
          <w:szCs w:val="22"/>
        </w:rPr>
        <w:t>sq</w:t>
      </w:r>
      <w:proofErr w:type="spellEnd"/>
      <w:r w:rsidR="002870B0">
        <w:rPr>
          <w:rStyle w:val="Strong"/>
          <w:b w:val="0"/>
          <w:color w:val="000000" w:themeColor="text1"/>
          <w:szCs w:val="22"/>
        </w:rPr>
        <w:t xml:space="preserve"> </w:t>
      </w:r>
      <w:r w:rsidRPr="002870B0">
        <w:rPr>
          <w:rStyle w:val="Strong"/>
          <w:b w:val="0"/>
          <w:color w:val="000000" w:themeColor="text1"/>
          <w:szCs w:val="22"/>
        </w:rPr>
        <w:t>m</w:t>
      </w:r>
      <w:r w:rsidRPr="00D0161E">
        <w:rPr>
          <w:rStyle w:val="Strong"/>
          <w:color w:val="000000" w:themeColor="text1"/>
          <w:szCs w:val="22"/>
          <w:vertAlign w:val="superscript"/>
        </w:rPr>
        <w:t xml:space="preserve"> </w:t>
      </w:r>
      <w:bookmarkEnd w:id="19"/>
      <w:r w:rsidRPr="00D0161E">
        <w:t xml:space="preserve">to </w:t>
      </w:r>
      <w:r w:rsidR="00B05C0D" w:rsidRPr="00D0161E">
        <w:t xml:space="preserve">the </w:t>
      </w:r>
      <w:r w:rsidR="00314CF5" w:rsidRPr="00D0161E">
        <w:t>prepared surfaces</w:t>
      </w:r>
      <w:r w:rsidRPr="00D0161E">
        <w:t xml:space="preserve">, and residual efficacy against the Kisumu </w:t>
      </w:r>
      <w:r w:rsidR="00994C95" w:rsidRPr="00D0161E">
        <w:t>strain</w:t>
      </w:r>
      <w:r w:rsidRPr="00D0161E">
        <w:t xml:space="preserve"> of </w:t>
      </w:r>
      <w:r w:rsidR="002870B0" w:rsidRPr="00D0161E">
        <w:rPr>
          <w:i/>
        </w:rPr>
        <w:t>An</w:t>
      </w:r>
      <w:r w:rsidR="002870B0">
        <w:rPr>
          <w:i/>
        </w:rPr>
        <w:t>.</w:t>
      </w:r>
      <w:r w:rsidR="002870B0" w:rsidRPr="00D0161E">
        <w:rPr>
          <w:i/>
        </w:rPr>
        <w:t xml:space="preserve"> </w:t>
      </w:r>
      <w:r w:rsidRPr="00D0161E">
        <w:rPr>
          <w:i/>
        </w:rPr>
        <w:t>gambiae</w:t>
      </w:r>
      <w:r w:rsidRPr="00D0161E">
        <w:t xml:space="preserve"> tested over 18 months. </w:t>
      </w:r>
      <w:r w:rsidR="008546EE" w:rsidRPr="00D0161E">
        <w:t>S</w:t>
      </w:r>
      <w:r w:rsidRPr="00D0161E">
        <w:t xml:space="preserve">urfaces were treated </w:t>
      </w:r>
      <w:r w:rsidR="008546EE" w:rsidRPr="00D0161E">
        <w:t xml:space="preserve">in parallel </w:t>
      </w:r>
      <w:r w:rsidRPr="00D0161E">
        <w:t xml:space="preserve">with Bendiocarb WP (0.4 g </w:t>
      </w:r>
      <w:r w:rsidR="00257B0E" w:rsidRPr="00D0161E">
        <w:t>AI</w:t>
      </w:r>
      <w:r w:rsidRPr="00D0161E">
        <w:t>/</w:t>
      </w:r>
      <w:proofErr w:type="spellStart"/>
      <w:r w:rsidR="002870B0">
        <w:t>sq</w:t>
      </w:r>
      <w:proofErr w:type="spellEnd"/>
      <w:r w:rsidR="002870B0">
        <w:t xml:space="preserve"> </w:t>
      </w:r>
      <w:r w:rsidRPr="00D0161E">
        <w:t xml:space="preserve">m), Etofenprox WP (0.1 g </w:t>
      </w:r>
      <w:r w:rsidR="00257B0E" w:rsidRPr="00D0161E">
        <w:t>AI</w:t>
      </w:r>
      <w:r w:rsidRPr="00D0161E">
        <w:t>/</w:t>
      </w:r>
      <w:proofErr w:type="spellStart"/>
      <w:r w:rsidR="002870B0">
        <w:t>sq</w:t>
      </w:r>
      <w:proofErr w:type="spellEnd"/>
      <w:r w:rsidR="002870B0">
        <w:t xml:space="preserve"> </w:t>
      </w:r>
      <w:r w:rsidRPr="00D0161E">
        <w:t xml:space="preserve">m) and Deltamethrin WG (0.025 g </w:t>
      </w:r>
      <w:r w:rsidR="00257B0E" w:rsidRPr="00D0161E">
        <w:t>AI</w:t>
      </w:r>
      <w:r w:rsidRPr="00D0161E">
        <w:t>/</w:t>
      </w:r>
      <w:proofErr w:type="spellStart"/>
      <w:r w:rsidR="002870B0">
        <w:t>sq</w:t>
      </w:r>
      <w:proofErr w:type="spellEnd"/>
      <w:r w:rsidR="002870B0">
        <w:t xml:space="preserve"> </w:t>
      </w:r>
      <w:r w:rsidRPr="00D0161E">
        <w:t xml:space="preserve">m), </w:t>
      </w:r>
      <w:r w:rsidR="008546EE" w:rsidRPr="00D0161E">
        <w:t xml:space="preserve">and </w:t>
      </w:r>
      <w:r w:rsidRPr="00D0161E">
        <w:t xml:space="preserve">used as reference </w:t>
      </w:r>
      <w:r w:rsidR="002F7466" w:rsidRPr="00D0161E">
        <w:t>treatments</w:t>
      </w:r>
      <w:r w:rsidRPr="00D0161E">
        <w:t xml:space="preserve"> applied at WHO</w:t>
      </w:r>
      <w:r w:rsidR="002870B0">
        <w:t>-</w:t>
      </w:r>
      <w:r w:rsidRPr="00D0161E">
        <w:t>recommended rates, and a negative control was treated with water only.</w:t>
      </w:r>
      <w:r w:rsidR="00453806" w:rsidRPr="00D0161E">
        <w:t xml:space="preserve"> Standard IRS formulations were applied at the recommended application rate for vector control, and the range of concentrations of the </w:t>
      </w:r>
      <w:proofErr w:type="spellStart"/>
      <w:r w:rsidR="00D54567" w:rsidRPr="00D0161E">
        <w:rPr>
          <w:color w:val="000000" w:themeColor="text1"/>
        </w:rPr>
        <w:t>T</w:t>
      </w:r>
      <w:r w:rsidR="00D54567">
        <w:rPr>
          <w:color w:val="000000" w:themeColor="text1"/>
        </w:rPr>
        <w:t>enebenal</w:t>
      </w:r>
      <w:r w:rsidR="007556AB" w:rsidRPr="00D0161E">
        <w:rPr>
          <w:bCs/>
          <w:vertAlign w:val="superscript"/>
        </w:rPr>
        <w:t>TM</w:t>
      </w:r>
      <w:proofErr w:type="spellEnd"/>
      <w:r w:rsidR="00453806" w:rsidRPr="00D0161E">
        <w:t xml:space="preserve"> prototype IRS formulation were selected based on the results from the assays described above.</w:t>
      </w:r>
    </w:p>
    <w:p w14:paraId="624EFD6B" w14:textId="77777777" w:rsidR="00E63725" w:rsidRPr="00D0161E" w:rsidRDefault="00E63725" w:rsidP="00D0161E">
      <w:pPr>
        <w:pStyle w:val="Style1"/>
        <w:numPr>
          <w:ilvl w:val="0"/>
          <w:numId w:val="0"/>
        </w:numPr>
        <w:spacing w:before="0" w:line="480" w:lineRule="auto"/>
        <w:rPr>
          <w:rFonts w:ascii="Times New Roman" w:hAnsi="Times New Roman" w:cs="Times New Roman"/>
          <w:b w:val="0"/>
          <w:color w:val="000000" w:themeColor="text1"/>
          <w:szCs w:val="22"/>
          <w:lang w:val="en-GB"/>
        </w:rPr>
      </w:pPr>
    </w:p>
    <w:p w14:paraId="0B5CEA49" w14:textId="4A63A766" w:rsidR="000C167F" w:rsidRPr="00D0161E" w:rsidRDefault="00E63725" w:rsidP="00D0161E">
      <w:pPr>
        <w:pStyle w:val="Style1"/>
        <w:numPr>
          <w:ilvl w:val="0"/>
          <w:numId w:val="0"/>
        </w:numPr>
        <w:spacing w:before="0" w:line="480" w:lineRule="auto"/>
        <w:rPr>
          <w:rFonts w:ascii="Times New Roman" w:hAnsi="Times New Roman" w:cs="Times New Roman"/>
          <w:b w:val="0"/>
          <w:color w:val="000000" w:themeColor="text1"/>
          <w:szCs w:val="22"/>
          <w:lang w:val="en-GB"/>
        </w:rPr>
      </w:pPr>
      <w:bookmarkStart w:id="20" w:name="_Hlk50393363"/>
      <w:r w:rsidRPr="00D0161E">
        <w:rPr>
          <w:rFonts w:ascii="Times New Roman" w:hAnsi="Times New Roman" w:cs="Times New Roman"/>
          <w:b w:val="0"/>
          <w:color w:val="000000" w:themeColor="text1"/>
          <w:szCs w:val="22"/>
          <w:lang w:val="en-GB"/>
        </w:rPr>
        <w:t>Each treatment was applied to three replicate</w:t>
      </w:r>
      <w:r w:rsidR="008546EE" w:rsidRPr="00D0161E">
        <w:rPr>
          <w:rFonts w:ascii="Times New Roman" w:hAnsi="Times New Roman" w:cs="Times New Roman"/>
          <w:b w:val="0"/>
          <w:color w:val="000000" w:themeColor="text1"/>
          <w:szCs w:val="22"/>
          <w:lang w:val="en-GB"/>
        </w:rPr>
        <w:t>s</w:t>
      </w:r>
      <w:r w:rsidRPr="00D0161E">
        <w:rPr>
          <w:rFonts w:ascii="Times New Roman" w:hAnsi="Times New Roman" w:cs="Times New Roman"/>
          <w:b w:val="0"/>
          <w:color w:val="000000" w:themeColor="text1"/>
          <w:szCs w:val="22"/>
          <w:lang w:val="en-GB"/>
        </w:rPr>
        <w:t xml:space="preserve"> of each surface type using a ‘Potter Tower’ </w:t>
      </w:r>
      <w:bookmarkStart w:id="21" w:name="_Hlk51851344"/>
      <w:r w:rsidRPr="00D0161E">
        <w:rPr>
          <w:rFonts w:ascii="Times New Roman" w:hAnsi="Times New Roman" w:cs="Times New Roman"/>
          <w:b w:val="0"/>
          <w:color w:val="000000" w:themeColor="text1"/>
          <w:szCs w:val="22"/>
          <w:lang w:val="en-GB"/>
        </w:rPr>
        <w:t xml:space="preserve">(Potter Precision Laboratory Spray Tower, Burkard </w:t>
      </w:r>
      <w:r w:rsidRPr="00B63A44">
        <w:rPr>
          <w:rFonts w:ascii="Times New Roman" w:hAnsi="Times New Roman" w:cs="Times New Roman"/>
          <w:b w:val="0"/>
          <w:color w:val="000000" w:themeColor="text1"/>
          <w:szCs w:val="22"/>
          <w:lang w:val="en-GB"/>
        </w:rPr>
        <w:t>Scientific</w:t>
      </w:r>
      <w:r w:rsidR="00BD1AEC" w:rsidRPr="00B63A44">
        <w:rPr>
          <w:rFonts w:ascii="Times New Roman" w:hAnsi="Times New Roman" w:cs="Times New Roman"/>
          <w:b w:val="0"/>
          <w:color w:val="000000" w:themeColor="text1"/>
          <w:szCs w:val="22"/>
          <w:lang w:val="en-GB"/>
        </w:rPr>
        <w:t xml:space="preserve">, </w:t>
      </w:r>
      <w:r w:rsidR="00B63A44" w:rsidRPr="00025A3F">
        <w:rPr>
          <w:rFonts w:ascii="Times New Roman" w:hAnsi="Times New Roman" w:cs="Times New Roman"/>
          <w:b w:val="0"/>
          <w:color w:val="000000" w:themeColor="text1"/>
          <w:szCs w:val="22"/>
          <w:lang w:val="en-GB"/>
        </w:rPr>
        <w:t>Rickmansworth, UK</w:t>
      </w:r>
      <w:r w:rsidR="00BD1AEC" w:rsidRPr="00B63A44">
        <w:rPr>
          <w:rFonts w:ascii="Times New Roman" w:hAnsi="Times New Roman" w:cs="Times New Roman"/>
          <w:b w:val="0"/>
          <w:color w:val="000000" w:themeColor="text1"/>
          <w:szCs w:val="22"/>
          <w:lang w:val="en-GB"/>
        </w:rPr>
        <w:t>)</w:t>
      </w:r>
      <w:bookmarkEnd w:id="21"/>
      <w:r w:rsidR="00BD1AEC" w:rsidRPr="00B63A44">
        <w:rPr>
          <w:rFonts w:ascii="Times New Roman" w:hAnsi="Times New Roman" w:cs="Times New Roman"/>
          <w:b w:val="0"/>
          <w:color w:val="000000" w:themeColor="text1"/>
          <w:szCs w:val="22"/>
          <w:lang w:val="en-GB"/>
        </w:rPr>
        <w:t>,</w:t>
      </w:r>
      <w:r w:rsidR="00AF1D00" w:rsidRPr="00D0161E">
        <w:rPr>
          <w:rFonts w:ascii="Times New Roman" w:hAnsi="Times New Roman" w:cs="Times New Roman"/>
          <w:b w:val="0"/>
          <w:color w:val="000000" w:themeColor="text1"/>
          <w:szCs w:val="22"/>
          <w:lang w:val="en-GB"/>
        </w:rPr>
        <w:t xml:space="preserve"> which applies spray formulations to a 9</w:t>
      </w:r>
      <w:r w:rsidR="002870B0">
        <w:rPr>
          <w:rFonts w:ascii="Times New Roman" w:hAnsi="Times New Roman" w:cs="Times New Roman"/>
          <w:b w:val="0"/>
          <w:color w:val="000000" w:themeColor="text1"/>
          <w:szCs w:val="22"/>
          <w:lang w:val="en-GB"/>
        </w:rPr>
        <w:t>-</w:t>
      </w:r>
      <w:r w:rsidR="00AF1D00" w:rsidRPr="00D0161E">
        <w:rPr>
          <w:rFonts w:ascii="Times New Roman" w:hAnsi="Times New Roman" w:cs="Times New Roman"/>
          <w:b w:val="0"/>
          <w:color w:val="000000" w:themeColor="text1"/>
          <w:szCs w:val="22"/>
          <w:lang w:val="en-GB"/>
        </w:rPr>
        <w:t xml:space="preserve">cm circle in the centre of the tile, </w:t>
      </w:r>
      <w:r w:rsidR="002870B0">
        <w:rPr>
          <w:rFonts w:ascii="Times New Roman" w:hAnsi="Times New Roman" w:cs="Times New Roman"/>
          <w:b w:val="0"/>
          <w:color w:val="000000" w:themeColor="text1"/>
          <w:szCs w:val="22"/>
          <w:lang w:val="en-GB"/>
        </w:rPr>
        <w:t xml:space="preserve">and </w:t>
      </w:r>
      <w:r w:rsidR="00AF1D00" w:rsidRPr="00D0161E">
        <w:rPr>
          <w:rFonts w:ascii="Times New Roman" w:hAnsi="Times New Roman" w:cs="Times New Roman"/>
          <w:b w:val="0"/>
          <w:color w:val="000000" w:themeColor="text1"/>
          <w:szCs w:val="22"/>
          <w:lang w:val="en-GB"/>
        </w:rPr>
        <w:t xml:space="preserve">which corresponds to the area covered by a cone in the WHO cone bioassay </w:t>
      </w:r>
      <w:r w:rsidR="00BD1AEC" w:rsidRPr="00D0161E">
        <w:rPr>
          <w:rFonts w:ascii="Times New Roman" w:hAnsi="Times New Roman" w:cs="Times New Roman"/>
          <w:b w:val="0"/>
          <w:color w:val="000000" w:themeColor="text1"/>
          <w:szCs w:val="22"/>
          <w:lang w:val="en-GB"/>
        </w:rPr>
        <w:fldChar w:fldCharType="begin" w:fldLock="1"/>
      </w:r>
      <w:r w:rsidR="00B63A44">
        <w:rPr>
          <w:rFonts w:ascii="Times New Roman" w:hAnsi="Times New Roman" w:cs="Times New Roman"/>
          <w:b w:val="0"/>
          <w:color w:val="000000" w:themeColor="text1"/>
          <w:szCs w:val="22"/>
          <w:lang w:val="en-GB"/>
        </w:rPr>
        <w:instrText>ADDIN CSL_CITATION {"citationItems":[{"id":"ITEM-1","itemData":{"DOI":"WHO/CDS/NTD/WHOPES/GCDPP/2006.3","abstract":"More than 50 companies are involved in the development of TB diagnostics. There are 10 new or re-purposed anti-TB drugs in late phases of clinical development. In the last two years, two new drugs have been approved for the treatment of MDR-TB under specific conditions: bedaquiline and delamanid. There are currently 15 vaccine candidates in clinical trials. US{$} 8 billion per year is needed for a full response to the global TB epidemic in low-and middle-income countries by 2015, with a funding gap of US{$} 2 billion per year. The amount excludes resources required for research and devel-opment, which are estimated at about US{$} 2 billion per year. 37 million lives saved between 2000 and 2013 through effective diagnosis and treatment 45{%} decline in TB mortality rate and 41{%} decline in TB prevalence since 1990 Fragile progress in MDR-TB diagnosis and treatment but widening gaps in treatment coverage could compromise gains MULTIDRUG-RESISTANT TB Globally in 2013, an estimated 480 000 people developed multidrug-resistant TB (MDR-TB) and there were an estimated 210 000 deaths from MDR-TB. The number of people diagnosed with MDR-TB tripled between 2009 and 2013, and reached 136 000 worldwide. This was equivalent to 45{%} of the estimated MDR-TB cases among notified TB patients. Progress in the detection of drug-resistant TB has been facilitated by the use of new rapid diagnostics. A total of 97 000 patients were started on MDR-TB treatment in 2013, a three-fold increase compared with 2009. However, 39 000 patients were on waiting lists, and the gap between diagnosis and treatment widened between 2012 and 2013 in several countries. Extensively drug-resistant TB (XDR-TB) has been reported by 100 countries in 2013. On average, an estimated 9{%} of people with MDR-TB have XDR-TB. NEW DIAGNOSTICS Xpert{®} MTB/RIF, a rapid molecular diagnostic test, is being rapidly adopted by countries to detect TB and rifampicin-resistant TB. By end June 2014, 3 269 testing machines and 7.5 million test cartridges had been procured by 108 of the 145 countries eligible for concessional prices. FINANCING FOR TB CARE AND CONTROL Between 2013 and 2015 up to US{$} 8 billion per year is needed in low-and middle-income countries, with a funding gap of up to US{$} 3 billion per year. International donor funding is especially critical to sustain recent gains and make further progress in RESEARCH AND DEVELOPMENT Tuberculosis (TB) is contagious and airborne. It ranks as the second lea…","author":[{"dropping-particle":"","family":"WHO","given":"","non-dropping-particle":"","parse-names":false,"suffix":""}],"id":"ITEM-1","issued":{"date-parts":[["2006"]]},"publisher-place":"Geneva","title":"Guidelines for testing adulticides for indoor residual spraying and treatment of mosquito nets","type":"report"},"uris":["http://www.mendeley.com/documents/?uuid=04f3b313-6c0e-3ced-971e-ac47d5b272bb"]}],"mendeley":{"formattedCitation":"[17]","plainTextFormattedCitation":"[17]","previouslyFormattedCitation":"[17]"},"properties":{"noteIndex":0},"schema":"https://github.com/citation-style-language/schema/raw/master/csl-citation.json"}</w:instrText>
      </w:r>
      <w:r w:rsidR="00BD1AEC" w:rsidRPr="00D0161E">
        <w:rPr>
          <w:rFonts w:ascii="Times New Roman" w:hAnsi="Times New Roman" w:cs="Times New Roman"/>
          <w:b w:val="0"/>
          <w:color w:val="000000" w:themeColor="text1"/>
          <w:szCs w:val="22"/>
          <w:lang w:val="en-GB"/>
        </w:rPr>
        <w:fldChar w:fldCharType="separate"/>
      </w:r>
      <w:r w:rsidR="00B63A44" w:rsidRPr="00B63A44">
        <w:rPr>
          <w:rFonts w:ascii="Times New Roman" w:hAnsi="Times New Roman" w:cs="Times New Roman"/>
          <w:b w:val="0"/>
          <w:noProof/>
          <w:color w:val="000000" w:themeColor="text1"/>
          <w:szCs w:val="22"/>
          <w:lang w:val="en-GB"/>
        </w:rPr>
        <w:t>[17]</w:t>
      </w:r>
      <w:r w:rsidR="00BD1AEC" w:rsidRPr="00D0161E">
        <w:rPr>
          <w:rFonts w:ascii="Times New Roman" w:hAnsi="Times New Roman" w:cs="Times New Roman"/>
          <w:b w:val="0"/>
          <w:color w:val="000000" w:themeColor="text1"/>
          <w:szCs w:val="22"/>
          <w:lang w:val="en-GB"/>
        </w:rPr>
        <w:fldChar w:fldCharType="end"/>
      </w:r>
      <w:r w:rsidR="00AF1D00" w:rsidRPr="00D0161E">
        <w:rPr>
          <w:rFonts w:ascii="Times New Roman" w:hAnsi="Times New Roman" w:cs="Times New Roman"/>
          <w:b w:val="0"/>
          <w:color w:val="000000" w:themeColor="text1"/>
          <w:szCs w:val="22"/>
          <w:lang w:val="en-GB"/>
        </w:rPr>
        <w:t xml:space="preserve">. </w:t>
      </w:r>
      <w:bookmarkStart w:id="22" w:name="_Hlk50393791"/>
      <w:bookmarkEnd w:id="20"/>
      <w:r w:rsidR="005459BE" w:rsidRPr="00D0161E">
        <w:rPr>
          <w:rFonts w:ascii="Times New Roman" w:hAnsi="Times New Roman" w:cs="Times New Roman"/>
          <w:b w:val="0"/>
          <w:color w:val="000000" w:themeColor="text1"/>
          <w:szCs w:val="22"/>
          <w:lang w:val="en-GB"/>
        </w:rPr>
        <w:t>Before test surfaces were treated with the IRS formulation, the centrali</w:t>
      </w:r>
      <w:r w:rsidR="002870B0">
        <w:rPr>
          <w:rFonts w:ascii="Times New Roman" w:hAnsi="Times New Roman" w:cs="Times New Roman"/>
          <w:b w:val="0"/>
          <w:color w:val="000000" w:themeColor="text1"/>
          <w:szCs w:val="22"/>
          <w:lang w:val="en-GB"/>
        </w:rPr>
        <w:t>z</w:t>
      </w:r>
      <w:r w:rsidR="005459BE" w:rsidRPr="00D0161E">
        <w:rPr>
          <w:rFonts w:ascii="Times New Roman" w:hAnsi="Times New Roman" w:cs="Times New Roman"/>
          <w:b w:val="0"/>
          <w:color w:val="000000" w:themeColor="text1"/>
          <w:szCs w:val="22"/>
          <w:lang w:val="en-GB"/>
        </w:rPr>
        <w:t xml:space="preserve">ation of the Potter Tower was validated by demonstrating that the spray rate varied by &lt;10% across the spray area, the spray weight was validated to vary by &lt;10% between sprays, and to be within 10% of the target spray weight for the formulation, according to a standard protocol. </w:t>
      </w:r>
      <w:bookmarkStart w:id="23" w:name="_Hlk51164672"/>
      <w:bookmarkEnd w:id="22"/>
      <w:r w:rsidR="005A41F6" w:rsidRPr="00D0161E">
        <w:rPr>
          <w:rFonts w:ascii="Times New Roman" w:hAnsi="Times New Roman" w:cs="Times New Roman"/>
          <w:b w:val="0"/>
          <w:color w:val="000000" w:themeColor="text1"/>
          <w:szCs w:val="22"/>
          <w:lang w:val="en-GB"/>
        </w:rPr>
        <w:t xml:space="preserve">An additional calibration was performed whereby filter papers were treated with different concentrations of the </w:t>
      </w:r>
      <w:proofErr w:type="spellStart"/>
      <w:r w:rsidR="00D54567" w:rsidRPr="00D54567">
        <w:rPr>
          <w:rFonts w:ascii="Times New Roman" w:hAnsi="Times New Roman" w:cs="Times New Roman"/>
          <w:b w:val="0"/>
          <w:color w:val="000000" w:themeColor="text1"/>
          <w:szCs w:val="22"/>
          <w:lang w:val="en-GB"/>
        </w:rPr>
        <w:t>Tenebenal</w:t>
      </w:r>
      <w:r w:rsidR="005A41F6" w:rsidRPr="00D0161E">
        <w:rPr>
          <w:rFonts w:ascii="Times New Roman" w:hAnsi="Times New Roman" w:cs="Times New Roman"/>
          <w:b w:val="0"/>
          <w:color w:val="000000" w:themeColor="text1"/>
          <w:szCs w:val="22"/>
          <w:vertAlign w:val="superscript"/>
          <w:lang w:val="en-GB"/>
        </w:rPr>
        <w:t>TM</w:t>
      </w:r>
      <w:proofErr w:type="spellEnd"/>
      <w:r w:rsidR="005A41F6" w:rsidRPr="00D0161E">
        <w:rPr>
          <w:rFonts w:ascii="Times New Roman" w:hAnsi="Times New Roman" w:cs="Times New Roman"/>
          <w:b w:val="0"/>
          <w:color w:val="000000" w:themeColor="text1"/>
          <w:szCs w:val="22"/>
          <w:lang w:val="en-GB"/>
        </w:rPr>
        <w:t xml:space="preserve"> formulation and target dose of the control formulations</w:t>
      </w:r>
      <w:r w:rsidR="00B1007F" w:rsidRPr="00D0161E">
        <w:rPr>
          <w:rFonts w:ascii="Times New Roman" w:hAnsi="Times New Roman" w:cs="Times New Roman"/>
          <w:b w:val="0"/>
          <w:color w:val="000000" w:themeColor="text1"/>
          <w:szCs w:val="22"/>
          <w:lang w:val="en-GB"/>
        </w:rPr>
        <w:t xml:space="preserve">, and 3 samples were taken from each for </w:t>
      </w:r>
      <w:bookmarkStart w:id="24" w:name="_Hlk51851410"/>
      <w:r w:rsidR="00B63A44" w:rsidRPr="00B63A44">
        <w:rPr>
          <w:rFonts w:ascii="Times New Roman" w:hAnsi="Times New Roman" w:cs="Times New Roman"/>
          <w:b w:val="0"/>
          <w:color w:val="000000" w:themeColor="text1"/>
          <w:szCs w:val="22"/>
          <w:lang w:val="en-GB"/>
        </w:rPr>
        <w:t xml:space="preserve">high pressure liquid chromatography </w:t>
      </w:r>
      <w:r w:rsidR="00B63A44" w:rsidRPr="00BE1684">
        <w:rPr>
          <w:rFonts w:ascii="Times New Roman" w:hAnsi="Times New Roman" w:cs="Times New Roman"/>
          <w:b w:val="0"/>
          <w:color w:val="000000" w:themeColor="text1"/>
          <w:szCs w:val="22"/>
          <w:lang w:val="en-GB"/>
        </w:rPr>
        <w:t>(</w:t>
      </w:r>
      <w:r w:rsidR="00BD1AEC" w:rsidRPr="00BE1684">
        <w:rPr>
          <w:rFonts w:ascii="Times New Roman" w:hAnsi="Times New Roman" w:cs="Times New Roman"/>
          <w:b w:val="0"/>
          <w:color w:val="000000" w:themeColor="text1"/>
          <w:szCs w:val="22"/>
          <w:lang w:val="en-GB"/>
        </w:rPr>
        <w:t>HPLC</w:t>
      </w:r>
      <w:r w:rsidR="00B63A44" w:rsidRPr="00BE1684">
        <w:rPr>
          <w:rFonts w:ascii="Times New Roman" w:hAnsi="Times New Roman" w:cs="Times New Roman"/>
          <w:b w:val="0"/>
          <w:color w:val="000000" w:themeColor="text1"/>
          <w:szCs w:val="22"/>
          <w:lang w:val="en-GB"/>
        </w:rPr>
        <w:t>)</w:t>
      </w:r>
      <w:bookmarkEnd w:id="24"/>
      <w:r w:rsidR="00B1007F" w:rsidRPr="00D0161E">
        <w:rPr>
          <w:rFonts w:ascii="Times New Roman" w:hAnsi="Times New Roman" w:cs="Times New Roman"/>
          <w:b w:val="0"/>
          <w:color w:val="000000" w:themeColor="text1"/>
          <w:szCs w:val="22"/>
          <w:lang w:val="en-GB"/>
        </w:rPr>
        <w:t xml:space="preserve"> analysis; with the exception of bendiocarb</w:t>
      </w:r>
      <w:r w:rsidR="00683597">
        <w:rPr>
          <w:rFonts w:ascii="Times New Roman" w:hAnsi="Times New Roman" w:cs="Times New Roman"/>
          <w:b w:val="0"/>
          <w:color w:val="000000" w:themeColor="text1"/>
          <w:szCs w:val="22"/>
          <w:lang w:val="en-GB"/>
        </w:rPr>
        <w:t>,</w:t>
      </w:r>
      <w:r w:rsidR="00B1007F" w:rsidRPr="00D0161E">
        <w:rPr>
          <w:rFonts w:ascii="Times New Roman" w:hAnsi="Times New Roman" w:cs="Times New Roman"/>
          <w:b w:val="0"/>
          <w:color w:val="000000" w:themeColor="text1"/>
          <w:szCs w:val="22"/>
          <w:lang w:val="en-GB"/>
        </w:rPr>
        <w:t xml:space="preserve"> distribution was shown to be homogeneous (Supplementary Table 2).</w:t>
      </w:r>
      <w:bookmarkEnd w:id="23"/>
      <w:r w:rsidR="00683597">
        <w:rPr>
          <w:rFonts w:ascii="Times New Roman" w:hAnsi="Times New Roman" w:cs="Times New Roman"/>
          <w:b w:val="0"/>
          <w:color w:val="000000" w:themeColor="text1"/>
          <w:szCs w:val="22"/>
          <w:lang w:val="en-GB"/>
        </w:rPr>
        <w:t xml:space="preserve"> </w:t>
      </w:r>
      <w:r w:rsidRPr="00D0161E">
        <w:rPr>
          <w:rFonts w:ascii="Times New Roman" w:hAnsi="Times New Roman" w:cs="Times New Roman"/>
          <w:b w:val="0"/>
          <w:color w:val="000000" w:themeColor="text1"/>
          <w:szCs w:val="22"/>
          <w:lang w:val="en-GB"/>
        </w:rPr>
        <w:t>Surfaces</w:t>
      </w:r>
      <w:r w:rsidR="00B05C0D" w:rsidRPr="00D0161E">
        <w:rPr>
          <w:rFonts w:ascii="Times New Roman" w:hAnsi="Times New Roman" w:cs="Times New Roman"/>
          <w:b w:val="0"/>
          <w:color w:val="000000" w:themeColor="text1"/>
          <w:szCs w:val="22"/>
          <w:lang w:val="en-GB"/>
        </w:rPr>
        <w:t xml:space="preserve"> were</w:t>
      </w:r>
      <w:r w:rsidRPr="00D0161E">
        <w:rPr>
          <w:rFonts w:ascii="Times New Roman" w:hAnsi="Times New Roman" w:cs="Times New Roman"/>
          <w:b w:val="0"/>
          <w:color w:val="000000" w:themeColor="text1"/>
          <w:szCs w:val="22"/>
          <w:lang w:val="en-GB"/>
        </w:rPr>
        <w:t xml:space="preserve"> stored in a climate-controlled stability cabinet </w:t>
      </w:r>
      <w:r w:rsidR="00917CC2" w:rsidRPr="00D0161E">
        <w:rPr>
          <w:rFonts w:ascii="Times New Roman" w:hAnsi="Times New Roman" w:cs="Times New Roman"/>
          <w:b w:val="0"/>
          <w:color w:val="000000" w:themeColor="text1"/>
          <w:szCs w:val="22"/>
          <w:lang w:val="en-GB"/>
        </w:rPr>
        <w:t xml:space="preserve">at typical conditions under which IRS would be deployed </w:t>
      </w:r>
      <w:r w:rsidRPr="00D0161E">
        <w:rPr>
          <w:rFonts w:ascii="Times New Roman" w:hAnsi="Times New Roman" w:cs="Times New Roman"/>
          <w:b w:val="0"/>
          <w:color w:val="000000" w:themeColor="text1"/>
          <w:szCs w:val="22"/>
          <w:lang w:val="en-GB"/>
        </w:rPr>
        <w:t>(27±2°C and 80±10% RH), with air circulation and in the dark, when not in use for bioassays.</w:t>
      </w:r>
    </w:p>
    <w:p w14:paraId="0F18A02B" w14:textId="77777777" w:rsidR="00BB6F30" w:rsidRPr="00025A3F" w:rsidRDefault="00BB6F30" w:rsidP="00025A3F">
      <w:pPr>
        <w:rPr>
          <w:b/>
        </w:rPr>
      </w:pPr>
    </w:p>
    <w:p w14:paraId="2F2416D6" w14:textId="77777777" w:rsidR="005920F0"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Cone tests to measure mortality on exposure to IRS-treated surfaces</w:t>
      </w:r>
    </w:p>
    <w:p w14:paraId="168CD654" w14:textId="27DA5F37" w:rsidR="004911B1" w:rsidRPr="00D0161E" w:rsidRDefault="00D429F7" w:rsidP="00D0161E">
      <w:pPr>
        <w:pStyle w:val="Style1"/>
        <w:numPr>
          <w:ilvl w:val="0"/>
          <w:numId w:val="0"/>
        </w:numPr>
        <w:spacing w:before="0" w:line="480" w:lineRule="auto"/>
        <w:rPr>
          <w:rFonts w:ascii="Times New Roman" w:hAnsi="Times New Roman" w:cs="Times New Roman"/>
          <w:b w:val="0"/>
          <w:color w:val="000000" w:themeColor="text1"/>
          <w:szCs w:val="22"/>
          <w:lang w:val="en-GB"/>
        </w:rPr>
      </w:pPr>
      <w:r w:rsidRPr="00D0161E">
        <w:rPr>
          <w:rFonts w:ascii="Times New Roman" w:hAnsi="Times New Roman" w:cs="Times New Roman"/>
          <w:b w:val="0"/>
          <w:color w:val="000000" w:themeColor="text1"/>
          <w:szCs w:val="22"/>
          <w:lang w:val="en-GB"/>
        </w:rPr>
        <w:t xml:space="preserve">To measure the residual efficacy of a prototype WP formulation of </w:t>
      </w:r>
      <w:proofErr w:type="spellStart"/>
      <w:r w:rsidR="00D54567" w:rsidRPr="00D54567">
        <w:rPr>
          <w:rFonts w:ascii="Times New Roman" w:hAnsi="Times New Roman" w:cs="Times New Roman"/>
          <w:b w:val="0"/>
          <w:color w:val="000000" w:themeColor="text1"/>
          <w:szCs w:val="22"/>
          <w:lang w:val="en-GB"/>
        </w:rPr>
        <w:t>Tenebenal</w:t>
      </w:r>
      <w:r w:rsidRPr="00D0161E">
        <w:rPr>
          <w:rFonts w:ascii="Times New Roman" w:hAnsi="Times New Roman" w:cs="Times New Roman"/>
          <w:b w:val="0"/>
          <w:color w:val="000000" w:themeColor="text1"/>
          <w:szCs w:val="22"/>
          <w:vertAlign w:val="superscript"/>
          <w:lang w:val="en-GB"/>
        </w:rPr>
        <w:t>TM</w:t>
      </w:r>
      <w:proofErr w:type="spellEnd"/>
      <w:r w:rsidRPr="00D0161E">
        <w:rPr>
          <w:rFonts w:ascii="Times New Roman" w:hAnsi="Times New Roman" w:cs="Times New Roman"/>
          <w:b w:val="0"/>
          <w:color w:val="000000" w:themeColor="text1"/>
          <w:szCs w:val="22"/>
          <w:lang w:val="en-GB"/>
        </w:rPr>
        <w:t>, e</w:t>
      </w:r>
      <w:r w:rsidR="00311E73" w:rsidRPr="00D0161E">
        <w:rPr>
          <w:rFonts w:ascii="Times New Roman" w:hAnsi="Times New Roman" w:cs="Times New Roman"/>
          <w:b w:val="0"/>
          <w:color w:val="000000" w:themeColor="text1"/>
          <w:szCs w:val="22"/>
          <w:lang w:val="en-GB"/>
        </w:rPr>
        <w:t xml:space="preserve">very </w:t>
      </w:r>
      <w:r w:rsidR="00683597">
        <w:rPr>
          <w:rFonts w:ascii="Times New Roman" w:hAnsi="Times New Roman" w:cs="Times New Roman"/>
          <w:b w:val="0"/>
          <w:color w:val="000000" w:themeColor="text1"/>
          <w:szCs w:val="22"/>
          <w:lang w:val="en-GB"/>
        </w:rPr>
        <w:t>4</w:t>
      </w:r>
      <w:r w:rsidR="00683597" w:rsidRPr="00D0161E">
        <w:rPr>
          <w:rFonts w:ascii="Times New Roman" w:hAnsi="Times New Roman" w:cs="Times New Roman"/>
          <w:b w:val="0"/>
          <w:color w:val="000000" w:themeColor="text1"/>
          <w:szCs w:val="22"/>
          <w:lang w:val="en-GB"/>
        </w:rPr>
        <w:t xml:space="preserve"> </w:t>
      </w:r>
      <w:r w:rsidR="00311E73" w:rsidRPr="00D0161E">
        <w:rPr>
          <w:rFonts w:ascii="Times New Roman" w:hAnsi="Times New Roman" w:cs="Times New Roman"/>
          <w:b w:val="0"/>
          <w:color w:val="000000" w:themeColor="text1"/>
          <w:szCs w:val="22"/>
          <w:lang w:val="en-GB"/>
        </w:rPr>
        <w:t>weeks</w:t>
      </w:r>
      <w:r w:rsidR="00814028" w:rsidRPr="00D0161E">
        <w:rPr>
          <w:rFonts w:ascii="Times New Roman" w:hAnsi="Times New Roman" w:cs="Times New Roman"/>
          <w:b w:val="0"/>
          <w:color w:val="000000" w:themeColor="text1"/>
          <w:szCs w:val="22"/>
          <w:lang w:val="en-GB"/>
        </w:rPr>
        <w:t xml:space="preserve"> a WHO </w:t>
      </w:r>
      <w:r w:rsidR="00BD2A2C" w:rsidRPr="00D0161E">
        <w:rPr>
          <w:rFonts w:ascii="Times New Roman" w:hAnsi="Times New Roman" w:cs="Times New Roman"/>
          <w:b w:val="0"/>
          <w:color w:val="000000" w:themeColor="text1"/>
          <w:szCs w:val="22"/>
          <w:lang w:val="en-GB"/>
        </w:rPr>
        <w:t>c</w:t>
      </w:r>
      <w:r w:rsidR="00814028" w:rsidRPr="00D0161E">
        <w:rPr>
          <w:rFonts w:ascii="Times New Roman" w:hAnsi="Times New Roman" w:cs="Times New Roman"/>
          <w:b w:val="0"/>
          <w:color w:val="000000" w:themeColor="text1"/>
          <w:szCs w:val="22"/>
          <w:lang w:val="en-GB"/>
        </w:rPr>
        <w:t xml:space="preserve">one bioassay </w:t>
      </w:r>
      <w:r w:rsidR="00BD1AEC" w:rsidRPr="00D0161E">
        <w:rPr>
          <w:rFonts w:ascii="Times New Roman" w:hAnsi="Times New Roman" w:cs="Times New Roman"/>
          <w:b w:val="0"/>
          <w:color w:val="000000" w:themeColor="text1"/>
          <w:szCs w:val="22"/>
          <w:lang w:val="en-GB"/>
        </w:rPr>
        <w:fldChar w:fldCharType="begin" w:fldLock="1"/>
      </w:r>
      <w:r w:rsidR="00B63A44">
        <w:rPr>
          <w:rFonts w:ascii="Times New Roman" w:hAnsi="Times New Roman" w:cs="Times New Roman"/>
          <w:b w:val="0"/>
          <w:color w:val="000000" w:themeColor="text1"/>
          <w:szCs w:val="22"/>
          <w:lang w:val="en-GB"/>
        </w:rPr>
        <w:instrText>ADDIN CSL_CITATION {"citationItems":[{"id":"ITEM-1","itemData":{"DOI":"WHO/CDS/NTD/WHOPES/GCDPP/2006.3","abstract":"More than 50 companies are involved in the development of TB diagnostics. There are 10 new or re-purposed anti-TB drugs in late phases of clinical development. In the last two years, two new drugs have been approved for the treatment of MDR-TB under specific conditions: bedaquiline and delamanid. There are currently 15 vaccine candidates in clinical trials. US{$} 8 billion per year is needed for a full response to the global TB epidemic in low-and middle-income countries by 2015, with a funding gap of US{$} 2 billion per year. The amount excludes resources required for research and devel-opment, which are estimated at about US{$} 2 billion per year. 37 million lives saved between 2000 and 2013 through effective diagnosis and treatment 45{%} decline in TB mortality rate and 41{%} decline in TB prevalence since 1990 Fragile progress in MDR-TB diagnosis and treatment but widening gaps in treatment coverage could compromise gains MULTIDRUG-RESISTANT TB Globally in 2013, an estimated 480 000 people developed multidrug-resistant TB (MDR-TB) and there were an estimated 210 000 deaths from MDR-TB. The number of people diagnosed with MDR-TB tripled between 2009 and 2013, and reached 136 000 worldwide. This was equivalent to 45{%} of the estimated MDR-TB cases among notified TB patients. Progress in the detection of drug-resistant TB has been facilitated by the use of new rapid diagnostics. A total of 97 000 patients were started on MDR-TB treatment in 2013, a three-fold increase compared with 2009. However, 39 000 patients were on waiting lists, and the gap between diagnosis and treatment widened between 2012 and 2013 in several countries. Extensively drug-resistant TB (XDR-TB) has been reported by 100 countries in 2013. On average, an estimated 9{%} of people with MDR-TB have XDR-TB. NEW DIAGNOSTICS Xpert{®} MTB/RIF, a rapid molecular diagnostic test, is being rapidly adopted by countries to detect TB and rifampicin-resistant TB. By end June 2014, 3 269 testing machines and 7.5 million test cartridges had been procured by 108 of the 145 countries eligible for concessional prices. FINANCING FOR TB CARE AND CONTROL Between 2013 and 2015 up to US{$} 8 billion per year is needed in low-and middle-income countries, with a funding gap of up to US{$} 3 billion per year. International donor funding is especially critical to sustain recent gains and make further progress in RESEARCH AND DEVELOPMENT Tuberculosis (TB) is contagious and airborne. It ranks as the second lea…","author":[{"dropping-particle":"","family":"WHO","given":"","non-dropping-particle":"","parse-names":false,"suffix":""}],"id":"ITEM-1","issued":{"date-parts":[["2006"]]},"publisher-place":"Geneva","title":"Guidelines for testing adulticides for indoor residual spraying and treatment of mosquito nets","type":"report"},"uris":["http://www.mendeley.com/documents/?uuid=04f3b313-6c0e-3ced-971e-ac47d5b272bb"]}],"mendeley":{"formattedCitation":"[17]","plainTextFormattedCitation":"[17]","previouslyFormattedCitation":"[17]"},"properties":{"noteIndex":0},"schema":"https://github.com/citation-style-language/schema/raw/master/csl-citation.json"}</w:instrText>
      </w:r>
      <w:r w:rsidR="00BD1AEC" w:rsidRPr="00D0161E">
        <w:rPr>
          <w:rFonts w:ascii="Times New Roman" w:hAnsi="Times New Roman" w:cs="Times New Roman"/>
          <w:b w:val="0"/>
          <w:color w:val="000000" w:themeColor="text1"/>
          <w:szCs w:val="22"/>
          <w:lang w:val="en-GB"/>
        </w:rPr>
        <w:fldChar w:fldCharType="separate"/>
      </w:r>
      <w:r w:rsidR="00B63A44" w:rsidRPr="00B63A44">
        <w:rPr>
          <w:rFonts w:ascii="Times New Roman" w:hAnsi="Times New Roman" w:cs="Times New Roman"/>
          <w:b w:val="0"/>
          <w:noProof/>
          <w:color w:val="000000" w:themeColor="text1"/>
          <w:szCs w:val="22"/>
          <w:lang w:val="en-GB"/>
        </w:rPr>
        <w:t>[17]</w:t>
      </w:r>
      <w:r w:rsidR="00BD1AEC" w:rsidRPr="00D0161E">
        <w:rPr>
          <w:rFonts w:ascii="Times New Roman" w:hAnsi="Times New Roman" w:cs="Times New Roman"/>
          <w:b w:val="0"/>
          <w:color w:val="000000" w:themeColor="text1"/>
          <w:szCs w:val="22"/>
          <w:lang w:val="en-GB"/>
        </w:rPr>
        <w:fldChar w:fldCharType="end"/>
      </w:r>
      <w:r w:rsidR="00917CC2" w:rsidRPr="00D0161E">
        <w:rPr>
          <w:rFonts w:ascii="Times New Roman" w:hAnsi="Times New Roman" w:cs="Times New Roman"/>
          <w:b w:val="0"/>
          <w:color w:val="000000" w:themeColor="text1"/>
          <w:szCs w:val="22"/>
          <w:lang w:val="en-GB"/>
        </w:rPr>
        <w:t xml:space="preserve"> </w:t>
      </w:r>
      <w:r w:rsidR="00814028" w:rsidRPr="00D0161E">
        <w:rPr>
          <w:rFonts w:ascii="Times New Roman" w:hAnsi="Times New Roman" w:cs="Times New Roman"/>
          <w:b w:val="0"/>
          <w:color w:val="000000" w:themeColor="text1"/>
          <w:szCs w:val="22"/>
          <w:lang w:val="en-GB"/>
        </w:rPr>
        <w:t xml:space="preserve">was performed </w:t>
      </w:r>
      <w:r w:rsidR="00BD2A2C" w:rsidRPr="00D0161E">
        <w:rPr>
          <w:rFonts w:ascii="Times New Roman" w:hAnsi="Times New Roman" w:cs="Times New Roman"/>
          <w:b w:val="0"/>
          <w:color w:val="000000" w:themeColor="text1"/>
          <w:szCs w:val="22"/>
          <w:lang w:val="en-GB"/>
        </w:rPr>
        <w:t xml:space="preserve">with </w:t>
      </w:r>
      <w:r w:rsidR="005459BE" w:rsidRPr="00D0161E">
        <w:rPr>
          <w:rFonts w:ascii="Times New Roman" w:hAnsi="Times New Roman" w:cs="Times New Roman"/>
          <w:b w:val="0"/>
          <w:color w:val="000000" w:themeColor="text1"/>
          <w:szCs w:val="22"/>
          <w:lang w:val="en-GB"/>
        </w:rPr>
        <w:t xml:space="preserve">10 </w:t>
      </w:r>
      <w:r w:rsidR="00BD2A2C" w:rsidRPr="00D0161E">
        <w:rPr>
          <w:rFonts w:ascii="Times New Roman" w:hAnsi="Times New Roman" w:cs="Times New Roman"/>
          <w:b w:val="0"/>
          <w:color w:val="000000" w:themeColor="text1"/>
          <w:szCs w:val="22"/>
          <w:lang w:val="en-GB"/>
        </w:rPr>
        <w:t xml:space="preserve">adult </w:t>
      </w:r>
      <w:r w:rsidR="00814028" w:rsidRPr="00D0161E">
        <w:rPr>
          <w:rFonts w:ascii="Times New Roman" w:hAnsi="Times New Roman" w:cs="Times New Roman"/>
          <w:b w:val="0"/>
          <w:color w:val="000000" w:themeColor="text1"/>
          <w:szCs w:val="22"/>
          <w:lang w:val="en-GB"/>
        </w:rPr>
        <w:t>female mosquitoes</w:t>
      </w:r>
      <w:r w:rsidR="007F25A9" w:rsidRPr="00D0161E">
        <w:rPr>
          <w:rFonts w:ascii="Times New Roman" w:hAnsi="Times New Roman" w:cs="Times New Roman"/>
          <w:b w:val="0"/>
          <w:color w:val="000000" w:themeColor="text1"/>
          <w:szCs w:val="22"/>
          <w:lang w:val="en-GB"/>
        </w:rPr>
        <w:t xml:space="preserve"> of the susceptible Kisumu </w:t>
      </w:r>
      <w:r w:rsidR="00994C95" w:rsidRPr="00D0161E">
        <w:rPr>
          <w:rFonts w:ascii="Times New Roman" w:hAnsi="Times New Roman" w:cs="Times New Roman"/>
          <w:b w:val="0"/>
          <w:color w:val="000000" w:themeColor="text1"/>
          <w:szCs w:val="22"/>
          <w:lang w:val="en-GB"/>
        </w:rPr>
        <w:t>strain</w:t>
      </w:r>
      <w:r w:rsidR="00814028" w:rsidRPr="00D0161E">
        <w:rPr>
          <w:rFonts w:ascii="Times New Roman" w:hAnsi="Times New Roman" w:cs="Times New Roman"/>
          <w:b w:val="0"/>
          <w:color w:val="000000" w:themeColor="text1"/>
          <w:szCs w:val="22"/>
          <w:lang w:val="en-GB"/>
        </w:rPr>
        <w:t xml:space="preserve"> </w:t>
      </w:r>
      <w:r w:rsidR="00BD2A2C" w:rsidRPr="00D0161E">
        <w:rPr>
          <w:rFonts w:ascii="Times New Roman" w:hAnsi="Times New Roman" w:cs="Times New Roman"/>
          <w:b w:val="0"/>
          <w:color w:val="000000" w:themeColor="text1"/>
          <w:szCs w:val="22"/>
          <w:lang w:val="en-GB"/>
        </w:rPr>
        <w:t xml:space="preserve">exposed </w:t>
      </w:r>
      <w:r w:rsidR="00814028" w:rsidRPr="00D0161E">
        <w:rPr>
          <w:rFonts w:ascii="Times New Roman" w:hAnsi="Times New Roman" w:cs="Times New Roman"/>
          <w:b w:val="0"/>
          <w:color w:val="000000" w:themeColor="text1"/>
          <w:szCs w:val="22"/>
          <w:lang w:val="en-GB"/>
        </w:rPr>
        <w:t xml:space="preserve">to all treated surfaces for 30 min. </w:t>
      </w:r>
      <w:bookmarkStart w:id="25" w:name="_Hlk51163086"/>
      <w:r w:rsidR="003D03AB" w:rsidRPr="00D0161E">
        <w:rPr>
          <w:rFonts w:ascii="Times New Roman" w:hAnsi="Times New Roman" w:cs="Times New Roman"/>
          <w:b w:val="0"/>
          <w:color w:val="000000" w:themeColor="text1"/>
          <w:szCs w:val="22"/>
          <w:lang w:val="en-GB"/>
        </w:rPr>
        <w:t>KD</w:t>
      </w:r>
      <w:r w:rsidR="00814028" w:rsidRPr="00D0161E">
        <w:rPr>
          <w:rFonts w:ascii="Times New Roman" w:hAnsi="Times New Roman" w:cs="Times New Roman"/>
          <w:b w:val="0"/>
          <w:color w:val="000000" w:themeColor="text1"/>
          <w:szCs w:val="22"/>
          <w:lang w:val="en-GB"/>
        </w:rPr>
        <w:t xml:space="preserve"> was scored 60 min after exposure, and mortality scored 24, 48 and 72 hours later, </w:t>
      </w:r>
      <w:r w:rsidR="00543893" w:rsidRPr="00D0161E">
        <w:rPr>
          <w:rFonts w:ascii="Times New Roman" w:hAnsi="Times New Roman" w:cs="Times New Roman"/>
          <w:b w:val="0"/>
          <w:color w:val="000000" w:themeColor="text1"/>
          <w:szCs w:val="22"/>
          <w:lang w:val="en-GB"/>
        </w:rPr>
        <w:t xml:space="preserve">to observe whether the speed of action remained consistent over time, </w:t>
      </w:r>
      <w:r w:rsidR="00814028" w:rsidRPr="00D0161E">
        <w:rPr>
          <w:rFonts w:ascii="Times New Roman" w:hAnsi="Times New Roman" w:cs="Times New Roman"/>
          <w:b w:val="0"/>
          <w:color w:val="000000" w:themeColor="text1"/>
          <w:szCs w:val="22"/>
          <w:lang w:val="en-GB"/>
        </w:rPr>
        <w:t xml:space="preserve">with mosquitoes being held as described for other bioassays between </w:t>
      </w:r>
      <w:r w:rsidR="00BD2A2C" w:rsidRPr="00D0161E">
        <w:rPr>
          <w:rFonts w:ascii="Times New Roman" w:hAnsi="Times New Roman" w:cs="Times New Roman"/>
          <w:b w:val="0"/>
          <w:color w:val="000000" w:themeColor="text1"/>
          <w:szCs w:val="22"/>
          <w:lang w:val="en-GB"/>
        </w:rPr>
        <w:t>residual efficacy assessments</w:t>
      </w:r>
      <w:r w:rsidR="00814028" w:rsidRPr="00D0161E">
        <w:rPr>
          <w:rFonts w:ascii="Times New Roman" w:hAnsi="Times New Roman" w:cs="Times New Roman"/>
          <w:b w:val="0"/>
          <w:color w:val="000000" w:themeColor="text1"/>
          <w:szCs w:val="22"/>
          <w:lang w:val="en-GB"/>
        </w:rPr>
        <w:t xml:space="preserve">. Bioassays on a given </w:t>
      </w:r>
      <w:r w:rsidR="00BD2A2C" w:rsidRPr="00D0161E">
        <w:rPr>
          <w:rFonts w:ascii="Times New Roman" w:hAnsi="Times New Roman" w:cs="Times New Roman"/>
          <w:b w:val="0"/>
          <w:color w:val="000000" w:themeColor="text1"/>
          <w:szCs w:val="22"/>
          <w:lang w:val="en-GB"/>
        </w:rPr>
        <w:t xml:space="preserve">substrate </w:t>
      </w:r>
      <w:r w:rsidR="00814028" w:rsidRPr="00D0161E">
        <w:rPr>
          <w:rFonts w:ascii="Times New Roman" w:hAnsi="Times New Roman" w:cs="Times New Roman"/>
          <w:b w:val="0"/>
          <w:color w:val="000000" w:themeColor="text1"/>
          <w:szCs w:val="22"/>
          <w:lang w:val="en-GB"/>
        </w:rPr>
        <w:t>were discontinued if mortality 24 hours after exposure was below 80%</w:t>
      </w:r>
      <w:r w:rsidR="00BD2A2C" w:rsidRPr="00D0161E">
        <w:rPr>
          <w:rFonts w:ascii="Times New Roman" w:hAnsi="Times New Roman" w:cs="Times New Roman"/>
          <w:b w:val="0"/>
          <w:color w:val="000000" w:themeColor="text1"/>
          <w:szCs w:val="22"/>
          <w:lang w:val="en-GB"/>
        </w:rPr>
        <w:t xml:space="preserve"> for two consecutive months</w:t>
      </w:r>
      <w:r w:rsidR="00543893" w:rsidRPr="00D0161E">
        <w:rPr>
          <w:rFonts w:ascii="Times New Roman" w:hAnsi="Times New Roman" w:cs="Times New Roman"/>
          <w:b w:val="0"/>
          <w:color w:val="000000" w:themeColor="text1"/>
          <w:szCs w:val="22"/>
          <w:lang w:val="en-GB"/>
        </w:rPr>
        <w:t xml:space="preserve">, the WHO threshold for IRS efficacy </w:t>
      </w:r>
      <w:r w:rsidR="00BD1AEC" w:rsidRPr="00D0161E">
        <w:rPr>
          <w:rFonts w:ascii="Times New Roman" w:hAnsi="Times New Roman" w:cs="Times New Roman"/>
          <w:b w:val="0"/>
          <w:color w:val="000000" w:themeColor="text1"/>
          <w:szCs w:val="22"/>
          <w:lang w:val="en-GB"/>
        </w:rPr>
        <w:fldChar w:fldCharType="begin" w:fldLock="1"/>
      </w:r>
      <w:r w:rsidR="00B63A44">
        <w:rPr>
          <w:rFonts w:ascii="Times New Roman" w:hAnsi="Times New Roman" w:cs="Times New Roman"/>
          <w:b w:val="0"/>
          <w:color w:val="000000" w:themeColor="text1"/>
          <w:szCs w:val="22"/>
          <w:lang w:val="en-GB"/>
        </w:rPr>
        <w:instrText>ADDIN CSL_CITATION {"citationItems":[{"id":"ITEM-1","itemData":{"DOI":"WHO/CDS/NTD/WHOPES/GCDPP/2006.3","abstract":"More than 50 companies are involved in the development of TB diagnostics. There are 10 new or re-purposed anti-TB drugs in late phases of clinical development. In the last two years, two new drugs have been approved for the treatment of MDR-TB under specific conditions: bedaquiline and delamanid. There are currently 15 vaccine candidates in clinical trials. US{$} 8 billion per year is needed for a full response to the global TB epidemic in low-and middle-income countries by 2015, with a funding gap of US{$} 2 billion per year. The amount excludes resources required for research and devel-opment, which are estimated at about US{$} 2 billion per year. 37 million lives saved between 2000 and 2013 through effective diagnosis and treatment 45{%} decline in TB mortality rate and 41{%} decline in TB prevalence since 1990 Fragile progress in MDR-TB diagnosis and treatment but widening gaps in treatment coverage could compromise gains MULTIDRUG-RESISTANT TB Globally in 2013, an estimated 480 000 people developed multidrug-resistant TB (MDR-TB) and there were an estimated 210 000 deaths from MDR-TB. The number of people diagnosed with MDR-TB tripled between 2009 and 2013, and reached 136 000 worldwide. This was equivalent to 45{%} of the estimated MDR-TB cases among notified TB patients. Progress in the detection of drug-resistant TB has been facilitated by the use of new rapid diagnostics. A total of 97 000 patients were started on MDR-TB treatment in 2013, a three-fold increase compared with 2009. However, 39 000 patients were on waiting lists, and the gap between diagnosis and treatment widened between 2012 and 2013 in several countries. Extensively drug-resistant TB (XDR-TB) has been reported by 100 countries in 2013. On average, an estimated 9{%} of people with MDR-TB have XDR-TB. NEW DIAGNOSTICS Xpert{®} MTB/RIF, a rapid molecular diagnostic test, is being rapidly adopted by countries to detect TB and rifampicin-resistant TB. By end June 2014, 3 269 testing machines and 7.5 million test cartridges had been procured by 108 of the 145 countries eligible for concessional prices. FINANCING FOR TB CARE AND CONTROL Between 2013 and 2015 up to US{$} 8 billion per year is needed in low-and middle-income countries, with a funding gap of up to US{$} 3 billion per year. International donor funding is especially critical to sustain recent gains and make further progress in RESEARCH AND DEVELOPMENT Tuberculosis (TB) is contagious and airborne. It ranks as the second lea…","author":[{"dropping-particle":"","family":"WHO","given":"","non-dropping-particle":"","parse-names":false,"suffix":""}],"id":"ITEM-1","issued":{"date-parts":[["2006"]]},"publisher-place":"Geneva","title":"Guidelines for testing adulticides for indoor residual spraying and treatment of mosquito nets","type":"report"},"uris":["http://www.mendeley.com/documents/?uuid=04f3b313-6c0e-3ced-971e-ac47d5b272bb"]}],"mendeley":{"formattedCitation":"[17]","plainTextFormattedCitation":"[17]","previouslyFormattedCitation":"[17]"},"properties":{"noteIndex":0},"schema":"https://github.com/citation-style-language/schema/raw/master/csl-citation.json"}</w:instrText>
      </w:r>
      <w:r w:rsidR="00BD1AEC" w:rsidRPr="00D0161E">
        <w:rPr>
          <w:rFonts w:ascii="Times New Roman" w:hAnsi="Times New Roman" w:cs="Times New Roman"/>
          <w:b w:val="0"/>
          <w:color w:val="000000" w:themeColor="text1"/>
          <w:szCs w:val="22"/>
          <w:lang w:val="en-GB"/>
        </w:rPr>
        <w:fldChar w:fldCharType="separate"/>
      </w:r>
      <w:r w:rsidR="00B63A44" w:rsidRPr="00B63A44">
        <w:rPr>
          <w:rFonts w:ascii="Times New Roman" w:hAnsi="Times New Roman" w:cs="Times New Roman"/>
          <w:b w:val="0"/>
          <w:noProof/>
          <w:color w:val="000000" w:themeColor="text1"/>
          <w:szCs w:val="22"/>
          <w:lang w:val="en-GB"/>
        </w:rPr>
        <w:t>[17]</w:t>
      </w:r>
      <w:r w:rsidR="00BD1AEC" w:rsidRPr="00D0161E">
        <w:rPr>
          <w:rFonts w:ascii="Times New Roman" w:hAnsi="Times New Roman" w:cs="Times New Roman"/>
          <w:b w:val="0"/>
          <w:color w:val="000000" w:themeColor="text1"/>
          <w:szCs w:val="22"/>
          <w:lang w:val="en-GB"/>
        </w:rPr>
        <w:fldChar w:fldCharType="end"/>
      </w:r>
      <w:r w:rsidR="00683597">
        <w:rPr>
          <w:rFonts w:ascii="Times New Roman" w:hAnsi="Times New Roman" w:cs="Times New Roman"/>
          <w:b w:val="0"/>
          <w:color w:val="000000" w:themeColor="text1"/>
          <w:szCs w:val="22"/>
          <w:lang w:val="en-GB"/>
        </w:rPr>
        <w:t>.</w:t>
      </w:r>
      <w:r w:rsidR="00814028" w:rsidRPr="00D0161E">
        <w:rPr>
          <w:rFonts w:ascii="Times New Roman" w:hAnsi="Times New Roman" w:cs="Times New Roman"/>
          <w:b w:val="0"/>
          <w:color w:val="000000" w:themeColor="text1"/>
          <w:szCs w:val="22"/>
          <w:lang w:val="en-GB"/>
        </w:rPr>
        <w:t xml:space="preserve"> </w:t>
      </w:r>
      <w:r w:rsidR="00683597">
        <w:rPr>
          <w:rFonts w:ascii="Times New Roman" w:hAnsi="Times New Roman" w:cs="Times New Roman"/>
          <w:b w:val="0"/>
          <w:color w:val="000000" w:themeColor="text1"/>
          <w:szCs w:val="22"/>
          <w:lang w:val="en-GB"/>
        </w:rPr>
        <w:t>O</w:t>
      </w:r>
      <w:r w:rsidR="00BD2A2C" w:rsidRPr="00D0161E">
        <w:rPr>
          <w:rFonts w:ascii="Times New Roman" w:hAnsi="Times New Roman" w:cs="Times New Roman"/>
          <w:b w:val="0"/>
          <w:color w:val="000000" w:themeColor="text1"/>
          <w:szCs w:val="22"/>
          <w:lang w:val="en-GB"/>
        </w:rPr>
        <w:t>ccasionally</w:t>
      </w:r>
      <w:r w:rsidR="00311E73" w:rsidRPr="00D0161E">
        <w:rPr>
          <w:rFonts w:ascii="Times New Roman" w:hAnsi="Times New Roman" w:cs="Times New Roman"/>
          <w:b w:val="0"/>
          <w:color w:val="000000" w:themeColor="text1"/>
          <w:szCs w:val="22"/>
          <w:lang w:val="en-GB"/>
        </w:rPr>
        <w:t xml:space="preserve">, </w:t>
      </w:r>
      <w:r w:rsidR="00814028" w:rsidRPr="00D0161E">
        <w:rPr>
          <w:rFonts w:ascii="Times New Roman" w:hAnsi="Times New Roman" w:cs="Times New Roman"/>
          <w:b w:val="0"/>
          <w:color w:val="000000" w:themeColor="text1"/>
          <w:szCs w:val="22"/>
          <w:lang w:val="en-GB"/>
        </w:rPr>
        <w:t xml:space="preserve">some bioassays were continued for additional </w:t>
      </w:r>
      <w:r w:rsidR="00BD2A2C" w:rsidRPr="00D0161E">
        <w:rPr>
          <w:rFonts w:ascii="Times New Roman" w:hAnsi="Times New Roman" w:cs="Times New Roman"/>
          <w:b w:val="0"/>
          <w:color w:val="000000" w:themeColor="text1"/>
          <w:szCs w:val="22"/>
          <w:lang w:val="en-GB"/>
        </w:rPr>
        <w:t>assessments</w:t>
      </w:r>
      <w:r w:rsidR="00814028" w:rsidRPr="00D0161E">
        <w:rPr>
          <w:rFonts w:ascii="Times New Roman" w:hAnsi="Times New Roman" w:cs="Times New Roman"/>
          <w:b w:val="0"/>
          <w:color w:val="000000" w:themeColor="text1"/>
          <w:szCs w:val="22"/>
          <w:lang w:val="en-GB"/>
        </w:rPr>
        <w:t xml:space="preserve"> due to </w:t>
      </w:r>
      <w:r w:rsidR="00BD2A2C" w:rsidRPr="00D0161E">
        <w:rPr>
          <w:rFonts w:ascii="Times New Roman" w:hAnsi="Times New Roman" w:cs="Times New Roman"/>
          <w:b w:val="0"/>
          <w:color w:val="000000" w:themeColor="text1"/>
          <w:szCs w:val="22"/>
          <w:lang w:val="en-GB"/>
        </w:rPr>
        <w:t>month to month variability in mortality</w:t>
      </w:r>
      <w:r w:rsidR="00311E73" w:rsidRPr="00D0161E">
        <w:rPr>
          <w:rFonts w:ascii="Times New Roman" w:hAnsi="Times New Roman" w:cs="Times New Roman"/>
          <w:b w:val="0"/>
          <w:color w:val="000000" w:themeColor="text1"/>
          <w:szCs w:val="22"/>
          <w:lang w:val="en-GB"/>
        </w:rPr>
        <w:t>.</w:t>
      </w:r>
      <w:r w:rsidR="007F25A9" w:rsidRPr="00D0161E">
        <w:rPr>
          <w:rFonts w:ascii="Times New Roman" w:hAnsi="Times New Roman" w:cs="Times New Roman"/>
          <w:b w:val="0"/>
          <w:color w:val="000000" w:themeColor="text1"/>
          <w:szCs w:val="22"/>
          <w:lang w:val="en-GB"/>
        </w:rPr>
        <w:t xml:space="preserve">  </w:t>
      </w:r>
    </w:p>
    <w:p w14:paraId="34070C0A" w14:textId="77777777" w:rsidR="00683597" w:rsidRDefault="00683597" w:rsidP="00D0161E">
      <w:pPr>
        <w:pStyle w:val="Style1"/>
        <w:numPr>
          <w:ilvl w:val="0"/>
          <w:numId w:val="0"/>
        </w:numPr>
        <w:spacing w:before="0" w:line="480" w:lineRule="auto"/>
        <w:rPr>
          <w:rFonts w:ascii="Times New Roman" w:hAnsi="Times New Roman" w:cs="Times New Roman"/>
          <w:b w:val="0"/>
          <w:color w:val="000000" w:themeColor="text1"/>
          <w:szCs w:val="22"/>
          <w:lang w:val="en-GB"/>
        </w:rPr>
      </w:pPr>
      <w:bookmarkStart w:id="26" w:name="_Hlk51168406"/>
      <w:bookmarkEnd w:id="25"/>
    </w:p>
    <w:p w14:paraId="0D65A5F7" w14:textId="2F1824C5" w:rsidR="007D420F" w:rsidRPr="00D0161E" w:rsidRDefault="00D429F7" w:rsidP="00D0161E">
      <w:pPr>
        <w:pStyle w:val="Style1"/>
        <w:numPr>
          <w:ilvl w:val="0"/>
          <w:numId w:val="0"/>
        </w:numPr>
        <w:spacing w:before="0" w:line="480" w:lineRule="auto"/>
        <w:rPr>
          <w:rFonts w:ascii="Times New Roman" w:hAnsi="Times New Roman" w:cs="Times New Roman"/>
          <w:b w:val="0"/>
          <w:color w:val="000000" w:themeColor="text1"/>
          <w:szCs w:val="22"/>
          <w:lang w:val="en-GB"/>
        </w:rPr>
      </w:pPr>
      <w:r w:rsidRPr="00D0161E">
        <w:rPr>
          <w:rFonts w:ascii="Times New Roman" w:hAnsi="Times New Roman" w:cs="Times New Roman"/>
          <w:b w:val="0"/>
          <w:color w:val="000000" w:themeColor="text1"/>
          <w:szCs w:val="22"/>
          <w:lang w:val="en-GB"/>
        </w:rPr>
        <w:t>To confirm that the prototype IRS was also effective against pyrethroid</w:t>
      </w:r>
      <w:r w:rsidR="00683597">
        <w:rPr>
          <w:rFonts w:ascii="Times New Roman" w:hAnsi="Times New Roman" w:cs="Times New Roman"/>
          <w:b w:val="0"/>
          <w:color w:val="000000" w:themeColor="text1"/>
          <w:szCs w:val="22"/>
          <w:lang w:val="en-GB"/>
        </w:rPr>
        <w:t>-</w:t>
      </w:r>
      <w:r w:rsidRPr="00D0161E">
        <w:rPr>
          <w:rFonts w:ascii="Times New Roman" w:hAnsi="Times New Roman" w:cs="Times New Roman"/>
          <w:b w:val="0"/>
          <w:color w:val="000000" w:themeColor="text1"/>
          <w:szCs w:val="22"/>
          <w:lang w:val="en-GB"/>
        </w:rPr>
        <w:t xml:space="preserve">resistant mosquitoes when applied to different surfaces, </w:t>
      </w:r>
      <w:r w:rsidR="007F25A9" w:rsidRPr="00D0161E">
        <w:rPr>
          <w:rFonts w:ascii="Times New Roman" w:hAnsi="Times New Roman" w:cs="Times New Roman"/>
          <w:b w:val="0"/>
          <w:color w:val="000000" w:themeColor="text1"/>
          <w:szCs w:val="22"/>
          <w:lang w:val="en-GB"/>
        </w:rPr>
        <w:t xml:space="preserve">resistant Tiassalé 2 </w:t>
      </w:r>
      <w:r w:rsidR="00994C95" w:rsidRPr="00D0161E">
        <w:rPr>
          <w:rFonts w:ascii="Times New Roman" w:hAnsi="Times New Roman" w:cs="Times New Roman"/>
          <w:b w:val="0"/>
          <w:color w:val="000000" w:themeColor="text1"/>
          <w:szCs w:val="22"/>
          <w:lang w:val="en-GB"/>
        </w:rPr>
        <w:t>strain</w:t>
      </w:r>
      <w:r w:rsidR="007F25A9" w:rsidRPr="00D0161E">
        <w:rPr>
          <w:rFonts w:ascii="Times New Roman" w:hAnsi="Times New Roman" w:cs="Times New Roman"/>
          <w:b w:val="0"/>
          <w:color w:val="000000" w:themeColor="text1"/>
          <w:szCs w:val="22"/>
          <w:lang w:val="en-GB"/>
        </w:rPr>
        <w:t xml:space="preserve"> </w:t>
      </w:r>
      <w:r w:rsidR="00BD1AEC" w:rsidRPr="00D0161E">
        <w:rPr>
          <w:rFonts w:ascii="Times New Roman" w:hAnsi="Times New Roman" w:cs="Times New Roman"/>
          <w:b w:val="0"/>
          <w:color w:val="000000" w:themeColor="text1"/>
          <w:szCs w:val="22"/>
          <w:lang w:val="en-GB"/>
        </w:rPr>
        <w:fldChar w:fldCharType="begin" w:fldLock="1"/>
      </w:r>
      <w:r w:rsidR="00B63A44">
        <w:rPr>
          <w:rFonts w:ascii="Times New Roman" w:hAnsi="Times New Roman" w:cs="Times New Roman"/>
          <w:b w:val="0"/>
          <w:color w:val="000000" w:themeColor="text1"/>
          <w:szCs w:val="22"/>
          <w:lang w:val="en-GB"/>
        </w:rPr>
        <w:instrText>ADDIN CSL_CITATION {"citationItems":[{"id":"ITEM-1","itemData":{"DOI":"10.1186/s13071-019-3774-3","ISSN":"17563305","abstract":"© 2019 The Author(s). Background: Insecticides formulated into products that target Anopheles mosquitos have had an immense impact on reducing malaria cases in Africa. However, resistance to currently used insecticides is spreading rapidly and there is an urgent need for alternative public health insecticides. Potential new insecticides must be screened against a range of characterized mosquito strains to identify potential resistance liabilities. The Liverpool School of Tropical Medicine maintains three susceptible and four resistant Anopheles strains that are widely used for screening for new insecticides. The properties of these strains are described in this paper. Methods: WHO tube susceptibility bioassays were used for colony selection and to screen for resistance to the major classes of public health insecticides. Topical and tarsal contact bioassays were used to produce dose response curves to assess resistance intensity. Bioassays with the synergist piperonyl butoxide were also performed. Taqman™ assays were used to screen for known target site resistance alleles (kdr and ace-1). RT-qPCR was used to quantify expression of genes associated with pyrethroid resistance. Results: Pyrethroid selection pressure has maintained resistance to this class in all four resistant strains. Some carbamate and organophosphate resistance has been lost through lack of exposure to these insecticide classes. The Anopheles gambiae (sensu lato) strains, VK7 2014, Banfora M and Tiassalé 13 have higher levels of pyrethroid resistance than the An. funestus FUMOZ-R strain. Elevated expression of P450s is found in all four strains and the 1014F kdr mutation is present in all three An. gambiae strains at varying frequencies. Tarsal contact data and overexpression of CYP4G16 and SAP2 suggest penetration barriers and/or sequestration also confer resistance in Banfora M. Conclusions: Continual selection with deltamethrin has maintained a stable pyrethroid-resistant phenotype over many generations. In conjunction with a standardized rearing regime, this ensures quality control of strains over time allowing for robust product comparison and selection of optimal products for further development. The identification of multiple mechanisms underpinning insecticide resistance highlights the importance of screening new compounds against a range of mosquito strains.[Figure not available: see fulltext.].","author":[{"dropping-particle":"","family":"Williams","given":"J.","non-dropping-particle":"","parse-names":false,"suffix":""},{"dropping-particle":"","family":"Flood","given":"L.","non-dropping-particle":"","parse-names":false,"suffix":""},{"dropping-particle":"","family":"Praulins","given":"G.","non-dropping-particle":"","parse-names":false,"suffix":""},{"dropping-particle":"","family":"Ingham","given":"V.A.","non-dropping-particle":"","parse-names":false,"suffix":""},{"dropping-particle":"","family":"Morgan","given":"J.","non-dropping-particle":"","parse-names":false,"suffix":""},{"dropping-particle":"","family":"Lees","given":"R.S.","non-dropping-particle":"","parse-names":false,"suffix":""},{"dropping-particle":"","family":"Ranson","given":"H.","non-dropping-particle":"","parse-names":false,"suffix":""}],"container-title":"Parasites and Vectors","id":"ITEM-1","issue":"1","issued":{"date-parts":[["2019"]]},"title":"Characterisation of Anopheles strains used for laboratory screening of new vector control products","type":"article-journal","volume":"12"},"uris":["http://www.mendeley.com/documents/?uuid=b4c30973-fef7-31f5-ab2e-cc509fa7a053"]}],"mendeley":{"formattedCitation":"[10]","plainTextFormattedCitation":"[10]","previouslyFormattedCitation":"[10]"},"properties":{"noteIndex":0},"schema":"https://github.com/citation-style-language/schema/raw/master/csl-citation.json"}</w:instrText>
      </w:r>
      <w:r w:rsidR="00BD1AEC" w:rsidRPr="00D0161E">
        <w:rPr>
          <w:rFonts w:ascii="Times New Roman" w:hAnsi="Times New Roman" w:cs="Times New Roman"/>
          <w:b w:val="0"/>
          <w:color w:val="000000" w:themeColor="text1"/>
          <w:szCs w:val="22"/>
          <w:lang w:val="en-GB"/>
        </w:rPr>
        <w:fldChar w:fldCharType="separate"/>
      </w:r>
      <w:r w:rsidR="00CC52E9" w:rsidRPr="00CC52E9">
        <w:rPr>
          <w:rFonts w:ascii="Times New Roman" w:hAnsi="Times New Roman" w:cs="Times New Roman"/>
          <w:b w:val="0"/>
          <w:noProof/>
          <w:color w:val="000000" w:themeColor="text1"/>
          <w:szCs w:val="22"/>
          <w:lang w:val="en-GB"/>
        </w:rPr>
        <w:t>[10]</w:t>
      </w:r>
      <w:r w:rsidR="00BD1AEC" w:rsidRPr="00D0161E">
        <w:rPr>
          <w:rFonts w:ascii="Times New Roman" w:hAnsi="Times New Roman" w:cs="Times New Roman"/>
          <w:b w:val="0"/>
          <w:color w:val="000000" w:themeColor="text1"/>
          <w:szCs w:val="22"/>
          <w:lang w:val="en-GB"/>
        </w:rPr>
        <w:fldChar w:fldCharType="end"/>
      </w:r>
      <w:r w:rsidR="007F25A9" w:rsidRPr="00D0161E">
        <w:rPr>
          <w:rFonts w:ascii="Times New Roman" w:hAnsi="Times New Roman" w:cs="Times New Roman"/>
          <w:b w:val="0"/>
          <w:color w:val="000000" w:themeColor="text1"/>
          <w:szCs w:val="22"/>
          <w:lang w:val="en-GB"/>
        </w:rPr>
        <w:t xml:space="preserve"> was exposed to all treated wood surfaces on month 0 and Tiassalé 13 </w:t>
      </w:r>
      <w:r w:rsidR="00BD1AEC" w:rsidRPr="00D0161E">
        <w:rPr>
          <w:rFonts w:ascii="Times New Roman" w:hAnsi="Times New Roman" w:cs="Times New Roman"/>
          <w:b w:val="0"/>
          <w:color w:val="000000" w:themeColor="text1"/>
          <w:szCs w:val="22"/>
          <w:lang w:val="en-GB"/>
        </w:rPr>
        <w:fldChar w:fldCharType="begin" w:fldLock="1"/>
      </w:r>
      <w:r w:rsidR="00B63A44">
        <w:rPr>
          <w:rFonts w:ascii="Times New Roman" w:hAnsi="Times New Roman" w:cs="Times New Roman"/>
          <w:b w:val="0"/>
          <w:color w:val="000000" w:themeColor="text1"/>
          <w:szCs w:val="22"/>
          <w:lang w:val="en-GB"/>
        </w:rPr>
        <w:instrText>ADDIN CSL_CITATION {"citationItems":[{"id":"ITEM-1","itemData":{"DOI":"10.1186/s13071-019-3774-3","ISSN":"17563305","abstract":"© 2019 The Author(s). Background: Insecticides formulated into products that target Anopheles mosquitos have had an immense impact on reducing malaria cases in Africa. However, resistance to currently used insecticides is spreading rapidly and there is an urgent need for alternative public health insecticides. Potential new insecticides must be screened against a range of characterized mosquito strains to identify potential resistance liabilities. The Liverpool School of Tropical Medicine maintains three susceptible and four resistant Anopheles strains that are widely used for screening for new insecticides. The properties of these strains are described in this paper. Methods: WHO tube susceptibility bioassays were used for colony selection and to screen for resistance to the major classes of public health insecticides. Topical and tarsal contact bioassays were used to produce dose response curves to assess resistance intensity. Bioassays with the synergist piperonyl butoxide were also performed. Taqman™ assays were used to screen for known target site resistance alleles (kdr and ace-1). RT-qPCR was used to quantify expression of genes associated with pyrethroid resistance. Results: Pyrethroid selection pressure has maintained resistance to this class in all four resistant strains. Some carbamate and organophosphate resistance has been lost through lack of exposure to these insecticide classes. The Anopheles gambiae (sensu lato) strains, VK7 2014, Banfora M and Tiassalé 13 have higher levels of pyrethroid resistance than the An. funestus FUMOZ-R strain. Elevated expression of P450s is found in all four strains and the 1014F kdr mutation is present in all three An. gambiae strains at varying frequencies. Tarsal contact data and overexpression of CYP4G16 and SAP2 suggest penetration barriers and/or sequestration also confer resistance in Banfora M. Conclusions: Continual selection with deltamethrin has maintained a stable pyrethroid-resistant phenotype over many generations. In conjunction with a standardized rearing regime, this ensures quality control of strains over time allowing for robust product comparison and selection of optimal products for further development. The identification of multiple mechanisms underpinning insecticide resistance highlights the importance of screening new compounds against a range of mosquito strains.[Figure not available: see fulltext.].","author":[{"dropping-particle":"","family":"Williams","given":"J.","non-dropping-particle":"","parse-names":false,"suffix":""},{"dropping-particle":"","family":"Flood","given":"L.","non-dropping-particle":"","parse-names":false,"suffix":""},{"dropping-particle":"","family":"Praulins","given":"G.","non-dropping-particle":"","parse-names":false,"suffix":""},{"dropping-particle":"","family":"Ingham","given":"V.A.","non-dropping-particle":"","parse-names":false,"suffix":""},{"dropping-particle":"","family":"Morgan","given":"J.","non-dropping-particle":"","parse-names":false,"suffix":""},{"dropping-particle":"","family":"Lees","given":"R.S.","non-dropping-particle":"","parse-names":false,"suffix":""},{"dropping-particle":"","family":"Ranson","given":"H.","non-dropping-particle":"","parse-names":false,"suffix":""}],"container-title":"Parasites and Vectors","id":"ITEM-1","issue":"1","issued":{"date-parts":[["2019"]]},"title":"Characterisation of Anopheles strains used for laboratory screening of new vector control products","type":"article-journal","volume":"12"},"uris":["http://www.mendeley.com/documents/?uuid=b4c30973-fef7-31f5-ab2e-cc509fa7a053"]}],"mendeley":{"formattedCitation":"[10]","plainTextFormattedCitation":"[10]","previouslyFormattedCitation":"[10]"},"properties":{"noteIndex":0},"schema":"https://github.com/citation-style-language/schema/raw/master/csl-citation.json"}</w:instrText>
      </w:r>
      <w:r w:rsidR="00BD1AEC" w:rsidRPr="00D0161E">
        <w:rPr>
          <w:rFonts w:ascii="Times New Roman" w:hAnsi="Times New Roman" w:cs="Times New Roman"/>
          <w:b w:val="0"/>
          <w:color w:val="000000" w:themeColor="text1"/>
          <w:szCs w:val="22"/>
          <w:lang w:val="en-GB"/>
        </w:rPr>
        <w:fldChar w:fldCharType="separate"/>
      </w:r>
      <w:r w:rsidR="00CC52E9" w:rsidRPr="00CC52E9">
        <w:rPr>
          <w:rFonts w:ascii="Times New Roman" w:hAnsi="Times New Roman" w:cs="Times New Roman"/>
          <w:b w:val="0"/>
          <w:noProof/>
          <w:color w:val="000000" w:themeColor="text1"/>
          <w:szCs w:val="22"/>
          <w:lang w:val="en-GB"/>
        </w:rPr>
        <w:t>[10]</w:t>
      </w:r>
      <w:r w:rsidR="00BD1AEC" w:rsidRPr="00D0161E">
        <w:rPr>
          <w:rFonts w:ascii="Times New Roman" w:hAnsi="Times New Roman" w:cs="Times New Roman"/>
          <w:b w:val="0"/>
          <w:color w:val="000000" w:themeColor="text1"/>
          <w:szCs w:val="22"/>
          <w:lang w:val="en-GB"/>
        </w:rPr>
        <w:fldChar w:fldCharType="end"/>
      </w:r>
      <w:r w:rsidR="007F25A9" w:rsidRPr="00D0161E">
        <w:rPr>
          <w:rFonts w:ascii="Times New Roman" w:hAnsi="Times New Roman" w:cs="Times New Roman"/>
          <w:b w:val="0"/>
          <w:color w:val="000000" w:themeColor="text1"/>
          <w:szCs w:val="22"/>
          <w:lang w:val="en-GB"/>
        </w:rPr>
        <w:t xml:space="preserve"> </w:t>
      </w:r>
      <w:r w:rsidR="00BD2A2C" w:rsidRPr="00D0161E">
        <w:rPr>
          <w:rFonts w:ascii="Times New Roman" w:hAnsi="Times New Roman" w:cs="Times New Roman"/>
          <w:b w:val="0"/>
          <w:color w:val="000000" w:themeColor="text1"/>
          <w:szCs w:val="22"/>
          <w:lang w:val="en-GB"/>
        </w:rPr>
        <w:t xml:space="preserve">to </w:t>
      </w:r>
      <w:r w:rsidR="008B755E" w:rsidRPr="00D0161E">
        <w:rPr>
          <w:rFonts w:ascii="Times New Roman" w:hAnsi="Times New Roman" w:cs="Times New Roman"/>
          <w:b w:val="0"/>
          <w:color w:val="000000" w:themeColor="text1"/>
          <w:szCs w:val="22"/>
          <w:lang w:val="en-GB"/>
        </w:rPr>
        <w:t xml:space="preserve">mud and tile surfaces on </w:t>
      </w:r>
      <w:r w:rsidR="007F25A9" w:rsidRPr="00D0161E">
        <w:rPr>
          <w:rFonts w:ascii="Times New Roman" w:hAnsi="Times New Roman" w:cs="Times New Roman"/>
          <w:b w:val="0"/>
          <w:color w:val="000000" w:themeColor="text1"/>
          <w:szCs w:val="22"/>
          <w:lang w:val="en-GB"/>
        </w:rPr>
        <w:t>month</w:t>
      </w:r>
      <w:r w:rsidR="004A234F" w:rsidRPr="00D0161E">
        <w:rPr>
          <w:rFonts w:ascii="Times New Roman" w:hAnsi="Times New Roman" w:cs="Times New Roman"/>
          <w:b w:val="0"/>
          <w:color w:val="000000" w:themeColor="text1"/>
          <w:szCs w:val="22"/>
          <w:lang w:val="en-GB"/>
        </w:rPr>
        <w:t>s</w:t>
      </w:r>
      <w:r w:rsidR="007F25A9" w:rsidRPr="00D0161E">
        <w:rPr>
          <w:rFonts w:ascii="Times New Roman" w:hAnsi="Times New Roman" w:cs="Times New Roman"/>
          <w:b w:val="0"/>
          <w:color w:val="000000" w:themeColor="text1"/>
          <w:szCs w:val="22"/>
          <w:lang w:val="en-GB"/>
        </w:rPr>
        <w:t xml:space="preserve"> 6</w:t>
      </w:r>
      <w:r w:rsidR="004A234F" w:rsidRPr="00D0161E">
        <w:rPr>
          <w:rFonts w:ascii="Times New Roman" w:hAnsi="Times New Roman" w:cs="Times New Roman"/>
          <w:b w:val="0"/>
          <w:color w:val="000000" w:themeColor="text1"/>
          <w:szCs w:val="22"/>
          <w:lang w:val="en-GB"/>
        </w:rPr>
        <w:t xml:space="preserve"> and 8</w:t>
      </w:r>
      <w:r w:rsidR="007F25A9" w:rsidRPr="00D0161E">
        <w:rPr>
          <w:rFonts w:ascii="Times New Roman" w:hAnsi="Times New Roman" w:cs="Times New Roman"/>
          <w:b w:val="0"/>
          <w:color w:val="000000" w:themeColor="text1"/>
          <w:szCs w:val="22"/>
          <w:lang w:val="en-GB"/>
        </w:rPr>
        <w:t xml:space="preserve">, </w:t>
      </w:r>
      <w:r w:rsidR="008B755E" w:rsidRPr="00D0161E">
        <w:rPr>
          <w:rFonts w:ascii="Times New Roman" w:hAnsi="Times New Roman" w:cs="Times New Roman"/>
          <w:b w:val="0"/>
          <w:color w:val="000000" w:themeColor="text1"/>
          <w:szCs w:val="22"/>
          <w:lang w:val="en-GB"/>
        </w:rPr>
        <w:t xml:space="preserve">respectively, </w:t>
      </w:r>
      <w:r w:rsidR="007F25A9" w:rsidRPr="00D0161E">
        <w:rPr>
          <w:rFonts w:ascii="Times New Roman" w:hAnsi="Times New Roman" w:cs="Times New Roman"/>
          <w:b w:val="0"/>
          <w:color w:val="000000" w:themeColor="text1"/>
          <w:szCs w:val="22"/>
          <w:lang w:val="en-GB"/>
        </w:rPr>
        <w:t xml:space="preserve">to determine the efficacy of the </w:t>
      </w:r>
      <w:r w:rsidR="00D54567" w:rsidRPr="00D54567">
        <w:rPr>
          <w:rFonts w:ascii="Times New Roman" w:hAnsi="Times New Roman" w:cs="Times New Roman"/>
          <w:b w:val="0"/>
          <w:color w:val="000000" w:themeColor="text1"/>
          <w:szCs w:val="22"/>
          <w:lang w:val="en-GB"/>
        </w:rPr>
        <w:t>Tenebenal</w:t>
      </w:r>
      <w:r w:rsidR="007556AB" w:rsidRPr="00D0161E">
        <w:rPr>
          <w:rFonts w:ascii="Times New Roman" w:hAnsi="Times New Roman" w:cs="Times New Roman"/>
          <w:b w:val="0"/>
          <w:bCs/>
          <w:color w:val="000000" w:themeColor="text1"/>
          <w:vertAlign w:val="superscript"/>
        </w:rPr>
        <w:t>TM</w:t>
      </w:r>
      <w:r w:rsidR="007F25A9" w:rsidRPr="00D0161E">
        <w:rPr>
          <w:rFonts w:ascii="Times New Roman" w:hAnsi="Times New Roman" w:cs="Times New Roman"/>
          <w:b w:val="0"/>
          <w:color w:val="000000" w:themeColor="text1"/>
          <w:szCs w:val="22"/>
          <w:lang w:val="en-GB"/>
        </w:rPr>
        <w:t xml:space="preserve"> WP against characteri</w:t>
      </w:r>
      <w:r w:rsidR="00683597">
        <w:rPr>
          <w:rFonts w:ascii="Times New Roman" w:hAnsi="Times New Roman" w:cs="Times New Roman"/>
          <w:b w:val="0"/>
          <w:color w:val="000000" w:themeColor="text1"/>
          <w:szCs w:val="22"/>
          <w:lang w:val="en-GB"/>
        </w:rPr>
        <w:t>z</w:t>
      </w:r>
      <w:r w:rsidR="007F25A9" w:rsidRPr="00D0161E">
        <w:rPr>
          <w:rFonts w:ascii="Times New Roman" w:hAnsi="Times New Roman" w:cs="Times New Roman"/>
          <w:b w:val="0"/>
          <w:color w:val="000000" w:themeColor="text1"/>
          <w:szCs w:val="22"/>
          <w:lang w:val="en-GB"/>
        </w:rPr>
        <w:t xml:space="preserve">ed resistant </w:t>
      </w:r>
      <w:r w:rsidR="00994C95" w:rsidRPr="00D0161E">
        <w:rPr>
          <w:rFonts w:ascii="Times New Roman" w:hAnsi="Times New Roman" w:cs="Times New Roman"/>
          <w:b w:val="0"/>
          <w:color w:val="000000" w:themeColor="text1"/>
          <w:szCs w:val="22"/>
          <w:lang w:val="en-GB"/>
        </w:rPr>
        <w:t>strains</w:t>
      </w:r>
      <w:r w:rsidR="007F25A9" w:rsidRPr="00D0161E">
        <w:rPr>
          <w:rFonts w:ascii="Times New Roman" w:hAnsi="Times New Roman" w:cs="Times New Roman"/>
          <w:b w:val="0"/>
          <w:color w:val="000000" w:themeColor="text1"/>
          <w:szCs w:val="22"/>
          <w:lang w:val="en-GB"/>
        </w:rPr>
        <w:t xml:space="preserve"> of </w:t>
      </w:r>
      <w:r w:rsidR="007F25A9" w:rsidRPr="00D0161E">
        <w:rPr>
          <w:rFonts w:ascii="Times New Roman" w:hAnsi="Times New Roman" w:cs="Times New Roman"/>
          <w:b w:val="0"/>
          <w:i/>
          <w:color w:val="000000" w:themeColor="text1"/>
          <w:szCs w:val="22"/>
          <w:lang w:val="en-GB"/>
        </w:rPr>
        <w:t>An. gambiae</w:t>
      </w:r>
      <w:r w:rsidR="007F25A9" w:rsidRPr="00D0161E">
        <w:rPr>
          <w:rFonts w:ascii="Times New Roman" w:hAnsi="Times New Roman" w:cs="Times New Roman"/>
          <w:b w:val="0"/>
          <w:color w:val="000000" w:themeColor="text1"/>
          <w:szCs w:val="22"/>
          <w:lang w:val="en-GB"/>
        </w:rPr>
        <w:t>.</w:t>
      </w:r>
    </w:p>
    <w:bookmarkEnd w:id="26"/>
    <w:p w14:paraId="0F9CAF67" w14:textId="77777777" w:rsidR="00814028" w:rsidRPr="00D0161E" w:rsidRDefault="00814028" w:rsidP="00D0161E">
      <w:pPr>
        <w:spacing w:line="480" w:lineRule="auto"/>
        <w:rPr>
          <w:rFonts w:cs="Arial"/>
          <w:color w:val="000000" w:themeColor="text1"/>
        </w:rPr>
      </w:pPr>
    </w:p>
    <w:p w14:paraId="0901BE84" w14:textId="77777777" w:rsidR="007E5B81" w:rsidRPr="00D0161E" w:rsidRDefault="006E4901" w:rsidP="00D0161E">
      <w:pPr>
        <w:pStyle w:val="Heading3"/>
        <w:spacing w:before="0" w:line="480" w:lineRule="auto"/>
        <w:rPr>
          <w:rFonts w:ascii="Times New Roman" w:hAnsi="Times New Roman"/>
          <w:b/>
          <w:color w:val="000000" w:themeColor="text1"/>
        </w:rPr>
      </w:pPr>
      <w:r w:rsidRPr="00D0161E">
        <w:rPr>
          <w:rFonts w:ascii="Times New Roman" w:hAnsi="Times New Roman"/>
          <w:b/>
          <w:color w:val="000000" w:themeColor="text1"/>
        </w:rPr>
        <w:t>Test</w:t>
      </w:r>
      <w:r w:rsidR="00A31006" w:rsidRPr="00D0161E">
        <w:rPr>
          <w:rFonts w:ascii="Times New Roman" w:hAnsi="Times New Roman"/>
          <w:b/>
          <w:color w:val="000000" w:themeColor="text1"/>
        </w:rPr>
        <w:t>ing</w:t>
      </w:r>
      <w:r w:rsidRPr="00D0161E">
        <w:rPr>
          <w:rFonts w:ascii="Times New Roman" w:hAnsi="Times New Roman"/>
          <w:b/>
          <w:color w:val="000000" w:themeColor="text1"/>
        </w:rPr>
        <w:t xml:space="preserve"> for potential </w:t>
      </w:r>
      <w:r w:rsidR="00A31006" w:rsidRPr="00D0161E">
        <w:rPr>
          <w:rFonts w:ascii="Times New Roman" w:hAnsi="Times New Roman"/>
          <w:b/>
          <w:color w:val="000000" w:themeColor="text1"/>
        </w:rPr>
        <w:t xml:space="preserve">efficacy </w:t>
      </w:r>
      <w:r w:rsidRPr="00D0161E">
        <w:rPr>
          <w:rFonts w:ascii="Times New Roman" w:hAnsi="Times New Roman"/>
          <w:b/>
          <w:color w:val="000000" w:themeColor="text1"/>
        </w:rPr>
        <w:t>on bed nets</w:t>
      </w:r>
    </w:p>
    <w:p w14:paraId="22F674FE" w14:textId="77777777" w:rsidR="00B742FD"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Treatment of net samples</w:t>
      </w:r>
    </w:p>
    <w:p w14:paraId="63F30019" w14:textId="38E340C6" w:rsidR="000C167F" w:rsidRPr="00D0161E" w:rsidRDefault="00B742FD" w:rsidP="00D0161E">
      <w:pPr>
        <w:widowControl w:val="0"/>
        <w:spacing w:line="480" w:lineRule="auto"/>
        <w:contextualSpacing/>
        <w:rPr>
          <w:rFonts w:cstheme="minorHAnsi"/>
          <w:color w:val="000000" w:themeColor="text1"/>
        </w:rPr>
      </w:pPr>
      <w:bookmarkStart w:id="27" w:name="_Hlk50112561"/>
      <w:r w:rsidRPr="00D0161E">
        <w:rPr>
          <w:rFonts w:cstheme="minorHAnsi"/>
          <w:color w:val="000000" w:themeColor="text1"/>
        </w:rPr>
        <w:t xml:space="preserve">A suspension </w:t>
      </w:r>
      <w:r w:rsidR="0005592E" w:rsidRPr="00D0161E">
        <w:rPr>
          <w:rFonts w:cstheme="minorHAnsi"/>
          <w:color w:val="000000" w:themeColor="text1"/>
        </w:rPr>
        <w:t xml:space="preserve">concentrate (SC) </w:t>
      </w:r>
      <w:r w:rsidRPr="00D0161E">
        <w:rPr>
          <w:rFonts w:cstheme="minorHAnsi"/>
          <w:color w:val="000000" w:themeColor="text1"/>
        </w:rPr>
        <w:t>formulation</w:t>
      </w:r>
      <w:r w:rsidR="007F3BAA" w:rsidRPr="00D0161E">
        <w:rPr>
          <w:color w:val="000000" w:themeColor="text1"/>
        </w:rPr>
        <w:t xml:space="preserve"> provided by Mitsui</w:t>
      </w:r>
      <w:r w:rsidR="007F3BAA" w:rsidRPr="00D0161E">
        <w:rPr>
          <w:color w:val="000000" w:themeColor="text1"/>
          <w:lang w:eastAsia="ja-JP"/>
        </w:rPr>
        <w:t xml:space="preserve"> Chemicals </w:t>
      </w:r>
      <w:proofErr w:type="spellStart"/>
      <w:r w:rsidR="007F3BAA" w:rsidRPr="00D0161E">
        <w:rPr>
          <w:color w:val="000000" w:themeColor="text1"/>
          <w:lang w:eastAsia="ja-JP"/>
        </w:rPr>
        <w:t>Agro</w:t>
      </w:r>
      <w:proofErr w:type="spellEnd"/>
      <w:r w:rsidR="007F3BAA" w:rsidRPr="00D0161E">
        <w:rPr>
          <w:color w:val="000000" w:themeColor="text1"/>
          <w:lang w:eastAsia="ja-JP"/>
        </w:rPr>
        <w:t xml:space="preserve"> Inc.</w:t>
      </w:r>
      <w:r w:rsidR="00430C12" w:rsidRPr="00D0161E">
        <w:rPr>
          <w:rFonts w:cstheme="minorHAnsi"/>
          <w:color w:val="000000" w:themeColor="text1"/>
        </w:rPr>
        <w:t>,</w:t>
      </w:r>
      <w:r w:rsidRPr="00D0161E">
        <w:rPr>
          <w:rFonts w:cstheme="minorHAnsi"/>
          <w:color w:val="000000" w:themeColor="text1"/>
        </w:rPr>
        <w:t xml:space="preserve"> </w:t>
      </w:r>
      <w:r w:rsidR="00430C12" w:rsidRPr="00D0161E">
        <w:rPr>
          <w:rFonts w:cstheme="minorHAnsi"/>
          <w:color w:val="000000" w:themeColor="text1"/>
        </w:rPr>
        <w:t xml:space="preserve">containing 20%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0005592E" w:rsidRPr="00D0161E">
        <w:rPr>
          <w:rFonts w:cstheme="minorHAnsi"/>
          <w:color w:val="000000" w:themeColor="text1"/>
        </w:rPr>
        <w:t xml:space="preserve">, </w:t>
      </w:r>
      <w:r w:rsidRPr="00D0161E">
        <w:rPr>
          <w:rFonts w:cstheme="minorHAnsi"/>
          <w:color w:val="000000" w:themeColor="text1"/>
        </w:rPr>
        <w:t xml:space="preserve">was applied </w:t>
      </w:r>
      <w:r w:rsidR="0005592E" w:rsidRPr="00D0161E">
        <w:rPr>
          <w:rFonts w:cstheme="minorHAnsi"/>
          <w:color w:val="000000" w:themeColor="text1"/>
        </w:rPr>
        <w:t xml:space="preserve">at </w:t>
      </w:r>
      <w:r w:rsidR="00683597">
        <w:rPr>
          <w:rFonts w:cstheme="minorHAnsi"/>
          <w:color w:val="000000" w:themeColor="text1"/>
        </w:rPr>
        <w:t>4</w:t>
      </w:r>
      <w:r w:rsidR="00683597" w:rsidRPr="00D0161E">
        <w:rPr>
          <w:rFonts w:cstheme="minorHAnsi"/>
          <w:color w:val="000000" w:themeColor="text1"/>
        </w:rPr>
        <w:t xml:space="preserve"> </w:t>
      </w:r>
      <w:r w:rsidRPr="00D0161E">
        <w:rPr>
          <w:rFonts w:cstheme="minorHAnsi"/>
          <w:color w:val="000000" w:themeColor="text1"/>
        </w:rPr>
        <w:t>concentrations to pieces of polyester netting</w:t>
      </w:r>
      <w:r w:rsidR="008E2F88" w:rsidRPr="00D0161E">
        <w:rPr>
          <w:rFonts w:cstheme="minorHAnsi"/>
          <w:color w:val="000000" w:themeColor="text1"/>
        </w:rPr>
        <w:t xml:space="preserve">. </w:t>
      </w:r>
      <w:bookmarkEnd w:id="27"/>
      <w:r w:rsidR="008E2F88" w:rsidRPr="00D0161E">
        <w:rPr>
          <w:rFonts w:cstheme="minorHAnsi"/>
          <w:color w:val="000000" w:themeColor="text1"/>
        </w:rPr>
        <w:t xml:space="preserve">Treated net samples </w:t>
      </w:r>
      <w:r w:rsidRPr="00D0161E">
        <w:rPr>
          <w:rFonts w:cstheme="minorHAnsi"/>
          <w:color w:val="000000" w:themeColor="text1"/>
        </w:rPr>
        <w:t xml:space="preserve">were then used </w:t>
      </w:r>
      <w:r w:rsidR="008E2F88" w:rsidRPr="00D0161E">
        <w:rPr>
          <w:rFonts w:cstheme="minorHAnsi"/>
          <w:color w:val="000000" w:themeColor="text1"/>
        </w:rPr>
        <w:t>in WHO cone bioassays with</w:t>
      </w:r>
      <w:r w:rsidRPr="00D0161E">
        <w:rPr>
          <w:rFonts w:cstheme="minorHAnsi"/>
          <w:color w:val="000000" w:themeColor="text1"/>
        </w:rPr>
        <w:t xml:space="preserve"> adult female </w:t>
      </w:r>
      <w:r w:rsidR="00683597" w:rsidRPr="00D0161E">
        <w:rPr>
          <w:rFonts w:cstheme="minorHAnsi"/>
          <w:i/>
          <w:color w:val="000000" w:themeColor="text1"/>
        </w:rPr>
        <w:t>An</w:t>
      </w:r>
      <w:r w:rsidR="00683597">
        <w:rPr>
          <w:rFonts w:cstheme="minorHAnsi"/>
          <w:i/>
          <w:color w:val="000000" w:themeColor="text1"/>
        </w:rPr>
        <w:t>.</w:t>
      </w:r>
      <w:r w:rsidR="00683597" w:rsidRPr="00D0161E">
        <w:rPr>
          <w:rFonts w:cstheme="minorHAnsi"/>
          <w:i/>
          <w:color w:val="000000" w:themeColor="text1"/>
        </w:rPr>
        <w:t xml:space="preserve"> </w:t>
      </w:r>
      <w:r w:rsidRPr="00D0161E">
        <w:rPr>
          <w:rFonts w:cstheme="minorHAnsi"/>
          <w:i/>
          <w:color w:val="000000" w:themeColor="text1"/>
        </w:rPr>
        <w:t xml:space="preserve">gambiae </w:t>
      </w:r>
      <w:r w:rsidRPr="00D0161E">
        <w:rPr>
          <w:rFonts w:cstheme="minorHAnsi"/>
          <w:color w:val="000000" w:themeColor="text1"/>
        </w:rPr>
        <w:t xml:space="preserve">of the Kisumu </w:t>
      </w:r>
      <w:r w:rsidR="00994C95" w:rsidRPr="00D0161E">
        <w:rPr>
          <w:rFonts w:cstheme="minorHAnsi"/>
          <w:color w:val="000000" w:themeColor="text1"/>
        </w:rPr>
        <w:t>strain</w:t>
      </w:r>
      <w:r w:rsidR="00683597">
        <w:rPr>
          <w:rFonts w:cstheme="minorHAnsi"/>
          <w:color w:val="000000" w:themeColor="text1"/>
        </w:rPr>
        <w:t>,</w:t>
      </w:r>
      <w:r w:rsidRPr="00D0161E">
        <w:rPr>
          <w:rFonts w:cstheme="minorHAnsi"/>
          <w:color w:val="000000" w:themeColor="text1"/>
        </w:rPr>
        <w:t xml:space="preserve"> </w:t>
      </w:r>
      <w:r w:rsidR="008E2F88" w:rsidRPr="00D0161E">
        <w:rPr>
          <w:rFonts w:cstheme="minorHAnsi"/>
          <w:color w:val="000000" w:themeColor="text1"/>
        </w:rPr>
        <w:t>with a</w:t>
      </w:r>
      <w:r w:rsidRPr="00D0161E">
        <w:rPr>
          <w:rFonts w:cstheme="minorHAnsi"/>
          <w:color w:val="000000" w:themeColor="text1"/>
        </w:rPr>
        <w:t xml:space="preserve"> commercially available net containing deltamethrin at 55</w:t>
      </w:r>
      <w:r w:rsidR="00A605D7" w:rsidRPr="00D0161E">
        <w:rPr>
          <w:rFonts w:cstheme="minorHAnsi"/>
          <w:color w:val="000000" w:themeColor="text1"/>
        </w:rPr>
        <w:t xml:space="preserve"> </w:t>
      </w:r>
      <w:r w:rsidR="0005592E" w:rsidRPr="00D0161E">
        <w:rPr>
          <w:rFonts w:cstheme="minorHAnsi"/>
          <w:color w:val="000000" w:themeColor="text1"/>
        </w:rPr>
        <w:t>mg</w:t>
      </w:r>
      <w:r w:rsidR="00A605D7" w:rsidRPr="00D0161E">
        <w:rPr>
          <w:rFonts w:cstheme="minorHAnsi"/>
          <w:color w:val="000000" w:themeColor="text1"/>
        </w:rPr>
        <w:t xml:space="preserve"> </w:t>
      </w:r>
      <w:r w:rsidR="00257B0E" w:rsidRPr="00D0161E">
        <w:rPr>
          <w:rFonts w:cstheme="minorHAnsi"/>
          <w:color w:val="000000" w:themeColor="text1"/>
        </w:rPr>
        <w:t>AI</w:t>
      </w:r>
      <w:r w:rsidRPr="00D0161E">
        <w:rPr>
          <w:rFonts w:cstheme="minorHAnsi"/>
          <w:color w:val="000000" w:themeColor="text1"/>
        </w:rPr>
        <w:t>/</w:t>
      </w:r>
      <w:proofErr w:type="spellStart"/>
      <w:r w:rsidR="00683597">
        <w:rPr>
          <w:rFonts w:cstheme="minorHAnsi"/>
          <w:color w:val="000000" w:themeColor="text1"/>
        </w:rPr>
        <w:t>sq</w:t>
      </w:r>
      <w:proofErr w:type="spellEnd"/>
      <w:r w:rsidR="00683597">
        <w:rPr>
          <w:rFonts w:cstheme="minorHAnsi"/>
          <w:color w:val="000000" w:themeColor="text1"/>
        </w:rPr>
        <w:t xml:space="preserve"> </w:t>
      </w:r>
      <w:r w:rsidRPr="00D0161E">
        <w:rPr>
          <w:rFonts w:cstheme="minorHAnsi"/>
          <w:color w:val="000000" w:themeColor="text1"/>
        </w:rPr>
        <w:t xml:space="preserve">m </w:t>
      </w:r>
      <w:r w:rsidR="008E2F88" w:rsidRPr="00D0161E">
        <w:rPr>
          <w:rFonts w:cstheme="minorHAnsi"/>
          <w:color w:val="000000" w:themeColor="text1"/>
        </w:rPr>
        <w:t xml:space="preserve">being used as a positive control treatment </w:t>
      </w:r>
      <w:r w:rsidRPr="00D0161E">
        <w:rPr>
          <w:rFonts w:cstheme="minorHAnsi"/>
          <w:color w:val="000000" w:themeColor="text1"/>
        </w:rPr>
        <w:t>and a piece of untreated polyester net</w:t>
      </w:r>
      <w:r w:rsidR="008546EE" w:rsidRPr="00D0161E">
        <w:rPr>
          <w:rFonts w:cstheme="minorHAnsi"/>
          <w:color w:val="000000" w:themeColor="text1"/>
        </w:rPr>
        <w:t>ting</w:t>
      </w:r>
      <w:r w:rsidR="008E2F88" w:rsidRPr="00D0161E">
        <w:rPr>
          <w:rFonts w:cstheme="minorHAnsi"/>
          <w:color w:val="000000" w:themeColor="text1"/>
        </w:rPr>
        <w:t xml:space="preserve"> used as a negative control</w:t>
      </w:r>
      <w:r w:rsidRPr="00D0161E">
        <w:rPr>
          <w:rFonts w:cstheme="minorHAnsi"/>
          <w:color w:val="000000" w:themeColor="text1"/>
        </w:rPr>
        <w:t>. The volume of solution needed to saturate the net samples without leaving excess liquid (the retention volume) was calculated by immersing a 100</w:t>
      </w:r>
      <w:r w:rsidR="00683597">
        <w:rPr>
          <w:rFonts w:cstheme="minorHAnsi"/>
          <w:color w:val="000000" w:themeColor="text1"/>
        </w:rPr>
        <w:t xml:space="preserve">-sq </w:t>
      </w:r>
      <w:r w:rsidRPr="00D0161E">
        <w:rPr>
          <w:rFonts w:cstheme="minorHAnsi"/>
          <w:color w:val="000000" w:themeColor="text1"/>
        </w:rPr>
        <w:t xml:space="preserve">cm piece of netting in 100 ml water, wringing out the excess water, and measuring the </w:t>
      </w:r>
      <w:r w:rsidR="008E2F88" w:rsidRPr="00D0161E">
        <w:rPr>
          <w:rFonts w:cstheme="minorHAnsi"/>
          <w:color w:val="000000" w:themeColor="text1"/>
        </w:rPr>
        <w:t xml:space="preserve">remaining </w:t>
      </w:r>
      <w:r w:rsidRPr="00D0161E">
        <w:rPr>
          <w:rFonts w:cstheme="minorHAnsi"/>
          <w:color w:val="000000" w:themeColor="text1"/>
        </w:rPr>
        <w:t>volume</w:t>
      </w:r>
      <w:r w:rsidR="008E2F88" w:rsidRPr="00D0161E">
        <w:rPr>
          <w:rFonts w:cstheme="minorHAnsi"/>
          <w:color w:val="000000" w:themeColor="text1"/>
        </w:rPr>
        <w:t xml:space="preserve"> of liquid</w:t>
      </w:r>
      <w:r w:rsidRPr="00D0161E">
        <w:rPr>
          <w:rFonts w:cstheme="minorHAnsi"/>
          <w:color w:val="000000" w:themeColor="text1"/>
        </w:rPr>
        <w:t xml:space="preserve">. This was repeated three times to </w:t>
      </w:r>
      <w:r w:rsidR="008E2F88" w:rsidRPr="00D0161E">
        <w:rPr>
          <w:rFonts w:cstheme="minorHAnsi"/>
          <w:color w:val="000000" w:themeColor="text1"/>
        </w:rPr>
        <w:t xml:space="preserve">determine </w:t>
      </w:r>
      <w:r w:rsidRPr="00D0161E">
        <w:rPr>
          <w:rFonts w:cstheme="minorHAnsi"/>
          <w:color w:val="000000" w:themeColor="text1"/>
        </w:rPr>
        <w:t>an average volume. Pieces of polyester netting (white, multifilament, 100 deniers) cut into 30</w:t>
      </w:r>
      <w:r w:rsidR="007C7BFF" w:rsidRPr="00D0161E">
        <w:rPr>
          <w:rFonts w:cstheme="minorHAnsi"/>
          <w:color w:val="000000" w:themeColor="text1"/>
        </w:rPr>
        <w:t xml:space="preserve"> </w:t>
      </w:r>
      <w:r w:rsidR="008E2F88" w:rsidRPr="00D0161E">
        <w:rPr>
          <w:rFonts w:cstheme="minorHAnsi"/>
          <w:color w:val="000000" w:themeColor="text1"/>
        </w:rPr>
        <w:t>x</w:t>
      </w:r>
      <w:r w:rsidR="007C7BFF" w:rsidRPr="00D0161E">
        <w:rPr>
          <w:rFonts w:cstheme="minorHAnsi"/>
          <w:color w:val="000000" w:themeColor="text1"/>
        </w:rPr>
        <w:t xml:space="preserve"> </w:t>
      </w:r>
      <w:r w:rsidR="008E2F88" w:rsidRPr="00D0161E">
        <w:rPr>
          <w:rFonts w:cstheme="minorHAnsi"/>
          <w:color w:val="000000" w:themeColor="text1"/>
        </w:rPr>
        <w:t>30</w:t>
      </w:r>
      <w:r w:rsidRPr="00D0161E">
        <w:rPr>
          <w:rFonts w:cstheme="minorHAnsi"/>
          <w:color w:val="000000" w:themeColor="text1"/>
        </w:rPr>
        <w:t xml:space="preserve"> cm </w:t>
      </w:r>
      <w:r w:rsidR="008E2F88" w:rsidRPr="00D0161E">
        <w:rPr>
          <w:rFonts w:cstheme="minorHAnsi"/>
          <w:color w:val="000000" w:themeColor="text1"/>
        </w:rPr>
        <w:t>pieces</w:t>
      </w:r>
      <w:r w:rsidRPr="00D0161E">
        <w:rPr>
          <w:rFonts w:cstheme="minorHAnsi"/>
          <w:color w:val="000000" w:themeColor="text1"/>
        </w:rPr>
        <w:t xml:space="preserve"> were washed with 1% </w:t>
      </w:r>
      <w:proofErr w:type="spellStart"/>
      <w:r w:rsidR="008E2F88" w:rsidRPr="00D0161E">
        <w:rPr>
          <w:rFonts w:cstheme="minorHAnsi"/>
          <w:color w:val="000000" w:themeColor="text1"/>
        </w:rPr>
        <w:t>Decon</w:t>
      </w:r>
      <w:proofErr w:type="spellEnd"/>
      <w:r w:rsidR="008E2F88" w:rsidRPr="00D0161E">
        <w:rPr>
          <w:rFonts w:cstheme="minorHAnsi"/>
          <w:color w:val="000000" w:themeColor="text1"/>
        </w:rPr>
        <w:t>™ 90</w:t>
      </w:r>
      <w:r w:rsidR="00627216" w:rsidRPr="00D0161E">
        <w:rPr>
          <w:rFonts w:cstheme="minorHAnsi"/>
          <w:color w:val="000000" w:themeColor="text1"/>
        </w:rPr>
        <w:t xml:space="preserve"> (</w:t>
      </w:r>
      <w:proofErr w:type="spellStart"/>
      <w:r w:rsidR="00627216" w:rsidRPr="00D0161E">
        <w:rPr>
          <w:color w:val="000000" w:themeColor="text1"/>
        </w:rPr>
        <w:t>Decon</w:t>
      </w:r>
      <w:proofErr w:type="spellEnd"/>
      <w:r w:rsidR="00627216" w:rsidRPr="00D0161E">
        <w:rPr>
          <w:color w:val="000000" w:themeColor="text1"/>
        </w:rPr>
        <w:t xml:space="preserve"> Laboratories, UK)</w:t>
      </w:r>
      <w:r w:rsidRPr="00D0161E">
        <w:rPr>
          <w:rFonts w:cstheme="minorHAnsi"/>
          <w:color w:val="000000" w:themeColor="text1"/>
        </w:rPr>
        <w:t>, rinsed thoroughly and dried. The pre</w:t>
      </w:r>
      <w:r w:rsidR="00683597">
        <w:rPr>
          <w:rFonts w:cstheme="minorHAnsi"/>
          <w:color w:val="000000" w:themeColor="text1"/>
        </w:rPr>
        <w:t>-</w:t>
      </w:r>
      <w:r w:rsidRPr="00D0161E">
        <w:rPr>
          <w:rFonts w:cstheme="minorHAnsi"/>
          <w:color w:val="000000" w:themeColor="text1"/>
        </w:rPr>
        <w:t xml:space="preserve">determined retention volume (45.3 </w:t>
      </w:r>
      <w:r w:rsidR="008546EE" w:rsidRPr="00D0161E">
        <w:rPr>
          <w:rFonts w:cstheme="minorHAnsi"/>
          <w:color w:val="000000" w:themeColor="text1"/>
        </w:rPr>
        <w:t xml:space="preserve">ml for 100 </w:t>
      </w:r>
      <w:proofErr w:type="spellStart"/>
      <w:r w:rsidR="00683597">
        <w:rPr>
          <w:rFonts w:cstheme="minorHAnsi"/>
          <w:color w:val="000000" w:themeColor="text1"/>
        </w:rPr>
        <w:t>sq</w:t>
      </w:r>
      <w:proofErr w:type="spellEnd"/>
      <w:r w:rsidR="00683597">
        <w:rPr>
          <w:rFonts w:cstheme="minorHAnsi"/>
          <w:color w:val="000000" w:themeColor="text1"/>
        </w:rPr>
        <w:t xml:space="preserve"> </w:t>
      </w:r>
      <w:r w:rsidR="008546EE" w:rsidRPr="00D0161E">
        <w:rPr>
          <w:rFonts w:cstheme="minorHAnsi"/>
          <w:color w:val="000000" w:themeColor="text1"/>
        </w:rPr>
        <w:t>cm</w:t>
      </w:r>
      <w:r w:rsidRPr="00D0161E">
        <w:rPr>
          <w:rFonts w:cstheme="minorHAnsi"/>
          <w:color w:val="000000" w:themeColor="text1"/>
        </w:rPr>
        <w:t xml:space="preserve">), adjusted for the size (4.08 ml), of each of </w:t>
      </w:r>
      <w:r w:rsidR="00683597">
        <w:rPr>
          <w:rFonts w:cstheme="minorHAnsi"/>
          <w:color w:val="000000" w:themeColor="text1"/>
        </w:rPr>
        <w:t>4</w:t>
      </w:r>
      <w:r w:rsidR="00683597" w:rsidRPr="00D0161E">
        <w:rPr>
          <w:rFonts w:cstheme="minorHAnsi"/>
          <w:color w:val="000000" w:themeColor="text1"/>
        </w:rPr>
        <w:t xml:space="preserve"> </w:t>
      </w:r>
      <w:r w:rsidRPr="00D0161E">
        <w:rPr>
          <w:rFonts w:cstheme="minorHAnsi"/>
          <w:color w:val="000000" w:themeColor="text1"/>
        </w:rPr>
        <w:t>concentrations (0.28, 1.38, 2.76</w:t>
      </w:r>
      <w:r w:rsidR="00683597">
        <w:rPr>
          <w:rFonts w:cstheme="minorHAnsi"/>
          <w:color w:val="000000" w:themeColor="text1"/>
        </w:rPr>
        <w:t>,</w:t>
      </w:r>
      <w:r w:rsidRPr="00D0161E">
        <w:rPr>
          <w:rFonts w:cstheme="minorHAnsi"/>
          <w:color w:val="000000" w:themeColor="text1"/>
        </w:rPr>
        <w:t xml:space="preserve"> 13.80%) was applied in water to the netting pieces in a disposable dish to give final treatment rates of 10, 50, 100 and 500 mg/</w:t>
      </w:r>
      <w:proofErr w:type="spellStart"/>
      <w:r w:rsidR="00683597">
        <w:rPr>
          <w:rFonts w:cstheme="minorHAnsi"/>
          <w:color w:val="000000" w:themeColor="text1"/>
        </w:rPr>
        <w:t>sq</w:t>
      </w:r>
      <w:proofErr w:type="spellEnd"/>
      <w:r w:rsidR="00683597">
        <w:rPr>
          <w:rFonts w:cstheme="minorHAnsi"/>
          <w:color w:val="000000" w:themeColor="text1"/>
        </w:rPr>
        <w:t xml:space="preserve"> </w:t>
      </w:r>
      <w:r w:rsidRPr="00D0161E">
        <w:rPr>
          <w:rFonts w:cstheme="minorHAnsi"/>
          <w:color w:val="000000" w:themeColor="text1"/>
        </w:rPr>
        <w:t>m. Net samples were hung in a fume hood overnight to dry. Samples were cut into 7.5</w:t>
      </w:r>
      <w:r w:rsidR="007C7BFF" w:rsidRPr="00D0161E">
        <w:rPr>
          <w:rFonts w:cstheme="minorHAnsi"/>
          <w:color w:val="000000" w:themeColor="text1"/>
        </w:rPr>
        <w:t xml:space="preserve"> </w:t>
      </w:r>
      <w:r w:rsidR="008E2F88" w:rsidRPr="00D0161E">
        <w:rPr>
          <w:rFonts w:cstheme="minorHAnsi"/>
          <w:color w:val="000000" w:themeColor="text1"/>
        </w:rPr>
        <w:t>x</w:t>
      </w:r>
      <w:r w:rsidR="007C7BFF" w:rsidRPr="00D0161E">
        <w:rPr>
          <w:rFonts w:cstheme="minorHAnsi"/>
          <w:color w:val="000000" w:themeColor="text1"/>
        </w:rPr>
        <w:t xml:space="preserve"> </w:t>
      </w:r>
      <w:r w:rsidR="008E2F88" w:rsidRPr="00D0161E">
        <w:rPr>
          <w:rFonts w:cstheme="minorHAnsi"/>
          <w:color w:val="000000" w:themeColor="text1"/>
        </w:rPr>
        <w:t>7.5</w:t>
      </w:r>
      <w:r w:rsidRPr="00D0161E">
        <w:rPr>
          <w:rFonts w:cstheme="minorHAnsi"/>
          <w:color w:val="000000" w:themeColor="text1"/>
        </w:rPr>
        <w:t xml:space="preserve"> cm squares, individually wrapped in aluminium foil and kept in a cool place prior to use. </w:t>
      </w:r>
    </w:p>
    <w:p w14:paraId="7C57B863" w14:textId="77777777" w:rsidR="007D33E3" w:rsidRPr="00D0161E" w:rsidRDefault="007D33E3" w:rsidP="00D0161E">
      <w:pPr>
        <w:widowControl w:val="0"/>
        <w:spacing w:line="480" w:lineRule="auto"/>
        <w:contextualSpacing/>
        <w:rPr>
          <w:rFonts w:cstheme="minorHAnsi"/>
          <w:color w:val="000000" w:themeColor="text1"/>
        </w:rPr>
      </w:pPr>
    </w:p>
    <w:p w14:paraId="4C49B117" w14:textId="0138AE65" w:rsidR="00E57C90" w:rsidRPr="00D0161E" w:rsidRDefault="00E57C90" w:rsidP="00D0161E">
      <w:pPr>
        <w:pStyle w:val="Heading3"/>
        <w:spacing w:before="0" w:line="480" w:lineRule="auto"/>
        <w:rPr>
          <w:rFonts w:ascii="Times New Roman" w:hAnsi="Times New Roman"/>
          <w:b/>
          <w:color w:val="000000" w:themeColor="text1"/>
        </w:rPr>
      </w:pPr>
      <w:r w:rsidRPr="00D0161E">
        <w:rPr>
          <w:rFonts w:ascii="Times New Roman" w:hAnsi="Times New Roman"/>
          <w:b/>
          <w:color w:val="000000" w:themeColor="text1"/>
        </w:rPr>
        <w:t xml:space="preserve">Chemical analysis to confirm </w:t>
      </w:r>
      <w:proofErr w:type="spellStart"/>
      <w:r w:rsidR="00D54567" w:rsidRPr="00D54567">
        <w:rPr>
          <w:rFonts w:ascii="Times New Roman" w:hAnsi="Times New Roman"/>
          <w:b/>
          <w:color w:val="000000" w:themeColor="text1"/>
        </w:rPr>
        <w:t>Tenebenal</w:t>
      </w:r>
      <w:r w:rsidRPr="00D0161E">
        <w:rPr>
          <w:rFonts w:ascii="Times New Roman" w:hAnsi="Times New Roman"/>
          <w:b/>
          <w:color w:val="000000" w:themeColor="text1"/>
          <w:vertAlign w:val="superscript"/>
        </w:rPr>
        <w:t>TM</w:t>
      </w:r>
      <w:proofErr w:type="spellEnd"/>
      <w:r w:rsidRPr="00D0161E">
        <w:rPr>
          <w:rFonts w:ascii="Times New Roman" w:hAnsi="Times New Roman"/>
          <w:b/>
          <w:color w:val="000000" w:themeColor="text1"/>
          <w:vertAlign w:val="superscript"/>
        </w:rPr>
        <w:t xml:space="preserve"> </w:t>
      </w:r>
      <w:r w:rsidRPr="00D0161E">
        <w:rPr>
          <w:rFonts w:ascii="Times New Roman" w:hAnsi="Times New Roman"/>
          <w:b/>
          <w:color w:val="000000" w:themeColor="text1"/>
        </w:rPr>
        <w:t xml:space="preserve">application rate </w:t>
      </w:r>
      <w:r w:rsidR="00C969A5" w:rsidRPr="00D0161E">
        <w:rPr>
          <w:rFonts w:ascii="Times New Roman" w:hAnsi="Times New Roman"/>
          <w:b/>
          <w:color w:val="000000" w:themeColor="text1"/>
        </w:rPr>
        <w:t>on filter paper and net</w:t>
      </w:r>
      <w:r w:rsidR="00D60CD0" w:rsidRPr="00D0161E">
        <w:rPr>
          <w:rFonts w:ascii="Times New Roman" w:hAnsi="Times New Roman"/>
          <w:b/>
          <w:color w:val="000000" w:themeColor="text1"/>
        </w:rPr>
        <w:t xml:space="preserve"> samples</w:t>
      </w:r>
    </w:p>
    <w:p w14:paraId="421B9466" w14:textId="1900443E" w:rsidR="000C167F" w:rsidRPr="00D0161E" w:rsidRDefault="00E57C90" w:rsidP="00D0161E">
      <w:pPr>
        <w:spacing w:line="480" w:lineRule="auto"/>
        <w:rPr>
          <w:color w:val="000000" w:themeColor="text1"/>
        </w:rPr>
      </w:pPr>
      <w:r w:rsidRPr="00D0161E">
        <w:rPr>
          <w:color w:val="000000" w:themeColor="text1"/>
        </w:rPr>
        <w:t xml:space="preserve">To confirm the accuracy of treatments applied by the Potter tower, filter papers were treated alongside the surfaces with each IRS formulation, and each concentration of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for subsequent extraction and HPLC analysis of the detected application rates (converted to g/</w:t>
      </w:r>
      <w:proofErr w:type="spellStart"/>
      <w:r w:rsidR="002141A5">
        <w:rPr>
          <w:color w:val="000000" w:themeColor="text1"/>
        </w:rPr>
        <w:t>sq</w:t>
      </w:r>
      <w:proofErr w:type="spellEnd"/>
      <w:r w:rsidR="002141A5">
        <w:rPr>
          <w:color w:val="000000" w:themeColor="text1"/>
        </w:rPr>
        <w:t xml:space="preserve"> </w:t>
      </w:r>
      <w:r w:rsidRPr="00D0161E">
        <w:rPr>
          <w:color w:val="000000" w:themeColor="text1"/>
        </w:rPr>
        <w:t xml:space="preserve">m). </w:t>
      </w:r>
      <w:r w:rsidR="00D60CD0" w:rsidRPr="00D0161E">
        <w:rPr>
          <w:color w:val="000000" w:themeColor="text1"/>
        </w:rPr>
        <w:t>A</w:t>
      </w:r>
      <w:r w:rsidRPr="00D0161E">
        <w:rPr>
          <w:color w:val="000000" w:themeColor="text1"/>
        </w:rPr>
        <w:t xml:space="preserve"> 4 x 4 </w:t>
      </w:r>
      <w:proofErr w:type="spellStart"/>
      <w:r w:rsidR="002141A5">
        <w:rPr>
          <w:color w:val="000000" w:themeColor="text1"/>
        </w:rPr>
        <w:t>sq</w:t>
      </w:r>
      <w:proofErr w:type="spellEnd"/>
      <w:r w:rsidR="002141A5">
        <w:rPr>
          <w:color w:val="000000" w:themeColor="text1"/>
        </w:rPr>
        <w:t xml:space="preserve"> </w:t>
      </w:r>
      <w:r w:rsidRPr="00D0161E">
        <w:rPr>
          <w:color w:val="000000" w:themeColor="text1"/>
        </w:rPr>
        <w:t xml:space="preserve">cm was cut from the circular area of each </w:t>
      </w:r>
      <w:r w:rsidR="009E233D" w:rsidRPr="00D0161E">
        <w:rPr>
          <w:color w:val="000000" w:themeColor="text1"/>
        </w:rPr>
        <w:t>sample</w:t>
      </w:r>
      <w:r w:rsidRPr="00D0161E">
        <w:rPr>
          <w:color w:val="000000" w:themeColor="text1"/>
        </w:rPr>
        <w:t xml:space="preserve"> post-treatment, which was then divided into four 1 </w:t>
      </w:r>
      <w:proofErr w:type="spellStart"/>
      <w:r w:rsidR="002141A5">
        <w:rPr>
          <w:color w:val="000000" w:themeColor="text1"/>
        </w:rPr>
        <w:t>sq</w:t>
      </w:r>
      <w:proofErr w:type="spellEnd"/>
      <w:r w:rsidR="002141A5">
        <w:rPr>
          <w:color w:val="000000" w:themeColor="text1"/>
        </w:rPr>
        <w:t xml:space="preserve"> </w:t>
      </w:r>
      <w:r w:rsidRPr="00D0161E">
        <w:rPr>
          <w:color w:val="000000" w:themeColor="text1"/>
        </w:rPr>
        <w:t xml:space="preserve">cm, each of which was placed into a separate tube. Three </w:t>
      </w:r>
      <w:r w:rsidR="002141A5">
        <w:rPr>
          <w:color w:val="000000" w:themeColor="text1"/>
        </w:rPr>
        <w:t>ml</w:t>
      </w:r>
      <w:r w:rsidR="002141A5" w:rsidRPr="00D0161E">
        <w:rPr>
          <w:color w:val="000000" w:themeColor="text1"/>
        </w:rPr>
        <w:t xml:space="preserve"> </w:t>
      </w:r>
      <w:r w:rsidRPr="00D0161E">
        <w:rPr>
          <w:color w:val="000000" w:themeColor="text1"/>
        </w:rPr>
        <w:t xml:space="preserve">of heptane/1-propoanol solvent mixture (9:1) containing 100 </w:t>
      </w:r>
      <w:proofErr w:type="spellStart"/>
      <w:r w:rsidRPr="00D0161E">
        <w:rPr>
          <w:color w:val="000000" w:themeColor="text1"/>
        </w:rPr>
        <w:t>μg</w:t>
      </w:r>
      <w:proofErr w:type="spellEnd"/>
      <w:r w:rsidRPr="00D0161E">
        <w:rPr>
          <w:color w:val="000000" w:themeColor="text1"/>
        </w:rPr>
        <w:t>/m</w:t>
      </w:r>
      <w:r w:rsidR="002141A5">
        <w:rPr>
          <w:color w:val="000000" w:themeColor="text1"/>
        </w:rPr>
        <w:t>l</w:t>
      </w:r>
      <w:r w:rsidRPr="00D0161E">
        <w:rPr>
          <w:color w:val="000000" w:themeColor="text1"/>
        </w:rPr>
        <w:t xml:space="preserve"> of the internal standard </w:t>
      </w:r>
      <w:proofErr w:type="spellStart"/>
      <w:r w:rsidR="002141A5">
        <w:rPr>
          <w:color w:val="000000" w:themeColor="text1"/>
        </w:rPr>
        <w:t>d</w:t>
      </w:r>
      <w:r w:rsidRPr="00D0161E">
        <w:rPr>
          <w:color w:val="000000" w:themeColor="text1"/>
        </w:rPr>
        <w:t>icyclohexyl</w:t>
      </w:r>
      <w:proofErr w:type="spellEnd"/>
      <w:r w:rsidRPr="00D0161E">
        <w:rPr>
          <w:color w:val="000000" w:themeColor="text1"/>
        </w:rPr>
        <w:t xml:space="preserve"> phthalate (DCP, Sigma Aldrich UK) was added to each tube, and sonicated for 30 min.  One </w:t>
      </w:r>
      <w:r w:rsidR="002141A5">
        <w:rPr>
          <w:color w:val="000000" w:themeColor="text1"/>
        </w:rPr>
        <w:t>ml</w:t>
      </w:r>
      <w:r w:rsidR="002141A5" w:rsidRPr="00D0161E">
        <w:rPr>
          <w:color w:val="000000" w:themeColor="text1"/>
        </w:rPr>
        <w:t xml:space="preserve"> </w:t>
      </w:r>
      <w:r w:rsidRPr="00D0161E">
        <w:rPr>
          <w:color w:val="000000" w:themeColor="text1"/>
        </w:rPr>
        <w:t>of the extract was evaporated to dryness under nitrogen at 40</w:t>
      </w:r>
      <w:r w:rsidRPr="00D0161E">
        <w:rPr>
          <w:rFonts w:cstheme="minorHAnsi"/>
          <w:color w:val="000000" w:themeColor="text1"/>
        </w:rPr>
        <w:t>˚</w:t>
      </w:r>
      <w:r w:rsidRPr="00D0161E">
        <w:rPr>
          <w:color w:val="000000" w:themeColor="text1"/>
        </w:rPr>
        <w:t xml:space="preserve">C, resuspended in 1 ml of methanol and 500 </w:t>
      </w:r>
      <w:proofErr w:type="spellStart"/>
      <w:r w:rsidRPr="00D0161E">
        <w:rPr>
          <w:color w:val="000000" w:themeColor="text1"/>
        </w:rPr>
        <w:t>μl</w:t>
      </w:r>
      <w:proofErr w:type="spellEnd"/>
      <w:r w:rsidRPr="00D0161E">
        <w:rPr>
          <w:color w:val="000000" w:themeColor="text1"/>
        </w:rPr>
        <w:t xml:space="preserve"> transferred to an Eppendorf tube and centrifuged at 12</w:t>
      </w:r>
      <w:r w:rsidR="002141A5">
        <w:rPr>
          <w:color w:val="000000" w:themeColor="text1"/>
        </w:rPr>
        <w:t>,</w:t>
      </w:r>
      <w:r w:rsidRPr="00D0161E">
        <w:rPr>
          <w:color w:val="000000" w:themeColor="text1"/>
        </w:rPr>
        <w:t xml:space="preserve">000 </w:t>
      </w:r>
      <w:proofErr w:type="spellStart"/>
      <w:r w:rsidRPr="00D0161E">
        <w:rPr>
          <w:color w:val="000000" w:themeColor="text1"/>
        </w:rPr>
        <w:t>xg</w:t>
      </w:r>
      <w:proofErr w:type="spellEnd"/>
      <w:r w:rsidRPr="00D0161E">
        <w:rPr>
          <w:color w:val="000000" w:themeColor="text1"/>
        </w:rPr>
        <w:t xml:space="preserve"> for 15 min. The insecticide content of each sample was determined using HPLC by injecting 10 </w:t>
      </w:r>
      <w:proofErr w:type="spellStart"/>
      <w:r w:rsidRPr="00D0161E">
        <w:rPr>
          <w:color w:val="000000" w:themeColor="text1"/>
        </w:rPr>
        <w:t>μl</w:t>
      </w:r>
      <w:proofErr w:type="spellEnd"/>
      <w:r w:rsidRPr="00D0161E">
        <w:rPr>
          <w:color w:val="000000" w:themeColor="text1"/>
        </w:rPr>
        <w:t xml:space="preserve"> aliquots of the extract on a reverse-phase </w:t>
      </w:r>
      <w:proofErr w:type="spellStart"/>
      <w:r w:rsidRPr="00D0161E">
        <w:rPr>
          <w:color w:val="000000" w:themeColor="text1"/>
        </w:rPr>
        <w:t>Hypersil</w:t>
      </w:r>
      <w:proofErr w:type="spellEnd"/>
      <w:r w:rsidRPr="00D0161E">
        <w:rPr>
          <w:color w:val="000000" w:themeColor="text1"/>
        </w:rPr>
        <w:t xml:space="preserve"> GOLD C18 column (175 Å, 250 x 4.6 mm, 5 </w:t>
      </w:r>
      <w:proofErr w:type="spellStart"/>
      <w:r w:rsidRPr="00D0161E">
        <w:rPr>
          <w:color w:val="000000" w:themeColor="text1"/>
        </w:rPr>
        <w:t>μl</w:t>
      </w:r>
      <w:proofErr w:type="spellEnd"/>
      <w:r w:rsidRPr="00D0161E">
        <w:rPr>
          <w:color w:val="000000" w:themeColor="text1"/>
        </w:rPr>
        <w:t xml:space="preserve">, Thermo </w:t>
      </w:r>
      <w:r w:rsidR="002141A5" w:rsidRPr="00D0161E">
        <w:rPr>
          <w:color w:val="000000" w:themeColor="text1"/>
        </w:rPr>
        <w:t>S</w:t>
      </w:r>
      <w:r w:rsidR="002141A5">
        <w:rPr>
          <w:color w:val="000000" w:themeColor="text1"/>
        </w:rPr>
        <w:t>cientific</w:t>
      </w:r>
      <w:r w:rsidRPr="00D0161E">
        <w:rPr>
          <w:color w:val="000000" w:themeColor="text1"/>
        </w:rPr>
        <w:t>, UK) at 23-25</w:t>
      </w:r>
      <w:r w:rsidRPr="00D0161E">
        <w:rPr>
          <w:rFonts w:cstheme="minorHAnsi"/>
          <w:color w:val="000000" w:themeColor="text1"/>
        </w:rPr>
        <w:t>˚</w:t>
      </w:r>
      <w:r w:rsidRPr="00D0161E">
        <w:rPr>
          <w:color w:val="000000" w:themeColor="text1"/>
        </w:rPr>
        <w:t>C, setting the mobile phase of acetonitrile/water 93:7 (optimise for each analyte) at a flow rate of 1 ml/min for a period of time optimi</w:t>
      </w:r>
      <w:r w:rsidR="002141A5">
        <w:rPr>
          <w:color w:val="000000" w:themeColor="text1"/>
        </w:rPr>
        <w:t>z</w:t>
      </w:r>
      <w:r w:rsidRPr="00D0161E">
        <w:rPr>
          <w:color w:val="000000" w:themeColor="text1"/>
        </w:rPr>
        <w:t xml:space="preserve">ed for each analyte to separate insecticide and DCP. Analyte peaks were detected at a wavelength of 232 nm, except for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which was detected at 210 nm, and the quantities of insecticide and DCP calculated from standard curves established by known concentrations of analytical grade standards, in </w:t>
      </w:r>
      <w:proofErr w:type="spellStart"/>
      <w:r w:rsidRPr="00D0161E">
        <w:rPr>
          <w:color w:val="000000" w:themeColor="text1"/>
        </w:rPr>
        <w:t>μg</w:t>
      </w:r>
      <w:proofErr w:type="spellEnd"/>
      <w:r w:rsidRPr="00D0161E">
        <w:rPr>
          <w:color w:val="000000" w:themeColor="text1"/>
        </w:rPr>
        <w:t xml:space="preserve">/ml. </w:t>
      </w:r>
    </w:p>
    <w:p w14:paraId="3718ED1D" w14:textId="77777777" w:rsidR="00E57C90" w:rsidRPr="00D0161E" w:rsidRDefault="00E57C90" w:rsidP="00D0161E">
      <w:pPr>
        <w:spacing w:line="480" w:lineRule="auto"/>
        <w:rPr>
          <w:color w:val="000000" w:themeColor="text1"/>
        </w:rPr>
      </w:pPr>
    </w:p>
    <w:p w14:paraId="524D4621" w14:textId="414E981D" w:rsidR="003954B7" w:rsidRPr="00D0161E" w:rsidRDefault="00C969A5" w:rsidP="00D0161E">
      <w:pPr>
        <w:widowControl w:val="0"/>
        <w:spacing w:line="480" w:lineRule="auto"/>
        <w:contextualSpacing/>
        <w:rPr>
          <w:rFonts w:cstheme="minorHAnsi"/>
          <w:color w:val="000000" w:themeColor="text1"/>
        </w:rPr>
      </w:pPr>
      <w:r w:rsidRPr="00D0161E">
        <w:rPr>
          <w:rFonts w:cstheme="minorHAnsi"/>
          <w:color w:val="000000" w:themeColor="text1"/>
        </w:rPr>
        <w:t xml:space="preserve">To confirm the </w:t>
      </w:r>
      <w:r w:rsidR="007D33E3" w:rsidRPr="00D0161E">
        <w:rPr>
          <w:rFonts w:cstheme="minorHAnsi"/>
          <w:color w:val="000000" w:themeColor="text1"/>
        </w:rPr>
        <w:t xml:space="preserve">application rate </w:t>
      </w:r>
      <w:r w:rsidRPr="00D0161E">
        <w:rPr>
          <w:rFonts w:cstheme="minorHAnsi"/>
          <w:color w:val="000000" w:themeColor="text1"/>
        </w:rPr>
        <w:t>on net samples</w:t>
      </w:r>
      <w:r w:rsidR="002141A5">
        <w:rPr>
          <w:rFonts w:cstheme="minorHAnsi"/>
          <w:color w:val="000000" w:themeColor="text1"/>
        </w:rPr>
        <w:t>,</w:t>
      </w:r>
      <w:r w:rsidRPr="00D0161E">
        <w:rPr>
          <w:rFonts w:cstheme="minorHAnsi"/>
          <w:color w:val="000000" w:themeColor="text1"/>
        </w:rPr>
        <w:t xml:space="preserve"> in</w:t>
      </w:r>
      <w:r w:rsidR="003954B7" w:rsidRPr="00D0161E">
        <w:rPr>
          <w:rFonts w:cstheme="minorHAnsi"/>
          <w:color w:val="000000" w:themeColor="text1"/>
        </w:rPr>
        <w:t>sect</w:t>
      </w:r>
      <w:r w:rsidR="002141A5">
        <w:rPr>
          <w:rFonts w:cstheme="minorHAnsi"/>
          <w:color w:val="000000" w:themeColor="text1"/>
        </w:rPr>
        <w:t>i</w:t>
      </w:r>
      <w:r w:rsidR="003954B7" w:rsidRPr="00D0161E">
        <w:rPr>
          <w:rFonts w:cstheme="minorHAnsi"/>
          <w:color w:val="000000" w:themeColor="text1"/>
        </w:rPr>
        <w:t xml:space="preserve">cide </w:t>
      </w:r>
      <w:r w:rsidR="005E595D" w:rsidRPr="00D0161E">
        <w:rPr>
          <w:rFonts w:cstheme="minorHAnsi"/>
          <w:color w:val="000000" w:themeColor="text1"/>
        </w:rPr>
        <w:t xml:space="preserve">was </w:t>
      </w:r>
      <w:r w:rsidR="003954B7" w:rsidRPr="00D0161E">
        <w:rPr>
          <w:rFonts w:cstheme="minorHAnsi"/>
          <w:color w:val="000000" w:themeColor="text1"/>
        </w:rPr>
        <w:t xml:space="preserve">extracted in triplicate from net </w:t>
      </w:r>
      <w:r w:rsidR="00F96AE4" w:rsidRPr="00025A3F">
        <w:rPr>
          <w:rFonts w:cstheme="minorHAnsi"/>
          <w:color w:val="000000" w:themeColor="text1"/>
        </w:rPr>
        <w:t>pieces</w:t>
      </w:r>
      <w:r w:rsidR="00F96AE4">
        <w:rPr>
          <w:rFonts w:cstheme="minorHAnsi"/>
          <w:color w:val="000000" w:themeColor="text1"/>
        </w:rPr>
        <w:t xml:space="preserve"> </w:t>
      </w:r>
      <w:r w:rsidR="003954B7" w:rsidRPr="00D0161E">
        <w:rPr>
          <w:rFonts w:cstheme="minorHAnsi"/>
          <w:color w:val="000000" w:themeColor="text1"/>
        </w:rPr>
        <w:t>with an area of 48 </w:t>
      </w:r>
      <w:proofErr w:type="spellStart"/>
      <w:r w:rsidR="002141A5">
        <w:rPr>
          <w:rFonts w:cstheme="minorHAnsi"/>
          <w:color w:val="000000" w:themeColor="text1"/>
        </w:rPr>
        <w:t>sq</w:t>
      </w:r>
      <w:proofErr w:type="spellEnd"/>
      <w:r w:rsidR="002141A5">
        <w:rPr>
          <w:rFonts w:cstheme="minorHAnsi"/>
          <w:color w:val="000000" w:themeColor="text1"/>
        </w:rPr>
        <w:t xml:space="preserve"> </w:t>
      </w:r>
      <w:r w:rsidR="003954B7" w:rsidRPr="00D0161E">
        <w:rPr>
          <w:rFonts w:cstheme="minorHAnsi"/>
          <w:color w:val="000000" w:themeColor="text1"/>
        </w:rPr>
        <w:t xml:space="preserve">cm according to Toe </w:t>
      </w:r>
      <w:r w:rsidR="00BD1AEC" w:rsidRPr="00025A3F">
        <w:rPr>
          <w:rFonts w:cstheme="minorHAnsi"/>
          <w:i/>
          <w:color w:val="000000" w:themeColor="text1"/>
        </w:rPr>
        <w:t>et al</w:t>
      </w:r>
      <w:r w:rsidR="003954B7" w:rsidRPr="00D0161E">
        <w:rPr>
          <w:rFonts w:cstheme="minorHAnsi"/>
          <w:color w:val="000000" w:themeColor="text1"/>
        </w:rPr>
        <w:t>.</w:t>
      </w:r>
      <w:r w:rsidR="007D33E3" w:rsidRPr="00D0161E">
        <w:rPr>
          <w:rFonts w:cstheme="minorHAnsi"/>
          <w:color w:val="000000" w:themeColor="text1"/>
        </w:rPr>
        <w:t xml:space="preserve"> </w:t>
      </w:r>
      <w:r w:rsidR="00BD1AEC" w:rsidRPr="00D0161E">
        <w:rPr>
          <w:rFonts w:cstheme="minorHAnsi"/>
          <w:color w:val="000000" w:themeColor="text1"/>
        </w:rPr>
        <w:fldChar w:fldCharType="begin" w:fldLock="1"/>
      </w:r>
      <w:r w:rsidR="00B63A44">
        <w:rPr>
          <w:rFonts w:cstheme="minorHAnsi"/>
          <w:color w:val="000000" w:themeColor="text1"/>
        </w:rPr>
        <w:instrText>ADDIN CSL_CITATION {"citationItems":[{"id":"ITEM-1","itemData":{"DOI":"10.1186/s12936-019-3018-1","ISSN":"14752875","abstract":"Background: Long-lasting insecticidal nets (LLINs) treated with pyrethroids are the foundation of malaria control in sub-Saharan Africa. Rising pyrethroid resistance in vectors, however, has driven the development of alternative net formulations. Here the durability of polyethylene nets with a novel combination of a pyrethroid, permethrin, and the insect juvenile hormone mimic, pyriproxyfen (PPF), compared to a standard permethrin LLIN, was assessed in rural Burkina Faso. Methods: A compound-randomized controlled trial was completed in two villages. In one village 326 of the PPF-permethrin nets (Olyset Duo) and 327 standard LLINs (Olyset) were distributed to assess bioefficacy. In a second village, 170 PPF-permethrin nets and 376 LLINs were distributed to assess survivorship. Nets were followed at 6-monthly intervals for 3 years. Bioefficacy was assessed by exposing permethrin-susceptible and resistant Anopheles gambiae sensu lato mosquito strains to standard World Health Organization (WHO) cone and tunnel tests with impacts on fertility measured in the resistant strain. Insecticide content was measured using high-performance liquid chromatography. LLIN survivorship was recorded with a questionnaire and assessed by comparing the physical integrity using the proportionate hole index (pHI). Results: The PPF-permethrin net met WHO bioefficacy criteria (≥ 80% mortality or ≥ 95% knockdown) for the first 18 months, compared to 6 months for the standard LLIN. Mean mosquito mortality for PPF-permethrin nets, across all time points, was 8.6% (CI 2.6-14.6%) higher than the standard LLIN. Fertility rates were reduced after PPF-permethrin net exposure at 1-month post distribution, but not later. Permethrin content of both types of nets remained within the target range of 20 g/kg ± 25% for 242/248 nets tested. The pyriproxyfen content of PPF-permethrin nets declined by 54%, from 10.4 g/kg (CI 10.2-10.6) to 4.7 g/kg (CI 3.5-6.0, p &lt; 0.001) over 36 months. Net survivorship was poor, with only 13% of PPF-permethrin nets and 12% of LLINs still present in the original household after 36 months. There was no difference in the fabric integrity or survivorship between the two net types. Conclusion: The PPF-permethrin net, Olyset Duo, met or exceeded the performance of the WHO-recommended standard LLIN (Olyset) in the current study but both net types failed the 3-year WHO bioefficacy criteria.","author":[{"dropping-particle":"","family":"Toé","given":"Kobié H.","non-dropping-particle":"","parse-names":false,"suffix":""},{"dropping-particle":"","family":"Mechan","given":"Frank","non-dropping-particle":"","parse-names":false,"suffix":""},{"dropping-particle":"","family":"Tangena","given":"Julie Anne A.","non-dropping-particle":"","parse-names":false,"suffix":""},{"dropping-particle":"","family":"Morris","given":"Marion","non-dropping-particle":"","parse-names":false,"suffix":""},{"dropping-particle":"","family":"Solino","given":"Joanna","non-dropping-particle":"","parse-names":false,"suffix":""},{"dropping-particle":"","family":"Tchicaya","given":"Emile F.S.","non-dropping-particle":"","parse-names":false,"suffix":""},{"dropping-particle":"","family":"Traoré","given":"Alphonse","non-dropping-particle":"","parse-names":false,"suffix":""},{"dropping-particle":"","family":"Ismail","given":"Hanafy","non-dropping-particle":"","parse-names":false,"suffix":""},{"dropping-particle":"","family":"Maas","given":"James","non-dropping-particle":"","parse-names":false,"suffix":""},{"dropping-particle":"","family":"Lissenden","given":"Natalie","non-dropping-particle":"","parse-names":false,"suffix":""},{"dropping-particle":"","family":"Pinder","given":"Margaret","non-dropping-particle":"","parse-names":false,"suffix":""},{"dropping-particle":"","family":"Lindsay","given":"Steve W.","non-dropping-particle":"","parse-names":false,"suffix":""},{"dropping-particle":"","family":"Tiono","given":"Alfred B.","non-dropping-particle":"","parse-names":false,"suffix":""},{"dropping-particle":"","family":"Ranson","given":"Hilary","non-dropping-particle":"","parse-names":false,"suffix":""},{"dropping-particle":"","family":"Sagnon","given":"N'Falé","non-dropping-particle":"","parse-names":false,"suffix":""}],"container-title":"Malaria Journal","id":"ITEM-1","issued":{"date-parts":[["2019"]]},"title":"Assessing the impact of the addition of pyriproxyfen on the durability of permethrin-treated bed nets in Burkina Faso: A compound-randomized controlled trial","type":"article-journal"},"uris":["http://www.mendeley.com/documents/?uuid=31176113-ca01-4330-87b8-9c6dee476d93"]}],"mendeley":{"formattedCitation":"[18]","plainTextFormattedCitation":"[18]","previouslyFormattedCitation":"[18]"},"properties":{"noteIndex":0},"schema":"https://github.com/citation-style-language/schema/raw/master/csl-citation.json"}</w:instrText>
      </w:r>
      <w:r w:rsidR="00BD1AEC" w:rsidRPr="00D0161E">
        <w:rPr>
          <w:rFonts w:cstheme="minorHAnsi"/>
          <w:color w:val="000000" w:themeColor="text1"/>
        </w:rPr>
        <w:fldChar w:fldCharType="separate"/>
      </w:r>
      <w:r w:rsidR="00B63A44" w:rsidRPr="00B63A44">
        <w:rPr>
          <w:rFonts w:cstheme="minorHAnsi"/>
          <w:noProof/>
          <w:color w:val="000000" w:themeColor="text1"/>
        </w:rPr>
        <w:t>[18]</w:t>
      </w:r>
      <w:r w:rsidR="00BD1AEC" w:rsidRPr="00D0161E">
        <w:rPr>
          <w:rFonts w:cstheme="minorHAnsi"/>
          <w:color w:val="000000" w:themeColor="text1"/>
        </w:rPr>
        <w:fldChar w:fldCharType="end"/>
      </w:r>
      <w:r w:rsidR="003954B7" w:rsidRPr="00D0161E">
        <w:rPr>
          <w:rFonts w:cstheme="minorHAnsi"/>
          <w:color w:val="000000" w:themeColor="text1"/>
        </w:rPr>
        <w:t xml:space="preserve">. </w:t>
      </w:r>
      <w:r w:rsidR="00084994" w:rsidRPr="00D0161E">
        <w:rPr>
          <w:rFonts w:cstheme="minorHAnsi"/>
          <w:color w:val="000000" w:themeColor="text1"/>
        </w:rPr>
        <w:t>T</w:t>
      </w:r>
      <w:r w:rsidR="003954B7" w:rsidRPr="00D0161E">
        <w:rPr>
          <w:rFonts w:cstheme="minorHAnsi"/>
          <w:color w:val="000000" w:themeColor="text1"/>
        </w:rPr>
        <w:t xml:space="preserve">he insecticide content of each sample was determined using HPLC by injecting 10 </w:t>
      </w:r>
      <w:proofErr w:type="spellStart"/>
      <w:r w:rsidR="003954B7" w:rsidRPr="00D0161E">
        <w:rPr>
          <w:rFonts w:cstheme="minorHAnsi"/>
          <w:color w:val="000000" w:themeColor="text1"/>
        </w:rPr>
        <w:t>μl</w:t>
      </w:r>
      <w:proofErr w:type="spellEnd"/>
      <w:r w:rsidR="003954B7" w:rsidRPr="00D0161E">
        <w:rPr>
          <w:rFonts w:cstheme="minorHAnsi"/>
          <w:color w:val="000000" w:themeColor="text1"/>
        </w:rPr>
        <w:t xml:space="preserve"> aliquots of the</w:t>
      </w:r>
      <w:r w:rsidR="005E595D" w:rsidRPr="00D0161E">
        <w:rPr>
          <w:rFonts w:cstheme="minorHAnsi"/>
          <w:color w:val="000000" w:themeColor="text1"/>
        </w:rPr>
        <w:t xml:space="preserve"> </w:t>
      </w:r>
      <w:r w:rsidR="003954B7" w:rsidRPr="00D0161E">
        <w:rPr>
          <w:rFonts w:cstheme="minorHAnsi"/>
          <w:color w:val="000000" w:themeColor="text1"/>
        </w:rPr>
        <w:t xml:space="preserve">extract on a reverse-phase </w:t>
      </w:r>
      <w:proofErr w:type="spellStart"/>
      <w:r w:rsidR="003954B7" w:rsidRPr="00D0161E">
        <w:rPr>
          <w:rFonts w:cstheme="minorHAnsi"/>
          <w:color w:val="000000" w:themeColor="text1"/>
        </w:rPr>
        <w:t>Hypersil</w:t>
      </w:r>
      <w:proofErr w:type="spellEnd"/>
      <w:r w:rsidR="003954B7" w:rsidRPr="00D0161E">
        <w:rPr>
          <w:rFonts w:cstheme="minorHAnsi"/>
          <w:color w:val="000000" w:themeColor="text1"/>
        </w:rPr>
        <w:t xml:space="preserve"> GOLD C18 column </w:t>
      </w:r>
      <w:r w:rsidR="005E595D" w:rsidRPr="00D0161E">
        <w:rPr>
          <w:rFonts w:cstheme="minorHAnsi"/>
          <w:color w:val="000000" w:themeColor="text1"/>
        </w:rPr>
        <w:t>with detailed HPLC conditioned mentioned in f</w:t>
      </w:r>
      <w:r w:rsidR="003954B7" w:rsidRPr="00D0161E">
        <w:rPr>
          <w:rFonts w:cstheme="minorHAnsi"/>
          <w:color w:val="000000" w:themeColor="text1"/>
        </w:rPr>
        <w:t xml:space="preserve">ilter paper analysis section. </w:t>
      </w:r>
    </w:p>
    <w:p w14:paraId="79883C99" w14:textId="77777777" w:rsidR="00B742FD" w:rsidRPr="00D0161E" w:rsidRDefault="00B742FD" w:rsidP="00D0161E">
      <w:pPr>
        <w:widowControl w:val="0"/>
        <w:spacing w:line="480" w:lineRule="auto"/>
        <w:contextualSpacing/>
        <w:rPr>
          <w:color w:val="000000" w:themeColor="text1"/>
        </w:rPr>
      </w:pPr>
    </w:p>
    <w:p w14:paraId="7A89A6E6" w14:textId="77777777" w:rsidR="00B21FBE"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Cone tests to measure mortality on exposure to dipped net samples</w:t>
      </w:r>
    </w:p>
    <w:p w14:paraId="0DD4C65C" w14:textId="011A8638" w:rsidR="00A31006" w:rsidRPr="00D0161E" w:rsidRDefault="008B2125" w:rsidP="00D0161E">
      <w:pPr>
        <w:widowControl w:val="0"/>
        <w:spacing w:line="480" w:lineRule="auto"/>
        <w:contextualSpacing/>
        <w:rPr>
          <w:rFonts w:cstheme="minorHAnsi"/>
          <w:color w:val="000000" w:themeColor="text1"/>
        </w:rPr>
      </w:pPr>
      <w:r w:rsidRPr="00D0161E">
        <w:rPr>
          <w:rFonts w:cstheme="minorHAnsi"/>
          <w:color w:val="000000" w:themeColor="text1"/>
        </w:rPr>
        <w:t xml:space="preserve">WHO cone bioassays were performed as described for the IRS assay using </w:t>
      </w:r>
      <w:r w:rsidR="00F01885" w:rsidRPr="00D0161E">
        <w:rPr>
          <w:rFonts w:cstheme="minorHAnsi"/>
          <w:color w:val="000000" w:themeColor="text1"/>
        </w:rPr>
        <w:t>three replicate</w:t>
      </w:r>
      <w:r w:rsidRPr="00D0161E">
        <w:rPr>
          <w:rFonts w:cstheme="minorHAnsi"/>
          <w:color w:val="000000" w:themeColor="text1"/>
        </w:rPr>
        <w:t xml:space="preserve"> net</w:t>
      </w:r>
      <w:r w:rsidR="00F01885" w:rsidRPr="00D0161E">
        <w:rPr>
          <w:rFonts w:cstheme="minorHAnsi"/>
          <w:color w:val="000000" w:themeColor="text1"/>
        </w:rPr>
        <w:t xml:space="preserve"> samples </w:t>
      </w:r>
      <w:r w:rsidR="00866E8C" w:rsidRPr="00D0161E">
        <w:rPr>
          <w:rFonts w:cstheme="minorHAnsi"/>
          <w:color w:val="000000" w:themeColor="text1"/>
        </w:rPr>
        <w:t xml:space="preserve">for each treatment and </w:t>
      </w:r>
      <w:r w:rsidR="00627216" w:rsidRPr="00D0161E">
        <w:rPr>
          <w:rFonts w:cstheme="minorHAnsi"/>
          <w:color w:val="000000" w:themeColor="text1"/>
        </w:rPr>
        <w:t xml:space="preserve">the negative </w:t>
      </w:r>
      <w:r w:rsidR="00866E8C" w:rsidRPr="00D0161E">
        <w:rPr>
          <w:rFonts w:cstheme="minorHAnsi"/>
          <w:color w:val="000000" w:themeColor="text1"/>
        </w:rPr>
        <w:t>control</w:t>
      </w:r>
      <w:r w:rsidR="003676B9" w:rsidRPr="00D0161E">
        <w:rPr>
          <w:rFonts w:cstheme="minorHAnsi"/>
          <w:color w:val="000000" w:themeColor="text1"/>
        </w:rPr>
        <w:t xml:space="preserve">, with </w:t>
      </w:r>
      <w:r w:rsidR="002141A5">
        <w:rPr>
          <w:rFonts w:cstheme="minorHAnsi"/>
          <w:color w:val="000000" w:themeColor="text1"/>
        </w:rPr>
        <w:t>10</w:t>
      </w:r>
      <w:r w:rsidR="002141A5" w:rsidRPr="00D0161E">
        <w:rPr>
          <w:rFonts w:cstheme="minorHAnsi"/>
          <w:color w:val="000000" w:themeColor="text1"/>
        </w:rPr>
        <w:t xml:space="preserve"> </w:t>
      </w:r>
      <w:r w:rsidR="003676B9" w:rsidRPr="00D0161E">
        <w:rPr>
          <w:rFonts w:cstheme="minorHAnsi"/>
          <w:color w:val="000000" w:themeColor="text1"/>
        </w:rPr>
        <w:t xml:space="preserve">mosquitoes exposed in each of replicates per </w:t>
      </w:r>
      <w:proofErr w:type="gramStart"/>
      <w:r w:rsidR="003676B9" w:rsidRPr="00D0161E">
        <w:rPr>
          <w:rFonts w:cstheme="minorHAnsi"/>
          <w:color w:val="000000" w:themeColor="text1"/>
        </w:rPr>
        <w:t>treatment</w:t>
      </w:r>
      <w:r w:rsidR="00F01885" w:rsidRPr="00D0161E">
        <w:rPr>
          <w:rFonts w:cstheme="minorHAnsi"/>
          <w:color w:val="000000" w:themeColor="text1"/>
        </w:rPr>
        <w:t>.</w:t>
      </w:r>
      <w:proofErr w:type="gramEnd"/>
      <w:r w:rsidR="00F01885" w:rsidRPr="00D0161E">
        <w:rPr>
          <w:rFonts w:cstheme="minorHAnsi"/>
          <w:color w:val="000000" w:themeColor="text1"/>
        </w:rPr>
        <w:t xml:space="preserve"> Mosquitoes were exposed </w:t>
      </w:r>
      <w:r w:rsidR="00264353" w:rsidRPr="00D0161E">
        <w:rPr>
          <w:rFonts w:cstheme="minorHAnsi"/>
          <w:color w:val="000000" w:themeColor="text1"/>
        </w:rPr>
        <w:t xml:space="preserve">initially </w:t>
      </w:r>
      <w:r w:rsidR="00F01885" w:rsidRPr="00D0161E">
        <w:rPr>
          <w:rFonts w:cstheme="minorHAnsi"/>
          <w:color w:val="000000" w:themeColor="text1"/>
        </w:rPr>
        <w:t xml:space="preserve">for 3 min </w:t>
      </w:r>
      <w:r w:rsidR="00264353" w:rsidRPr="00D0161E">
        <w:rPr>
          <w:rFonts w:cstheme="minorHAnsi"/>
          <w:color w:val="000000" w:themeColor="text1"/>
        </w:rPr>
        <w:t>(as stated in the WHO guidelines</w:t>
      </w:r>
      <w:r w:rsidR="00166E40" w:rsidRPr="00D0161E">
        <w:rPr>
          <w:rFonts w:cstheme="minorHAnsi"/>
          <w:color w:val="000000" w:themeColor="text1"/>
        </w:rPr>
        <w:t xml:space="preserve"> </w:t>
      </w:r>
      <w:r w:rsidR="00BD1AEC" w:rsidRPr="00D0161E">
        <w:rPr>
          <w:rFonts w:cstheme="minorHAnsi"/>
          <w:color w:val="000000" w:themeColor="text1"/>
        </w:rPr>
        <w:fldChar w:fldCharType="begin" w:fldLock="1"/>
      </w:r>
      <w:r w:rsidR="00B63A44">
        <w:rPr>
          <w:rFonts w:cstheme="minorHAnsi"/>
          <w:color w:val="000000" w:themeColor="text1"/>
        </w:rPr>
        <w:instrText>ADDIN CSL_CITATION {"citationItems":[{"id":"ITEM-1","itemData":{"DOI":"WHO/CDS/NTD/WHOPES/GCDPP/2006.3","abstract":"More than 50 companies are involved in the development of TB diagnostics. There are 10 new or re-purposed anti-TB drugs in late phases of clinical development. In the last two years, two new drugs have been approved for the treatment of MDR-TB under specific conditions: bedaquiline and delamanid. There are currently 15 vaccine candidates in clinical trials. US{$} 8 billion per year is needed for a full response to the global TB epidemic in low-and middle-income countries by 2015, with a funding gap of US{$} 2 billion per year. The amount excludes resources required for research and devel-opment, which are estimated at about US{$} 2 billion per year. 37 million lives saved between 2000 and 2013 through effective diagnosis and treatment 45{%} decline in TB mortality rate and 41{%} decline in TB prevalence since 1990 Fragile progress in MDR-TB diagnosis and treatment but widening gaps in treatment coverage could compromise gains MULTIDRUG-RESISTANT TB Globally in 2013, an estimated 480 000 people developed multidrug-resistant TB (MDR-TB) and there were an estimated 210 000 deaths from MDR-TB. The number of people diagnosed with MDR-TB tripled between 2009 and 2013, and reached 136 000 worldwide. This was equivalent to 45{%} of the estimated MDR-TB cases among notified TB patients. Progress in the detection of drug-resistant TB has been facilitated by the use of new rapid diagnostics. A total of 97 000 patients were started on MDR-TB treatment in 2013, a three-fold increase compared with 2009. However, 39 000 patients were on waiting lists, and the gap between diagnosis and treatment widened between 2012 and 2013 in several countries. Extensively drug-resistant TB (XDR-TB) has been reported by 100 countries in 2013. On average, an estimated 9{%} of people with MDR-TB have XDR-TB. NEW DIAGNOSTICS Xpert{®} MTB/RIF, a rapid molecular diagnostic test, is being rapidly adopted by countries to detect TB and rifampicin-resistant TB. By end June 2014, 3 269 testing machines and 7.5 million test cartridges had been procured by 108 of the 145 countries eligible for concessional prices. FINANCING FOR TB CARE AND CONTROL Between 2013 and 2015 up to US{$} 8 billion per year is needed in low-and middle-income countries, with a funding gap of up to US{$} 3 billion per year. International donor funding is especially critical to sustain recent gains and make further progress in RESEARCH AND DEVELOPMENT Tuberculosis (TB) is contagious and airborne. It ranks as the second lea…","author":[{"dropping-particle":"","family":"WHO","given":"","non-dropping-particle":"","parse-names":false,"suffix":""}],"id":"ITEM-1","issued":{"date-parts":[["2006"]]},"publisher-place":"Geneva","title":"Guidelines for testing adulticides for indoor residual spraying and treatment of mosquito nets","type":"report"},"uris":["http://www.mendeley.com/documents/?uuid=04f3b313-6c0e-3ced-971e-ac47d5b272bb"]}],"mendeley":{"formattedCitation":"[17]","plainTextFormattedCitation":"[17]","previouslyFormattedCitation":"[17]"},"properties":{"noteIndex":0},"schema":"https://github.com/citation-style-language/schema/raw/master/csl-citation.json"}</w:instrText>
      </w:r>
      <w:r w:rsidR="00BD1AEC" w:rsidRPr="00D0161E">
        <w:rPr>
          <w:rFonts w:cstheme="minorHAnsi"/>
          <w:color w:val="000000" w:themeColor="text1"/>
        </w:rPr>
        <w:fldChar w:fldCharType="separate"/>
      </w:r>
      <w:r w:rsidR="00B63A44" w:rsidRPr="00B63A44">
        <w:rPr>
          <w:rFonts w:cstheme="minorHAnsi"/>
          <w:noProof/>
          <w:color w:val="000000" w:themeColor="text1"/>
        </w:rPr>
        <w:t>[17]</w:t>
      </w:r>
      <w:r w:rsidR="00BD1AEC" w:rsidRPr="00D0161E">
        <w:rPr>
          <w:rFonts w:cstheme="minorHAnsi"/>
          <w:color w:val="000000" w:themeColor="text1"/>
        </w:rPr>
        <w:fldChar w:fldCharType="end"/>
      </w:r>
      <w:r w:rsidR="003C2DBA" w:rsidRPr="00D0161E">
        <w:rPr>
          <w:rFonts w:cstheme="minorHAnsi"/>
          <w:color w:val="000000" w:themeColor="text1"/>
        </w:rPr>
        <w:t>)</w:t>
      </w:r>
      <w:r w:rsidR="00264353" w:rsidRPr="00D0161E">
        <w:rPr>
          <w:rFonts w:cstheme="minorHAnsi"/>
          <w:color w:val="000000" w:themeColor="text1"/>
        </w:rPr>
        <w:t xml:space="preserve"> but this was then increased to an exposure period of </w:t>
      </w:r>
      <w:r w:rsidR="00F01885" w:rsidRPr="00D0161E">
        <w:rPr>
          <w:rFonts w:cstheme="minorHAnsi"/>
          <w:color w:val="000000" w:themeColor="text1"/>
        </w:rPr>
        <w:t>20 min</w:t>
      </w:r>
      <w:r w:rsidR="00264353" w:rsidRPr="00D0161E">
        <w:rPr>
          <w:rFonts w:cstheme="minorHAnsi"/>
          <w:color w:val="000000" w:themeColor="text1"/>
        </w:rPr>
        <w:t>.</w:t>
      </w:r>
      <w:r w:rsidR="00F01885" w:rsidRPr="00D0161E">
        <w:rPr>
          <w:rFonts w:cstheme="minorHAnsi"/>
          <w:color w:val="000000" w:themeColor="text1"/>
        </w:rPr>
        <w:t xml:space="preserve"> </w:t>
      </w:r>
      <w:r w:rsidR="003D03AB" w:rsidRPr="00D0161E">
        <w:rPr>
          <w:rFonts w:cstheme="minorHAnsi"/>
          <w:color w:val="000000" w:themeColor="text1"/>
        </w:rPr>
        <w:t>KD</w:t>
      </w:r>
      <w:r w:rsidR="00F01885" w:rsidRPr="00D0161E">
        <w:rPr>
          <w:rFonts w:cstheme="minorHAnsi"/>
          <w:color w:val="000000" w:themeColor="text1"/>
        </w:rPr>
        <w:t xml:space="preserve"> </w:t>
      </w:r>
      <w:r w:rsidR="00264353" w:rsidRPr="00D0161E">
        <w:rPr>
          <w:rFonts w:cstheme="minorHAnsi"/>
          <w:color w:val="000000" w:themeColor="text1"/>
        </w:rPr>
        <w:t xml:space="preserve">was </w:t>
      </w:r>
      <w:r w:rsidR="00F01885" w:rsidRPr="00D0161E">
        <w:rPr>
          <w:rFonts w:cstheme="minorHAnsi"/>
          <w:color w:val="000000" w:themeColor="text1"/>
        </w:rPr>
        <w:t xml:space="preserve">scored </w:t>
      </w:r>
      <w:r w:rsidR="00264353" w:rsidRPr="00D0161E">
        <w:rPr>
          <w:rFonts w:cstheme="minorHAnsi"/>
          <w:color w:val="000000" w:themeColor="text1"/>
        </w:rPr>
        <w:t xml:space="preserve">at </w:t>
      </w:r>
      <w:r w:rsidR="00F01885" w:rsidRPr="00D0161E">
        <w:rPr>
          <w:rFonts w:cstheme="minorHAnsi"/>
          <w:color w:val="000000" w:themeColor="text1"/>
        </w:rPr>
        <w:t>60 min after the start of exposure, and mortality scored 24, 48 and 72 hours post-exposure.</w:t>
      </w:r>
    </w:p>
    <w:p w14:paraId="36CA7431" w14:textId="77777777" w:rsidR="00EF5DAF" w:rsidRPr="00D0161E" w:rsidRDefault="00EF5DAF" w:rsidP="00D0161E">
      <w:pPr>
        <w:widowControl w:val="0"/>
        <w:spacing w:line="480" w:lineRule="auto"/>
        <w:contextualSpacing/>
        <w:rPr>
          <w:rFonts w:cs="Arial"/>
          <w:color w:val="000000" w:themeColor="text1"/>
          <w:szCs w:val="20"/>
        </w:rPr>
      </w:pPr>
    </w:p>
    <w:p w14:paraId="0FD83B32" w14:textId="7F995F9D" w:rsidR="00A921B2" w:rsidRPr="00D0161E" w:rsidRDefault="006C0774" w:rsidP="00D0161E">
      <w:pPr>
        <w:pStyle w:val="Heading3"/>
        <w:spacing w:before="0" w:line="480" w:lineRule="auto"/>
        <w:rPr>
          <w:rFonts w:ascii="Times New Roman" w:hAnsi="Times New Roman"/>
          <w:b/>
          <w:color w:val="000000" w:themeColor="text1"/>
        </w:rPr>
      </w:pPr>
      <w:r w:rsidRPr="00D0161E">
        <w:rPr>
          <w:rFonts w:ascii="Times New Roman" w:hAnsi="Times New Roman"/>
          <w:b/>
          <w:color w:val="000000" w:themeColor="text1"/>
        </w:rPr>
        <w:t xml:space="preserve">Testing for </w:t>
      </w:r>
      <w:r w:rsidR="002141A5">
        <w:rPr>
          <w:rFonts w:ascii="Times New Roman" w:hAnsi="Times New Roman"/>
          <w:b/>
          <w:color w:val="000000" w:themeColor="text1"/>
        </w:rPr>
        <w:t>c</w:t>
      </w:r>
      <w:r w:rsidR="00A921B2" w:rsidRPr="00D0161E">
        <w:rPr>
          <w:rFonts w:ascii="Times New Roman" w:hAnsi="Times New Roman"/>
          <w:b/>
          <w:color w:val="000000" w:themeColor="text1"/>
        </w:rPr>
        <w:t>ross</w:t>
      </w:r>
      <w:r w:rsidR="002141A5">
        <w:rPr>
          <w:rFonts w:ascii="Times New Roman" w:hAnsi="Times New Roman"/>
          <w:b/>
          <w:color w:val="000000" w:themeColor="text1"/>
        </w:rPr>
        <w:t>-r</w:t>
      </w:r>
      <w:r w:rsidR="00A921B2" w:rsidRPr="00D0161E">
        <w:rPr>
          <w:rFonts w:ascii="Times New Roman" w:hAnsi="Times New Roman"/>
          <w:b/>
          <w:color w:val="000000" w:themeColor="text1"/>
        </w:rPr>
        <w:t xml:space="preserve">esistance </w:t>
      </w:r>
    </w:p>
    <w:p w14:paraId="082DDB3D" w14:textId="77777777" w:rsidR="00A921B2"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 xml:space="preserve">Calculating resistance ratios </w:t>
      </w:r>
      <w:r w:rsidRPr="00025A3F">
        <w:rPr>
          <w:rFonts w:ascii="Times New Roman" w:hAnsi="Times New Roman"/>
          <w:b/>
          <w:color w:val="000000" w:themeColor="text1"/>
          <w:sz w:val="24"/>
        </w:rPr>
        <w:t>in vivo</w:t>
      </w:r>
    </w:p>
    <w:p w14:paraId="6240703A" w14:textId="5BC2A169" w:rsidR="00B72EB8" w:rsidRPr="00D0161E" w:rsidRDefault="00B72EB8" w:rsidP="00D0161E">
      <w:pPr>
        <w:spacing w:line="480" w:lineRule="auto"/>
        <w:rPr>
          <w:color w:val="000000" w:themeColor="text1"/>
        </w:rPr>
      </w:pPr>
      <w:r w:rsidRPr="00D0161E">
        <w:rPr>
          <w:color w:val="000000" w:themeColor="text1"/>
        </w:rPr>
        <w:t xml:space="preserve">To look for evidence of </w:t>
      </w:r>
      <w:r w:rsidR="006744BF" w:rsidRPr="00D0161E">
        <w:rPr>
          <w:color w:val="000000" w:themeColor="text1"/>
        </w:rPr>
        <w:t xml:space="preserve">any </w:t>
      </w:r>
      <w:r w:rsidRPr="00D0161E">
        <w:rPr>
          <w:color w:val="000000" w:themeColor="text1"/>
        </w:rPr>
        <w:t>cross</w:t>
      </w:r>
      <w:r w:rsidR="006744BF" w:rsidRPr="00D0161E">
        <w:rPr>
          <w:color w:val="000000" w:themeColor="text1"/>
        </w:rPr>
        <w:t>-</w:t>
      </w:r>
      <w:r w:rsidRPr="00D0161E">
        <w:rPr>
          <w:color w:val="000000" w:themeColor="text1"/>
        </w:rPr>
        <w:t xml:space="preserve">resistance to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Pr="00D0161E">
        <w:rPr>
          <w:color w:val="000000" w:themeColor="text1"/>
        </w:rPr>
        <w:t xml:space="preserve"> in mosquitoes resistant to existing classes of insecticide, LC</w:t>
      </w:r>
      <w:r w:rsidRPr="00D0161E">
        <w:rPr>
          <w:color w:val="000000" w:themeColor="text1"/>
          <w:vertAlign w:val="subscript"/>
        </w:rPr>
        <w:t>50</w:t>
      </w:r>
      <w:r w:rsidRPr="00D0161E">
        <w:rPr>
          <w:color w:val="000000" w:themeColor="text1"/>
        </w:rPr>
        <w:t xml:space="preserve"> values were calculated </w:t>
      </w:r>
      <w:r w:rsidR="00264195" w:rsidRPr="00D0161E">
        <w:rPr>
          <w:color w:val="000000" w:themeColor="text1"/>
        </w:rPr>
        <w:t xml:space="preserve">using data from WHO susceptibility bioassay </w:t>
      </w:r>
      <w:r w:rsidR="00AB07A9" w:rsidRPr="00D0161E">
        <w:rPr>
          <w:color w:val="000000" w:themeColor="text1"/>
        </w:rPr>
        <w:t xml:space="preserve">on </w:t>
      </w:r>
      <w:r w:rsidRPr="00D0161E">
        <w:rPr>
          <w:color w:val="000000" w:themeColor="text1"/>
        </w:rPr>
        <w:t xml:space="preserve">resistant </w:t>
      </w:r>
      <w:r w:rsidR="00994C95" w:rsidRPr="00D0161E">
        <w:rPr>
          <w:color w:val="000000" w:themeColor="text1"/>
        </w:rPr>
        <w:t>strains</w:t>
      </w:r>
      <w:r w:rsidRPr="00D0161E">
        <w:rPr>
          <w:color w:val="000000" w:themeColor="text1"/>
        </w:rPr>
        <w:t xml:space="preserve"> and resistance ratios calculated relative to </w:t>
      </w:r>
      <w:r w:rsidR="00AB07A9" w:rsidRPr="00D0161E">
        <w:rPr>
          <w:color w:val="000000" w:themeColor="text1"/>
        </w:rPr>
        <w:t>the LC</w:t>
      </w:r>
      <w:r w:rsidR="00AB07A9" w:rsidRPr="00D0161E">
        <w:rPr>
          <w:color w:val="000000" w:themeColor="text1"/>
          <w:vertAlign w:val="subscript"/>
        </w:rPr>
        <w:t>50</w:t>
      </w:r>
      <w:r w:rsidR="00AB07A9" w:rsidRPr="00D0161E">
        <w:rPr>
          <w:color w:val="000000" w:themeColor="text1"/>
        </w:rPr>
        <w:t xml:space="preserve"> values for </w:t>
      </w:r>
      <w:r w:rsidRPr="00D0161E">
        <w:rPr>
          <w:color w:val="000000" w:themeColor="text1"/>
        </w:rPr>
        <w:t xml:space="preserve">susceptible </w:t>
      </w:r>
      <w:r w:rsidR="00994C95" w:rsidRPr="00D0161E">
        <w:rPr>
          <w:color w:val="000000" w:themeColor="text1"/>
        </w:rPr>
        <w:t>strains</w:t>
      </w:r>
      <w:r w:rsidRPr="00D0161E">
        <w:rPr>
          <w:color w:val="000000" w:themeColor="text1"/>
        </w:rPr>
        <w:t>. Kisumu, Kisumu RDL and Tiassal</w:t>
      </w:r>
      <w:r w:rsidRPr="00D0161E">
        <w:rPr>
          <w:rFonts w:cstheme="minorHAnsi"/>
          <w:color w:val="000000" w:themeColor="text1"/>
        </w:rPr>
        <w:t>é</w:t>
      </w:r>
      <w:r w:rsidRPr="00D0161E">
        <w:rPr>
          <w:color w:val="000000" w:themeColor="text1"/>
        </w:rPr>
        <w:t xml:space="preserve"> 2 were exposed to </w:t>
      </w:r>
      <w:r w:rsidR="002141A5">
        <w:rPr>
          <w:color w:val="000000" w:themeColor="text1"/>
        </w:rPr>
        <w:t>8</w:t>
      </w:r>
      <w:r w:rsidR="002141A5" w:rsidRPr="00D0161E">
        <w:rPr>
          <w:color w:val="000000" w:themeColor="text1"/>
        </w:rPr>
        <w:t xml:space="preserve"> </w:t>
      </w:r>
      <w:r w:rsidRPr="00D0161E">
        <w:rPr>
          <w:color w:val="000000" w:themeColor="text1"/>
        </w:rPr>
        <w:t xml:space="preserve">concentrations of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Pr="00D0161E">
        <w:rPr>
          <w:color w:val="000000" w:themeColor="text1"/>
        </w:rPr>
        <w:t xml:space="preserve"> applied to filter papers in a WHO </w:t>
      </w:r>
      <w:r w:rsidR="006744BF" w:rsidRPr="00D0161E">
        <w:rPr>
          <w:color w:val="000000" w:themeColor="text1"/>
        </w:rPr>
        <w:t xml:space="preserve">susceptibility </w:t>
      </w:r>
      <w:r w:rsidRPr="00D0161E">
        <w:rPr>
          <w:color w:val="000000" w:themeColor="text1"/>
        </w:rPr>
        <w:t>bioassay</w:t>
      </w:r>
      <w:r w:rsidR="006744BF" w:rsidRPr="00D0161E">
        <w:rPr>
          <w:color w:val="000000" w:themeColor="text1"/>
        </w:rPr>
        <w:t xml:space="preserve"> treated</w:t>
      </w:r>
      <w:r w:rsidRPr="00D0161E">
        <w:rPr>
          <w:color w:val="000000" w:themeColor="text1"/>
        </w:rPr>
        <w:t xml:space="preserve"> as </w:t>
      </w:r>
      <w:r w:rsidR="006744BF" w:rsidRPr="00D0161E">
        <w:rPr>
          <w:color w:val="000000" w:themeColor="text1"/>
        </w:rPr>
        <w:t xml:space="preserve">for </w:t>
      </w:r>
      <w:r w:rsidRPr="00D0161E">
        <w:rPr>
          <w:color w:val="000000" w:themeColor="text1"/>
        </w:rPr>
        <w:t xml:space="preserve">the tarsal contact assay described above: 0.0625, 0.125, 0.25, 0.5, 0.75, 1, 1.5 and 5%. Mortality was scored at 24 hours, and data from at least 3 </w:t>
      </w:r>
      <w:r w:rsidR="006744BF" w:rsidRPr="00D0161E">
        <w:rPr>
          <w:color w:val="000000" w:themeColor="text1"/>
        </w:rPr>
        <w:t xml:space="preserve">replicates </w:t>
      </w:r>
      <w:r w:rsidRPr="00D0161E">
        <w:rPr>
          <w:color w:val="000000" w:themeColor="text1"/>
        </w:rPr>
        <w:t xml:space="preserve">of 25 female adults </w:t>
      </w:r>
      <w:r w:rsidR="002141A5">
        <w:rPr>
          <w:color w:val="000000" w:themeColor="text1"/>
        </w:rPr>
        <w:t>were</w:t>
      </w:r>
      <w:r w:rsidR="002141A5" w:rsidRPr="00D0161E">
        <w:rPr>
          <w:color w:val="000000" w:themeColor="text1"/>
        </w:rPr>
        <w:t xml:space="preserve"> </w:t>
      </w:r>
      <w:r w:rsidRPr="00D0161E">
        <w:rPr>
          <w:color w:val="000000" w:themeColor="text1"/>
        </w:rPr>
        <w:t>used to calculate the LC</w:t>
      </w:r>
      <w:r w:rsidRPr="00D0161E">
        <w:rPr>
          <w:color w:val="000000" w:themeColor="text1"/>
          <w:vertAlign w:val="subscript"/>
        </w:rPr>
        <w:t>50</w:t>
      </w:r>
      <w:r w:rsidRPr="00D0161E">
        <w:rPr>
          <w:color w:val="000000" w:themeColor="text1"/>
        </w:rPr>
        <w:t xml:space="preserve">. </w:t>
      </w:r>
      <w:r w:rsidR="00A921B2" w:rsidRPr="00D0161E">
        <w:rPr>
          <w:color w:val="000000" w:themeColor="text1"/>
        </w:rPr>
        <w:t>The LC</w:t>
      </w:r>
      <w:r w:rsidR="00A921B2" w:rsidRPr="00D0161E">
        <w:rPr>
          <w:color w:val="000000" w:themeColor="text1"/>
          <w:vertAlign w:val="subscript"/>
        </w:rPr>
        <w:t>50</w:t>
      </w:r>
      <w:r w:rsidR="00A921B2" w:rsidRPr="00D0161E">
        <w:rPr>
          <w:color w:val="000000" w:themeColor="text1"/>
        </w:rPr>
        <w:t xml:space="preserve"> values were </w:t>
      </w:r>
      <w:r w:rsidR="006744BF" w:rsidRPr="00D0161E">
        <w:rPr>
          <w:color w:val="000000" w:themeColor="text1"/>
        </w:rPr>
        <w:t xml:space="preserve">then </w:t>
      </w:r>
      <w:r w:rsidR="00A921B2" w:rsidRPr="00D0161E">
        <w:rPr>
          <w:color w:val="000000" w:themeColor="text1"/>
        </w:rPr>
        <w:t>used to calculate resistance ratios relative to the susceptible strain, Kisumu.</w:t>
      </w:r>
    </w:p>
    <w:p w14:paraId="5D1E3C55" w14:textId="77777777" w:rsidR="0099169D" w:rsidRPr="00D0161E" w:rsidRDefault="0099169D" w:rsidP="00D0161E">
      <w:pPr>
        <w:spacing w:line="480" w:lineRule="auto"/>
        <w:rPr>
          <w:color w:val="000000" w:themeColor="text1"/>
        </w:rPr>
      </w:pPr>
    </w:p>
    <w:p w14:paraId="6BFD6BDB" w14:textId="77777777" w:rsidR="00A921B2" w:rsidRPr="00025A3F" w:rsidRDefault="00BD1AEC" w:rsidP="00D0161E">
      <w:pPr>
        <w:pStyle w:val="Heading4"/>
        <w:spacing w:before="0" w:line="480" w:lineRule="auto"/>
        <w:rPr>
          <w:rFonts w:ascii="Times New Roman" w:hAnsi="Times New Roman"/>
          <w:b/>
          <w:i w:val="0"/>
          <w:color w:val="000000" w:themeColor="text1"/>
          <w:sz w:val="24"/>
        </w:rPr>
      </w:pPr>
      <w:bookmarkStart w:id="28" w:name="_Hlk39144640"/>
      <w:r w:rsidRPr="00025A3F">
        <w:rPr>
          <w:rFonts w:ascii="Times New Roman" w:hAnsi="Times New Roman"/>
          <w:b/>
          <w:i w:val="0"/>
          <w:color w:val="000000" w:themeColor="text1"/>
          <w:sz w:val="24"/>
        </w:rPr>
        <w:t xml:space="preserve">Screening for target site mutations </w:t>
      </w:r>
      <w:r w:rsidRPr="00025A3F">
        <w:rPr>
          <w:rFonts w:ascii="Times New Roman" w:hAnsi="Times New Roman"/>
          <w:b/>
          <w:color w:val="000000" w:themeColor="text1"/>
          <w:sz w:val="24"/>
        </w:rPr>
        <w:t>in silico</w:t>
      </w:r>
    </w:p>
    <w:p w14:paraId="741FAEBC" w14:textId="404E4324" w:rsidR="0065319C" w:rsidRPr="00D0161E" w:rsidRDefault="0099169D" w:rsidP="00D0161E">
      <w:pPr>
        <w:spacing w:line="480" w:lineRule="auto"/>
        <w:rPr>
          <w:color w:val="000000" w:themeColor="text1"/>
        </w:rPr>
      </w:pPr>
      <w:bookmarkStart w:id="29" w:name="_Hlk51851550"/>
      <w:bookmarkEnd w:id="28"/>
      <w:r w:rsidRPr="00D0161E">
        <w:rPr>
          <w:color w:val="000000" w:themeColor="text1"/>
        </w:rPr>
        <w:t xml:space="preserve">The </w:t>
      </w:r>
      <w:bookmarkStart w:id="30" w:name="_Hlk33195781"/>
      <w:r w:rsidRPr="00D0161E">
        <w:rPr>
          <w:i/>
          <w:color w:val="000000" w:themeColor="text1"/>
        </w:rPr>
        <w:t>Anopheles gambiae</w:t>
      </w:r>
      <w:r w:rsidRPr="00D0161E">
        <w:rPr>
          <w:color w:val="000000" w:themeColor="text1"/>
        </w:rPr>
        <w:t xml:space="preserve"> </w:t>
      </w:r>
      <w:r w:rsidR="00BD1AEC" w:rsidRPr="00025A3F">
        <w:rPr>
          <w:color w:val="000000" w:themeColor="text1"/>
          <w:highlight w:val="green"/>
        </w:rPr>
        <w:t>1,000</w:t>
      </w:r>
      <w:r w:rsidR="00B4452E" w:rsidRPr="00D0161E">
        <w:rPr>
          <w:color w:val="000000" w:themeColor="text1"/>
        </w:rPr>
        <w:t xml:space="preserve"> </w:t>
      </w:r>
      <w:r w:rsidRPr="00D0161E">
        <w:rPr>
          <w:color w:val="000000" w:themeColor="text1"/>
        </w:rPr>
        <w:t>genome database</w:t>
      </w:r>
      <w:r w:rsidR="00F96AE4">
        <w:rPr>
          <w:color w:val="000000" w:themeColor="text1"/>
        </w:rPr>
        <w:t xml:space="preserve"> (Ag1000G)</w:t>
      </w:r>
      <w:r w:rsidRPr="00D0161E">
        <w:rPr>
          <w:color w:val="000000" w:themeColor="text1"/>
        </w:rPr>
        <w:t xml:space="preserve"> </w:t>
      </w:r>
      <w:bookmarkEnd w:id="29"/>
      <w:bookmarkEnd w:id="30"/>
      <w:r w:rsidR="00BD1AEC" w:rsidRPr="00D0161E">
        <w:rPr>
          <w:color w:val="000000" w:themeColor="text1"/>
        </w:rPr>
        <w:fldChar w:fldCharType="begin" w:fldLock="1"/>
      </w:r>
      <w:r w:rsidR="00B63A44">
        <w:rPr>
          <w:color w:val="000000" w:themeColor="text1"/>
        </w:rPr>
        <w:instrText>ADDIN CSL_CITATION {"citationItems":[{"id":"ITEM-1","itemData":{"URL":"https://www.malariagen.net/projects/ag1000g","author":[{"dropping-particle":"","family":"MalariaGEN","given":"","non-dropping-particle":"","parse-names":false,"suffix":""}],"id":"ITEM-1","issued":{"date-parts":[["2020"]]},"title":"Ag1000","type":"webpage"},"uris":["http://www.mendeley.com/documents/?uuid=320582f3-d8e3-44df-bf49-7ead338b0021"]}],"mendeley":{"formattedCitation":"[9]","plainTextFormattedCitation":"[9]","previouslyFormattedCitation":"[9]"},"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[9]</w:t>
      </w:r>
      <w:r w:rsidR="00BD1AEC" w:rsidRPr="00D0161E">
        <w:rPr>
          <w:color w:val="000000" w:themeColor="text1"/>
        </w:rPr>
        <w:fldChar w:fldCharType="end"/>
      </w:r>
      <w:r w:rsidR="002141A5">
        <w:rPr>
          <w:color w:val="000000" w:themeColor="text1"/>
        </w:rPr>
        <w:t>,</w:t>
      </w:r>
      <w:r w:rsidRPr="00D0161E">
        <w:rPr>
          <w:color w:val="000000" w:themeColor="text1"/>
        </w:rPr>
        <w:t xml:space="preserve"> containing at the time </w:t>
      </w:r>
      <w:r w:rsidR="006744BF" w:rsidRPr="00D0161E">
        <w:rPr>
          <w:color w:val="000000" w:themeColor="text1"/>
        </w:rPr>
        <w:t xml:space="preserve">of this study the </w:t>
      </w:r>
      <w:r w:rsidRPr="00D0161E">
        <w:rPr>
          <w:color w:val="000000" w:themeColor="text1"/>
        </w:rPr>
        <w:t>full genome sequences from 1</w:t>
      </w:r>
      <w:r w:rsidR="002141A5">
        <w:rPr>
          <w:color w:val="000000" w:themeColor="text1"/>
        </w:rPr>
        <w:t>,</w:t>
      </w:r>
      <w:r w:rsidRPr="00D0161E">
        <w:rPr>
          <w:color w:val="000000" w:themeColor="text1"/>
        </w:rPr>
        <w:t xml:space="preserve">142 individuals, was interrogated to identify </w:t>
      </w:r>
      <w:r w:rsidR="00EE67F9" w:rsidRPr="00D0161E">
        <w:rPr>
          <w:color w:val="000000" w:themeColor="text1"/>
        </w:rPr>
        <w:t xml:space="preserve">variation </w:t>
      </w:r>
      <w:r w:rsidRPr="00D0161E">
        <w:rPr>
          <w:color w:val="000000" w:themeColor="text1"/>
        </w:rPr>
        <w:t xml:space="preserve">in the </w:t>
      </w:r>
      <w:r w:rsidR="006744BF" w:rsidRPr="00D0161E">
        <w:rPr>
          <w:color w:val="000000" w:themeColor="text1"/>
        </w:rPr>
        <w:t>GABA-gated chloride channel gene</w:t>
      </w:r>
      <w:r w:rsidR="00EE67F9" w:rsidRPr="00D0161E">
        <w:rPr>
          <w:color w:val="000000" w:themeColor="text1"/>
        </w:rPr>
        <w:t xml:space="preserve">, </w:t>
      </w:r>
      <w:proofErr w:type="spellStart"/>
      <w:r w:rsidR="00EE67F9" w:rsidRPr="00D0161E">
        <w:rPr>
          <w:i/>
          <w:iCs/>
          <w:color w:val="000000" w:themeColor="text1"/>
        </w:rPr>
        <w:t>Rdl</w:t>
      </w:r>
      <w:proofErr w:type="spellEnd"/>
      <w:r w:rsidR="0061665D" w:rsidRPr="00D0161E">
        <w:rPr>
          <w:color w:val="000000" w:themeColor="text1"/>
        </w:rPr>
        <w:t>.</w:t>
      </w:r>
      <w:r w:rsidR="0065319C" w:rsidRPr="00D0161E">
        <w:rPr>
          <w:color w:val="000000" w:themeColor="text1"/>
        </w:rPr>
        <w:t xml:space="preserve"> Supplementary Table </w:t>
      </w:r>
      <w:r w:rsidR="00B1007F" w:rsidRPr="00D0161E">
        <w:rPr>
          <w:color w:val="000000" w:themeColor="text1"/>
        </w:rPr>
        <w:t xml:space="preserve">3 </w:t>
      </w:r>
      <w:r w:rsidR="0065319C" w:rsidRPr="00D0161E">
        <w:rPr>
          <w:color w:val="000000" w:themeColor="text1"/>
        </w:rPr>
        <w:t>details all non-synonymous mutations in the gene.</w:t>
      </w:r>
    </w:p>
    <w:p w14:paraId="77462201" w14:textId="77777777" w:rsidR="00425154" w:rsidRPr="00D0161E" w:rsidRDefault="00425154" w:rsidP="00D0161E">
      <w:pPr>
        <w:spacing w:line="480" w:lineRule="auto"/>
        <w:rPr>
          <w:color w:val="000000" w:themeColor="text1"/>
        </w:rPr>
      </w:pPr>
    </w:p>
    <w:p w14:paraId="589371E1" w14:textId="77777777" w:rsidR="007E4D04" w:rsidRPr="00D0161E" w:rsidRDefault="007E4D04" w:rsidP="00D0161E">
      <w:pPr>
        <w:pStyle w:val="Heading3"/>
        <w:spacing w:before="0" w:line="480" w:lineRule="auto"/>
        <w:rPr>
          <w:rFonts w:ascii="Times New Roman" w:hAnsi="Times New Roman"/>
          <w:b/>
          <w:color w:val="000000" w:themeColor="text1"/>
        </w:rPr>
      </w:pPr>
      <w:r w:rsidRPr="00D0161E">
        <w:rPr>
          <w:rFonts w:ascii="Times New Roman" w:hAnsi="Times New Roman"/>
          <w:b/>
          <w:color w:val="000000" w:themeColor="text1"/>
        </w:rPr>
        <w:t>Data analysis</w:t>
      </w:r>
    </w:p>
    <w:p w14:paraId="2B84A5C6" w14:textId="673ED1EE" w:rsidR="000C167F" w:rsidRPr="00D0161E" w:rsidRDefault="007E4D04" w:rsidP="00D0161E">
      <w:pPr>
        <w:spacing w:line="480" w:lineRule="auto"/>
        <w:rPr>
          <w:color w:val="000000" w:themeColor="text1"/>
        </w:rPr>
      </w:pPr>
      <w:r w:rsidRPr="00D0161E">
        <w:rPr>
          <w:color w:val="000000" w:themeColor="text1"/>
        </w:rPr>
        <w:t xml:space="preserve">Percentage </w:t>
      </w:r>
      <w:r w:rsidR="003D03AB" w:rsidRPr="00D0161E">
        <w:rPr>
          <w:color w:val="000000" w:themeColor="text1"/>
        </w:rPr>
        <w:t>KD</w:t>
      </w:r>
      <w:r w:rsidRPr="00D0161E">
        <w:rPr>
          <w:color w:val="000000" w:themeColor="text1"/>
        </w:rPr>
        <w:t xml:space="preserve"> and mortality were calculated from the total number of mosquitoes in each replicate of the topical and tarsal assays counted at the end of the experiments. If mortality in the topical application or tarsal contact test negative control was between 5 and 20%</w:t>
      </w:r>
      <w:r w:rsidR="00DB6ED4" w:rsidRPr="00D0161E">
        <w:rPr>
          <w:color w:val="000000" w:themeColor="text1"/>
        </w:rPr>
        <w:t>,</w:t>
      </w:r>
      <w:r w:rsidRPr="00D0161E">
        <w:rPr>
          <w:color w:val="000000" w:themeColor="text1"/>
        </w:rPr>
        <w:t xml:space="preserve"> mortality in test replicates was corrected using Abbott’s formula </w:t>
      </w:r>
      <w:r w:rsidR="00BD1AEC" w:rsidRPr="00D0161E">
        <w:rPr>
          <w:color w:val="000000" w:themeColor="text1"/>
        </w:rPr>
        <w:fldChar w:fldCharType="begin" w:fldLock="1"/>
      </w:r>
      <w:r w:rsidR="00B63A44">
        <w:rPr>
          <w:color w:val="000000" w:themeColor="text1"/>
        </w:rPr>
        <w:instrText>ADDIN CSL_CITATION {"citationItems":[{"id":"ITEM-1","itemData":{"abstract":"Dirk meint dass Blackwell bei seiner Ratekorrektur auf diese Arbeit verweist.","author":[{"dropping-particle":"","family":"Abbott","given":"W.S:","non-dropping-particle":"","parse-names":false,"suffix":""}],"container-title":"Journal of Economic Entomology","id":"ITEM-1","issued":{"date-parts":[["1925"]]},"title":"A method for computing the effectiveness of an insecticide","type":"article-journal"},"uris":["http://www.mendeley.com/documents/?uuid=1935d2ed-df8e-4f92-a797-1152ebf9a3c9"]}],"mendeley":{"formattedCitation":"[19]","plainTextFormattedCitation":"[19]","previouslyFormattedCitation":"[19]"},"properties":{"noteIndex":0},"schema":"https://github.com/citation-style-language/schema/raw/master/csl-citation.json"}</w:instrText>
      </w:r>
      <w:r w:rsidR="00BD1AEC" w:rsidRPr="00D0161E">
        <w:rPr>
          <w:color w:val="000000" w:themeColor="text1"/>
        </w:rPr>
        <w:fldChar w:fldCharType="separate"/>
      </w:r>
      <w:r w:rsidR="00B63A44" w:rsidRPr="00B63A44">
        <w:rPr>
          <w:noProof/>
          <w:color w:val="000000" w:themeColor="text1"/>
        </w:rPr>
        <w:t>[19]</w:t>
      </w:r>
      <w:r w:rsidR="00BD1AEC" w:rsidRPr="00D0161E">
        <w:rPr>
          <w:color w:val="000000" w:themeColor="text1"/>
        </w:rPr>
        <w:fldChar w:fldCharType="end"/>
      </w:r>
      <w:r w:rsidRPr="00D0161E">
        <w:rPr>
          <w:color w:val="000000" w:themeColor="text1"/>
        </w:rPr>
        <w:t xml:space="preserve">, with negative values reported as 0% mortality. If control mortality was above 20% at 24 hours after exposure the test was repeated. Breakpoints were determined as being the lowest concentration at which 80% or more mosquitoes were killed </w:t>
      </w:r>
      <w:r w:rsidR="00771C6F" w:rsidRPr="00D0161E">
        <w:rPr>
          <w:color w:val="000000" w:themeColor="text1"/>
        </w:rPr>
        <w:t>at each observation post-</w:t>
      </w:r>
      <w:r w:rsidRPr="00D0161E">
        <w:rPr>
          <w:color w:val="000000" w:themeColor="text1"/>
        </w:rPr>
        <w:t xml:space="preserve">exposure. </w:t>
      </w:r>
    </w:p>
    <w:p w14:paraId="1AD85906" w14:textId="77777777" w:rsidR="007E4D04" w:rsidRPr="00D0161E" w:rsidRDefault="007E4D04" w:rsidP="00D0161E">
      <w:pPr>
        <w:spacing w:line="480" w:lineRule="auto"/>
        <w:rPr>
          <w:strike/>
          <w:color w:val="000000" w:themeColor="text1"/>
        </w:rPr>
      </w:pPr>
    </w:p>
    <w:p w14:paraId="2C4207F5" w14:textId="2EE84224" w:rsidR="00047CB6" w:rsidRPr="00D0161E" w:rsidRDefault="007E4D04" w:rsidP="00D0161E">
      <w:pPr>
        <w:spacing w:line="480" w:lineRule="auto"/>
        <w:rPr>
          <w:color w:val="000000" w:themeColor="text1"/>
        </w:rPr>
      </w:pPr>
      <w:r w:rsidRPr="00D0161E">
        <w:rPr>
          <w:color w:val="000000" w:themeColor="text1"/>
        </w:rPr>
        <w:t xml:space="preserve">The </w:t>
      </w:r>
      <w:r w:rsidR="00047CB6" w:rsidRPr="00D0161E">
        <w:rPr>
          <w:color w:val="000000" w:themeColor="text1"/>
        </w:rPr>
        <w:t>lethal concentration (LC) values</w:t>
      </w:r>
      <w:r w:rsidRPr="00D0161E">
        <w:rPr>
          <w:color w:val="000000" w:themeColor="text1"/>
        </w:rPr>
        <w:t xml:space="preserve"> of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Pr="00D0161E">
        <w:rPr>
          <w:color w:val="000000" w:themeColor="text1"/>
        </w:rPr>
        <w:t xml:space="preserve"> </w:t>
      </w:r>
      <w:r w:rsidR="00DB6ED4" w:rsidRPr="00D0161E">
        <w:rPr>
          <w:color w:val="000000" w:themeColor="text1"/>
        </w:rPr>
        <w:t xml:space="preserve">were </w:t>
      </w:r>
      <w:r w:rsidRPr="00D0161E">
        <w:rPr>
          <w:color w:val="000000" w:themeColor="text1"/>
        </w:rPr>
        <w:t xml:space="preserve">calculated using </w:t>
      </w:r>
      <w:proofErr w:type="spellStart"/>
      <w:r w:rsidRPr="00D0161E">
        <w:rPr>
          <w:color w:val="000000" w:themeColor="text1"/>
        </w:rPr>
        <w:t>PoloPlus</w:t>
      </w:r>
      <w:proofErr w:type="spellEnd"/>
      <w:r w:rsidRPr="00D0161E">
        <w:rPr>
          <w:color w:val="000000" w:themeColor="text1"/>
        </w:rPr>
        <w:t xml:space="preserve"> software (Version 2.1, </w:t>
      </w:r>
      <w:proofErr w:type="spellStart"/>
      <w:r w:rsidRPr="00D0161E">
        <w:rPr>
          <w:color w:val="000000" w:themeColor="text1"/>
        </w:rPr>
        <w:t>LeOra</w:t>
      </w:r>
      <w:proofErr w:type="spellEnd"/>
      <w:r w:rsidRPr="00D0161E">
        <w:rPr>
          <w:color w:val="000000" w:themeColor="text1"/>
        </w:rPr>
        <w:t xml:space="preserve"> Software), via log-</w:t>
      </w:r>
      <w:proofErr w:type="spellStart"/>
      <w:r w:rsidRPr="00D0161E">
        <w:rPr>
          <w:color w:val="000000" w:themeColor="text1"/>
        </w:rPr>
        <w:t>probit</w:t>
      </w:r>
      <w:proofErr w:type="spellEnd"/>
      <w:r w:rsidRPr="00D0161E">
        <w:rPr>
          <w:color w:val="000000" w:themeColor="text1"/>
        </w:rPr>
        <w:t xml:space="preserve"> analysis</w:t>
      </w:r>
      <w:r w:rsidR="00E33B89" w:rsidRPr="00D0161E">
        <w:rPr>
          <w:color w:val="000000" w:themeColor="text1"/>
        </w:rPr>
        <w:t xml:space="preserve"> </w:t>
      </w:r>
      <w:r w:rsidR="00BD1AEC" w:rsidRPr="00D0161E">
        <w:rPr>
          <w:color w:val="000000" w:themeColor="text1"/>
        </w:rPr>
        <w:fldChar w:fldCharType="begin" w:fldLock="1"/>
      </w:r>
      <w:r w:rsidR="00B63A44">
        <w:rPr>
          <w:color w:val="000000" w:themeColor="text1"/>
        </w:rPr>
        <w:instrText>ADDIN CSL_CITATION {"citationItems":[{"id":"ITEM-1","itemData":{"abstract":"This user's guide provides detailed instructions for the use of POLO (Probit Or LOgit), a computer program for the analysis of quantal response data such as that obtained from insecticide bioassays by the techniques of probit or logit analysis. Dosage-res ","author":[{"dropping-particle":"","family":"Robertson","given":"J L","non-dropping-particle":"","parse-names":false,"suffix":""},{"dropping-particle":"","family":"Russell","given":"R M","non-dropping-particle":"","parse-names":false,"suffix":""},{"dropping-particle":"","family":"Savin","given":"N E","non-dropping-particle":"","parse-names":false,"suffix":""}],"container-title":"General Technical Report PSW-38","id":"ITEM-1","issued":{"date-parts":[["1980"]]},"title":"POLO: A User's Guide to Probit or Logit Analysis","type":"article-journal"},"uris":["http://www.mendeley.com/documents/?uuid=d2ef0864-df1a-4f22-a524-0b8153622ebf"]}],"mendeley":{"formattedCitation":"[20]","plainTextFormattedCitation":"[20]","previouslyFormattedCitation":"[20]"},"properties":{"noteIndex":0},"schema":"https://github.com/citation-style-language/schema/raw/master/csl-citation.json"}</w:instrText>
      </w:r>
      <w:r w:rsidR="00BD1AEC" w:rsidRPr="00D0161E">
        <w:rPr>
          <w:color w:val="000000" w:themeColor="text1"/>
        </w:rPr>
        <w:fldChar w:fldCharType="separate"/>
      </w:r>
      <w:r w:rsidR="00B63A44" w:rsidRPr="00B63A44">
        <w:rPr>
          <w:noProof/>
          <w:color w:val="000000" w:themeColor="text1"/>
        </w:rPr>
        <w:t>[20]</w:t>
      </w:r>
      <w:r w:rsidR="00BD1AEC" w:rsidRPr="00D0161E">
        <w:rPr>
          <w:color w:val="000000" w:themeColor="text1"/>
        </w:rPr>
        <w:fldChar w:fldCharType="end"/>
      </w:r>
      <w:r w:rsidRPr="00D0161E">
        <w:rPr>
          <w:color w:val="000000" w:themeColor="text1"/>
        </w:rPr>
        <w:t xml:space="preserve">, </w:t>
      </w:r>
      <w:r w:rsidR="00DB6ED4" w:rsidRPr="00D0161E">
        <w:rPr>
          <w:color w:val="000000" w:themeColor="text1"/>
        </w:rPr>
        <w:t xml:space="preserve">for </w:t>
      </w:r>
      <w:r w:rsidRPr="00D0161E">
        <w:rPr>
          <w:color w:val="000000" w:themeColor="text1"/>
        </w:rPr>
        <w:t xml:space="preserve">24-hour mortality data from at least </w:t>
      </w:r>
      <w:r w:rsidR="005B6919" w:rsidRPr="00D0161E">
        <w:rPr>
          <w:color w:val="000000" w:themeColor="text1"/>
        </w:rPr>
        <w:t xml:space="preserve">two replicates of </w:t>
      </w:r>
      <w:r w:rsidR="00DB6ED4" w:rsidRPr="00D0161E">
        <w:rPr>
          <w:color w:val="000000" w:themeColor="text1"/>
        </w:rPr>
        <w:t xml:space="preserve"> approximately </w:t>
      </w:r>
      <w:r w:rsidR="005B6919" w:rsidRPr="00D0161E">
        <w:rPr>
          <w:color w:val="000000" w:themeColor="text1"/>
        </w:rPr>
        <w:t xml:space="preserve">25 mosquitoes </w:t>
      </w:r>
      <w:r w:rsidRPr="00D0161E">
        <w:rPr>
          <w:color w:val="000000" w:themeColor="text1"/>
        </w:rPr>
        <w:t xml:space="preserve">exposed to each concentration. The number of subjects </w:t>
      </w:r>
      <w:r w:rsidR="00DB6ED4" w:rsidRPr="00D0161E">
        <w:rPr>
          <w:color w:val="000000" w:themeColor="text1"/>
        </w:rPr>
        <w:t>(</w:t>
      </w:r>
      <w:r w:rsidRPr="00D0161E">
        <w:rPr>
          <w:color w:val="000000" w:themeColor="text1"/>
        </w:rPr>
        <w:t>n</w:t>
      </w:r>
      <w:r w:rsidR="00DB6ED4" w:rsidRPr="00D0161E">
        <w:rPr>
          <w:color w:val="000000" w:themeColor="text1"/>
        </w:rPr>
        <w:t>)</w:t>
      </w:r>
      <w:r w:rsidRPr="00D0161E">
        <w:rPr>
          <w:color w:val="000000" w:themeColor="text1"/>
        </w:rPr>
        <w:t xml:space="preserve"> and the number of responders </w:t>
      </w:r>
      <w:r w:rsidR="00DB6ED4" w:rsidRPr="00D0161E">
        <w:rPr>
          <w:color w:val="000000" w:themeColor="text1"/>
        </w:rPr>
        <w:t>(</w:t>
      </w:r>
      <w:r w:rsidRPr="00D0161E">
        <w:rPr>
          <w:color w:val="000000" w:themeColor="text1"/>
        </w:rPr>
        <w:t>r</w:t>
      </w:r>
      <w:r w:rsidR="00DB6ED4" w:rsidRPr="00D0161E">
        <w:rPr>
          <w:color w:val="000000" w:themeColor="text1"/>
        </w:rPr>
        <w:t>)</w:t>
      </w:r>
      <w:r w:rsidRPr="00D0161E">
        <w:rPr>
          <w:color w:val="000000" w:themeColor="text1"/>
        </w:rPr>
        <w:t xml:space="preserve"> were aggregated across three replicates of each concentration tested, comprising the highest concentration tested that gave </w:t>
      </w:r>
      <w:r w:rsidR="006E118A" w:rsidRPr="00D0161E">
        <w:rPr>
          <w:color w:val="000000" w:themeColor="text1"/>
        </w:rPr>
        <w:t>~</w:t>
      </w:r>
      <w:r w:rsidRPr="00D0161E">
        <w:rPr>
          <w:color w:val="000000" w:themeColor="text1"/>
        </w:rPr>
        <w:t xml:space="preserve">0% mortality and the lowest that gave </w:t>
      </w:r>
      <w:r w:rsidR="006E118A" w:rsidRPr="00D0161E">
        <w:rPr>
          <w:color w:val="000000" w:themeColor="text1"/>
        </w:rPr>
        <w:t>~</w:t>
      </w:r>
      <w:r w:rsidRPr="00D0161E">
        <w:rPr>
          <w:color w:val="000000" w:themeColor="text1"/>
        </w:rPr>
        <w:t xml:space="preserve">100% mortality, </w:t>
      </w:r>
      <w:r w:rsidR="006E118A" w:rsidRPr="00D0161E">
        <w:rPr>
          <w:color w:val="000000" w:themeColor="text1"/>
        </w:rPr>
        <w:t>and an even range of doses between these</w:t>
      </w:r>
      <w:r w:rsidRPr="00D0161E">
        <w:rPr>
          <w:color w:val="000000" w:themeColor="text1"/>
        </w:rPr>
        <w:t>. Th</w:t>
      </w:r>
      <w:r w:rsidR="00597F7E" w:rsidRPr="00D0161E">
        <w:rPr>
          <w:color w:val="000000" w:themeColor="text1"/>
        </w:rPr>
        <w:t>e</w:t>
      </w:r>
      <w:r w:rsidRPr="00D0161E">
        <w:rPr>
          <w:color w:val="000000" w:themeColor="text1"/>
        </w:rPr>
        <w:t xml:space="preserve"> calculated LC</w:t>
      </w:r>
      <w:r w:rsidRPr="00D0161E">
        <w:rPr>
          <w:color w:val="000000" w:themeColor="text1"/>
          <w:vertAlign w:val="subscript"/>
        </w:rPr>
        <w:t>95</w:t>
      </w:r>
      <w:r w:rsidRPr="00D0161E">
        <w:rPr>
          <w:color w:val="000000" w:themeColor="text1"/>
        </w:rPr>
        <w:t xml:space="preserve"> value </w:t>
      </w:r>
      <w:r w:rsidR="00DB6ED4" w:rsidRPr="00D0161E">
        <w:rPr>
          <w:color w:val="000000" w:themeColor="text1"/>
        </w:rPr>
        <w:t xml:space="preserve">for the </w:t>
      </w:r>
      <w:r w:rsidR="00047CB6" w:rsidRPr="00D0161E">
        <w:rPr>
          <w:color w:val="000000" w:themeColor="text1"/>
        </w:rPr>
        <w:t xml:space="preserve">Kisumu </w:t>
      </w:r>
      <w:r w:rsidR="00DB6ED4" w:rsidRPr="00D0161E">
        <w:rPr>
          <w:color w:val="000000" w:themeColor="text1"/>
        </w:rPr>
        <w:t xml:space="preserve">strain </w:t>
      </w:r>
      <w:r w:rsidRPr="00D0161E">
        <w:rPr>
          <w:color w:val="000000" w:themeColor="text1"/>
        </w:rPr>
        <w:t xml:space="preserve">was multiplied by </w:t>
      </w:r>
      <w:r w:rsidR="002141A5">
        <w:rPr>
          <w:color w:val="000000" w:themeColor="text1"/>
        </w:rPr>
        <w:t>3</w:t>
      </w:r>
      <w:r w:rsidR="002141A5" w:rsidRPr="00D0161E">
        <w:rPr>
          <w:color w:val="000000" w:themeColor="text1"/>
        </w:rPr>
        <w:t xml:space="preserve"> </w:t>
      </w:r>
      <w:r w:rsidRPr="00D0161E">
        <w:rPr>
          <w:color w:val="000000" w:themeColor="text1"/>
        </w:rPr>
        <w:t xml:space="preserve">to give a discriminating dose </w:t>
      </w:r>
      <w:r w:rsidR="006E118A" w:rsidRPr="00D0161E">
        <w:rPr>
          <w:color w:val="000000" w:themeColor="text1"/>
        </w:rPr>
        <w:t>(</w:t>
      </w:r>
      <w:r w:rsidRPr="00D0161E">
        <w:rPr>
          <w:color w:val="000000" w:themeColor="text1"/>
        </w:rPr>
        <w:t>LC</w:t>
      </w:r>
      <w:r w:rsidRPr="00D0161E">
        <w:rPr>
          <w:color w:val="000000" w:themeColor="text1"/>
          <w:vertAlign w:val="subscript"/>
        </w:rPr>
        <w:t>95</w:t>
      </w:r>
      <w:r w:rsidR="00C47A50" w:rsidRPr="00D0161E">
        <w:rPr>
          <w:color w:val="000000" w:themeColor="text1"/>
        </w:rPr>
        <w:t xml:space="preserve"> </w:t>
      </w:r>
      <w:r w:rsidRPr="00D0161E">
        <w:rPr>
          <w:color w:val="000000" w:themeColor="text1"/>
        </w:rPr>
        <w:t>×</w:t>
      </w:r>
      <w:r w:rsidR="00C47A50" w:rsidRPr="00D0161E">
        <w:rPr>
          <w:color w:val="000000" w:themeColor="text1"/>
        </w:rPr>
        <w:t xml:space="preserve"> </w:t>
      </w:r>
      <w:r w:rsidRPr="00D0161E">
        <w:rPr>
          <w:color w:val="000000" w:themeColor="text1"/>
        </w:rPr>
        <w:t>3</w:t>
      </w:r>
      <w:r w:rsidR="00C47A50" w:rsidRPr="00D0161E">
        <w:rPr>
          <w:color w:val="000000" w:themeColor="text1"/>
        </w:rPr>
        <w:t xml:space="preserve"> </w:t>
      </w:r>
      <w:r w:rsidRPr="00D0161E">
        <w:rPr>
          <w:color w:val="000000" w:themeColor="text1"/>
        </w:rPr>
        <w:t>=</w:t>
      </w:r>
      <w:r w:rsidR="00C47A50" w:rsidRPr="00D0161E">
        <w:rPr>
          <w:color w:val="000000" w:themeColor="text1"/>
        </w:rPr>
        <w:t xml:space="preserve"> </w:t>
      </w:r>
      <w:r w:rsidRPr="00D0161E">
        <w:rPr>
          <w:color w:val="000000" w:themeColor="text1"/>
        </w:rPr>
        <w:t>DD</w:t>
      </w:r>
      <w:r w:rsidR="006E118A" w:rsidRPr="00D0161E">
        <w:rPr>
          <w:color w:val="000000" w:themeColor="text1"/>
        </w:rPr>
        <w:t>)</w:t>
      </w:r>
      <w:r w:rsidRPr="00D0161E">
        <w:rPr>
          <w:color w:val="000000" w:themeColor="text1"/>
        </w:rPr>
        <w:t>, as previously de</w:t>
      </w:r>
      <w:r w:rsidR="006E118A" w:rsidRPr="00D0161E">
        <w:rPr>
          <w:color w:val="000000" w:themeColor="text1"/>
        </w:rPr>
        <w:t>fin</w:t>
      </w:r>
      <w:r w:rsidRPr="00D0161E">
        <w:rPr>
          <w:color w:val="000000" w:themeColor="text1"/>
        </w:rPr>
        <w:t xml:space="preserve">ed by Lees </w:t>
      </w:r>
      <w:r w:rsidR="00BD1AEC" w:rsidRPr="00025A3F">
        <w:rPr>
          <w:i/>
          <w:color w:val="000000" w:themeColor="text1"/>
        </w:rPr>
        <w:t>et al.</w:t>
      </w:r>
      <w:r w:rsidRPr="00D0161E">
        <w:rPr>
          <w:color w:val="000000" w:themeColor="text1"/>
        </w:rPr>
        <w:t xml:space="preserve"> </w:t>
      </w:r>
      <w:r w:rsidR="00BD1AEC" w:rsidRPr="00D0161E">
        <w:rPr>
          <w:color w:val="000000" w:themeColor="text1"/>
        </w:rPr>
        <w:fldChar w:fldCharType="begin" w:fldLock="1"/>
      </w:r>
      <w:r w:rsidR="00B63A44">
        <w:rPr>
          <w:color w:val="000000" w:themeColor="text1"/>
        </w:rPr>
        <w:instrText>ADDIN CSL_CITATION {"citationItems":[{"id":"ITEM-1","itemData":{"DOI":"10.12688/gatesopenres.12957.2","ISSN":"25724754","abstract":"Background: With insecticide resistance in malaria vectors spreading in geographical range and intensity, there is a need for compounds with novel modes of action to maintain the successes achieved to date by long-lasting insecticidal nets and indoor residual sprays, used as part of an insecticide resistance management strategy. Screening existing registered pesticides, predominantly those developed for use in agriculture, may provide a more rapid and less logistically challenging route to identifying active ingredients of value to public health than screening and chemical synthesis programmes for novel compounds. Methods: Insecticides and acaricides from all IRAC classes, including those with unclassified modes of action, were assessed for inclusion in a laboratory bioassay testing cascade against adult female Anopheles gambiae mosquitoes. A longlist of representative candidate compounds was selected, excluding those with safety concerns, unsuitable physiochemical properties, and likely hurdles to registration for public health use. An initial screen using topical application eliminated compounds with insufficient intrinsic activity, and a tarsal contact assay identified those with activity at an appropriate concentration. Compounds of interest were ranked by relative potency using dose response assays and discriminating dose calculations. Results: Inclusion of an adjuvant enhanced the tarsal efficacy of several compounds, facilitating the promotion of chemistries with great potential, given suitable formulation, which would not progress based on activity of compound alone. Comparison of data between stages in the testing cascade suggest that a more streamlined approach, topical application to test for intrinsic activity and determining the discriminating dose to compare relative potency of compounds, may be sufficient to identify compounds with potential value for use in long lasting insecticidal nets and indoor residual spray products. Conclusions: Identified were 11 compounds of interest as vector control agents (in descending order of potency): clothianidin, spinetoram, metaflumizone, dinotefuran, indoxacarb, abamectin, sulfoxaflor, oxazosulfyl, triflumezopyrim, fenpyroximate, and tolfenpyrad.","author":[{"dropping-particle":"","family":"Lees","given":"Rosemary","non-dropping-particle":"","parse-names":false,"suffix":""},{"dropping-particle":"","family":"Praulins","given":"Giorgio","non-dropping-particle":"","parse-names":false,"suffix":""},{"dropping-particle":"","family":"Davies","given":"Rachel","non-dropping-particle":"","parse-names":false,"suffix":""},{"dropping-particle":"","family":"Brown","given":"Faye","non-dropping-particle":"","parse-names":false,"suffix":""},{"dropping-particle":"","family":"Parsons","given":"George","non-dropping-particle":"","parse-names":false,"suffix":""},{"dropping-particle":"","family":"White","given":"Anthony","non-dropping-particle":"","parse-names":false,"suffix":""},{"dropping-particle":"","family":"Ranson","given":"Hilary","non-dropping-particle":"","parse-names":false,"suffix":""},{"dropping-particle":"","family":"Small","given":"Graham","non-dropping-particle":"","parse-names":false,"suffix":""},{"dropping-particle":"","family":"Malone","given":"David","non-dropping-particle":"","parse-names":false,"suffix":""}],"container-title":"Gates Open Research","id":"ITEM-1","issued":{"date-parts":[["2019"]]},"page":"1464","title":"A testing cascade to identify repurposed insecticides for next-generation vector control tools: Screening a panel of chemistries with novel modes of action against a malaria vector","type":"article-journal","volume":"3"},"uris":["http://www.mendeley.com/documents/?uuid=1acd47f2-bf5d-4856-8545-3d50c29f821a"]}],"mendeley":{"formattedCitation":"[15]","plainTextFormattedCitation":"[15]","previouslyFormattedCitation":"[15]"},"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[15]</w:t>
      </w:r>
      <w:r w:rsidR="00BD1AEC" w:rsidRPr="00D0161E">
        <w:rPr>
          <w:color w:val="000000" w:themeColor="text1"/>
        </w:rPr>
        <w:fldChar w:fldCharType="end"/>
      </w:r>
      <w:r w:rsidRPr="00D0161E">
        <w:rPr>
          <w:color w:val="000000" w:themeColor="text1"/>
        </w:rPr>
        <w:t>.</w:t>
      </w:r>
      <w:r w:rsidR="00597F7E" w:rsidRPr="00D0161E">
        <w:rPr>
          <w:color w:val="000000" w:themeColor="text1"/>
        </w:rPr>
        <w:t xml:space="preserve"> LC</w:t>
      </w:r>
      <w:r w:rsidR="00597F7E" w:rsidRPr="00D0161E">
        <w:rPr>
          <w:color w:val="000000" w:themeColor="text1"/>
          <w:vertAlign w:val="subscript"/>
        </w:rPr>
        <w:t>50</w:t>
      </w:r>
      <w:r w:rsidR="00597F7E" w:rsidRPr="00D0161E">
        <w:rPr>
          <w:color w:val="000000" w:themeColor="text1"/>
        </w:rPr>
        <w:t xml:space="preserve"> values are reported with 95% confidence intervals and </w:t>
      </w:r>
      <w:r w:rsidR="00E514B0" w:rsidRPr="00D0161E">
        <w:rPr>
          <w:color w:val="000000" w:themeColor="text1"/>
        </w:rPr>
        <w:t xml:space="preserve">Chi </w:t>
      </w:r>
      <w:r w:rsidR="002141A5">
        <w:rPr>
          <w:color w:val="000000" w:themeColor="text1"/>
        </w:rPr>
        <w:t>s</w:t>
      </w:r>
      <w:r w:rsidR="00E514B0" w:rsidRPr="00D0161E">
        <w:rPr>
          <w:color w:val="000000" w:themeColor="text1"/>
        </w:rPr>
        <w:t xml:space="preserve">quare analysis, calculated using </w:t>
      </w:r>
      <w:proofErr w:type="spellStart"/>
      <w:r w:rsidR="00E514B0" w:rsidRPr="00D0161E">
        <w:rPr>
          <w:color w:val="000000" w:themeColor="text1"/>
        </w:rPr>
        <w:t>PoloPlus</w:t>
      </w:r>
      <w:proofErr w:type="spellEnd"/>
      <w:r w:rsidR="00E514B0" w:rsidRPr="00D0161E">
        <w:rPr>
          <w:color w:val="000000" w:themeColor="text1"/>
        </w:rPr>
        <w:t xml:space="preserve"> software (Version 2.1, </w:t>
      </w:r>
      <w:proofErr w:type="spellStart"/>
      <w:r w:rsidR="00E514B0" w:rsidRPr="00D0161E">
        <w:rPr>
          <w:color w:val="000000" w:themeColor="text1"/>
        </w:rPr>
        <w:t>LeOra</w:t>
      </w:r>
      <w:proofErr w:type="spellEnd"/>
      <w:r w:rsidR="00E514B0" w:rsidRPr="00D0161E">
        <w:rPr>
          <w:color w:val="000000" w:themeColor="text1"/>
        </w:rPr>
        <w:t xml:space="preserve"> Software)</w:t>
      </w:r>
      <w:r w:rsidR="002C22B5" w:rsidRPr="00D0161E">
        <w:rPr>
          <w:color w:val="000000" w:themeColor="text1"/>
        </w:rPr>
        <w:t>. R</w:t>
      </w:r>
      <w:r w:rsidR="00E514B0" w:rsidRPr="00D0161E">
        <w:rPr>
          <w:color w:val="000000" w:themeColor="text1"/>
        </w:rPr>
        <w:t xml:space="preserve">esistance ratios </w:t>
      </w:r>
      <w:r w:rsidR="00047CB6" w:rsidRPr="00D0161E">
        <w:rPr>
          <w:color w:val="000000" w:themeColor="text1"/>
        </w:rPr>
        <w:t>were calculated by dividing the LC</w:t>
      </w:r>
      <w:r w:rsidR="00047CB6" w:rsidRPr="00D0161E">
        <w:rPr>
          <w:color w:val="000000" w:themeColor="text1"/>
          <w:vertAlign w:val="subscript"/>
        </w:rPr>
        <w:t>50</w:t>
      </w:r>
      <w:r w:rsidR="00047CB6" w:rsidRPr="00D0161E">
        <w:rPr>
          <w:color w:val="000000" w:themeColor="text1"/>
        </w:rPr>
        <w:t xml:space="preserve"> of each resistant </w:t>
      </w:r>
      <w:r w:rsidR="00994C95" w:rsidRPr="00D0161E">
        <w:rPr>
          <w:color w:val="000000" w:themeColor="text1"/>
        </w:rPr>
        <w:t>strain</w:t>
      </w:r>
      <w:r w:rsidR="00047CB6" w:rsidRPr="00D0161E">
        <w:rPr>
          <w:color w:val="000000" w:themeColor="text1"/>
        </w:rPr>
        <w:t xml:space="preserve"> by the LC</w:t>
      </w:r>
      <w:r w:rsidR="00047CB6" w:rsidRPr="00D0161E">
        <w:rPr>
          <w:color w:val="000000" w:themeColor="text1"/>
          <w:vertAlign w:val="subscript"/>
        </w:rPr>
        <w:t>50</w:t>
      </w:r>
      <w:r w:rsidR="00047CB6" w:rsidRPr="00D0161E">
        <w:rPr>
          <w:color w:val="000000" w:themeColor="text1"/>
        </w:rPr>
        <w:t xml:space="preserve"> of the susceptible comparator </w:t>
      </w:r>
      <w:r w:rsidR="00994C95" w:rsidRPr="00D0161E">
        <w:rPr>
          <w:color w:val="000000" w:themeColor="text1"/>
        </w:rPr>
        <w:t>strain</w:t>
      </w:r>
      <w:r w:rsidR="00047CB6" w:rsidRPr="00D0161E">
        <w:rPr>
          <w:color w:val="000000" w:themeColor="text1"/>
        </w:rPr>
        <w:t>.</w:t>
      </w:r>
    </w:p>
    <w:p w14:paraId="7C3814F2" w14:textId="77777777" w:rsidR="00047CB6" w:rsidRPr="00D0161E" w:rsidRDefault="00047CB6" w:rsidP="00D0161E">
      <w:pPr>
        <w:spacing w:line="480" w:lineRule="auto"/>
        <w:rPr>
          <w:color w:val="000000" w:themeColor="text1"/>
        </w:rPr>
      </w:pPr>
    </w:p>
    <w:p w14:paraId="0E888B0B" w14:textId="77777777" w:rsidR="004F4E3F" w:rsidRPr="00D0161E" w:rsidRDefault="004F4E3F" w:rsidP="00D0161E">
      <w:pPr>
        <w:spacing w:line="480" w:lineRule="auto"/>
        <w:rPr>
          <w:color w:val="000000" w:themeColor="text1"/>
        </w:rPr>
      </w:pPr>
    </w:p>
    <w:p w14:paraId="274AD3AE" w14:textId="77777777" w:rsidR="00D85797" w:rsidRPr="00D0161E" w:rsidRDefault="00D85797" w:rsidP="00D0161E">
      <w:pPr>
        <w:pStyle w:val="Heading2"/>
        <w:spacing w:before="0" w:line="480" w:lineRule="auto"/>
        <w:rPr>
          <w:rFonts w:ascii="Times New Roman" w:hAnsi="Times New Roman"/>
          <w:b/>
          <w:color w:val="000000" w:themeColor="text1"/>
          <w:sz w:val="24"/>
        </w:rPr>
      </w:pPr>
      <w:r w:rsidRPr="00D0161E">
        <w:rPr>
          <w:rFonts w:ascii="Times New Roman" w:hAnsi="Times New Roman"/>
          <w:b/>
          <w:color w:val="000000" w:themeColor="text1"/>
          <w:sz w:val="24"/>
        </w:rPr>
        <w:t>Results</w:t>
      </w:r>
    </w:p>
    <w:p w14:paraId="7CA773E7" w14:textId="77777777" w:rsidR="00D85797" w:rsidRPr="00D0161E" w:rsidRDefault="00D85797" w:rsidP="00D0161E">
      <w:pPr>
        <w:spacing w:line="480" w:lineRule="auto"/>
        <w:rPr>
          <w:b/>
          <w:color w:val="000000" w:themeColor="text1"/>
        </w:rPr>
      </w:pPr>
    </w:p>
    <w:p w14:paraId="5868F10F" w14:textId="11516402" w:rsidR="00BB6F30" w:rsidRDefault="00517A14" w:rsidP="00025A3F">
      <w:pPr>
        <w:pStyle w:val="Heading3"/>
        <w:spacing w:before="0" w:line="480" w:lineRule="auto"/>
      </w:pPr>
      <w:r w:rsidRPr="00D0161E">
        <w:rPr>
          <w:rFonts w:ascii="Times New Roman" w:hAnsi="Times New Roman"/>
          <w:b/>
          <w:color w:val="000000" w:themeColor="text1"/>
        </w:rPr>
        <w:t xml:space="preserve">Topical </w:t>
      </w:r>
      <w:r w:rsidR="002141A5">
        <w:rPr>
          <w:rFonts w:ascii="Times New Roman" w:hAnsi="Times New Roman"/>
          <w:b/>
          <w:color w:val="000000" w:themeColor="text1"/>
        </w:rPr>
        <w:t>a</w:t>
      </w:r>
      <w:r w:rsidRPr="00D0161E">
        <w:rPr>
          <w:rFonts w:ascii="Times New Roman" w:hAnsi="Times New Roman"/>
          <w:b/>
          <w:color w:val="000000" w:themeColor="text1"/>
        </w:rPr>
        <w:t xml:space="preserve">pplication </w:t>
      </w:r>
      <w:r w:rsidR="002141A5">
        <w:rPr>
          <w:rFonts w:ascii="Times New Roman" w:hAnsi="Times New Roman"/>
          <w:b/>
          <w:color w:val="000000" w:themeColor="text1"/>
        </w:rPr>
        <w:t>a</w:t>
      </w:r>
      <w:r w:rsidRPr="00D0161E">
        <w:rPr>
          <w:rFonts w:ascii="Times New Roman" w:hAnsi="Times New Roman"/>
          <w:b/>
          <w:color w:val="000000" w:themeColor="text1"/>
        </w:rPr>
        <w:t xml:space="preserve">ssay for </w:t>
      </w:r>
      <w:r w:rsidR="002141A5">
        <w:rPr>
          <w:rFonts w:ascii="Times New Roman" w:hAnsi="Times New Roman"/>
          <w:b/>
          <w:color w:val="000000" w:themeColor="text1"/>
        </w:rPr>
        <w:t>i</w:t>
      </w:r>
      <w:r w:rsidRPr="00D0161E">
        <w:rPr>
          <w:rFonts w:ascii="Times New Roman" w:hAnsi="Times New Roman"/>
          <w:b/>
          <w:color w:val="000000" w:themeColor="text1"/>
        </w:rPr>
        <w:t xml:space="preserve">ntrinsic </w:t>
      </w:r>
      <w:r w:rsidR="002141A5">
        <w:rPr>
          <w:rFonts w:ascii="Times New Roman" w:hAnsi="Times New Roman"/>
          <w:b/>
          <w:color w:val="000000" w:themeColor="text1"/>
        </w:rPr>
        <w:t>a</w:t>
      </w:r>
      <w:r w:rsidRPr="00D0161E">
        <w:rPr>
          <w:rFonts w:ascii="Times New Roman" w:hAnsi="Times New Roman"/>
          <w:b/>
          <w:color w:val="000000" w:themeColor="text1"/>
        </w:rPr>
        <w:t>ctivity</w:t>
      </w:r>
    </w:p>
    <w:p w14:paraId="4CF4C0BD" w14:textId="310B66BC" w:rsidR="000C167F" w:rsidRPr="00D0161E" w:rsidRDefault="003E3706" w:rsidP="00D0161E">
      <w:pPr>
        <w:spacing w:line="480" w:lineRule="auto"/>
        <w:rPr>
          <w:color w:val="000000" w:themeColor="text1"/>
        </w:rPr>
      </w:pPr>
      <w:r w:rsidRPr="00D0161E">
        <w:rPr>
          <w:color w:val="000000" w:themeColor="text1"/>
        </w:rPr>
        <w:t xml:space="preserve">When topically applied to </w:t>
      </w:r>
      <w:r w:rsidR="00AB07A9" w:rsidRPr="00D0161E">
        <w:rPr>
          <w:color w:val="000000" w:themeColor="text1"/>
        </w:rPr>
        <w:t xml:space="preserve">mosquitoes from the </w:t>
      </w:r>
      <w:r w:rsidRPr="00D0161E">
        <w:rPr>
          <w:color w:val="000000" w:themeColor="text1"/>
        </w:rPr>
        <w:t>pyrethroid</w:t>
      </w:r>
      <w:r w:rsidR="002141A5">
        <w:rPr>
          <w:color w:val="000000" w:themeColor="text1"/>
        </w:rPr>
        <w:t>-</w:t>
      </w:r>
      <w:r w:rsidRPr="00D0161E">
        <w:rPr>
          <w:color w:val="000000" w:themeColor="text1"/>
        </w:rPr>
        <w:t xml:space="preserve">susceptible Kisumu </w:t>
      </w:r>
      <w:r w:rsidR="00994C95" w:rsidRPr="00D0161E">
        <w:rPr>
          <w:color w:val="000000" w:themeColor="text1"/>
        </w:rPr>
        <w:t>strain</w:t>
      </w:r>
      <w:r w:rsidRPr="00D0161E">
        <w:rPr>
          <w:color w:val="000000" w:themeColor="text1"/>
        </w:rPr>
        <w:t xml:space="preserve"> of </w:t>
      </w:r>
      <w:r w:rsidR="002141A5" w:rsidRPr="00D0161E">
        <w:rPr>
          <w:i/>
          <w:color w:val="000000" w:themeColor="text1"/>
        </w:rPr>
        <w:t>An</w:t>
      </w:r>
      <w:r w:rsidR="002141A5">
        <w:rPr>
          <w:i/>
          <w:color w:val="000000" w:themeColor="text1"/>
        </w:rPr>
        <w:t>.</w:t>
      </w:r>
      <w:r w:rsidR="002141A5" w:rsidRPr="00D0161E">
        <w:rPr>
          <w:i/>
          <w:color w:val="000000" w:themeColor="text1"/>
        </w:rPr>
        <w:t xml:space="preserve"> </w:t>
      </w:r>
      <w:r w:rsidRPr="00D0161E">
        <w:rPr>
          <w:i/>
          <w:color w:val="000000" w:themeColor="text1"/>
        </w:rPr>
        <w:t>gambiae</w:t>
      </w:r>
      <w:r w:rsidR="00AB07A9" w:rsidRPr="00D0161E">
        <w:rPr>
          <w:iCs/>
          <w:color w:val="000000" w:themeColor="text1"/>
        </w:rPr>
        <w:t>,</w:t>
      </w:r>
      <w:r w:rsidRPr="00D0161E">
        <w:rPr>
          <w:i/>
          <w:color w:val="000000" w:themeColor="text1"/>
        </w:rPr>
        <w:t xml:space="preserve">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Pr="00D0161E">
        <w:rPr>
          <w:color w:val="000000" w:themeColor="text1"/>
        </w:rPr>
        <w:t xml:space="preserve"> gave a high level of rapid </w:t>
      </w:r>
      <w:r w:rsidR="002141A5">
        <w:rPr>
          <w:color w:val="000000" w:themeColor="text1"/>
        </w:rPr>
        <w:t>KD</w:t>
      </w:r>
      <w:r w:rsidRPr="00D0161E">
        <w:rPr>
          <w:color w:val="000000" w:themeColor="text1"/>
        </w:rPr>
        <w:t xml:space="preserve"> and kill at all concentrations tested, reaching </w:t>
      </w:r>
      <w:r w:rsidR="008546EE" w:rsidRPr="00D0161E">
        <w:rPr>
          <w:color w:val="000000" w:themeColor="text1"/>
        </w:rPr>
        <w:t xml:space="preserve">80% mortality 24 hours after application above 0.000025% and </w:t>
      </w:r>
      <w:r w:rsidRPr="00D0161E">
        <w:rPr>
          <w:color w:val="000000" w:themeColor="text1"/>
        </w:rPr>
        <w:t>at lower concentration</w:t>
      </w:r>
      <w:r w:rsidR="00AB07A9" w:rsidRPr="00D0161E">
        <w:rPr>
          <w:color w:val="000000" w:themeColor="text1"/>
        </w:rPr>
        <w:t>s</w:t>
      </w:r>
      <w:r w:rsidRPr="00D0161E">
        <w:rPr>
          <w:color w:val="000000" w:themeColor="text1"/>
        </w:rPr>
        <w:t xml:space="preserve"> when scored at 48 or 72 hours</w:t>
      </w:r>
      <w:r w:rsidR="004C3625" w:rsidRPr="00D0161E">
        <w:rPr>
          <w:color w:val="000000" w:themeColor="text1"/>
        </w:rPr>
        <w:t xml:space="preserve"> (Table </w:t>
      </w:r>
      <w:r w:rsidR="00CF1BEF" w:rsidRPr="00D0161E">
        <w:rPr>
          <w:color w:val="000000" w:themeColor="text1"/>
        </w:rPr>
        <w:t>1</w:t>
      </w:r>
      <w:r w:rsidR="004C3625" w:rsidRPr="00D0161E">
        <w:rPr>
          <w:color w:val="000000" w:themeColor="text1"/>
        </w:rPr>
        <w:t>)</w:t>
      </w:r>
      <w:r w:rsidRPr="00D0161E">
        <w:rPr>
          <w:color w:val="000000" w:themeColor="text1"/>
        </w:rPr>
        <w:t xml:space="preserve">. </w:t>
      </w:r>
      <w:r w:rsidR="00744E04" w:rsidRPr="00D0161E">
        <w:rPr>
          <w:color w:val="000000" w:themeColor="text1"/>
        </w:rPr>
        <w:t xml:space="preserve">The </w:t>
      </w:r>
      <w:r w:rsidR="00AB07A9" w:rsidRPr="00D0161E">
        <w:rPr>
          <w:color w:val="000000" w:themeColor="text1"/>
        </w:rPr>
        <w:t xml:space="preserve">insecticidal </w:t>
      </w:r>
      <w:r w:rsidR="00744E04" w:rsidRPr="00D0161E">
        <w:rPr>
          <w:color w:val="000000" w:themeColor="text1"/>
        </w:rPr>
        <w:t xml:space="preserve">effect on mosquitoes was rapid, with very high levels of </w:t>
      </w:r>
      <w:r w:rsidR="003D03AB" w:rsidRPr="00D0161E">
        <w:rPr>
          <w:color w:val="000000" w:themeColor="text1"/>
        </w:rPr>
        <w:t>KD</w:t>
      </w:r>
      <w:r w:rsidR="00744E04" w:rsidRPr="00D0161E">
        <w:rPr>
          <w:color w:val="000000" w:themeColor="text1"/>
        </w:rPr>
        <w:t xml:space="preserve"> 30 min after application. </w:t>
      </w:r>
      <w:r w:rsidRPr="00D0161E">
        <w:rPr>
          <w:color w:val="000000" w:themeColor="text1"/>
        </w:rPr>
        <w:t>This level of efficacy and potency was</w:t>
      </w:r>
      <w:r w:rsidR="00580FCE" w:rsidRPr="00D0161E">
        <w:rPr>
          <w:color w:val="000000" w:themeColor="text1"/>
        </w:rPr>
        <w:t xml:space="preserve"> in the same range as</w:t>
      </w:r>
      <w:r w:rsidRPr="00D0161E">
        <w:rPr>
          <w:color w:val="000000" w:themeColor="text1"/>
        </w:rPr>
        <w:t xml:space="preserve"> </w:t>
      </w:r>
      <w:r w:rsidR="00AB07A9" w:rsidRPr="00D0161E">
        <w:rPr>
          <w:color w:val="000000" w:themeColor="text1"/>
        </w:rPr>
        <w:t xml:space="preserve">for </w:t>
      </w:r>
      <w:r w:rsidRPr="00D0161E">
        <w:rPr>
          <w:color w:val="000000" w:themeColor="text1"/>
        </w:rPr>
        <w:t>deltamethrin</w:t>
      </w:r>
      <w:r w:rsidR="00580FCE" w:rsidRPr="00D0161E">
        <w:rPr>
          <w:color w:val="000000" w:themeColor="text1"/>
        </w:rPr>
        <w:t xml:space="preserve">, which gave 100% </w:t>
      </w:r>
      <w:r w:rsidR="003D03AB" w:rsidRPr="00D0161E">
        <w:rPr>
          <w:color w:val="000000" w:themeColor="text1"/>
        </w:rPr>
        <w:t>KD</w:t>
      </w:r>
      <w:r w:rsidR="00580FCE" w:rsidRPr="00D0161E">
        <w:rPr>
          <w:color w:val="000000" w:themeColor="text1"/>
        </w:rPr>
        <w:t xml:space="preserve"> or kill at all time points</w:t>
      </w:r>
      <w:r w:rsidRPr="00D0161E">
        <w:rPr>
          <w:color w:val="000000" w:themeColor="text1"/>
        </w:rPr>
        <w:t>.</w:t>
      </w:r>
      <w:r w:rsidR="00CF2D87" w:rsidRPr="00D0161E">
        <w:rPr>
          <w:color w:val="000000" w:themeColor="text1"/>
        </w:rPr>
        <w:t xml:space="preserve">  </w:t>
      </w:r>
    </w:p>
    <w:p w14:paraId="6492E8E7" w14:textId="77777777" w:rsidR="003E3706" w:rsidRPr="00D0161E" w:rsidRDefault="003E3706" w:rsidP="00D0161E">
      <w:pPr>
        <w:spacing w:line="480" w:lineRule="auto"/>
        <w:rPr>
          <w:color w:val="000000" w:themeColor="text1"/>
        </w:rPr>
      </w:pPr>
    </w:p>
    <w:p w14:paraId="72FDC260" w14:textId="143B6A1E" w:rsidR="00381EB8" w:rsidRPr="00D0161E" w:rsidRDefault="003E2FD0" w:rsidP="00D0161E">
      <w:pPr>
        <w:spacing w:line="480" w:lineRule="auto"/>
        <w:rPr>
          <w:color w:val="000000" w:themeColor="text1"/>
        </w:rPr>
      </w:pPr>
      <w:r w:rsidRPr="00D0161E">
        <w:rPr>
          <w:color w:val="000000" w:themeColor="text1"/>
        </w:rPr>
        <w:t xml:space="preserve">In the </w:t>
      </w:r>
      <w:proofErr w:type="gramStart"/>
      <w:r w:rsidRPr="00D0161E">
        <w:rPr>
          <w:color w:val="000000" w:themeColor="text1"/>
        </w:rPr>
        <w:t>insecticide</w:t>
      </w:r>
      <w:r w:rsidR="002141A5">
        <w:rPr>
          <w:color w:val="000000" w:themeColor="text1"/>
        </w:rPr>
        <w:t>-</w:t>
      </w:r>
      <w:r w:rsidRPr="00D0161E">
        <w:rPr>
          <w:color w:val="000000" w:themeColor="text1"/>
        </w:rPr>
        <w:t>resistant</w:t>
      </w:r>
      <w:proofErr w:type="gramEnd"/>
      <w:r w:rsidRPr="00D0161E">
        <w:rPr>
          <w:color w:val="000000" w:themeColor="text1"/>
        </w:rPr>
        <w:t xml:space="preserve"> Tiassal</w:t>
      </w:r>
      <w:r w:rsidRPr="00D0161E">
        <w:rPr>
          <w:rFonts w:cstheme="minorHAnsi"/>
          <w:color w:val="000000" w:themeColor="text1"/>
        </w:rPr>
        <w:t>é</w:t>
      </w:r>
      <w:r w:rsidRPr="00D0161E">
        <w:rPr>
          <w:color w:val="000000" w:themeColor="text1"/>
        </w:rPr>
        <w:t xml:space="preserve"> 2 </w:t>
      </w:r>
      <w:r w:rsidR="00994C95" w:rsidRPr="00D0161E">
        <w:rPr>
          <w:color w:val="000000" w:themeColor="text1"/>
        </w:rPr>
        <w:t>strain</w:t>
      </w:r>
      <w:r w:rsidR="00AB07A9" w:rsidRPr="00D0161E">
        <w:rPr>
          <w:color w:val="000000" w:themeColor="text1"/>
        </w:rPr>
        <w:t xml:space="preserve">, </w:t>
      </w:r>
      <w:r w:rsidR="006D01E9" w:rsidRPr="00D0161E">
        <w:rPr>
          <w:color w:val="000000" w:themeColor="text1"/>
        </w:rPr>
        <w:t xml:space="preserve">there was a lower rate of </w:t>
      </w:r>
      <w:r w:rsidR="003D03AB" w:rsidRPr="00D0161E">
        <w:rPr>
          <w:color w:val="000000" w:themeColor="text1"/>
        </w:rPr>
        <w:t>KD</w:t>
      </w:r>
      <w:r w:rsidR="006D01E9" w:rsidRPr="00D0161E">
        <w:rPr>
          <w:color w:val="000000" w:themeColor="text1"/>
        </w:rPr>
        <w:t xml:space="preserve"> immediately after exposure to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006D01E9" w:rsidRPr="00D0161E">
        <w:rPr>
          <w:color w:val="000000" w:themeColor="text1"/>
        </w:rPr>
        <w:t xml:space="preserve"> than in the susceptible Kisumu females, but mortality reached the 80% threshold at the lowest concentration tested, 0.00000625%. The lower rate of mortality </w:t>
      </w:r>
      <w:r w:rsidR="00AB07A9" w:rsidRPr="00D0161E">
        <w:rPr>
          <w:color w:val="000000" w:themeColor="text1"/>
        </w:rPr>
        <w:t xml:space="preserve">with </w:t>
      </w:r>
      <w:r w:rsidR="006D01E9" w:rsidRPr="00D0161E">
        <w:rPr>
          <w:color w:val="000000" w:themeColor="text1"/>
        </w:rPr>
        <w:t xml:space="preserve">deltamethrin and etofenprox </w:t>
      </w:r>
      <w:r w:rsidR="00AB07A9" w:rsidRPr="00D0161E">
        <w:rPr>
          <w:color w:val="000000" w:themeColor="text1"/>
        </w:rPr>
        <w:t xml:space="preserve">reference </w:t>
      </w:r>
      <w:r w:rsidR="006D01E9" w:rsidRPr="00D0161E">
        <w:rPr>
          <w:color w:val="000000" w:themeColor="text1"/>
        </w:rPr>
        <w:t xml:space="preserve">controls </w:t>
      </w:r>
      <w:r w:rsidR="008546EE" w:rsidRPr="00D0161E">
        <w:rPr>
          <w:color w:val="000000" w:themeColor="text1"/>
        </w:rPr>
        <w:t xml:space="preserve">confirmed </w:t>
      </w:r>
      <w:r w:rsidR="006D01E9" w:rsidRPr="00D0161E">
        <w:rPr>
          <w:color w:val="000000" w:themeColor="text1"/>
        </w:rPr>
        <w:t xml:space="preserve">the known pyrethroid resistance of this </w:t>
      </w:r>
      <w:r w:rsidR="00994C95" w:rsidRPr="00D0161E">
        <w:rPr>
          <w:color w:val="000000" w:themeColor="text1"/>
        </w:rPr>
        <w:t>strain</w:t>
      </w:r>
      <w:r w:rsidR="006D01E9" w:rsidRPr="00D0161E">
        <w:rPr>
          <w:color w:val="000000" w:themeColor="text1"/>
        </w:rPr>
        <w:t>.</w:t>
      </w:r>
    </w:p>
    <w:p w14:paraId="6500D071" w14:textId="77777777" w:rsidR="002F35EB" w:rsidRPr="00D0161E" w:rsidRDefault="002F35EB" w:rsidP="00D0161E">
      <w:pPr>
        <w:spacing w:line="480" w:lineRule="auto"/>
        <w:rPr>
          <w:color w:val="000000" w:themeColor="text1"/>
        </w:rPr>
      </w:pPr>
    </w:p>
    <w:p w14:paraId="6B49615B" w14:textId="77777777" w:rsidR="008D259C" w:rsidRPr="00D0161E" w:rsidRDefault="00055FFA" w:rsidP="00D0161E">
      <w:pPr>
        <w:pStyle w:val="Heading3"/>
        <w:spacing w:before="0" w:line="480" w:lineRule="auto"/>
        <w:rPr>
          <w:rFonts w:ascii="Times New Roman" w:hAnsi="Times New Roman"/>
          <w:b/>
          <w:color w:val="000000" w:themeColor="text1"/>
        </w:rPr>
      </w:pPr>
      <w:r w:rsidRPr="00D0161E">
        <w:rPr>
          <w:rFonts w:ascii="Times New Roman" w:hAnsi="Times New Roman"/>
          <w:b/>
          <w:color w:val="000000" w:themeColor="text1"/>
        </w:rPr>
        <w:t>Evaluation of activity by tarsal</w:t>
      </w:r>
      <w:r w:rsidR="002D1353" w:rsidRPr="00D0161E">
        <w:rPr>
          <w:rFonts w:ascii="Times New Roman" w:hAnsi="Times New Roman"/>
          <w:b/>
          <w:color w:val="000000" w:themeColor="text1"/>
        </w:rPr>
        <w:t xml:space="preserve"> contact</w:t>
      </w:r>
    </w:p>
    <w:p w14:paraId="7928C5E2" w14:textId="77777777" w:rsidR="00055FFA"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 xml:space="preserve">Tarsal contact assay </w:t>
      </w:r>
    </w:p>
    <w:p w14:paraId="2C3C699C" w14:textId="31E229BB" w:rsidR="000C167F" w:rsidRPr="00D0161E" w:rsidRDefault="005E57D7" w:rsidP="00D0161E">
      <w:pPr>
        <w:spacing w:line="480" w:lineRule="auto"/>
        <w:rPr>
          <w:color w:val="000000" w:themeColor="text1"/>
        </w:rPr>
      </w:pPr>
      <w:bookmarkStart w:id="31" w:name="_Hlk50466242"/>
      <w:r w:rsidRPr="00D0161E">
        <w:rPr>
          <w:color w:val="000000" w:themeColor="text1"/>
        </w:rPr>
        <w:t xml:space="preserve">Mortality when taken up </w:t>
      </w:r>
      <w:proofErr w:type="spellStart"/>
      <w:r w:rsidRPr="00D0161E">
        <w:rPr>
          <w:color w:val="000000" w:themeColor="text1"/>
        </w:rPr>
        <w:t>tarsally</w:t>
      </w:r>
      <w:proofErr w:type="spellEnd"/>
      <w:r w:rsidRPr="00D0161E">
        <w:rPr>
          <w:color w:val="000000" w:themeColor="text1"/>
        </w:rPr>
        <w:t xml:space="preserve"> was measured by exposing mosquitoes to dried residues of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00744E04" w:rsidRPr="00D0161E">
        <w:rPr>
          <w:color w:val="000000" w:themeColor="text1"/>
        </w:rPr>
        <w:t xml:space="preserve"> </w:t>
      </w:r>
      <w:r w:rsidRPr="00D0161E">
        <w:rPr>
          <w:color w:val="000000" w:themeColor="text1"/>
        </w:rPr>
        <w:t xml:space="preserve">on a glass petri dish, and in this assay the compound </w:t>
      </w:r>
      <w:r w:rsidR="00744E04" w:rsidRPr="00D0161E">
        <w:rPr>
          <w:color w:val="000000" w:themeColor="text1"/>
        </w:rPr>
        <w:t>was slow</w:t>
      </w:r>
      <w:r w:rsidR="00E76ADA" w:rsidRPr="00D0161E">
        <w:rPr>
          <w:color w:val="000000" w:themeColor="text1"/>
        </w:rPr>
        <w:t>er</w:t>
      </w:r>
      <w:r w:rsidR="00744E04" w:rsidRPr="00D0161E">
        <w:rPr>
          <w:color w:val="000000" w:themeColor="text1"/>
        </w:rPr>
        <w:t xml:space="preserve">, giving low rates of </w:t>
      </w:r>
      <w:r w:rsidR="002141A5">
        <w:rPr>
          <w:color w:val="000000" w:themeColor="text1"/>
        </w:rPr>
        <w:t>KD</w:t>
      </w:r>
      <w:r w:rsidR="00744E04" w:rsidRPr="00D0161E">
        <w:rPr>
          <w:color w:val="000000" w:themeColor="text1"/>
        </w:rPr>
        <w:t xml:space="preserve"> 60 min after exposure</w:t>
      </w:r>
      <w:r w:rsidR="002F35EB" w:rsidRPr="00D0161E">
        <w:rPr>
          <w:color w:val="000000" w:themeColor="text1"/>
        </w:rPr>
        <w:t xml:space="preserve"> (Table 2)</w:t>
      </w:r>
      <w:r w:rsidR="00E76ADA" w:rsidRPr="00D0161E">
        <w:rPr>
          <w:color w:val="000000" w:themeColor="text1"/>
        </w:rPr>
        <w:t xml:space="preserve">. </w:t>
      </w:r>
      <w:bookmarkEnd w:id="31"/>
      <w:r w:rsidR="00E76ADA" w:rsidRPr="00D0161E">
        <w:rPr>
          <w:color w:val="000000" w:themeColor="text1"/>
        </w:rPr>
        <w:t>However,</w:t>
      </w:r>
      <w:r w:rsidR="00744E04" w:rsidRPr="00D0161E">
        <w:rPr>
          <w:color w:val="000000" w:themeColor="text1"/>
        </w:rPr>
        <w:t xml:space="preserve"> mortality was above 80% 24 hours after exposure</w:t>
      </w:r>
      <w:r w:rsidR="009A1CE5" w:rsidRPr="00D0161E">
        <w:rPr>
          <w:color w:val="000000" w:themeColor="text1"/>
        </w:rPr>
        <w:t xml:space="preserve"> (the ‘breakpoint’)</w:t>
      </w:r>
      <w:r w:rsidR="00744E04" w:rsidRPr="00D0161E">
        <w:rPr>
          <w:color w:val="000000" w:themeColor="text1"/>
        </w:rPr>
        <w:t xml:space="preserve"> to concentrations above </w:t>
      </w:r>
      <w:r w:rsidR="00232D04" w:rsidRPr="00D0161E">
        <w:rPr>
          <w:color w:val="000000" w:themeColor="text1"/>
        </w:rPr>
        <w:t>0.001% (</w:t>
      </w:r>
      <w:r w:rsidR="00744E04" w:rsidRPr="00D0161E">
        <w:rPr>
          <w:color w:val="000000" w:themeColor="text1"/>
        </w:rPr>
        <w:t>0.3667 mg/</w:t>
      </w:r>
      <w:proofErr w:type="spellStart"/>
      <w:r w:rsidR="002141A5">
        <w:rPr>
          <w:color w:val="000000" w:themeColor="text1"/>
        </w:rPr>
        <w:t>sq</w:t>
      </w:r>
      <w:proofErr w:type="spellEnd"/>
      <w:r w:rsidR="002141A5">
        <w:rPr>
          <w:color w:val="000000" w:themeColor="text1"/>
        </w:rPr>
        <w:t xml:space="preserve"> </w:t>
      </w:r>
      <w:r w:rsidR="00744E04" w:rsidRPr="00D0161E">
        <w:rPr>
          <w:color w:val="000000" w:themeColor="text1"/>
        </w:rPr>
        <w:t>m</w:t>
      </w:r>
      <w:r w:rsidR="00232D04" w:rsidRPr="00D0161E">
        <w:rPr>
          <w:color w:val="000000" w:themeColor="text1"/>
        </w:rPr>
        <w:t xml:space="preserve">) in all </w:t>
      </w:r>
      <w:r w:rsidR="00994C95" w:rsidRPr="00D0161E">
        <w:rPr>
          <w:color w:val="000000" w:themeColor="text1"/>
        </w:rPr>
        <w:t>strains</w:t>
      </w:r>
      <w:r w:rsidR="00232D04" w:rsidRPr="00D0161E">
        <w:rPr>
          <w:color w:val="000000" w:themeColor="text1"/>
        </w:rPr>
        <w:t xml:space="preserve"> except </w:t>
      </w:r>
      <w:r w:rsidR="00E76ADA" w:rsidRPr="00D0161E">
        <w:rPr>
          <w:color w:val="000000" w:themeColor="text1"/>
        </w:rPr>
        <w:t xml:space="preserve">for the resistant </w:t>
      </w:r>
      <w:r w:rsidR="00232D04" w:rsidRPr="00D0161E">
        <w:rPr>
          <w:color w:val="000000" w:themeColor="text1"/>
        </w:rPr>
        <w:t>Cayman</w:t>
      </w:r>
      <w:r w:rsidR="00E76ADA" w:rsidRPr="00D0161E">
        <w:rPr>
          <w:color w:val="000000" w:themeColor="text1"/>
        </w:rPr>
        <w:t xml:space="preserve"> </w:t>
      </w:r>
      <w:r w:rsidR="00E76ADA" w:rsidRPr="00D0161E">
        <w:rPr>
          <w:i/>
          <w:color w:val="000000" w:themeColor="text1"/>
        </w:rPr>
        <w:t xml:space="preserve">Ae. aegypti </w:t>
      </w:r>
      <w:r w:rsidR="00994C95" w:rsidRPr="00D0161E">
        <w:rPr>
          <w:color w:val="000000" w:themeColor="text1"/>
        </w:rPr>
        <w:t>strain</w:t>
      </w:r>
      <w:r w:rsidR="009A1CE5" w:rsidRPr="00D0161E">
        <w:rPr>
          <w:color w:val="000000" w:themeColor="text1"/>
        </w:rPr>
        <w:t>.</w:t>
      </w:r>
      <w:r w:rsidR="00232D04" w:rsidRPr="00D0161E">
        <w:rPr>
          <w:color w:val="000000" w:themeColor="text1"/>
        </w:rPr>
        <w:t xml:space="preserve"> </w:t>
      </w:r>
      <w:r w:rsidR="009A1CE5" w:rsidRPr="00D0161E">
        <w:rPr>
          <w:color w:val="000000" w:themeColor="text1"/>
        </w:rPr>
        <w:t xml:space="preserve">In </w:t>
      </w:r>
      <w:r w:rsidR="00917CC2" w:rsidRPr="00D0161E">
        <w:rPr>
          <w:color w:val="000000" w:themeColor="text1"/>
        </w:rPr>
        <w:t>Cayman</w:t>
      </w:r>
      <w:r w:rsidR="003D03AB" w:rsidRPr="00D0161E">
        <w:rPr>
          <w:iCs/>
          <w:color w:val="000000" w:themeColor="text1"/>
        </w:rPr>
        <w:t xml:space="preserve">, </w:t>
      </w:r>
      <w:r w:rsidR="00232D04" w:rsidRPr="00D0161E">
        <w:rPr>
          <w:color w:val="000000" w:themeColor="text1"/>
        </w:rPr>
        <w:t xml:space="preserve">the 80% </w:t>
      </w:r>
      <w:r w:rsidR="003D03AB" w:rsidRPr="00D0161E">
        <w:rPr>
          <w:color w:val="000000" w:themeColor="text1"/>
        </w:rPr>
        <w:t xml:space="preserve">mortality </w:t>
      </w:r>
      <w:r w:rsidR="00232D04" w:rsidRPr="00D0161E">
        <w:rPr>
          <w:color w:val="000000" w:themeColor="text1"/>
        </w:rPr>
        <w:t xml:space="preserve">threshold was reached at a concentration of </w:t>
      </w:r>
      <w:r w:rsidR="00FB5690" w:rsidRPr="00D0161E">
        <w:rPr>
          <w:color w:val="000000" w:themeColor="text1"/>
        </w:rPr>
        <w:t>0.01% (3.667 mg/</w:t>
      </w:r>
      <w:proofErr w:type="spellStart"/>
      <w:r w:rsidR="002141A5">
        <w:rPr>
          <w:color w:val="000000" w:themeColor="text1"/>
        </w:rPr>
        <w:t>sq</w:t>
      </w:r>
      <w:proofErr w:type="spellEnd"/>
      <w:r w:rsidR="002141A5">
        <w:rPr>
          <w:color w:val="000000" w:themeColor="text1"/>
        </w:rPr>
        <w:t xml:space="preserve"> </w:t>
      </w:r>
      <w:r w:rsidR="00FB5690" w:rsidRPr="00D0161E">
        <w:rPr>
          <w:color w:val="000000" w:themeColor="text1"/>
        </w:rPr>
        <w:t>m)</w:t>
      </w:r>
      <w:r w:rsidR="009A1CE5" w:rsidRPr="00D0161E">
        <w:rPr>
          <w:color w:val="000000" w:themeColor="text1"/>
        </w:rPr>
        <w:t xml:space="preserve"> by 24 hours post-exposure, but when observed 48 hours post-exposure the threshold was reached at the lower concentration</w:t>
      </w:r>
      <w:r w:rsidR="00917CC2" w:rsidRPr="00D0161E">
        <w:rPr>
          <w:color w:val="000000" w:themeColor="text1"/>
        </w:rPr>
        <w:t xml:space="preserve"> (0.001%)</w:t>
      </w:r>
      <w:r w:rsidR="00744E04" w:rsidRPr="00D0161E">
        <w:rPr>
          <w:color w:val="000000" w:themeColor="text1"/>
        </w:rPr>
        <w:t>.</w:t>
      </w:r>
      <w:r w:rsidR="009A1CE5" w:rsidRPr="00D0161E">
        <w:rPr>
          <w:color w:val="000000" w:themeColor="text1"/>
        </w:rPr>
        <w:t xml:space="preserve"> </w:t>
      </w:r>
      <w:bookmarkStart w:id="32" w:name="_Hlk50466082"/>
      <w:r w:rsidR="009A1CE5" w:rsidRPr="00D0161E">
        <w:rPr>
          <w:color w:val="000000" w:themeColor="text1"/>
        </w:rPr>
        <w:t>There is also some evidence for delayed mortality in Kisumu, where the breakpoint was lower</w:t>
      </w:r>
      <w:r w:rsidR="008546EE" w:rsidRPr="00D0161E">
        <w:rPr>
          <w:color w:val="000000" w:themeColor="text1"/>
        </w:rPr>
        <w:t xml:space="preserve"> when</w:t>
      </w:r>
      <w:r w:rsidR="009A1CE5" w:rsidRPr="00D0161E">
        <w:rPr>
          <w:color w:val="000000" w:themeColor="text1"/>
        </w:rPr>
        <w:t xml:space="preserve"> </w:t>
      </w:r>
      <w:r w:rsidRPr="00D0161E">
        <w:rPr>
          <w:color w:val="000000" w:themeColor="text1"/>
        </w:rPr>
        <w:t xml:space="preserve">observed after </w:t>
      </w:r>
      <w:r w:rsidR="009A1CE5" w:rsidRPr="00D0161E">
        <w:rPr>
          <w:color w:val="000000" w:themeColor="text1"/>
        </w:rPr>
        <w:t xml:space="preserve">48 hours </w:t>
      </w:r>
      <w:r w:rsidRPr="00D0161E">
        <w:rPr>
          <w:color w:val="000000" w:themeColor="text1"/>
        </w:rPr>
        <w:t xml:space="preserve">post-exposure </w:t>
      </w:r>
      <w:r w:rsidR="009A1CE5" w:rsidRPr="00D0161E">
        <w:rPr>
          <w:color w:val="000000" w:themeColor="text1"/>
        </w:rPr>
        <w:t xml:space="preserve">than </w:t>
      </w:r>
      <w:r w:rsidRPr="00D0161E">
        <w:rPr>
          <w:color w:val="000000" w:themeColor="text1"/>
        </w:rPr>
        <w:t xml:space="preserve">after </w:t>
      </w:r>
      <w:r w:rsidR="009A1CE5" w:rsidRPr="00D0161E">
        <w:rPr>
          <w:color w:val="000000" w:themeColor="text1"/>
        </w:rPr>
        <w:t xml:space="preserve">24 hours, and lower still </w:t>
      </w:r>
      <w:r w:rsidRPr="00D0161E">
        <w:rPr>
          <w:color w:val="000000" w:themeColor="text1"/>
        </w:rPr>
        <w:t xml:space="preserve">after </w:t>
      </w:r>
      <w:r w:rsidR="009A1CE5" w:rsidRPr="00D0161E">
        <w:rPr>
          <w:color w:val="000000" w:themeColor="text1"/>
        </w:rPr>
        <w:t>72 hours.</w:t>
      </w:r>
      <w:bookmarkEnd w:id="32"/>
    </w:p>
    <w:p w14:paraId="24AC5EEA" w14:textId="77777777" w:rsidR="00276DEB" w:rsidRPr="00D0161E" w:rsidRDefault="00276DEB" w:rsidP="00D0161E">
      <w:pPr>
        <w:spacing w:line="480" w:lineRule="auto"/>
        <w:rPr>
          <w:color w:val="000000" w:themeColor="text1"/>
        </w:rPr>
      </w:pPr>
    </w:p>
    <w:p w14:paraId="03C1F74D" w14:textId="77777777" w:rsidR="00CA5E8D" w:rsidRPr="00D0161E" w:rsidRDefault="00CA5E8D" w:rsidP="00D0161E">
      <w:pPr>
        <w:spacing w:line="480" w:lineRule="auto"/>
        <w:rPr>
          <w:color w:val="000000" w:themeColor="text1"/>
        </w:rPr>
      </w:pPr>
      <w:r w:rsidRPr="00D0161E">
        <w:rPr>
          <w:color w:val="000000" w:themeColor="text1"/>
        </w:rPr>
        <w:t xml:space="preserve">Positive controls gave 100% KD and kill for all </w:t>
      </w:r>
      <w:r w:rsidRPr="00D0161E">
        <w:rPr>
          <w:i/>
          <w:iCs/>
          <w:color w:val="000000" w:themeColor="text1"/>
        </w:rPr>
        <w:t>Anopheles</w:t>
      </w:r>
      <w:r w:rsidRPr="00D0161E">
        <w:rPr>
          <w:color w:val="000000" w:themeColor="text1"/>
        </w:rPr>
        <w:t xml:space="preserve"> </w:t>
      </w:r>
      <w:r w:rsidR="00994C95" w:rsidRPr="00D0161E">
        <w:rPr>
          <w:color w:val="000000" w:themeColor="text1"/>
        </w:rPr>
        <w:t>strains</w:t>
      </w:r>
      <w:r w:rsidRPr="00D0161E">
        <w:rPr>
          <w:color w:val="000000" w:themeColor="text1"/>
        </w:rPr>
        <w:t xml:space="preserve">. </w:t>
      </w:r>
      <w:r w:rsidR="00911D82" w:rsidRPr="00D0161E">
        <w:rPr>
          <w:color w:val="000000" w:themeColor="text1"/>
        </w:rPr>
        <w:t>E</w:t>
      </w:r>
      <w:r w:rsidRPr="00D0161E">
        <w:rPr>
          <w:color w:val="000000" w:themeColor="text1"/>
        </w:rPr>
        <w:t xml:space="preserve">tofenprox killed </w:t>
      </w:r>
      <w:r w:rsidR="00911D82" w:rsidRPr="00D0161E">
        <w:rPr>
          <w:color w:val="000000" w:themeColor="text1"/>
        </w:rPr>
        <w:t xml:space="preserve">all </w:t>
      </w:r>
      <w:r w:rsidRPr="00D0161E">
        <w:rPr>
          <w:color w:val="000000" w:themeColor="text1"/>
        </w:rPr>
        <w:t>New Orlean</w:t>
      </w:r>
      <w:r w:rsidR="00911D82" w:rsidRPr="00D0161E">
        <w:rPr>
          <w:color w:val="000000" w:themeColor="text1"/>
        </w:rPr>
        <w:t xml:space="preserve">s </w:t>
      </w:r>
      <w:r w:rsidR="003D03AB" w:rsidRPr="00D0161E">
        <w:rPr>
          <w:i/>
          <w:color w:val="000000" w:themeColor="text1"/>
        </w:rPr>
        <w:t xml:space="preserve">Ae. aegypti </w:t>
      </w:r>
      <w:r w:rsidR="00994C95" w:rsidRPr="00D0161E">
        <w:rPr>
          <w:color w:val="000000" w:themeColor="text1"/>
        </w:rPr>
        <w:t>strain</w:t>
      </w:r>
      <w:r w:rsidR="003D03AB" w:rsidRPr="00D0161E">
        <w:rPr>
          <w:color w:val="000000" w:themeColor="text1"/>
        </w:rPr>
        <w:t xml:space="preserve"> mosquitoes </w:t>
      </w:r>
      <w:r w:rsidR="00911D82" w:rsidRPr="00D0161E">
        <w:rPr>
          <w:color w:val="000000" w:themeColor="text1"/>
        </w:rPr>
        <w:t>by the end of exposure, and 44, 50 and 70%</w:t>
      </w:r>
      <w:r w:rsidRPr="00D0161E">
        <w:rPr>
          <w:color w:val="000000" w:themeColor="text1"/>
        </w:rPr>
        <w:t xml:space="preserve"> of </w:t>
      </w:r>
      <w:r w:rsidR="003D03AB" w:rsidRPr="00D0161E">
        <w:rPr>
          <w:color w:val="000000" w:themeColor="text1"/>
        </w:rPr>
        <w:t xml:space="preserve">resistant </w:t>
      </w:r>
      <w:r w:rsidRPr="00D0161E">
        <w:rPr>
          <w:color w:val="000000" w:themeColor="text1"/>
        </w:rPr>
        <w:t>Cayman</w:t>
      </w:r>
      <w:r w:rsidR="00911D82" w:rsidRPr="00D0161E">
        <w:rPr>
          <w:color w:val="000000" w:themeColor="text1"/>
        </w:rPr>
        <w:t xml:space="preserve"> </w:t>
      </w:r>
      <w:r w:rsidR="003D03AB" w:rsidRPr="00D0161E">
        <w:rPr>
          <w:i/>
          <w:color w:val="000000" w:themeColor="text1"/>
        </w:rPr>
        <w:t xml:space="preserve">Ae. aegypti </w:t>
      </w:r>
      <w:r w:rsidR="00994C95" w:rsidRPr="00D0161E">
        <w:rPr>
          <w:color w:val="000000" w:themeColor="text1"/>
        </w:rPr>
        <w:t>strain</w:t>
      </w:r>
      <w:r w:rsidR="003D03AB" w:rsidRPr="00D0161E">
        <w:rPr>
          <w:color w:val="000000" w:themeColor="text1"/>
        </w:rPr>
        <w:t xml:space="preserve"> mosquitoes </w:t>
      </w:r>
      <w:r w:rsidR="00911D82" w:rsidRPr="00D0161E">
        <w:rPr>
          <w:color w:val="000000" w:themeColor="text1"/>
        </w:rPr>
        <w:t>by 72 hours post-exposure. D</w:t>
      </w:r>
      <w:r w:rsidRPr="00D0161E">
        <w:rPr>
          <w:color w:val="000000" w:themeColor="text1"/>
        </w:rPr>
        <w:t xml:space="preserve">eltamethrin killed </w:t>
      </w:r>
      <w:r w:rsidR="00911D82" w:rsidRPr="00D0161E">
        <w:rPr>
          <w:color w:val="000000" w:themeColor="text1"/>
        </w:rPr>
        <w:t xml:space="preserve">70, 100 and 90% of New Orleans exposed to 0.01, 0.1 and 1% papers, respectively, by 72 hours post-exposure, and all exposed </w:t>
      </w:r>
      <w:r w:rsidRPr="00D0161E">
        <w:rPr>
          <w:color w:val="000000" w:themeColor="text1"/>
        </w:rPr>
        <w:t>Cayman</w:t>
      </w:r>
      <w:r w:rsidR="00911D82" w:rsidRPr="00D0161E">
        <w:rPr>
          <w:color w:val="000000" w:themeColor="text1"/>
        </w:rPr>
        <w:t xml:space="preserve"> by the end of exposure</w:t>
      </w:r>
      <w:r w:rsidRPr="00D0161E">
        <w:rPr>
          <w:color w:val="000000" w:themeColor="text1"/>
        </w:rPr>
        <w:t xml:space="preserve">. </w:t>
      </w:r>
    </w:p>
    <w:p w14:paraId="7ABFEF89" w14:textId="77777777" w:rsidR="002F35EB" w:rsidRPr="00D0161E" w:rsidRDefault="002F35EB" w:rsidP="00D0161E">
      <w:pPr>
        <w:spacing w:line="480" w:lineRule="auto"/>
        <w:rPr>
          <w:color w:val="000000" w:themeColor="text1"/>
        </w:rPr>
      </w:pPr>
    </w:p>
    <w:p w14:paraId="305542B2" w14:textId="113FFA84" w:rsidR="00B72EB8"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Determining the discriminating dose</w:t>
      </w:r>
    </w:p>
    <w:p w14:paraId="51EC7E1B" w14:textId="15160558" w:rsidR="00B72EB8" w:rsidRPr="00D0161E" w:rsidRDefault="00B72EB8" w:rsidP="00D0161E">
      <w:pPr>
        <w:spacing w:line="480" w:lineRule="auto"/>
        <w:rPr>
          <w:color w:val="000000" w:themeColor="text1"/>
        </w:rPr>
      </w:pPr>
      <w:r w:rsidRPr="00D0161E">
        <w:rPr>
          <w:color w:val="000000" w:themeColor="text1"/>
        </w:rPr>
        <w:t xml:space="preserve">The dose response curve for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Pr="00D0161E">
        <w:rPr>
          <w:color w:val="000000" w:themeColor="text1"/>
        </w:rPr>
        <w:t xml:space="preserve"> </w:t>
      </w:r>
      <w:r w:rsidR="005E57D7" w:rsidRPr="00D0161E">
        <w:rPr>
          <w:color w:val="000000" w:themeColor="text1"/>
        </w:rPr>
        <w:t xml:space="preserve">in susceptible Kisumu </w:t>
      </w:r>
      <w:r w:rsidR="005E57D7" w:rsidRPr="00D0161E">
        <w:rPr>
          <w:i/>
          <w:iCs/>
          <w:color w:val="000000" w:themeColor="text1"/>
        </w:rPr>
        <w:t>An. gambiae</w:t>
      </w:r>
      <w:r w:rsidR="005E57D7" w:rsidRPr="00D0161E">
        <w:rPr>
          <w:color w:val="000000" w:themeColor="text1"/>
        </w:rPr>
        <w:t xml:space="preserve"> exposed in a CDC bottle bioassay </w:t>
      </w:r>
      <w:r w:rsidRPr="00D0161E">
        <w:rPr>
          <w:color w:val="000000" w:themeColor="text1"/>
        </w:rPr>
        <w:t xml:space="preserve">is shown in </w:t>
      </w:r>
      <w:r w:rsidR="002141A5" w:rsidRPr="00D0161E">
        <w:rPr>
          <w:color w:val="000000" w:themeColor="text1"/>
        </w:rPr>
        <w:t>Fig</w:t>
      </w:r>
      <w:r w:rsidR="002141A5">
        <w:rPr>
          <w:color w:val="000000" w:themeColor="text1"/>
        </w:rPr>
        <w:t>.</w:t>
      </w:r>
      <w:r w:rsidR="002141A5" w:rsidRPr="00D0161E">
        <w:rPr>
          <w:color w:val="000000" w:themeColor="text1"/>
        </w:rPr>
        <w:t xml:space="preserve"> </w:t>
      </w:r>
      <w:r w:rsidR="002F35EB" w:rsidRPr="00D0161E">
        <w:rPr>
          <w:color w:val="000000" w:themeColor="text1"/>
        </w:rPr>
        <w:t>1</w:t>
      </w:r>
      <w:r w:rsidRPr="00D0161E">
        <w:rPr>
          <w:color w:val="000000" w:themeColor="text1"/>
        </w:rPr>
        <w:t>. The LC</w:t>
      </w:r>
      <w:r w:rsidRPr="00D0161E">
        <w:rPr>
          <w:color w:val="000000" w:themeColor="text1"/>
          <w:vertAlign w:val="subscript"/>
        </w:rPr>
        <w:t>50</w:t>
      </w:r>
      <w:r w:rsidRPr="00D0161E">
        <w:rPr>
          <w:color w:val="000000" w:themeColor="text1"/>
        </w:rPr>
        <w:t xml:space="preserve"> was calculated as 0.58 µg/bottle (95% confidence intervals 0.444-0.723)</w:t>
      </w:r>
      <w:r w:rsidR="00F17240" w:rsidRPr="00D0161E">
        <w:rPr>
          <w:color w:val="000000" w:themeColor="text1"/>
        </w:rPr>
        <w:t>,</w:t>
      </w:r>
      <w:r w:rsidRPr="00D0161E">
        <w:rPr>
          <w:color w:val="000000" w:themeColor="text1"/>
        </w:rPr>
        <w:t xml:space="preserve"> the LC</w:t>
      </w:r>
      <w:r w:rsidRPr="00D0161E">
        <w:rPr>
          <w:color w:val="000000" w:themeColor="text1"/>
          <w:vertAlign w:val="subscript"/>
        </w:rPr>
        <w:t>90</w:t>
      </w:r>
      <w:r w:rsidRPr="00D0161E">
        <w:rPr>
          <w:color w:val="000000" w:themeColor="text1"/>
        </w:rPr>
        <w:t xml:space="preserve"> as </w:t>
      </w:r>
      <w:r w:rsidR="00917CC2" w:rsidRPr="00D0161E">
        <w:rPr>
          <w:color w:val="000000" w:themeColor="text1"/>
        </w:rPr>
        <w:t>2.6</w:t>
      </w:r>
      <w:r w:rsidRPr="00D0161E">
        <w:rPr>
          <w:color w:val="000000" w:themeColor="text1"/>
        </w:rPr>
        <w:t xml:space="preserve"> µg/bottle (95% confidence intervals </w:t>
      </w:r>
      <w:r w:rsidR="00917CC2" w:rsidRPr="00D0161E">
        <w:rPr>
          <w:color w:val="000000" w:themeColor="text1"/>
        </w:rPr>
        <w:t>1.938-4.113</w:t>
      </w:r>
      <w:r w:rsidRPr="00D0161E">
        <w:rPr>
          <w:color w:val="000000" w:themeColor="text1"/>
        </w:rPr>
        <w:t>)</w:t>
      </w:r>
      <w:r w:rsidR="00F17240" w:rsidRPr="00D0161E">
        <w:rPr>
          <w:color w:val="000000" w:themeColor="text1"/>
        </w:rPr>
        <w:t>, and the LC</w:t>
      </w:r>
      <w:r w:rsidR="00F17240" w:rsidRPr="00D0161E">
        <w:rPr>
          <w:color w:val="000000" w:themeColor="text1"/>
          <w:vertAlign w:val="subscript"/>
        </w:rPr>
        <w:t>95</w:t>
      </w:r>
      <w:r w:rsidR="00F17240" w:rsidRPr="00D0161E">
        <w:rPr>
          <w:color w:val="000000" w:themeColor="text1"/>
        </w:rPr>
        <w:t xml:space="preserve"> as </w:t>
      </w:r>
      <w:r w:rsidR="009675BC" w:rsidRPr="00D0161E">
        <w:rPr>
          <w:color w:val="000000" w:themeColor="text1"/>
        </w:rPr>
        <w:t xml:space="preserve">3.97 µg/bottle (95% confidence intervals </w:t>
      </w:r>
      <w:r w:rsidR="006C0774" w:rsidRPr="00D0161E">
        <w:rPr>
          <w:color w:val="000000" w:themeColor="text1"/>
        </w:rPr>
        <w:t>2.751-7.206)</w:t>
      </w:r>
      <w:r w:rsidRPr="00D0161E">
        <w:rPr>
          <w:color w:val="000000" w:themeColor="text1"/>
        </w:rPr>
        <w:t>. The discriminating dose (</w:t>
      </w:r>
      <w:r w:rsidR="003D03AB" w:rsidRPr="00D0161E">
        <w:rPr>
          <w:color w:val="000000" w:themeColor="text1"/>
        </w:rPr>
        <w:t xml:space="preserve">defined as </w:t>
      </w:r>
      <w:r w:rsidRPr="00D0161E">
        <w:rPr>
          <w:color w:val="000000" w:themeColor="text1"/>
        </w:rPr>
        <w:t>three times the LC</w:t>
      </w:r>
      <w:r w:rsidRPr="00D0161E">
        <w:rPr>
          <w:color w:val="000000" w:themeColor="text1"/>
          <w:vertAlign w:val="subscript"/>
        </w:rPr>
        <w:t>95</w:t>
      </w:r>
      <w:r w:rsidRPr="00D0161E">
        <w:rPr>
          <w:color w:val="000000" w:themeColor="text1"/>
        </w:rPr>
        <w:t xml:space="preserve">) </w:t>
      </w:r>
      <w:r w:rsidR="009C405C" w:rsidRPr="00D0161E">
        <w:rPr>
          <w:color w:val="000000" w:themeColor="text1"/>
        </w:rPr>
        <w:t>was calculated as</w:t>
      </w:r>
      <w:r w:rsidRPr="00D0161E">
        <w:rPr>
          <w:color w:val="000000" w:themeColor="text1"/>
        </w:rPr>
        <w:t xml:space="preserve"> 11.91 µg/bottle. </w:t>
      </w:r>
    </w:p>
    <w:p w14:paraId="5FD672A8" w14:textId="77777777" w:rsidR="009E4314" w:rsidRPr="00D0161E" w:rsidRDefault="009E4314" w:rsidP="00D0161E">
      <w:pPr>
        <w:spacing w:line="480" w:lineRule="auto"/>
        <w:rPr>
          <w:color w:val="000000" w:themeColor="text1"/>
        </w:rPr>
      </w:pPr>
    </w:p>
    <w:p w14:paraId="40F97FB5" w14:textId="77777777" w:rsidR="008D259C"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Speed of kill</w:t>
      </w:r>
    </w:p>
    <w:p w14:paraId="3EA51314" w14:textId="77777777" w:rsidR="00EF2A3B" w:rsidRPr="00D0161E" w:rsidRDefault="00EF2A3B" w:rsidP="00D0161E">
      <w:pPr>
        <w:spacing w:line="480" w:lineRule="auto"/>
        <w:rPr>
          <w:color w:val="000000" w:themeColor="text1"/>
        </w:rPr>
      </w:pPr>
      <w:r w:rsidRPr="00D0161E">
        <w:rPr>
          <w:color w:val="000000" w:themeColor="text1"/>
        </w:rPr>
        <w:t>Since the tarsal contact experiment indicated that most mosquitoes affected by TENENEBAL</w:t>
      </w:r>
      <w:r w:rsidR="00E91D27" w:rsidRPr="00D0161E">
        <w:rPr>
          <w:color w:val="000000" w:themeColor="text1"/>
        </w:rPr>
        <w:t>™</w:t>
      </w:r>
      <w:r w:rsidRPr="00D0161E">
        <w:rPr>
          <w:color w:val="000000" w:themeColor="text1"/>
        </w:rPr>
        <w:t xml:space="preserve"> were knocked down between 1 and 24 hours post-exposure, an experiment was </w:t>
      </w:r>
      <w:r w:rsidR="003D03AB" w:rsidRPr="00D0161E">
        <w:rPr>
          <w:color w:val="000000" w:themeColor="text1"/>
        </w:rPr>
        <w:t xml:space="preserve">conducted </w:t>
      </w:r>
      <w:r w:rsidRPr="00D0161E">
        <w:rPr>
          <w:color w:val="000000" w:themeColor="text1"/>
        </w:rPr>
        <w:t xml:space="preserve">to determine the </w:t>
      </w:r>
      <w:r w:rsidR="00215C54" w:rsidRPr="00D0161E">
        <w:rPr>
          <w:color w:val="000000" w:themeColor="text1"/>
        </w:rPr>
        <w:t>speed of action</w:t>
      </w:r>
      <w:r w:rsidRPr="00D0161E">
        <w:rPr>
          <w:color w:val="000000" w:themeColor="text1"/>
        </w:rPr>
        <w:t xml:space="preserve"> for the compound</w:t>
      </w:r>
      <w:r w:rsidR="00215C54" w:rsidRPr="00D0161E">
        <w:rPr>
          <w:color w:val="000000" w:themeColor="text1"/>
        </w:rPr>
        <w:t>, that is the time taken for mosquitoes to be killed post-exposure</w:t>
      </w:r>
      <w:r w:rsidRPr="00D0161E">
        <w:rPr>
          <w:color w:val="000000" w:themeColor="text1"/>
        </w:rPr>
        <w:t>.</w:t>
      </w:r>
    </w:p>
    <w:p w14:paraId="5DD9B550" w14:textId="77777777" w:rsidR="002141A5" w:rsidRDefault="002141A5" w:rsidP="00D0161E">
      <w:pPr>
        <w:spacing w:line="480" w:lineRule="auto"/>
        <w:rPr>
          <w:color w:val="000000" w:themeColor="text1"/>
        </w:rPr>
      </w:pPr>
    </w:p>
    <w:p w14:paraId="040DB01B" w14:textId="060F63CB" w:rsidR="0097401E" w:rsidRPr="00D0161E" w:rsidRDefault="0097401E" w:rsidP="00D0161E">
      <w:pPr>
        <w:spacing w:line="480" w:lineRule="auto"/>
        <w:rPr>
          <w:color w:val="000000" w:themeColor="text1"/>
        </w:rPr>
      </w:pPr>
      <w:r w:rsidRPr="00D0161E">
        <w:rPr>
          <w:color w:val="000000" w:themeColor="text1"/>
        </w:rPr>
        <w:t>Because of the mode of action</w:t>
      </w:r>
      <w:r w:rsidR="00215C54" w:rsidRPr="00D0161E">
        <w:rPr>
          <w:color w:val="000000" w:themeColor="text1"/>
        </w:rPr>
        <w:t xml:space="preserve"> of </w:t>
      </w:r>
      <w:proofErr w:type="spellStart"/>
      <w:r w:rsidR="00D54567" w:rsidRPr="00D54567">
        <w:rPr>
          <w:color w:val="000000" w:themeColor="text1"/>
          <w:szCs w:val="22"/>
        </w:rPr>
        <w:t>Tenebenal</w:t>
      </w:r>
      <w:r w:rsidR="00215C54" w:rsidRPr="00D0161E">
        <w:rPr>
          <w:color w:val="000000" w:themeColor="text1"/>
          <w:vertAlign w:val="superscript"/>
        </w:rPr>
        <w:t>TM</w:t>
      </w:r>
      <w:proofErr w:type="spellEnd"/>
      <w:r w:rsidR="00796A00" w:rsidRPr="00D0161E">
        <w:rPr>
          <w:color w:val="000000" w:themeColor="text1"/>
        </w:rPr>
        <w:t xml:space="preserve">, mosquitoes were not expected to be killed immediately after tarsal exposure, so the speed of activity was tested by exposing mosquitoes in a WHO </w:t>
      </w:r>
      <w:r w:rsidR="006C0774" w:rsidRPr="00D0161E">
        <w:rPr>
          <w:color w:val="000000" w:themeColor="text1"/>
        </w:rPr>
        <w:t xml:space="preserve">tube </w:t>
      </w:r>
      <w:bookmarkStart w:id="33" w:name="_Hlk50479942"/>
      <w:r w:rsidR="003D03AB" w:rsidRPr="00D0161E">
        <w:rPr>
          <w:color w:val="000000" w:themeColor="text1"/>
        </w:rPr>
        <w:t>susceptibility bio</w:t>
      </w:r>
      <w:r w:rsidR="00796A00" w:rsidRPr="00D0161E">
        <w:rPr>
          <w:color w:val="000000" w:themeColor="text1"/>
        </w:rPr>
        <w:t xml:space="preserve">assay </w:t>
      </w:r>
      <w:r w:rsidR="003D03AB" w:rsidRPr="00D0161E">
        <w:rPr>
          <w:color w:val="000000" w:themeColor="text1"/>
        </w:rPr>
        <w:t>with</w:t>
      </w:r>
      <w:r w:rsidR="00796A00" w:rsidRPr="00D0161E">
        <w:rPr>
          <w:color w:val="000000" w:themeColor="text1"/>
        </w:rPr>
        <w:t xml:space="preserve"> </w:t>
      </w:r>
      <w:r w:rsidR="003D03AB" w:rsidRPr="00D0161E">
        <w:rPr>
          <w:color w:val="000000" w:themeColor="text1"/>
        </w:rPr>
        <w:t>KD</w:t>
      </w:r>
      <w:r w:rsidR="00796A00" w:rsidRPr="00D0161E">
        <w:rPr>
          <w:color w:val="000000" w:themeColor="text1"/>
        </w:rPr>
        <w:t xml:space="preserve"> </w:t>
      </w:r>
      <w:r w:rsidR="003D03AB" w:rsidRPr="00D0161E">
        <w:rPr>
          <w:color w:val="000000" w:themeColor="text1"/>
        </w:rPr>
        <w:t xml:space="preserve">being scored </w:t>
      </w:r>
      <w:r w:rsidR="00796A00" w:rsidRPr="00D0161E">
        <w:rPr>
          <w:color w:val="000000" w:themeColor="text1"/>
        </w:rPr>
        <w:t xml:space="preserve">every hour </w:t>
      </w:r>
      <w:r w:rsidR="003D03AB" w:rsidRPr="00D0161E">
        <w:rPr>
          <w:color w:val="000000" w:themeColor="text1"/>
        </w:rPr>
        <w:t xml:space="preserve">up </w:t>
      </w:r>
      <w:r w:rsidR="00796A00" w:rsidRPr="00D0161E">
        <w:rPr>
          <w:color w:val="000000" w:themeColor="text1"/>
        </w:rPr>
        <w:t xml:space="preserve">to 12 hours, and </w:t>
      </w:r>
      <w:r w:rsidR="003D03AB" w:rsidRPr="00D0161E">
        <w:rPr>
          <w:color w:val="000000" w:themeColor="text1"/>
        </w:rPr>
        <w:t xml:space="preserve">then </w:t>
      </w:r>
      <w:r w:rsidR="006C0774" w:rsidRPr="00D0161E">
        <w:rPr>
          <w:color w:val="000000" w:themeColor="text1"/>
        </w:rPr>
        <w:t xml:space="preserve">mortality scored </w:t>
      </w:r>
      <w:r w:rsidR="00796A00" w:rsidRPr="00D0161E">
        <w:rPr>
          <w:color w:val="000000" w:themeColor="text1"/>
        </w:rPr>
        <w:t>at 24, 48 and 72 hours</w:t>
      </w:r>
      <w:r w:rsidR="006C0774" w:rsidRPr="00D0161E">
        <w:rPr>
          <w:color w:val="000000" w:themeColor="text1"/>
        </w:rPr>
        <w:t xml:space="preserve"> post-exposure</w:t>
      </w:r>
      <w:r w:rsidR="00796A00" w:rsidRPr="00D0161E">
        <w:rPr>
          <w:color w:val="000000" w:themeColor="text1"/>
        </w:rPr>
        <w:t xml:space="preserve">. </w:t>
      </w:r>
      <w:bookmarkEnd w:id="33"/>
      <w:r w:rsidR="003676B9" w:rsidRPr="00D0161E">
        <w:rPr>
          <w:color w:val="000000" w:themeColor="text1"/>
        </w:rPr>
        <w:t>High</w:t>
      </w:r>
      <w:r w:rsidR="00796A00" w:rsidRPr="00D0161E">
        <w:rPr>
          <w:color w:val="000000" w:themeColor="text1"/>
        </w:rPr>
        <w:t xml:space="preserve"> mortality </w:t>
      </w:r>
      <w:r w:rsidR="003676B9" w:rsidRPr="00D0161E">
        <w:rPr>
          <w:color w:val="000000" w:themeColor="text1"/>
        </w:rPr>
        <w:t>within 1 hour of exposure to deltamethrin confirmed the pyrethroid</w:t>
      </w:r>
      <w:r w:rsidR="002141A5">
        <w:rPr>
          <w:color w:val="000000" w:themeColor="text1"/>
        </w:rPr>
        <w:t>-</w:t>
      </w:r>
      <w:r w:rsidR="003676B9" w:rsidRPr="00D0161E">
        <w:rPr>
          <w:color w:val="000000" w:themeColor="text1"/>
        </w:rPr>
        <w:t xml:space="preserve">susceptible status of </w:t>
      </w:r>
      <w:r w:rsidR="00796A00" w:rsidRPr="00D0161E">
        <w:rPr>
          <w:color w:val="000000" w:themeColor="text1"/>
        </w:rPr>
        <w:t xml:space="preserve">the susceptible </w:t>
      </w:r>
      <w:r w:rsidR="003676B9" w:rsidRPr="00D0161E">
        <w:rPr>
          <w:color w:val="000000" w:themeColor="text1"/>
        </w:rPr>
        <w:t xml:space="preserve">New Orleans, RDL and Kisumu </w:t>
      </w:r>
      <w:r w:rsidR="00994C95" w:rsidRPr="00D0161E">
        <w:rPr>
          <w:color w:val="000000" w:themeColor="text1"/>
        </w:rPr>
        <w:t>strains</w:t>
      </w:r>
      <w:r w:rsidR="003676B9" w:rsidRPr="00D0161E">
        <w:rPr>
          <w:color w:val="000000" w:themeColor="text1"/>
        </w:rPr>
        <w:t xml:space="preserve">, and similarly </w:t>
      </w:r>
      <w:r w:rsidR="00796A00" w:rsidRPr="00D0161E">
        <w:rPr>
          <w:color w:val="000000" w:themeColor="text1"/>
        </w:rPr>
        <w:t xml:space="preserve">substantial recovery </w:t>
      </w:r>
      <w:r w:rsidR="003D03AB" w:rsidRPr="00D0161E">
        <w:rPr>
          <w:color w:val="000000" w:themeColor="text1"/>
        </w:rPr>
        <w:t xml:space="preserve">from </w:t>
      </w:r>
      <w:r w:rsidR="00796A00" w:rsidRPr="00D0161E">
        <w:rPr>
          <w:color w:val="000000" w:themeColor="text1"/>
        </w:rPr>
        <w:t xml:space="preserve">initial </w:t>
      </w:r>
      <w:r w:rsidR="002141A5">
        <w:rPr>
          <w:color w:val="000000" w:themeColor="text1"/>
        </w:rPr>
        <w:t>KD</w:t>
      </w:r>
      <w:r w:rsidR="00796A00" w:rsidRPr="00D0161E">
        <w:rPr>
          <w:color w:val="000000" w:themeColor="text1"/>
        </w:rPr>
        <w:t xml:space="preserve"> </w:t>
      </w:r>
      <w:r w:rsidR="003676B9" w:rsidRPr="00D0161E">
        <w:rPr>
          <w:color w:val="000000" w:themeColor="text1"/>
        </w:rPr>
        <w:t>confirmed the resistance status of</w:t>
      </w:r>
      <w:r w:rsidR="00796A00" w:rsidRPr="00D0161E">
        <w:rPr>
          <w:color w:val="000000" w:themeColor="text1"/>
        </w:rPr>
        <w:t xml:space="preserve"> Tiassal</w:t>
      </w:r>
      <w:r w:rsidR="00796A00" w:rsidRPr="00D0161E">
        <w:rPr>
          <w:rFonts w:cstheme="minorHAnsi"/>
          <w:color w:val="000000" w:themeColor="text1"/>
        </w:rPr>
        <w:t>é</w:t>
      </w:r>
      <w:r w:rsidR="00796A00" w:rsidRPr="00D0161E">
        <w:rPr>
          <w:color w:val="000000" w:themeColor="text1"/>
        </w:rPr>
        <w:t xml:space="preserve"> 2. </w:t>
      </w:r>
      <w:bookmarkStart w:id="34" w:name="_Hlk51165761"/>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00796A00" w:rsidRPr="00D0161E">
        <w:rPr>
          <w:color w:val="000000" w:themeColor="text1"/>
        </w:rPr>
        <w:t xml:space="preserve"> </w:t>
      </w:r>
      <w:r w:rsidR="00754F6C" w:rsidRPr="00D0161E">
        <w:rPr>
          <w:color w:val="000000" w:themeColor="text1"/>
        </w:rPr>
        <w:t>knocked exposed mosquitoes down</w:t>
      </w:r>
      <w:r w:rsidR="00796A00" w:rsidRPr="00D0161E">
        <w:rPr>
          <w:color w:val="000000" w:themeColor="text1"/>
        </w:rPr>
        <w:t xml:space="preserve"> more slowly</w:t>
      </w:r>
      <w:r w:rsidR="003D03AB" w:rsidRPr="00D0161E">
        <w:rPr>
          <w:color w:val="000000" w:themeColor="text1"/>
        </w:rPr>
        <w:t xml:space="preserve"> than deltamethrin</w:t>
      </w:r>
      <w:r w:rsidR="00D56783" w:rsidRPr="00D0161E">
        <w:rPr>
          <w:color w:val="000000" w:themeColor="text1"/>
        </w:rPr>
        <w:t>,</w:t>
      </w:r>
      <w:r w:rsidR="00796A00" w:rsidRPr="00D0161E">
        <w:rPr>
          <w:color w:val="000000" w:themeColor="text1"/>
        </w:rPr>
        <w:t xml:space="preserve"> </w:t>
      </w:r>
      <w:r w:rsidR="00D56783" w:rsidRPr="00D0161E">
        <w:rPr>
          <w:color w:val="000000" w:themeColor="text1"/>
        </w:rPr>
        <w:t>and</w:t>
      </w:r>
      <w:r w:rsidR="00796A00" w:rsidRPr="00D0161E">
        <w:rPr>
          <w:color w:val="000000" w:themeColor="text1"/>
        </w:rPr>
        <w:t xml:space="preserve"> </w:t>
      </w:r>
      <w:r w:rsidR="00160A76" w:rsidRPr="00D0161E">
        <w:rPr>
          <w:color w:val="000000" w:themeColor="text1"/>
        </w:rPr>
        <w:t>in the effect on</w:t>
      </w:r>
      <w:r w:rsidR="00796A00" w:rsidRPr="00D0161E">
        <w:rPr>
          <w:color w:val="000000" w:themeColor="text1"/>
        </w:rPr>
        <w:t xml:space="preserve"> </w:t>
      </w:r>
      <w:r w:rsidR="00D56783" w:rsidRPr="00D0161E">
        <w:rPr>
          <w:color w:val="000000" w:themeColor="text1"/>
        </w:rPr>
        <w:t xml:space="preserve">the </w:t>
      </w:r>
      <w:r w:rsidR="00796A00" w:rsidRPr="00D0161E">
        <w:rPr>
          <w:color w:val="000000" w:themeColor="text1"/>
        </w:rPr>
        <w:t xml:space="preserve">New Orleans </w:t>
      </w:r>
      <w:r w:rsidR="00D56783" w:rsidRPr="00D0161E">
        <w:rPr>
          <w:i/>
          <w:color w:val="000000" w:themeColor="text1"/>
        </w:rPr>
        <w:t xml:space="preserve">Ae. aegypti </w:t>
      </w:r>
      <w:r w:rsidR="00994C95" w:rsidRPr="00D0161E">
        <w:rPr>
          <w:color w:val="000000" w:themeColor="text1"/>
        </w:rPr>
        <w:t>strain</w:t>
      </w:r>
      <w:r w:rsidR="00D56783" w:rsidRPr="00D0161E">
        <w:rPr>
          <w:color w:val="000000" w:themeColor="text1"/>
        </w:rPr>
        <w:t xml:space="preserve"> was</w:t>
      </w:r>
      <w:r w:rsidR="00796A00" w:rsidRPr="00D0161E">
        <w:rPr>
          <w:color w:val="000000" w:themeColor="text1"/>
        </w:rPr>
        <w:t xml:space="preserve"> slower than in the other </w:t>
      </w:r>
      <w:r w:rsidR="00994C95" w:rsidRPr="00D0161E">
        <w:rPr>
          <w:color w:val="000000" w:themeColor="text1"/>
        </w:rPr>
        <w:t>strains</w:t>
      </w:r>
      <w:r w:rsidR="00796A00" w:rsidRPr="00D0161E">
        <w:rPr>
          <w:color w:val="000000" w:themeColor="text1"/>
        </w:rPr>
        <w:t xml:space="preserve"> for the first </w:t>
      </w:r>
      <w:r w:rsidR="00055FFA" w:rsidRPr="00D0161E">
        <w:rPr>
          <w:color w:val="000000" w:themeColor="text1"/>
        </w:rPr>
        <w:t>3 to 4</w:t>
      </w:r>
      <w:r w:rsidR="00796A00" w:rsidRPr="00D0161E">
        <w:rPr>
          <w:color w:val="000000" w:themeColor="text1"/>
        </w:rPr>
        <w:t xml:space="preserve"> hours post-exposure, </w:t>
      </w:r>
      <w:r w:rsidR="00D56783" w:rsidRPr="00D0161E">
        <w:rPr>
          <w:color w:val="000000" w:themeColor="text1"/>
        </w:rPr>
        <w:t>al</w:t>
      </w:r>
      <w:r w:rsidR="00796A00" w:rsidRPr="00D0161E">
        <w:rPr>
          <w:color w:val="000000" w:themeColor="text1"/>
        </w:rPr>
        <w:t xml:space="preserve">though mortality was 100% in all </w:t>
      </w:r>
      <w:r w:rsidR="00994C95" w:rsidRPr="00D0161E">
        <w:rPr>
          <w:color w:val="000000" w:themeColor="text1"/>
        </w:rPr>
        <w:t>strains</w:t>
      </w:r>
      <w:r w:rsidR="00796A00" w:rsidRPr="00D0161E">
        <w:rPr>
          <w:color w:val="000000" w:themeColor="text1"/>
        </w:rPr>
        <w:t xml:space="preserve"> within 24 hours</w:t>
      </w:r>
      <w:r w:rsidR="00886C15" w:rsidRPr="00D0161E">
        <w:rPr>
          <w:color w:val="000000" w:themeColor="text1"/>
        </w:rPr>
        <w:t xml:space="preserve"> (</w:t>
      </w:r>
      <w:r w:rsidR="002141A5" w:rsidRPr="00D0161E">
        <w:rPr>
          <w:color w:val="000000" w:themeColor="text1"/>
        </w:rPr>
        <w:t>Fig</w:t>
      </w:r>
      <w:r w:rsidR="002141A5">
        <w:rPr>
          <w:color w:val="000000" w:themeColor="text1"/>
        </w:rPr>
        <w:t>.</w:t>
      </w:r>
      <w:r w:rsidR="002141A5" w:rsidRPr="00D0161E">
        <w:rPr>
          <w:color w:val="000000" w:themeColor="text1"/>
        </w:rPr>
        <w:t xml:space="preserve"> </w:t>
      </w:r>
      <w:r w:rsidR="00886C15" w:rsidRPr="00D0161E">
        <w:rPr>
          <w:color w:val="000000" w:themeColor="text1"/>
        </w:rPr>
        <w:t>2)</w:t>
      </w:r>
      <w:r w:rsidR="00160A76" w:rsidRPr="00D0161E">
        <w:rPr>
          <w:color w:val="000000" w:themeColor="text1"/>
        </w:rPr>
        <w:t>, the WHO definition of IRS efficacy</w:t>
      </w:r>
      <w:r w:rsidR="00796A00" w:rsidRPr="00D0161E">
        <w:rPr>
          <w:color w:val="000000" w:themeColor="text1"/>
        </w:rPr>
        <w:t>.</w:t>
      </w:r>
    </w:p>
    <w:bookmarkEnd w:id="34"/>
    <w:p w14:paraId="08D6F6EF" w14:textId="77777777" w:rsidR="00C6149C" w:rsidRPr="00D0161E" w:rsidRDefault="00C6149C" w:rsidP="00D0161E">
      <w:pPr>
        <w:spacing w:line="480" w:lineRule="auto"/>
        <w:rPr>
          <w:color w:val="000000" w:themeColor="text1"/>
        </w:rPr>
      </w:pPr>
    </w:p>
    <w:p w14:paraId="39CBDC9B" w14:textId="77777777" w:rsidR="00551494" w:rsidRPr="00D0161E" w:rsidRDefault="005E03F1" w:rsidP="00D0161E">
      <w:pPr>
        <w:pStyle w:val="Heading3"/>
        <w:spacing w:before="0" w:line="480" w:lineRule="auto"/>
        <w:rPr>
          <w:rFonts w:ascii="Times New Roman" w:hAnsi="Times New Roman"/>
          <w:b/>
          <w:color w:val="000000" w:themeColor="text1"/>
        </w:rPr>
      </w:pPr>
      <w:r w:rsidRPr="00D0161E">
        <w:rPr>
          <w:rFonts w:ascii="Times New Roman" w:hAnsi="Times New Roman"/>
          <w:b/>
          <w:color w:val="000000" w:themeColor="text1"/>
        </w:rPr>
        <w:t>Testing efficacy and residuality as an IRS formulation</w:t>
      </w:r>
    </w:p>
    <w:p w14:paraId="5CDAFF79" w14:textId="77777777" w:rsidR="006416CF"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HPLC analysis of filter papers and net samples to confirm application rates</w:t>
      </w:r>
    </w:p>
    <w:p w14:paraId="5887A4A4" w14:textId="1878C82F" w:rsidR="006416CF" w:rsidRPr="00D0161E" w:rsidRDefault="000B26A0" w:rsidP="00D0161E">
      <w:pPr>
        <w:spacing w:line="480" w:lineRule="auto"/>
        <w:rPr>
          <w:noProof/>
          <w:color w:val="000000" w:themeColor="text1"/>
        </w:rPr>
      </w:pPr>
      <w:r w:rsidRPr="00D0161E">
        <w:rPr>
          <w:noProof/>
          <w:color w:val="000000" w:themeColor="text1"/>
        </w:rPr>
        <w:t>The amount of insecticide delivered to filter papers treated using the Potter Tower alongside the bioassay surfaces</w:t>
      </w:r>
      <w:r w:rsidR="00FA4F03" w:rsidRPr="00D0161E">
        <w:rPr>
          <w:noProof/>
          <w:color w:val="000000" w:themeColor="text1"/>
        </w:rPr>
        <w:t>,</w:t>
      </w:r>
      <w:r w:rsidR="004877E0" w:rsidRPr="00D0161E">
        <w:rPr>
          <w:noProof/>
          <w:color w:val="000000" w:themeColor="text1"/>
        </w:rPr>
        <w:t xml:space="preserve"> and </w:t>
      </w:r>
      <w:r w:rsidR="00FA4F03" w:rsidRPr="00D0161E">
        <w:rPr>
          <w:noProof/>
          <w:color w:val="000000" w:themeColor="text1"/>
        </w:rPr>
        <w:t xml:space="preserve">to </w:t>
      </w:r>
      <w:r w:rsidR="004877E0" w:rsidRPr="00D0161E">
        <w:rPr>
          <w:noProof/>
          <w:color w:val="000000" w:themeColor="text1"/>
        </w:rPr>
        <w:t>polyester net</w:t>
      </w:r>
      <w:r w:rsidR="00FA4F03" w:rsidRPr="00D0161E">
        <w:rPr>
          <w:noProof/>
          <w:color w:val="000000" w:themeColor="text1"/>
        </w:rPr>
        <w:t xml:space="preserve"> samples by dipping,</w:t>
      </w:r>
      <w:r w:rsidRPr="00D0161E">
        <w:rPr>
          <w:noProof/>
          <w:color w:val="000000" w:themeColor="text1"/>
        </w:rPr>
        <w:t xml:space="preserve"> was quantified using HPLC analysis and compared to the </w:t>
      </w:r>
      <w:r w:rsidR="0044196C" w:rsidRPr="00D0161E">
        <w:rPr>
          <w:noProof/>
          <w:color w:val="000000" w:themeColor="text1"/>
        </w:rPr>
        <w:t xml:space="preserve">target application rate </w:t>
      </w:r>
      <w:r w:rsidRPr="00D0161E">
        <w:rPr>
          <w:noProof/>
          <w:color w:val="000000" w:themeColor="text1"/>
        </w:rPr>
        <w:t>(Table 3)</w:t>
      </w:r>
      <w:r w:rsidR="0044196C" w:rsidRPr="00D0161E">
        <w:rPr>
          <w:noProof/>
          <w:color w:val="000000" w:themeColor="text1"/>
        </w:rPr>
        <w:t>. In all cases there was an over</w:t>
      </w:r>
      <w:r w:rsidR="002141A5">
        <w:rPr>
          <w:noProof/>
          <w:color w:val="000000" w:themeColor="text1"/>
        </w:rPr>
        <w:t>-</w:t>
      </w:r>
      <w:r w:rsidR="0044196C" w:rsidRPr="00D0161E">
        <w:rPr>
          <w:noProof/>
          <w:color w:val="000000" w:themeColor="text1"/>
        </w:rPr>
        <w:t xml:space="preserve">application of insecticide, most notably in the case of bendiocarb </w:t>
      </w:r>
      <w:r w:rsidR="00FA4F03" w:rsidRPr="00D0161E">
        <w:rPr>
          <w:noProof/>
          <w:color w:val="000000" w:themeColor="text1"/>
        </w:rPr>
        <w:t>filter papers and t</w:t>
      </w:r>
      <w:r w:rsidR="009C405C" w:rsidRPr="00D0161E">
        <w:rPr>
          <w:noProof/>
          <w:color w:val="000000" w:themeColor="text1"/>
        </w:rPr>
        <w:t>h</w:t>
      </w:r>
      <w:r w:rsidR="00FA4F03" w:rsidRPr="00D0161E">
        <w:rPr>
          <w:noProof/>
          <w:color w:val="000000" w:themeColor="text1"/>
        </w:rPr>
        <w:t xml:space="preserve">e dipped net samples </w:t>
      </w:r>
      <w:r w:rsidR="0044196C" w:rsidRPr="00D0161E">
        <w:rPr>
          <w:noProof/>
          <w:color w:val="000000" w:themeColor="text1"/>
        </w:rPr>
        <w:t>where the application rate was nearly 6 times the intended rate</w:t>
      </w:r>
      <w:r w:rsidR="00FA4F03" w:rsidRPr="00D0161E">
        <w:rPr>
          <w:noProof/>
          <w:color w:val="000000" w:themeColor="text1"/>
        </w:rPr>
        <w:t xml:space="preserve"> in some cases</w:t>
      </w:r>
      <w:r w:rsidR="0044196C" w:rsidRPr="00D0161E">
        <w:rPr>
          <w:noProof/>
          <w:color w:val="000000" w:themeColor="text1"/>
        </w:rPr>
        <w:t xml:space="preserve">. </w:t>
      </w:r>
      <w:bookmarkStart w:id="35" w:name="_Hlk51164845"/>
      <w:r w:rsidR="00B1007F" w:rsidRPr="00D0161E">
        <w:rPr>
          <w:noProof/>
          <w:color w:val="000000" w:themeColor="text1"/>
        </w:rPr>
        <w:t>Since the distribution of the bendiocarb IRS was also very heterogeneous in the Potter Tower calibration, the observed over</w:t>
      </w:r>
      <w:r w:rsidR="002141A5">
        <w:rPr>
          <w:noProof/>
          <w:color w:val="000000" w:themeColor="text1"/>
        </w:rPr>
        <w:t>-</w:t>
      </w:r>
      <w:r w:rsidR="00B1007F" w:rsidRPr="00D0161E">
        <w:rPr>
          <w:noProof/>
          <w:color w:val="000000" w:themeColor="text1"/>
        </w:rPr>
        <w:t xml:space="preserve">treatment might be a result of the formulation </w:t>
      </w:r>
      <w:r w:rsidR="00F51964" w:rsidRPr="00D0161E">
        <w:rPr>
          <w:noProof/>
          <w:color w:val="000000" w:themeColor="text1"/>
        </w:rPr>
        <w:t xml:space="preserve">having a fast precipitation rate and so </w:t>
      </w:r>
      <w:r w:rsidR="00B1007F" w:rsidRPr="00D0161E">
        <w:rPr>
          <w:noProof/>
          <w:color w:val="000000" w:themeColor="text1"/>
        </w:rPr>
        <w:t>being unevenly distributed by the Potter Tower.</w:t>
      </w:r>
      <w:bookmarkEnd w:id="35"/>
    </w:p>
    <w:p w14:paraId="66C3FFB1" w14:textId="77777777" w:rsidR="00FA4F03" w:rsidRPr="00D0161E" w:rsidRDefault="00FA4F03" w:rsidP="00D0161E">
      <w:pPr>
        <w:spacing w:line="480" w:lineRule="auto"/>
        <w:rPr>
          <w:b/>
          <w:bCs/>
          <w:color w:val="000000" w:themeColor="text1"/>
        </w:rPr>
      </w:pPr>
      <w:bookmarkStart w:id="36" w:name="_Hlk40690951"/>
    </w:p>
    <w:bookmarkEnd w:id="36"/>
    <w:p w14:paraId="08351A85" w14:textId="77777777" w:rsidR="00920A84"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Cone tests to measure mortality on exposure to IRS-treated surfaces</w:t>
      </w:r>
    </w:p>
    <w:p w14:paraId="78472566" w14:textId="1A810661" w:rsidR="000C167F" w:rsidRPr="00D0161E" w:rsidRDefault="00A14308" w:rsidP="00D0161E">
      <w:pPr>
        <w:spacing w:line="480" w:lineRule="auto"/>
        <w:rPr>
          <w:color w:val="000000" w:themeColor="text1"/>
        </w:rPr>
      </w:pPr>
      <w:r w:rsidRPr="00D0161E">
        <w:rPr>
          <w:color w:val="000000" w:themeColor="text1"/>
        </w:rPr>
        <w:t xml:space="preserve">The WHO requirement for efficacy of an IRS treatment is </w:t>
      </w:r>
      <w:r w:rsidR="00823580" w:rsidRPr="00D0161E">
        <w:rPr>
          <w:rFonts w:cstheme="minorHAnsi"/>
          <w:color w:val="000000" w:themeColor="text1"/>
        </w:rPr>
        <w:t>≥</w:t>
      </w:r>
      <w:r w:rsidRPr="00D0161E">
        <w:rPr>
          <w:color w:val="000000" w:themeColor="text1"/>
        </w:rPr>
        <w:t xml:space="preserve">80% </w:t>
      </w:r>
      <w:r w:rsidR="009C1712" w:rsidRPr="00D0161E">
        <w:rPr>
          <w:color w:val="000000" w:themeColor="text1"/>
        </w:rPr>
        <w:t xml:space="preserve">mortality </w:t>
      </w:r>
      <w:r w:rsidRPr="00D0161E">
        <w:rPr>
          <w:color w:val="000000" w:themeColor="text1"/>
        </w:rPr>
        <w:t xml:space="preserve">of mosquitoes </w:t>
      </w:r>
      <w:r w:rsidR="009C1712" w:rsidRPr="00D0161E">
        <w:rPr>
          <w:color w:val="000000" w:themeColor="text1"/>
        </w:rPr>
        <w:t xml:space="preserve">following a </w:t>
      </w:r>
      <w:r w:rsidR="00823580" w:rsidRPr="00D0161E">
        <w:rPr>
          <w:color w:val="000000" w:themeColor="text1"/>
        </w:rPr>
        <w:t>30</w:t>
      </w:r>
      <w:r w:rsidR="002141A5">
        <w:rPr>
          <w:color w:val="000000" w:themeColor="text1"/>
        </w:rPr>
        <w:t>-</w:t>
      </w:r>
      <w:r w:rsidR="00823580" w:rsidRPr="00D0161E">
        <w:rPr>
          <w:color w:val="000000" w:themeColor="text1"/>
        </w:rPr>
        <w:t xml:space="preserve">min exposure </w:t>
      </w:r>
      <w:r w:rsidR="009C1712" w:rsidRPr="00D0161E">
        <w:rPr>
          <w:color w:val="000000" w:themeColor="text1"/>
        </w:rPr>
        <w:t>to a</w:t>
      </w:r>
      <w:r w:rsidR="00823580" w:rsidRPr="00D0161E">
        <w:rPr>
          <w:color w:val="000000" w:themeColor="text1"/>
        </w:rPr>
        <w:t xml:space="preserve"> treated substrates </w:t>
      </w:r>
      <w:r w:rsidR="005E57D7" w:rsidRPr="00D0161E">
        <w:rPr>
          <w:color w:val="000000" w:themeColor="text1"/>
        </w:rPr>
        <w:t xml:space="preserve">in a WHO cone bioassay </w:t>
      </w:r>
      <w:r w:rsidR="00823580" w:rsidRPr="00D0161E">
        <w:rPr>
          <w:color w:val="000000" w:themeColor="text1"/>
        </w:rPr>
        <w:t xml:space="preserve">and </w:t>
      </w:r>
      <w:r w:rsidR="009C1712" w:rsidRPr="00D0161E">
        <w:rPr>
          <w:color w:val="000000" w:themeColor="text1"/>
        </w:rPr>
        <w:t xml:space="preserve">a </w:t>
      </w:r>
      <w:r w:rsidR="00823580" w:rsidRPr="00D0161E">
        <w:rPr>
          <w:color w:val="000000" w:themeColor="text1"/>
        </w:rPr>
        <w:t>24</w:t>
      </w:r>
      <w:r w:rsidR="002141A5">
        <w:rPr>
          <w:color w:val="000000" w:themeColor="text1"/>
        </w:rPr>
        <w:t>-</w:t>
      </w:r>
      <w:r w:rsidR="00823580" w:rsidRPr="00D0161E">
        <w:rPr>
          <w:color w:val="000000" w:themeColor="text1"/>
        </w:rPr>
        <w:t>hour holding</w:t>
      </w:r>
      <w:r w:rsidR="009C1712" w:rsidRPr="00D0161E">
        <w:rPr>
          <w:color w:val="000000" w:themeColor="text1"/>
        </w:rPr>
        <w:t xml:space="preserve"> period</w:t>
      </w:r>
      <w:r w:rsidR="00823580" w:rsidRPr="00D0161E">
        <w:rPr>
          <w:color w:val="000000" w:themeColor="text1"/>
        </w:rPr>
        <w:t xml:space="preserve">, and/or 95% KD </w:t>
      </w:r>
      <w:r w:rsidR="00BD1AEC" w:rsidRPr="00D0161E">
        <w:rPr>
          <w:color w:val="000000" w:themeColor="text1"/>
        </w:rPr>
        <w:fldChar w:fldCharType="begin" w:fldLock="1"/>
      </w:r>
      <w:r w:rsidR="00B63A44">
        <w:rPr>
          <w:color w:val="000000" w:themeColor="text1"/>
        </w:rPr>
        <w:instrText>ADDIN CSL_CITATION {"citationItems":[{"id":"ITEM-1","itemData":{"DOI":"WHO/CDS/NTD/WHOPES/GCDPP/2006.3","abstract":"More than 50 companies are involved in the development of TB diagnostics. There are 10 new or re-purposed anti-TB drugs in late phases of clinical development. In the last two years, two new drugs have been approved for the treatment of MDR-TB under specific conditions: bedaquiline and delamanid. There are currently 15 vaccine candidates in clinical trials. US{$} 8 billion per year is needed for a full response to the global TB epidemic in low-and middle-income countries by 2015, with a funding gap of US{$} 2 billion per year. The amount excludes resources required for research and devel-opment, which are estimated at about US{$} 2 billion per year. 37 million lives saved between 2000 and 2013 through effective diagnosis and treatment 45{%} decline in TB mortality rate and 41{%} decline in TB prevalence since 1990 Fragile progress in MDR-TB diagnosis and treatment but widening gaps in treatment coverage could compromise gains MULTIDRUG-RESISTANT TB Globally in 2013, an estimated 480 000 people developed multidrug-resistant TB (MDR-TB) and there were an estimated 210 000 deaths from MDR-TB. The number of people diagnosed with MDR-TB tripled between 2009 and 2013, and reached 136 000 worldwide. This was equivalent to 45{%} of the estimated MDR-TB cases among notified TB patients. Progress in the detection of drug-resistant TB has been facilitated by the use of new rapid diagnostics. A total of 97 000 patients were started on MDR-TB treatment in 2013, a three-fold increase compared with 2009. However, 39 000 patients were on waiting lists, and the gap between diagnosis and treatment widened between 2012 and 2013 in several countries. Extensively drug-resistant TB (XDR-TB) has been reported by 100 countries in 2013. On average, an estimated 9{%} of people with MDR-TB have XDR-TB. NEW DIAGNOSTICS Xpert{®} MTB/RIF, a rapid molecular diagnostic test, is being rapidly adopted by countries to detect TB and rifampicin-resistant TB. By end June 2014, 3 269 testing machines and 7.5 million test cartridges had been procured by 108 of the 145 countries eligible for concessional prices. FINANCING FOR TB CARE AND CONTROL Between 2013 and 2015 up to US{$} 8 billion per year is needed in low-and middle-income countries, with a funding gap of up to US{$} 3 billion per year. International donor funding is especially critical to sustain recent gains and make further progress in RESEARCH AND DEVELOPMENT Tuberculosis (TB) is contagious and airborne. It ranks as the second lea…","author":[{"dropping-particle":"","family":"WHO","given":"","non-dropping-particle":"","parse-names":false,"suffix":""}],"id":"ITEM-1","issued":{"date-parts":[["2006"]]},"publisher-place":"Geneva","title":"Guidelines for testing adulticides for indoor residual spraying and treatment of mosquito nets","type":"report"},"uris":["http://www.mendeley.com/documents/?uuid=04f3b313-6c0e-3ced-971e-ac47d5b272bb"]}],"mendeley":{"formattedCitation":"[17]","plainTextFormattedCitation":"[17]","previouslyFormattedCitation":"[17]"},"properties":{"noteIndex":0},"schema":"https://github.com/citation-style-language/schema/raw/master/csl-citation.json"}</w:instrText>
      </w:r>
      <w:r w:rsidR="00BD1AEC" w:rsidRPr="00D0161E">
        <w:rPr>
          <w:color w:val="000000" w:themeColor="text1"/>
        </w:rPr>
        <w:fldChar w:fldCharType="separate"/>
      </w:r>
      <w:r w:rsidR="00B63A44" w:rsidRPr="00B63A44">
        <w:rPr>
          <w:noProof/>
          <w:color w:val="000000" w:themeColor="text1"/>
        </w:rPr>
        <w:t>[17]</w:t>
      </w:r>
      <w:r w:rsidR="00BD1AEC" w:rsidRPr="00D0161E">
        <w:rPr>
          <w:color w:val="000000" w:themeColor="text1"/>
        </w:rPr>
        <w:fldChar w:fldCharType="end"/>
      </w:r>
      <w:r w:rsidRPr="00D0161E">
        <w:rPr>
          <w:color w:val="000000" w:themeColor="text1"/>
        </w:rPr>
        <w:t xml:space="preserve">. </w:t>
      </w:r>
      <w:r w:rsidR="008625B9" w:rsidRPr="00D0161E">
        <w:rPr>
          <w:color w:val="000000" w:themeColor="text1"/>
        </w:rPr>
        <w:t>W</w:t>
      </w:r>
      <w:r w:rsidR="00EB7C1E" w:rsidRPr="00D0161E">
        <w:rPr>
          <w:color w:val="000000" w:themeColor="text1"/>
        </w:rPr>
        <w:t>hen applied to ceramic tiles</w:t>
      </w:r>
      <w:r w:rsidR="009C1712" w:rsidRPr="00D0161E">
        <w:rPr>
          <w:color w:val="000000" w:themeColor="text1"/>
        </w:rPr>
        <w:t>,</w:t>
      </w:r>
      <w:r w:rsidR="00EB7C1E" w:rsidRPr="00D0161E">
        <w:rPr>
          <w:color w:val="000000" w:themeColor="text1"/>
        </w:rPr>
        <w:t xml:space="preserve"> </w:t>
      </w:r>
      <w:r w:rsidR="009C1712" w:rsidRPr="00D0161E">
        <w:rPr>
          <w:color w:val="000000" w:themeColor="text1"/>
        </w:rPr>
        <w:t xml:space="preserve">the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00EB7C1E" w:rsidRPr="00D0161E">
        <w:rPr>
          <w:color w:val="000000" w:themeColor="text1"/>
        </w:rPr>
        <w:t xml:space="preserve"> </w:t>
      </w:r>
      <w:r w:rsidR="009C1712" w:rsidRPr="00D0161E">
        <w:rPr>
          <w:color w:val="000000" w:themeColor="text1"/>
        </w:rPr>
        <w:t xml:space="preserve">WP formulation </w:t>
      </w:r>
      <w:r w:rsidR="00EB7C1E" w:rsidRPr="00D0161E">
        <w:rPr>
          <w:color w:val="000000" w:themeColor="text1"/>
        </w:rPr>
        <w:t xml:space="preserve">killed more than 95% of exposed mosquitoes at all concentrations for </w:t>
      </w:r>
      <w:r w:rsidR="009C1712" w:rsidRPr="00D0161E">
        <w:rPr>
          <w:color w:val="000000" w:themeColor="text1"/>
        </w:rPr>
        <w:t xml:space="preserve">the whole </w:t>
      </w:r>
      <w:r w:rsidR="00EB7C1E" w:rsidRPr="00D0161E">
        <w:rPr>
          <w:color w:val="000000" w:themeColor="text1"/>
        </w:rPr>
        <w:t xml:space="preserve">18 months </w:t>
      </w:r>
      <w:r w:rsidR="009C1712" w:rsidRPr="00D0161E">
        <w:rPr>
          <w:color w:val="000000" w:themeColor="text1"/>
        </w:rPr>
        <w:t xml:space="preserve">duration </w:t>
      </w:r>
      <w:r w:rsidR="00EB7C1E" w:rsidRPr="00D0161E">
        <w:rPr>
          <w:color w:val="000000" w:themeColor="text1"/>
        </w:rPr>
        <w:t>of the experiment</w:t>
      </w:r>
      <w:r w:rsidR="0000151A" w:rsidRPr="00D0161E">
        <w:rPr>
          <w:color w:val="000000" w:themeColor="text1"/>
        </w:rPr>
        <w:t xml:space="preserve"> (Fig</w:t>
      </w:r>
      <w:r w:rsidR="002141A5">
        <w:rPr>
          <w:color w:val="000000" w:themeColor="text1"/>
        </w:rPr>
        <w:t>.</w:t>
      </w:r>
      <w:r w:rsidR="0000151A" w:rsidRPr="00D0161E">
        <w:rPr>
          <w:color w:val="000000" w:themeColor="text1"/>
        </w:rPr>
        <w:t xml:space="preserve"> 3)</w:t>
      </w:r>
      <w:r w:rsidR="00EB7C1E" w:rsidRPr="00D0161E">
        <w:rPr>
          <w:color w:val="000000" w:themeColor="text1"/>
        </w:rPr>
        <w:t>. On wood and cement</w:t>
      </w:r>
      <w:r w:rsidR="009C1712" w:rsidRPr="00D0161E">
        <w:rPr>
          <w:color w:val="000000" w:themeColor="text1"/>
        </w:rPr>
        <w:t>,</w:t>
      </w:r>
      <w:r w:rsidR="00EB7C1E" w:rsidRPr="00D0161E">
        <w:rPr>
          <w:color w:val="000000" w:themeColor="text1"/>
        </w:rPr>
        <w:t xml:space="preserve">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00EB7C1E" w:rsidRPr="00D0161E">
        <w:rPr>
          <w:color w:val="000000" w:themeColor="text1"/>
        </w:rPr>
        <w:t xml:space="preserve"> </w:t>
      </w:r>
      <w:r w:rsidR="009C1712" w:rsidRPr="00D0161E">
        <w:rPr>
          <w:color w:val="000000" w:themeColor="text1"/>
        </w:rPr>
        <w:t xml:space="preserve">WP </w:t>
      </w:r>
      <w:r w:rsidR="00EB7C1E" w:rsidRPr="00D0161E">
        <w:rPr>
          <w:color w:val="000000" w:themeColor="text1"/>
        </w:rPr>
        <w:t>remained active</w:t>
      </w:r>
      <w:r w:rsidRPr="00D0161E">
        <w:rPr>
          <w:color w:val="000000" w:themeColor="text1"/>
        </w:rPr>
        <w:t>, as defined by</w:t>
      </w:r>
      <w:r w:rsidR="00EB7C1E" w:rsidRPr="00D0161E">
        <w:rPr>
          <w:color w:val="000000" w:themeColor="text1"/>
        </w:rPr>
        <w:t xml:space="preserve"> the WHO </w:t>
      </w:r>
      <w:r w:rsidR="00142490" w:rsidRPr="00D0161E">
        <w:rPr>
          <w:color w:val="000000" w:themeColor="text1"/>
        </w:rPr>
        <w:t xml:space="preserve">as </w:t>
      </w:r>
      <w:r w:rsidR="00D1339C" w:rsidRPr="00D0161E">
        <w:rPr>
          <w:color w:val="000000" w:themeColor="text1"/>
        </w:rPr>
        <w:t>≥</w:t>
      </w:r>
      <w:r w:rsidR="00EB7C1E" w:rsidRPr="00D0161E">
        <w:rPr>
          <w:color w:val="000000" w:themeColor="text1"/>
        </w:rPr>
        <w:t>80%</w:t>
      </w:r>
      <w:r w:rsidR="00D1339C" w:rsidRPr="00D0161E">
        <w:rPr>
          <w:color w:val="000000" w:themeColor="text1"/>
        </w:rPr>
        <w:t xml:space="preserve"> (15)</w:t>
      </w:r>
      <w:r w:rsidRPr="00D0161E">
        <w:rPr>
          <w:color w:val="000000" w:themeColor="text1"/>
        </w:rPr>
        <w:t>,</w:t>
      </w:r>
      <w:r w:rsidR="00EB7C1E" w:rsidRPr="00D0161E">
        <w:rPr>
          <w:color w:val="000000" w:themeColor="text1"/>
        </w:rPr>
        <w:t xml:space="preserve"> for 18 months at all concentrations with the exception of the lowest concentration 0.025% </w:t>
      </w:r>
      <w:r w:rsidR="00D1339C" w:rsidRPr="00D0161E">
        <w:rPr>
          <w:color w:val="000000" w:themeColor="text1"/>
        </w:rPr>
        <w:t xml:space="preserve">where </w:t>
      </w:r>
      <w:r w:rsidR="00EB7C1E" w:rsidRPr="00D0161E">
        <w:rPr>
          <w:color w:val="000000" w:themeColor="text1"/>
        </w:rPr>
        <w:t xml:space="preserve">mortality </w:t>
      </w:r>
      <w:r w:rsidR="001442CD" w:rsidRPr="00D0161E">
        <w:rPr>
          <w:color w:val="000000" w:themeColor="text1"/>
        </w:rPr>
        <w:t>fell</w:t>
      </w:r>
      <w:r w:rsidR="00EB7C1E" w:rsidRPr="00D0161E">
        <w:rPr>
          <w:color w:val="000000" w:themeColor="text1"/>
        </w:rPr>
        <w:t xml:space="preserve"> below 80% in months 3</w:t>
      </w:r>
      <w:r w:rsidR="001442CD" w:rsidRPr="00D0161E">
        <w:rPr>
          <w:color w:val="000000" w:themeColor="text1"/>
        </w:rPr>
        <w:t>,</w:t>
      </w:r>
      <w:r w:rsidR="00EB7C1E" w:rsidRPr="00D0161E">
        <w:rPr>
          <w:color w:val="000000" w:themeColor="text1"/>
        </w:rPr>
        <w:t xml:space="preserve"> 11</w:t>
      </w:r>
      <w:r w:rsidR="001442CD" w:rsidRPr="00D0161E">
        <w:rPr>
          <w:color w:val="000000" w:themeColor="text1"/>
        </w:rPr>
        <w:t xml:space="preserve"> and 17 on wood</w:t>
      </w:r>
      <w:r w:rsidR="00EB7C1E" w:rsidRPr="00D0161E">
        <w:rPr>
          <w:color w:val="000000" w:themeColor="text1"/>
        </w:rPr>
        <w:t xml:space="preserve">, and in month 8 </w:t>
      </w:r>
      <w:r w:rsidR="001442CD" w:rsidRPr="00D0161E">
        <w:rPr>
          <w:color w:val="000000" w:themeColor="text1"/>
        </w:rPr>
        <w:t>and</w:t>
      </w:r>
      <w:r w:rsidR="00EB7C1E" w:rsidRPr="00D0161E">
        <w:rPr>
          <w:color w:val="000000" w:themeColor="text1"/>
        </w:rPr>
        <w:t xml:space="preserve"> from month 15 to the end of the experiment</w:t>
      </w:r>
      <w:r w:rsidR="007A0C34" w:rsidRPr="00D0161E">
        <w:rPr>
          <w:color w:val="000000" w:themeColor="text1"/>
        </w:rPr>
        <w:t xml:space="preserve"> on cement</w:t>
      </w:r>
      <w:r w:rsidR="00EB7C1E" w:rsidRPr="00D0161E">
        <w:rPr>
          <w:color w:val="000000" w:themeColor="text1"/>
        </w:rPr>
        <w:t>.</w:t>
      </w:r>
      <w:r w:rsidR="001442CD" w:rsidRPr="00D0161E">
        <w:rPr>
          <w:color w:val="000000" w:themeColor="text1"/>
        </w:rPr>
        <w:t xml:space="preserve"> On mud</w:t>
      </w:r>
      <w:r w:rsidR="00D1339C" w:rsidRPr="00D0161E">
        <w:rPr>
          <w:color w:val="000000" w:themeColor="text1"/>
        </w:rPr>
        <w:t xml:space="preserve"> blocks,</w:t>
      </w:r>
      <w:r w:rsidR="001442CD" w:rsidRPr="00D0161E">
        <w:rPr>
          <w:color w:val="000000" w:themeColor="text1"/>
        </w:rPr>
        <w:t xml:space="preserve"> </w:t>
      </w:r>
      <w:r w:rsidR="00D1339C" w:rsidRPr="00D0161E">
        <w:rPr>
          <w:color w:val="000000" w:themeColor="text1"/>
        </w:rPr>
        <w:t xml:space="preserve">residual </w:t>
      </w:r>
      <w:r w:rsidR="001442CD" w:rsidRPr="00D0161E">
        <w:rPr>
          <w:color w:val="000000" w:themeColor="text1"/>
        </w:rPr>
        <w:t xml:space="preserve">efficacy was maintained for the first 5 months, after which </w:t>
      </w:r>
      <w:r w:rsidR="00D1339C" w:rsidRPr="00D0161E">
        <w:rPr>
          <w:color w:val="000000" w:themeColor="text1"/>
        </w:rPr>
        <w:t>mortality decreased</w:t>
      </w:r>
      <w:r w:rsidR="001442CD" w:rsidRPr="00D0161E">
        <w:rPr>
          <w:color w:val="000000" w:themeColor="text1"/>
        </w:rPr>
        <w:t xml:space="preserve"> in a dose-dependent manner, with the highest concentration, 0.2%, killing only ~60% of exposed mosquitoes by the end of the experiment.</w:t>
      </w:r>
      <w:r w:rsidR="003C4A4C" w:rsidRPr="00D0161E">
        <w:rPr>
          <w:color w:val="000000" w:themeColor="text1"/>
        </w:rPr>
        <w:t xml:space="preserve"> </w:t>
      </w:r>
    </w:p>
    <w:p w14:paraId="5C72A606" w14:textId="77777777" w:rsidR="003C4A4C" w:rsidRPr="00D0161E" w:rsidRDefault="003C4A4C" w:rsidP="00D0161E">
      <w:pPr>
        <w:spacing w:line="480" w:lineRule="auto"/>
        <w:rPr>
          <w:color w:val="000000" w:themeColor="text1"/>
        </w:rPr>
      </w:pPr>
    </w:p>
    <w:p w14:paraId="35582AA4" w14:textId="0D4B76A4" w:rsidR="00823580" w:rsidRPr="00D0161E" w:rsidRDefault="00823580" w:rsidP="00D0161E">
      <w:pPr>
        <w:spacing w:line="480" w:lineRule="auto"/>
        <w:rPr>
          <w:color w:val="000000" w:themeColor="text1"/>
        </w:rPr>
      </w:pPr>
      <w:r w:rsidRPr="00D0161E">
        <w:rPr>
          <w:color w:val="000000" w:themeColor="text1"/>
        </w:rPr>
        <w:t xml:space="preserve">Bioassays were discontinued on mud </w:t>
      </w:r>
      <w:r w:rsidR="00D1339C" w:rsidRPr="00D0161E">
        <w:rPr>
          <w:color w:val="000000" w:themeColor="text1"/>
        </w:rPr>
        <w:t xml:space="preserve">blocks </w:t>
      </w:r>
      <w:r w:rsidRPr="00D0161E">
        <w:rPr>
          <w:color w:val="000000" w:themeColor="text1"/>
        </w:rPr>
        <w:t xml:space="preserve">treated with 0.025 and 0.05%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Pr="00D0161E">
        <w:rPr>
          <w:color w:val="000000" w:themeColor="text1"/>
        </w:rPr>
        <w:t xml:space="preserve"> </w:t>
      </w:r>
      <w:r w:rsidR="00D1339C" w:rsidRPr="00D0161E">
        <w:rPr>
          <w:color w:val="000000" w:themeColor="text1"/>
        </w:rPr>
        <w:t xml:space="preserve">WP </w:t>
      </w:r>
      <w:r w:rsidRPr="00D0161E">
        <w:rPr>
          <w:color w:val="000000" w:themeColor="text1"/>
        </w:rPr>
        <w:t>from month 15 onwards, as efficacy had remained below the 80% threshold for several months. At month 18</w:t>
      </w:r>
      <w:r w:rsidR="00D1339C" w:rsidRPr="00D0161E">
        <w:rPr>
          <w:color w:val="000000" w:themeColor="text1"/>
        </w:rPr>
        <w:t>,</w:t>
      </w:r>
      <w:r w:rsidRPr="00D0161E">
        <w:rPr>
          <w:color w:val="000000" w:themeColor="text1"/>
        </w:rPr>
        <w:t xml:space="preserve"> bioassays were discontinued on ceramic tiles</w:t>
      </w:r>
      <w:r w:rsidR="00D1339C" w:rsidRPr="00D0161E">
        <w:rPr>
          <w:color w:val="000000" w:themeColor="text1"/>
        </w:rPr>
        <w:t xml:space="preserve"> and on</w:t>
      </w:r>
      <w:r w:rsidRPr="00D0161E">
        <w:rPr>
          <w:color w:val="000000" w:themeColor="text1"/>
        </w:rPr>
        <w:t xml:space="preserve"> cement and wood </w:t>
      </w:r>
      <w:r w:rsidR="00D1339C" w:rsidRPr="00D0161E">
        <w:rPr>
          <w:color w:val="000000" w:themeColor="text1"/>
        </w:rPr>
        <w:t>blocks</w:t>
      </w:r>
      <w:r w:rsidRPr="00D0161E">
        <w:rPr>
          <w:color w:val="000000" w:themeColor="text1"/>
        </w:rPr>
        <w:t xml:space="preserve">, because the efficacy had been demonstrated for the designated period, but assays on remaining mud surfaces were continued until month 20 </w:t>
      </w:r>
      <w:r w:rsidR="00D1339C" w:rsidRPr="00D0161E">
        <w:rPr>
          <w:color w:val="000000" w:themeColor="text1"/>
        </w:rPr>
        <w:t xml:space="preserve">as </w:t>
      </w:r>
      <w:r w:rsidRPr="00D0161E">
        <w:rPr>
          <w:color w:val="000000" w:themeColor="text1"/>
        </w:rPr>
        <w:t>results were variable and further information could be collected.</w:t>
      </w:r>
    </w:p>
    <w:p w14:paraId="1268B617" w14:textId="77777777" w:rsidR="00160A76" w:rsidRPr="00D0161E" w:rsidRDefault="00160A76" w:rsidP="00D0161E">
      <w:pPr>
        <w:spacing w:line="480" w:lineRule="auto"/>
        <w:rPr>
          <w:color w:val="000000" w:themeColor="text1"/>
        </w:rPr>
      </w:pPr>
    </w:p>
    <w:p w14:paraId="561E4208" w14:textId="5F8C4523" w:rsidR="000C167F" w:rsidRPr="00D0161E" w:rsidRDefault="00A14308" w:rsidP="00D0161E">
      <w:pPr>
        <w:spacing w:line="480" w:lineRule="auto"/>
        <w:rPr>
          <w:noProof/>
          <w:color w:val="000000" w:themeColor="text1"/>
        </w:rPr>
      </w:pPr>
      <w:r w:rsidRPr="00D0161E">
        <w:rPr>
          <w:noProof/>
          <w:color w:val="000000" w:themeColor="text1"/>
        </w:rPr>
        <w:t xml:space="preserve">When mortality was scored 48 hours after exposure, activity was maintained for </w:t>
      </w:r>
      <w:r w:rsidR="00067623" w:rsidRPr="00D0161E">
        <w:rPr>
          <w:noProof/>
          <w:color w:val="000000" w:themeColor="text1"/>
        </w:rPr>
        <w:t>18 months</w:t>
      </w:r>
      <w:r w:rsidRPr="00D0161E">
        <w:rPr>
          <w:noProof/>
          <w:color w:val="000000" w:themeColor="text1"/>
        </w:rPr>
        <w:t xml:space="preserve"> at all concentrations when applied to ceramic, wood and cement tiles, and for 10 months on mud </w:t>
      </w:r>
      <w:r w:rsidR="00D1339C" w:rsidRPr="00D0161E">
        <w:rPr>
          <w:noProof/>
          <w:color w:val="000000" w:themeColor="text1"/>
        </w:rPr>
        <w:t xml:space="preserve">blocks </w:t>
      </w:r>
      <w:r w:rsidRPr="00D0161E">
        <w:rPr>
          <w:noProof/>
          <w:color w:val="000000" w:themeColor="text1"/>
        </w:rPr>
        <w:t xml:space="preserve">at the lowest two concentrations, 12 months at 0.1% and </w:t>
      </w:r>
      <w:r w:rsidR="00067623" w:rsidRPr="00D0161E">
        <w:rPr>
          <w:noProof/>
          <w:color w:val="000000" w:themeColor="text1"/>
        </w:rPr>
        <w:t>20</w:t>
      </w:r>
      <w:r w:rsidRPr="00D0161E">
        <w:rPr>
          <w:noProof/>
          <w:color w:val="000000" w:themeColor="text1"/>
        </w:rPr>
        <w:t xml:space="preserve"> months at 0.2%</w:t>
      </w:r>
      <w:r w:rsidR="00416062" w:rsidRPr="00D0161E">
        <w:rPr>
          <w:noProof/>
          <w:color w:val="000000" w:themeColor="text1"/>
        </w:rPr>
        <w:t xml:space="preserve"> (Supplement</w:t>
      </w:r>
      <w:r w:rsidR="001E2DB5" w:rsidRPr="00D0161E">
        <w:rPr>
          <w:noProof/>
          <w:color w:val="000000" w:themeColor="text1"/>
        </w:rPr>
        <w:t>ary</w:t>
      </w:r>
      <w:r w:rsidR="00416062" w:rsidRPr="00D0161E">
        <w:rPr>
          <w:noProof/>
          <w:color w:val="000000" w:themeColor="text1"/>
        </w:rPr>
        <w:t xml:space="preserve"> </w:t>
      </w:r>
      <w:r w:rsidR="002141A5" w:rsidRPr="00D0161E">
        <w:rPr>
          <w:noProof/>
          <w:color w:val="000000" w:themeColor="text1"/>
        </w:rPr>
        <w:t>Fig</w:t>
      </w:r>
      <w:r w:rsidR="002141A5">
        <w:rPr>
          <w:noProof/>
          <w:color w:val="000000" w:themeColor="text1"/>
        </w:rPr>
        <w:t>.</w:t>
      </w:r>
      <w:r w:rsidR="002141A5" w:rsidRPr="00D0161E">
        <w:rPr>
          <w:noProof/>
          <w:color w:val="000000" w:themeColor="text1"/>
        </w:rPr>
        <w:t xml:space="preserve"> </w:t>
      </w:r>
      <w:r w:rsidR="004206F0" w:rsidRPr="00D0161E">
        <w:rPr>
          <w:noProof/>
          <w:color w:val="000000" w:themeColor="text1"/>
        </w:rPr>
        <w:t>1</w:t>
      </w:r>
      <w:r w:rsidR="00416062" w:rsidRPr="00D0161E">
        <w:rPr>
          <w:noProof/>
          <w:color w:val="000000" w:themeColor="text1"/>
        </w:rPr>
        <w:t>)</w:t>
      </w:r>
      <w:r w:rsidRPr="00D0161E">
        <w:rPr>
          <w:noProof/>
          <w:color w:val="000000" w:themeColor="text1"/>
        </w:rPr>
        <w:t xml:space="preserve">. </w:t>
      </w:r>
      <w:r w:rsidR="00920A84" w:rsidRPr="00D0161E">
        <w:rPr>
          <w:noProof/>
          <w:color w:val="000000" w:themeColor="text1"/>
        </w:rPr>
        <w:t xml:space="preserve">Observed at 72 hours, mortality dropped below 80% on cement in months 18 and 19 but activity was retained for the whole experiment on </w:t>
      </w:r>
      <w:r w:rsidR="00AE107F" w:rsidRPr="00D0161E">
        <w:rPr>
          <w:noProof/>
          <w:color w:val="000000" w:themeColor="text1"/>
        </w:rPr>
        <w:t>wood and ceramic tiles; on mud</w:t>
      </w:r>
      <w:r w:rsidR="002141A5">
        <w:rPr>
          <w:noProof/>
          <w:color w:val="000000" w:themeColor="text1"/>
        </w:rPr>
        <w:t>,</w:t>
      </w:r>
      <w:r w:rsidR="00AE107F" w:rsidRPr="00D0161E">
        <w:rPr>
          <w:noProof/>
          <w:color w:val="000000" w:themeColor="text1"/>
        </w:rPr>
        <w:t xml:space="preserve"> efficacy was maintained for 12 months at the lowest two concentrations, 17 months at 0.1% and the full 20 months at 0.2% (Supplementa</w:t>
      </w:r>
      <w:r w:rsidR="00E843EC" w:rsidRPr="00D0161E">
        <w:rPr>
          <w:noProof/>
          <w:color w:val="000000" w:themeColor="text1"/>
        </w:rPr>
        <w:t>r</w:t>
      </w:r>
      <w:r w:rsidR="00AE107F" w:rsidRPr="00D0161E">
        <w:rPr>
          <w:noProof/>
          <w:color w:val="000000" w:themeColor="text1"/>
        </w:rPr>
        <w:t xml:space="preserve">y </w:t>
      </w:r>
      <w:r w:rsidR="002141A5" w:rsidRPr="00D0161E">
        <w:rPr>
          <w:noProof/>
          <w:color w:val="000000" w:themeColor="text1"/>
        </w:rPr>
        <w:t>Fig</w:t>
      </w:r>
      <w:r w:rsidR="002141A5">
        <w:rPr>
          <w:noProof/>
          <w:color w:val="000000" w:themeColor="text1"/>
        </w:rPr>
        <w:t>.</w:t>
      </w:r>
      <w:r w:rsidR="002141A5" w:rsidRPr="00D0161E">
        <w:rPr>
          <w:noProof/>
          <w:color w:val="000000" w:themeColor="text1"/>
        </w:rPr>
        <w:t xml:space="preserve"> </w:t>
      </w:r>
      <w:r w:rsidR="001261BC" w:rsidRPr="00D0161E">
        <w:rPr>
          <w:noProof/>
          <w:color w:val="000000" w:themeColor="text1"/>
        </w:rPr>
        <w:t>2</w:t>
      </w:r>
      <w:r w:rsidR="00AE107F" w:rsidRPr="00D0161E">
        <w:rPr>
          <w:noProof/>
          <w:color w:val="000000" w:themeColor="text1"/>
        </w:rPr>
        <w:t>).</w:t>
      </w:r>
      <w:r w:rsidR="008625B9" w:rsidRPr="00D0161E">
        <w:rPr>
          <w:color w:val="000000" w:themeColor="text1"/>
        </w:rPr>
        <w:t xml:space="preserve"> </w:t>
      </w:r>
      <w:r w:rsidR="002141A5">
        <w:rPr>
          <w:color w:val="000000" w:themeColor="text1"/>
        </w:rPr>
        <w:t>KD</w:t>
      </w:r>
      <w:r w:rsidR="002141A5" w:rsidRPr="00D0161E">
        <w:rPr>
          <w:color w:val="000000" w:themeColor="text1"/>
        </w:rPr>
        <w:t xml:space="preserve"> </w:t>
      </w:r>
      <w:r w:rsidR="008625B9" w:rsidRPr="00D0161E">
        <w:rPr>
          <w:color w:val="000000" w:themeColor="text1"/>
        </w:rPr>
        <w:t xml:space="preserve">of susceptible Kisumu mosquitoes immediately after exposure did not consistently reach the 95% threshold on any surface </w:t>
      </w:r>
      <w:r w:rsidR="008625B9" w:rsidRPr="00D0161E">
        <w:rPr>
          <w:noProof/>
          <w:color w:val="000000" w:themeColor="text1"/>
        </w:rPr>
        <w:t xml:space="preserve">(Supplementary </w:t>
      </w:r>
      <w:r w:rsidR="002141A5" w:rsidRPr="00D0161E">
        <w:rPr>
          <w:noProof/>
          <w:color w:val="000000" w:themeColor="text1"/>
        </w:rPr>
        <w:t>Fig</w:t>
      </w:r>
      <w:r w:rsidR="002141A5">
        <w:rPr>
          <w:noProof/>
          <w:color w:val="000000" w:themeColor="text1"/>
        </w:rPr>
        <w:t>.</w:t>
      </w:r>
      <w:r w:rsidR="002141A5" w:rsidRPr="00D0161E">
        <w:rPr>
          <w:noProof/>
          <w:color w:val="000000" w:themeColor="text1"/>
        </w:rPr>
        <w:t xml:space="preserve"> </w:t>
      </w:r>
      <w:r w:rsidR="001261BC" w:rsidRPr="00D0161E">
        <w:rPr>
          <w:noProof/>
          <w:color w:val="000000" w:themeColor="text1"/>
        </w:rPr>
        <w:t>3</w:t>
      </w:r>
      <w:r w:rsidR="008625B9" w:rsidRPr="00D0161E">
        <w:rPr>
          <w:noProof/>
          <w:color w:val="000000" w:themeColor="text1"/>
        </w:rPr>
        <w:t>).</w:t>
      </w:r>
    </w:p>
    <w:p w14:paraId="61D81727" w14:textId="77777777" w:rsidR="00920A84" w:rsidRPr="00D0161E" w:rsidRDefault="00920A84" w:rsidP="00D0161E">
      <w:pPr>
        <w:spacing w:line="480" w:lineRule="auto"/>
        <w:rPr>
          <w:noProof/>
          <w:color w:val="000000" w:themeColor="text1"/>
        </w:rPr>
      </w:pPr>
    </w:p>
    <w:p w14:paraId="39FD22BD" w14:textId="344646C0" w:rsidR="0040258A" w:rsidRPr="00D0161E" w:rsidRDefault="00D6242A" w:rsidP="00D0161E">
      <w:pPr>
        <w:spacing w:line="480" w:lineRule="auto"/>
        <w:rPr>
          <w:noProof/>
          <w:color w:val="000000" w:themeColor="text1"/>
        </w:rPr>
      </w:pPr>
      <w:r w:rsidRPr="00D0161E">
        <w:rPr>
          <w:noProof/>
          <w:color w:val="000000" w:themeColor="text1"/>
        </w:rPr>
        <w:t xml:space="preserve">In contrast, </w:t>
      </w:r>
      <w:r w:rsidR="00D1339C" w:rsidRPr="00D0161E">
        <w:rPr>
          <w:noProof/>
          <w:color w:val="000000" w:themeColor="text1"/>
        </w:rPr>
        <w:t xml:space="preserve">the </w:t>
      </w:r>
      <w:r w:rsidRPr="00D0161E">
        <w:rPr>
          <w:noProof/>
          <w:color w:val="000000" w:themeColor="text1"/>
        </w:rPr>
        <w:t xml:space="preserve">bendiocarb </w:t>
      </w:r>
      <w:r w:rsidR="0036769E" w:rsidRPr="00D0161E">
        <w:rPr>
          <w:noProof/>
          <w:color w:val="000000" w:themeColor="text1"/>
        </w:rPr>
        <w:t xml:space="preserve">WP only reached the 80% mortality threshold for 2 months on cement and </w:t>
      </w:r>
      <w:r w:rsidR="00B4690E" w:rsidRPr="00D0161E">
        <w:rPr>
          <w:noProof/>
          <w:color w:val="000000" w:themeColor="text1"/>
        </w:rPr>
        <w:t xml:space="preserve">did </w:t>
      </w:r>
      <w:r w:rsidR="0036769E" w:rsidRPr="00D0161E">
        <w:rPr>
          <w:noProof/>
          <w:color w:val="000000" w:themeColor="text1"/>
        </w:rPr>
        <w:t xml:space="preserve">not </w:t>
      </w:r>
      <w:r w:rsidR="00B4690E" w:rsidRPr="00D0161E">
        <w:rPr>
          <w:noProof/>
          <w:color w:val="000000" w:themeColor="text1"/>
        </w:rPr>
        <w:t xml:space="preserve">reach this threshold </w:t>
      </w:r>
      <w:r w:rsidR="0036769E" w:rsidRPr="00D0161E">
        <w:rPr>
          <w:noProof/>
          <w:color w:val="000000" w:themeColor="text1"/>
        </w:rPr>
        <w:t>on any other surface</w:t>
      </w:r>
      <w:r w:rsidR="004C4F8D" w:rsidRPr="00D0161E">
        <w:rPr>
          <w:noProof/>
          <w:color w:val="000000" w:themeColor="text1"/>
        </w:rPr>
        <w:t xml:space="preserve"> even in the first month post-treatment</w:t>
      </w:r>
      <w:r w:rsidR="009C405C" w:rsidRPr="00D0161E">
        <w:rPr>
          <w:noProof/>
          <w:color w:val="000000" w:themeColor="text1"/>
        </w:rPr>
        <w:t>, even though the actual application rate was far higher than the recommended field rate of 0.4 g AI/</w:t>
      </w:r>
      <w:r w:rsidR="002141A5">
        <w:rPr>
          <w:noProof/>
          <w:color w:val="000000" w:themeColor="text1"/>
        </w:rPr>
        <w:t xml:space="preserve">sq </w:t>
      </w:r>
      <w:r w:rsidR="009C405C" w:rsidRPr="00D0161E">
        <w:rPr>
          <w:noProof/>
          <w:color w:val="000000" w:themeColor="text1"/>
        </w:rPr>
        <w:t>m</w:t>
      </w:r>
      <w:r w:rsidR="0036769E" w:rsidRPr="00D0161E">
        <w:rPr>
          <w:noProof/>
          <w:color w:val="000000" w:themeColor="text1"/>
        </w:rPr>
        <w:t xml:space="preserve">. Deltamethrin WG and etofenprox WP </w:t>
      </w:r>
      <w:r w:rsidR="00B4690E" w:rsidRPr="00D0161E">
        <w:rPr>
          <w:noProof/>
          <w:color w:val="000000" w:themeColor="text1"/>
        </w:rPr>
        <w:t xml:space="preserve">reached the 80% mortality threshold for residual efficacy </w:t>
      </w:r>
      <w:r w:rsidR="0036769E" w:rsidRPr="00D0161E">
        <w:rPr>
          <w:noProof/>
          <w:color w:val="000000" w:themeColor="text1"/>
        </w:rPr>
        <w:t>for 1 and 4 months</w:t>
      </w:r>
      <w:r w:rsidR="00B4690E" w:rsidRPr="00D0161E">
        <w:rPr>
          <w:noProof/>
          <w:color w:val="000000" w:themeColor="text1"/>
        </w:rPr>
        <w:t>,</w:t>
      </w:r>
      <w:r w:rsidR="0036769E" w:rsidRPr="00D0161E">
        <w:rPr>
          <w:noProof/>
          <w:color w:val="000000" w:themeColor="text1"/>
        </w:rPr>
        <w:t xml:space="preserve"> respectively, on mud, </w:t>
      </w:r>
      <w:r w:rsidR="00B4690E" w:rsidRPr="00D0161E">
        <w:rPr>
          <w:noProof/>
          <w:color w:val="000000" w:themeColor="text1"/>
        </w:rPr>
        <w:t xml:space="preserve">for </w:t>
      </w:r>
      <w:r w:rsidR="0036769E" w:rsidRPr="00D0161E">
        <w:rPr>
          <w:noProof/>
          <w:color w:val="000000" w:themeColor="text1"/>
        </w:rPr>
        <w:t xml:space="preserve">13 months on cement, and </w:t>
      </w:r>
      <w:r w:rsidR="00B4690E" w:rsidRPr="00D0161E">
        <w:rPr>
          <w:noProof/>
          <w:color w:val="000000" w:themeColor="text1"/>
        </w:rPr>
        <w:t xml:space="preserve">for </w:t>
      </w:r>
      <w:r w:rsidR="0036769E" w:rsidRPr="00D0161E">
        <w:rPr>
          <w:noProof/>
          <w:color w:val="000000" w:themeColor="text1"/>
        </w:rPr>
        <w:t>the full 18 months on tiles and wood.</w:t>
      </w:r>
      <w:r w:rsidR="001261BC" w:rsidRPr="00D0161E">
        <w:rPr>
          <w:noProof/>
          <w:color w:val="000000" w:themeColor="text1"/>
        </w:rPr>
        <w:t xml:space="preserve"> Control data </w:t>
      </w:r>
      <w:r w:rsidR="002141A5">
        <w:rPr>
          <w:noProof/>
          <w:color w:val="000000" w:themeColor="text1"/>
        </w:rPr>
        <w:t>are</w:t>
      </w:r>
      <w:r w:rsidR="002141A5" w:rsidRPr="00D0161E">
        <w:rPr>
          <w:noProof/>
          <w:color w:val="000000" w:themeColor="text1"/>
        </w:rPr>
        <w:t xml:space="preserve"> </w:t>
      </w:r>
      <w:r w:rsidR="001261BC" w:rsidRPr="00D0161E">
        <w:rPr>
          <w:noProof/>
          <w:color w:val="000000" w:themeColor="text1"/>
        </w:rPr>
        <w:t xml:space="preserve">shown in Supplementary </w:t>
      </w:r>
      <w:r w:rsidR="002141A5" w:rsidRPr="00D0161E">
        <w:rPr>
          <w:noProof/>
          <w:color w:val="000000" w:themeColor="text1"/>
        </w:rPr>
        <w:t>Fig</w:t>
      </w:r>
      <w:r w:rsidR="002141A5">
        <w:rPr>
          <w:noProof/>
          <w:color w:val="000000" w:themeColor="text1"/>
        </w:rPr>
        <w:t>.</w:t>
      </w:r>
      <w:r w:rsidR="002141A5" w:rsidRPr="00D0161E">
        <w:rPr>
          <w:noProof/>
          <w:color w:val="000000" w:themeColor="text1"/>
        </w:rPr>
        <w:t xml:space="preserve"> </w:t>
      </w:r>
      <w:r w:rsidR="001261BC" w:rsidRPr="00D0161E">
        <w:rPr>
          <w:noProof/>
          <w:color w:val="000000" w:themeColor="text1"/>
        </w:rPr>
        <w:t>4.</w:t>
      </w:r>
    </w:p>
    <w:p w14:paraId="3F2A71E5" w14:textId="77777777" w:rsidR="002141A5" w:rsidRDefault="002141A5" w:rsidP="00D0161E">
      <w:pPr>
        <w:spacing w:line="480" w:lineRule="auto"/>
        <w:rPr>
          <w:noProof/>
          <w:color w:val="000000" w:themeColor="text1"/>
          <w:szCs w:val="20"/>
        </w:rPr>
      </w:pPr>
    </w:p>
    <w:p w14:paraId="3760E771" w14:textId="0646140F" w:rsidR="000C167F" w:rsidRPr="00D0161E" w:rsidRDefault="00B4690E" w:rsidP="00D0161E">
      <w:pPr>
        <w:spacing w:line="480" w:lineRule="auto"/>
        <w:rPr>
          <w:color w:val="000000" w:themeColor="text1"/>
        </w:rPr>
      </w:pPr>
      <w:r w:rsidRPr="00D0161E">
        <w:rPr>
          <w:color w:val="000000" w:themeColor="text1"/>
        </w:rPr>
        <w:t>T</w:t>
      </w:r>
      <w:r w:rsidR="00B465B9" w:rsidRPr="00D0161E">
        <w:rPr>
          <w:color w:val="000000" w:themeColor="text1"/>
        </w:rPr>
        <w:t xml:space="preserve">o </w:t>
      </w:r>
      <w:r w:rsidRPr="00D0161E">
        <w:rPr>
          <w:color w:val="000000" w:themeColor="text1"/>
        </w:rPr>
        <w:t>assess</w:t>
      </w:r>
      <w:r w:rsidR="00B465B9" w:rsidRPr="00D0161E">
        <w:rPr>
          <w:color w:val="000000" w:themeColor="text1"/>
        </w:rPr>
        <w:t xml:space="preserve"> the efficacy of the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00B465B9" w:rsidRPr="00D0161E">
        <w:rPr>
          <w:color w:val="000000" w:themeColor="text1"/>
        </w:rPr>
        <w:t xml:space="preserve"> WP formulation against pyrethroid</w:t>
      </w:r>
      <w:r w:rsidR="002141A5">
        <w:rPr>
          <w:color w:val="000000" w:themeColor="text1"/>
        </w:rPr>
        <w:t>-</w:t>
      </w:r>
      <w:r w:rsidR="00B465B9" w:rsidRPr="00D0161E">
        <w:rPr>
          <w:color w:val="000000" w:themeColor="text1"/>
        </w:rPr>
        <w:t>resistant mosquitoes, the Tiassal</w:t>
      </w:r>
      <w:r w:rsidR="00B465B9" w:rsidRPr="00D0161E">
        <w:rPr>
          <w:rFonts w:cstheme="minorHAnsi"/>
          <w:color w:val="000000" w:themeColor="text1"/>
        </w:rPr>
        <w:t>é</w:t>
      </w:r>
      <w:r w:rsidR="00B465B9" w:rsidRPr="00D0161E">
        <w:rPr>
          <w:color w:val="000000" w:themeColor="text1"/>
        </w:rPr>
        <w:t xml:space="preserve"> 2 </w:t>
      </w:r>
      <w:r w:rsidR="00994C95" w:rsidRPr="00D0161E">
        <w:rPr>
          <w:color w:val="000000" w:themeColor="text1"/>
        </w:rPr>
        <w:t>strain</w:t>
      </w:r>
      <w:r w:rsidR="00B465B9" w:rsidRPr="00D0161E">
        <w:rPr>
          <w:color w:val="000000" w:themeColor="text1"/>
        </w:rPr>
        <w:t xml:space="preserve"> of </w:t>
      </w:r>
      <w:r w:rsidR="002141A5" w:rsidRPr="00D0161E">
        <w:rPr>
          <w:i/>
          <w:color w:val="000000" w:themeColor="text1"/>
        </w:rPr>
        <w:t>An</w:t>
      </w:r>
      <w:r w:rsidR="002141A5">
        <w:rPr>
          <w:i/>
          <w:color w:val="000000" w:themeColor="text1"/>
        </w:rPr>
        <w:t>.</w:t>
      </w:r>
      <w:r w:rsidR="002141A5" w:rsidRPr="00D0161E">
        <w:rPr>
          <w:i/>
          <w:color w:val="000000" w:themeColor="text1"/>
        </w:rPr>
        <w:t xml:space="preserve"> </w:t>
      </w:r>
      <w:r w:rsidR="00B465B9" w:rsidRPr="00D0161E">
        <w:rPr>
          <w:i/>
          <w:color w:val="000000" w:themeColor="text1"/>
        </w:rPr>
        <w:t xml:space="preserve">gambiae </w:t>
      </w:r>
      <w:r w:rsidR="00B465B9" w:rsidRPr="00D0161E">
        <w:rPr>
          <w:color w:val="000000" w:themeColor="text1"/>
        </w:rPr>
        <w:t xml:space="preserve">were exposed to the treated wood surfaces alongside the first round of </w:t>
      </w:r>
      <w:r w:rsidR="005E57D7" w:rsidRPr="00D0161E">
        <w:rPr>
          <w:color w:val="000000" w:themeColor="text1"/>
        </w:rPr>
        <w:t xml:space="preserve">WHO </w:t>
      </w:r>
      <w:r w:rsidR="0000151A" w:rsidRPr="00D0161E">
        <w:rPr>
          <w:color w:val="000000" w:themeColor="text1"/>
        </w:rPr>
        <w:t>con</w:t>
      </w:r>
      <w:r w:rsidR="005E57D7" w:rsidRPr="00D0161E">
        <w:rPr>
          <w:color w:val="000000" w:themeColor="text1"/>
        </w:rPr>
        <w:t xml:space="preserve">e </w:t>
      </w:r>
      <w:r w:rsidR="00B465B9" w:rsidRPr="00D0161E">
        <w:rPr>
          <w:color w:val="000000" w:themeColor="text1"/>
        </w:rPr>
        <w:t>bioassays. The resistance profile was confirmed by the low mortality caused by deltamethrin-treated surfaces (</w:t>
      </w:r>
      <w:r w:rsidR="00585D37" w:rsidRPr="00D0161E">
        <w:rPr>
          <w:color w:val="000000" w:themeColor="text1"/>
        </w:rPr>
        <w:t>Fig</w:t>
      </w:r>
      <w:r w:rsidR="00585D37">
        <w:rPr>
          <w:color w:val="000000" w:themeColor="text1"/>
        </w:rPr>
        <w:t>.</w:t>
      </w:r>
      <w:r w:rsidR="00585D37" w:rsidRPr="00D0161E">
        <w:rPr>
          <w:color w:val="000000" w:themeColor="text1"/>
        </w:rPr>
        <w:t xml:space="preserve"> </w:t>
      </w:r>
      <w:r w:rsidR="000B26A0" w:rsidRPr="00D0161E">
        <w:rPr>
          <w:color w:val="000000" w:themeColor="text1"/>
        </w:rPr>
        <w:t>4</w:t>
      </w:r>
      <w:r w:rsidR="00B465B9" w:rsidRPr="00D0161E">
        <w:rPr>
          <w:color w:val="000000" w:themeColor="text1"/>
        </w:rPr>
        <w:t xml:space="preserve">).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00B465B9" w:rsidRPr="00D0161E">
        <w:rPr>
          <w:color w:val="000000" w:themeColor="text1"/>
        </w:rPr>
        <w:t xml:space="preserve"> </w:t>
      </w:r>
      <w:r w:rsidR="00AA0FD8" w:rsidRPr="00D0161E">
        <w:rPr>
          <w:color w:val="000000" w:themeColor="text1"/>
        </w:rPr>
        <w:t xml:space="preserve">WP </w:t>
      </w:r>
      <w:r w:rsidR="00B465B9" w:rsidRPr="00D0161E">
        <w:rPr>
          <w:color w:val="000000" w:themeColor="text1"/>
        </w:rPr>
        <w:t>killed 100% of the resistant mosquitoes at the highest concentration (0.2 g/</w:t>
      </w:r>
      <w:proofErr w:type="spellStart"/>
      <w:r w:rsidR="00585D37">
        <w:rPr>
          <w:color w:val="000000" w:themeColor="text1"/>
        </w:rPr>
        <w:t>sq</w:t>
      </w:r>
      <w:proofErr w:type="spellEnd"/>
      <w:r w:rsidR="00585D37">
        <w:rPr>
          <w:color w:val="000000" w:themeColor="text1"/>
        </w:rPr>
        <w:t xml:space="preserve"> </w:t>
      </w:r>
      <w:r w:rsidR="00B465B9" w:rsidRPr="00D0161E">
        <w:rPr>
          <w:color w:val="000000" w:themeColor="text1"/>
        </w:rPr>
        <w:t>m), and above 80% when applied at 0.05 and 0.1 g/</w:t>
      </w:r>
      <w:proofErr w:type="spellStart"/>
      <w:r w:rsidR="00585D37">
        <w:rPr>
          <w:color w:val="000000" w:themeColor="text1"/>
        </w:rPr>
        <w:t>sq</w:t>
      </w:r>
      <w:proofErr w:type="spellEnd"/>
      <w:r w:rsidR="00585D37">
        <w:rPr>
          <w:color w:val="000000" w:themeColor="text1"/>
        </w:rPr>
        <w:t xml:space="preserve"> </w:t>
      </w:r>
      <w:r w:rsidR="00B465B9" w:rsidRPr="00D0161E">
        <w:rPr>
          <w:color w:val="000000" w:themeColor="text1"/>
        </w:rPr>
        <w:t>m.</w:t>
      </w:r>
    </w:p>
    <w:p w14:paraId="1B9BB458" w14:textId="77777777" w:rsidR="00B465B9" w:rsidRPr="00D0161E" w:rsidRDefault="00B465B9" w:rsidP="00D0161E">
      <w:pPr>
        <w:spacing w:line="480" w:lineRule="auto"/>
        <w:rPr>
          <w:color w:val="000000" w:themeColor="text1"/>
        </w:rPr>
      </w:pPr>
    </w:p>
    <w:p w14:paraId="3F6242B9" w14:textId="798576EE" w:rsidR="00B465B9" w:rsidRPr="00D0161E" w:rsidRDefault="00B465B9" w:rsidP="00D0161E">
      <w:pPr>
        <w:spacing w:line="480" w:lineRule="auto"/>
        <w:rPr>
          <w:color w:val="000000" w:themeColor="text1"/>
        </w:rPr>
      </w:pPr>
      <w:r w:rsidRPr="00D0161E">
        <w:rPr>
          <w:color w:val="000000" w:themeColor="text1"/>
        </w:rPr>
        <w:t xml:space="preserve">To </w:t>
      </w:r>
      <w:r w:rsidR="00AA0FD8" w:rsidRPr="00D0161E">
        <w:rPr>
          <w:color w:val="000000" w:themeColor="text1"/>
        </w:rPr>
        <w:t xml:space="preserve">assess </w:t>
      </w:r>
      <w:r w:rsidRPr="00D0161E">
        <w:rPr>
          <w:color w:val="000000" w:themeColor="text1"/>
        </w:rPr>
        <w:t xml:space="preserve">the residual efficacy </w:t>
      </w:r>
      <w:r w:rsidR="00AA0FD8" w:rsidRPr="00D0161E">
        <w:rPr>
          <w:color w:val="000000" w:themeColor="text1"/>
        </w:rPr>
        <w:t xml:space="preserve">of </w:t>
      </w:r>
      <w:proofErr w:type="spellStart"/>
      <w:r w:rsidR="00D54567" w:rsidRPr="00D54567">
        <w:rPr>
          <w:color w:val="000000" w:themeColor="text1"/>
          <w:szCs w:val="22"/>
        </w:rPr>
        <w:t>Tenebenal</w:t>
      </w:r>
      <w:r w:rsidR="00AA0FD8" w:rsidRPr="00D0161E">
        <w:rPr>
          <w:b/>
          <w:bCs/>
          <w:color w:val="000000" w:themeColor="text1"/>
          <w:vertAlign w:val="superscript"/>
        </w:rPr>
        <w:t>TM</w:t>
      </w:r>
      <w:proofErr w:type="spellEnd"/>
      <w:r w:rsidR="00AA0FD8" w:rsidRPr="00D0161E">
        <w:rPr>
          <w:color w:val="000000" w:themeColor="text1"/>
        </w:rPr>
        <w:t xml:space="preserve"> WP </w:t>
      </w:r>
      <w:r w:rsidRPr="00D0161E">
        <w:rPr>
          <w:color w:val="000000" w:themeColor="text1"/>
        </w:rPr>
        <w:t>against pyrethroid</w:t>
      </w:r>
      <w:r w:rsidR="00585D37">
        <w:rPr>
          <w:color w:val="000000" w:themeColor="text1"/>
        </w:rPr>
        <w:t>-</w:t>
      </w:r>
      <w:r w:rsidRPr="00D0161E">
        <w:rPr>
          <w:color w:val="000000" w:themeColor="text1"/>
        </w:rPr>
        <w:t xml:space="preserve">resistant mosquitoes, </w:t>
      </w:r>
      <w:r w:rsidR="00AA0FD8" w:rsidRPr="00D0161E">
        <w:rPr>
          <w:color w:val="000000" w:themeColor="text1"/>
        </w:rPr>
        <w:t xml:space="preserve">cone </w:t>
      </w:r>
      <w:r w:rsidRPr="00D0161E">
        <w:rPr>
          <w:color w:val="000000" w:themeColor="text1"/>
        </w:rPr>
        <w:t xml:space="preserve">bioassays were performed on treated mud surfaces </w:t>
      </w:r>
      <w:r w:rsidR="00AA0FD8" w:rsidRPr="00D0161E">
        <w:rPr>
          <w:color w:val="000000" w:themeColor="text1"/>
        </w:rPr>
        <w:t xml:space="preserve">at </w:t>
      </w:r>
      <w:r w:rsidRPr="00D0161E">
        <w:rPr>
          <w:color w:val="000000" w:themeColor="text1"/>
        </w:rPr>
        <w:t xml:space="preserve">month 6 and ceramic tiles </w:t>
      </w:r>
      <w:r w:rsidR="00AA0FD8" w:rsidRPr="00D0161E">
        <w:rPr>
          <w:color w:val="000000" w:themeColor="text1"/>
        </w:rPr>
        <w:t xml:space="preserve">at </w:t>
      </w:r>
      <w:r w:rsidRPr="00D0161E">
        <w:rPr>
          <w:color w:val="000000" w:themeColor="text1"/>
        </w:rPr>
        <w:t xml:space="preserve">month 8 </w:t>
      </w:r>
      <w:r w:rsidR="00AA0FD8" w:rsidRPr="00D0161E">
        <w:rPr>
          <w:color w:val="000000" w:themeColor="text1"/>
        </w:rPr>
        <w:t xml:space="preserve">post-treatment application </w:t>
      </w:r>
      <w:r w:rsidRPr="00D0161E">
        <w:rPr>
          <w:color w:val="000000" w:themeColor="text1"/>
        </w:rPr>
        <w:t>using the Tiassal</w:t>
      </w:r>
      <w:r w:rsidRPr="00D0161E">
        <w:rPr>
          <w:rFonts w:cstheme="minorHAnsi"/>
          <w:color w:val="000000" w:themeColor="text1"/>
        </w:rPr>
        <w:t>é</w:t>
      </w:r>
      <w:r w:rsidRPr="00D0161E">
        <w:rPr>
          <w:color w:val="000000" w:themeColor="text1"/>
        </w:rPr>
        <w:t xml:space="preserve"> 13 </w:t>
      </w:r>
      <w:r w:rsidR="00994C95" w:rsidRPr="00D0161E">
        <w:rPr>
          <w:color w:val="000000" w:themeColor="text1"/>
        </w:rPr>
        <w:t>strain</w:t>
      </w:r>
      <w:r w:rsidRPr="00D0161E">
        <w:rPr>
          <w:color w:val="000000" w:themeColor="text1"/>
        </w:rPr>
        <w:t>, a more recently coloni</w:t>
      </w:r>
      <w:r w:rsidR="00585D37">
        <w:rPr>
          <w:color w:val="000000" w:themeColor="text1"/>
        </w:rPr>
        <w:t>z</w:t>
      </w:r>
      <w:r w:rsidRPr="00D0161E">
        <w:rPr>
          <w:color w:val="000000" w:themeColor="text1"/>
        </w:rPr>
        <w:t xml:space="preserve">ed </w:t>
      </w:r>
      <w:r w:rsidR="00AA0FD8" w:rsidRPr="00D0161E">
        <w:rPr>
          <w:color w:val="000000" w:themeColor="text1"/>
        </w:rPr>
        <w:t xml:space="preserve">strain established from mosquitoes </w:t>
      </w:r>
      <w:r w:rsidRPr="00D0161E">
        <w:rPr>
          <w:color w:val="000000" w:themeColor="text1"/>
        </w:rPr>
        <w:t>collect</w:t>
      </w:r>
      <w:r w:rsidR="00AA0FD8" w:rsidRPr="00D0161E">
        <w:rPr>
          <w:color w:val="000000" w:themeColor="text1"/>
        </w:rPr>
        <w:t>ed</w:t>
      </w:r>
      <w:r w:rsidRPr="00D0161E">
        <w:rPr>
          <w:color w:val="000000" w:themeColor="text1"/>
        </w:rPr>
        <w:t xml:space="preserve"> from the same site</w:t>
      </w:r>
      <w:r w:rsidR="006416CF" w:rsidRPr="00D0161E">
        <w:rPr>
          <w:color w:val="000000" w:themeColor="text1"/>
        </w:rPr>
        <w:t xml:space="preserve"> as the Tiassal</w:t>
      </w:r>
      <w:r w:rsidR="006416CF" w:rsidRPr="00D0161E">
        <w:rPr>
          <w:rFonts w:cstheme="minorHAnsi"/>
          <w:color w:val="000000" w:themeColor="text1"/>
        </w:rPr>
        <w:t>é</w:t>
      </w:r>
      <w:r w:rsidR="006416CF" w:rsidRPr="00D0161E">
        <w:rPr>
          <w:color w:val="000000" w:themeColor="text1"/>
        </w:rPr>
        <w:t xml:space="preserve"> 2 </w:t>
      </w:r>
      <w:r w:rsidR="00994C95" w:rsidRPr="00D0161E">
        <w:rPr>
          <w:color w:val="000000" w:themeColor="text1"/>
        </w:rPr>
        <w:t>strain</w:t>
      </w:r>
      <w:r w:rsidR="000B26A0" w:rsidRPr="00D0161E">
        <w:rPr>
          <w:color w:val="000000" w:themeColor="text1"/>
        </w:rPr>
        <w:t xml:space="preserve"> (</w:t>
      </w:r>
      <w:r w:rsidR="00585D37" w:rsidRPr="00D0161E">
        <w:rPr>
          <w:color w:val="000000" w:themeColor="text1"/>
        </w:rPr>
        <w:t>Fig</w:t>
      </w:r>
      <w:r w:rsidR="00585D37">
        <w:rPr>
          <w:color w:val="000000" w:themeColor="text1"/>
        </w:rPr>
        <w:t>.</w:t>
      </w:r>
      <w:r w:rsidR="00585D37" w:rsidRPr="00D0161E">
        <w:rPr>
          <w:color w:val="000000" w:themeColor="text1"/>
        </w:rPr>
        <w:t xml:space="preserve"> </w:t>
      </w:r>
      <w:r w:rsidR="000B26A0" w:rsidRPr="00D0161E">
        <w:rPr>
          <w:color w:val="000000" w:themeColor="text1"/>
        </w:rPr>
        <w:t>4)</w:t>
      </w:r>
      <w:r w:rsidRPr="00D0161E">
        <w:rPr>
          <w:color w:val="000000" w:themeColor="text1"/>
        </w:rPr>
        <w:t xml:space="preserve">. The low </w:t>
      </w:r>
      <w:r w:rsidR="00AA0FD8" w:rsidRPr="00D0161E">
        <w:rPr>
          <w:color w:val="000000" w:themeColor="text1"/>
        </w:rPr>
        <w:t xml:space="preserve">residual </w:t>
      </w:r>
      <w:r w:rsidRPr="00D0161E">
        <w:rPr>
          <w:color w:val="000000" w:themeColor="text1"/>
        </w:rPr>
        <w:t>efficacy of standard IRS formulations on ceramic tiles</w:t>
      </w:r>
      <w:r w:rsidR="00AA0FD8" w:rsidRPr="00D0161E">
        <w:rPr>
          <w:color w:val="000000" w:themeColor="text1"/>
        </w:rPr>
        <w:t>,</w:t>
      </w:r>
      <w:r w:rsidRPr="00D0161E">
        <w:rPr>
          <w:color w:val="000000" w:themeColor="text1"/>
        </w:rPr>
        <w:t xml:space="preserve"> which were still potent against the susceptible Kisumu </w:t>
      </w:r>
      <w:r w:rsidR="00994C95" w:rsidRPr="00D0161E">
        <w:rPr>
          <w:color w:val="000000" w:themeColor="text1"/>
        </w:rPr>
        <w:t>strain</w:t>
      </w:r>
      <w:r w:rsidR="00AA0FD8" w:rsidRPr="00D0161E">
        <w:rPr>
          <w:color w:val="000000" w:themeColor="text1"/>
        </w:rPr>
        <w:t>,</w:t>
      </w:r>
      <w:r w:rsidRPr="00D0161E">
        <w:rPr>
          <w:color w:val="000000" w:themeColor="text1"/>
        </w:rPr>
        <w:t xml:space="preserve"> demonstrates the high level of resistance to existing insecticide classes. By contrast, 100% of adults were killed by all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004D7D4B" w:rsidRPr="00D0161E">
        <w:rPr>
          <w:color w:val="000000" w:themeColor="text1"/>
        </w:rPr>
        <w:t xml:space="preserve"> WP-</w:t>
      </w:r>
      <w:r w:rsidRPr="00D0161E">
        <w:rPr>
          <w:color w:val="000000" w:themeColor="text1"/>
        </w:rPr>
        <w:t>treated surfaces</w:t>
      </w:r>
      <w:r w:rsidR="00585D37">
        <w:rPr>
          <w:color w:val="000000" w:themeColor="text1"/>
        </w:rPr>
        <w:t>,</w:t>
      </w:r>
      <w:r w:rsidRPr="00D0161E">
        <w:rPr>
          <w:color w:val="000000" w:themeColor="text1"/>
        </w:rPr>
        <w:t xml:space="preserve"> except for the lowest concentration applied to mud surfaces where mortality was 74%.</w:t>
      </w:r>
    </w:p>
    <w:p w14:paraId="0D77C046" w14:textId="77777777" w:rsidR="00922A02" w:rsidRPr="00D0161E" w:rsidRDefault="00922A02" w:rsidP="00D0161E">
      <w:pPr>
        <w:spacing w:line="480" w:lineRule="auto"/>
        <w:rPr>
          <w:color w:val="000000" w:themeColor="text1"/>
        </w:rPr>
      </w:pPr>
    </w:p>
    <w:p w14:paraId="4617F40D" w14:textId="77777777" w:rsidR="007F3AA3" w:rsidRPr="00D0161E" w:rsidRDefault="00A31006" w:rsidP="00D0161E">
      <w:pPr>
        <w:pStyle w:val="Heading3"/>
        <w:spacing w:before="0" w:line="480" w:lineRule="auto"/>
        <w:rPr>
          <w:rFonts w:ascii="Times New Roman" w:hAnsi="Times New Roman"/>
          <w:b/>
          <w:color w:val="000000" w:themeColor="text1"/>
        </w:rPr>
      </w:pPr>
      <w:r w:rsidRPr="00D0161E">
        <w:rPr>
          <w:rFonts w:ascii="Times New Roman" w:hAnsi="Times New Roman"/>
          <w:b/>
          <w:color w:val="000000" w:themeColor="text1"/>
        </w:rPr>
        <w:t>Testing for potential efficacy on bed nets</w:t>
      </w:r>
    </w:p>
    <w:p w14:paraId="1FFA8086" w14:textId="77777777" w:rsidR="00B21FBE"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Cone tests to measure mortality on exposure to dipped net samples</w:t>
      </w:r>
    </w:p>
    <w:p w14:paraId="68215A70" w14:textId="733D2FE3" w:rsidR="004753F7" w:rsidRPr="00D0161E" w:rsidRDefault="00BF5712" w:rsidP="00D0161E">
      <w:pPr>
        <w:spacing w:line="480" w:lineRule="auto"/>
        <w:rPr>
          <w:color w:val="000000" w:themeColor="text1"/>
        </w:rPr>
      </w:pPr>
      <w:bookmarkStart w:id="37" w:name="_Hlk50473045"/>
      <w:r w:rsidRPr="00D0161E">
        <w:rPr>
          <w:color w:val="000000" w:themeColor="text1"/>
        </w:rPr>
        <w:t xml:space="preserve">To test whether </w:t>
      </w:r>
      <w:proofErr w:type="spellStart"/>
      <w:r w:rsidR="00D54567" w:rsidRPr="00D54567">
        <w:rPr>
          <w:color w:val="000000" w:themeColor="text1"/>
          <w:szCs w:val="22"/>
        </w:rPr>
        <w:t>Tenebenal</w:t>
      </w:r>
      <w:r w:rsidRPr="00D0161E">
        <w:rPr>
          <w:color w:val="000000" w:themeColor="text1"/>
          <w:vertAlign w:val="superscript"/>
        </w:rPr>
        <w:t>TM</w:t>
      </w:r>
      <w:proofErr w:type="spellEnd"/>
      <w:r w:rsidRPr="00D0161E">
        <w:rPr>
          <w:color w:val="000000" w:themeColor="text1"/>
        </w:rPr>
        <w:t xml:space="preserve"> might be effective on an ITN, Kisumu mosquitoes were exposed to dipped net samples in a WHO cone assay. </w:t>
      </w:r>
      <w:bookmarkEnd w:id="37"/>
      <w:r w:rsidR="009E2FB3" w:rsidRPr="00D0161E">
        <w:rPr>
          <w:color w:val="000000" w:themeColor="text1"/>
        </w:rPr>
        <w:t xml:space="preserve">The WHO defines efficacy of an LLIN </w:t>
      </w:r>
      <w:r w:rsidR="00585D37">
        <w:rPr>
          <w:color w:val="000000" w:themeColor="text1"/>
        </w:rPr>
        <w:t>i</w:t>
      </w:r>
      <w:r w:rsidR="009E2FB3" w:rsidRPr="00D0161E">
        <w:rPr>
          <w:color w:val="000000" w:themeColor="text1"/>
        </w:rPr>
        <w:t xml:space="preserve">s ≥80% mortality after 24 hours or ≥95% </w:t>
      </w:r>
      <w:r w:rsidR="00585D37">
        <w:rPr>
          <w:color w:val="000000" w:themeColor="text1"/>
        </w:rPr>
        <w:t>KD</w:t>
      </w:r>
      <w:r w:rsidR="009E2FB3" w:rsidRPr="00D0161E">
        <w:rPr>
          <w:color w:val="000000" w:themeColor="text1"/>
        </w:rPr>
        <w:t xml:space="preserve"> 60 min after exposure for 3 min in a cone bioassay</w:t>
      </w:r>
      <w:r w:rsidR="007F3AA3" w:rsidRPr="00D0161E">
        <w:rPr>
          <w:color w:val="000000" w:themeColor="text1"/>
        </w:rPr>
        <w:t xml:space="preserve"> </w:t>
      </w:r>
      <w:r w:rsidR="00BD1AEC" w:rsidRPr="00D0161E">
        <w:rPr>
          <w:color w:val="000000" w:themeColor="text1"/>
        </w:rPr>
        <w:fldChar w:fldCharType="begin" w:fldLock="1"/>
      </w:r>
      <w:r w:rsidR="00B63A44">
        <w:rPr>
          <w:color w:val="000000" w:themeColor="text1"/>
        </w:rPr>
        <w:instrText>ADDIN CSL_CITATION {"citationItems":[{"id":"ITEM-1","itemData":{"ISSN":"9241505273","author":[{"dropping-particle":"","family":"WHO","given":"","non-dropping-particle":"","parse-names":false,"suffix":""}],"id":"ITEM-1","issued":{"date-parts":[["2013"]]},"publisher":"World Health Organization","publisher-place":"Geneva","title":"Guidelines for laboratory and field-testing of long-lasting insecticidal nets","type":"report"},"uris":["http://www.mendeley.com/documents/?uuid=7316b03b-169a-3b68-81c1-ba16d0852f2e"]}],"mendeley":{"formattedCitation":"[21]","plainTextFormattedCitation":"[21]","previouslyFormattedCitation":"[21]"},"properties":{"noteIndex":0},"schema":"https://github.com/citation-style-language/schema/raw/master/csl-citation.json"}</w:instrText>
      </w:r>
      <w:r w:rsidR="00BD1AEC" w:rsidRPr="00D0161E">
        <w:rPr>
          <w:color w:val="000000" w:themeColor="text1"/>
        </w:rPr>
        <w:fldChar w:fldCharType="separate"/>
      </w:r>
      <w:r w:rsidR="00B63A44" w:rsidRPr="00B63A44">
        <w:rPr>
          <w:noProof/>
          <w:color w:val="000000" w:themeColor="text1"/>
        </w:rPr>
        <w:t>[21]</w:t>
      </w:r>
      <w:r w:rsidR="00BD1AEC" w:rsidRPr="00D0161E">
        <w:rPr>
          <w:color w:val="000000" w:themeColor="text1"/>
        </w:rPr>
        <w:fldChar w:fldCharType="end"/>
      </w:r>
      <w:r w:rsidR="009E2FB3" w:rsidRPr="00D0161E">
        <w:rPr>
          <w:color w:val="000000" w:themeColor="text1"/>
        </w:rPr>
        <w:t xml:space="preserve">. No </w:t>
      </w:r>
      <w:r w:rsidR="00585D37">
        <w:rPr>
          <w:color w:val="000000" w:themeColor="text1"/>
        </w:rPr>
        <w:t>KD</w:t>
      </w:r>
      <w:r w:rsidR="009E2FB3" w:rsidRPr="00D0161E">
        <w:rPr>
          <w:color w:val="000000" w:themeColor="text1"/>
        </w:rPr>
        <w:t xml:space="preserve"> was measured in mosquitoes exposed to the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000C5BFA" w:rsidRPr="00D0161E">
        <w:rPr>
          <w:color w:val="000000" w:themeColor="text1"/>
        </w:rPr>
        <w:t xml:space="preserve"> SC-</w:t>
      </w:r>
      <w:r w:rsidR="009E2FB3" w:rsidRPr="00D0161E">
        <w:rPr>
          <w:color w:val="000000" w:themeColor="text1"/>
        </w:rPr>
        <w:t>treated net</w:t>
      </w:r>
      <w:r w:rsidR="000C5BFA" w:rsidRPr="00D0161E">
        <w:rPr>
          <w:color w:val="000000" w:themeColor="text1"/>
        </w:rPr>
        <w:t>ting</w:t>
      </w:r>
      <w:r w:rsidR="00563093" w:rsidRPr="00D0161E">
        <w:rPr>
          <w:color w:val="000000" w:themeColor="text1"/>
        </w:rPr>
        <w:t xml:space="preserve"> (</w:t>
      </w:r>
      <w:r w:rsidR="00585D37" w:rsidRPr="00D0161E">
        <w:rPr>
          <w:color w:val="000000" w:themeColor="text1"/>
        </w:rPr>
        <w:t>Fig</w:t>
      </w:r>
      <w:r w:rsidR="00585D37">
        <w:rPr>
          <w:color w:val="000000" w:themeColor="text1"/>
        </w:rPr>
        <w:t>.</w:t>
      </w:r>
      <w:r w:rsidR="00585D37" w:rsidRPr="00D0161E">
        <w:rPr>
          <w:color w:val="000000" w:themeColor="text1"/>
        </w:rPr>
        <w:t xml:space="preserve"> </w:t>
      </w:r>
      <w:r w:rsidR="003D360B" w:rsidRPr="00D0161E">
        <w:rPr>
          <w:color w:val="000000" w:themeColor="text1"/>
        </w:rPr>
        <w:t>5</w:t>
      </w:r>
      <w:r w:rsidR="00563093" w:rsidRPr="00D0161E">
        <w:rPr>
          <w:color w:val="000000" w:themeColor="text1"/>
        </w:rPr>
        <w:t xml:space="preserve">). Mortality reached the </w:t>
      </w:r>
      <w:r w:rsidR="000C5BFA" w:rsidRPr="00D0161E">
        <w:rPr>
          <w:color w:val="000000" w:themeColor="text1"/>
        </w:rPr>
        <w:t>≥</w:t>
      </w:r>
      <w:r w:rsidR="00563093" w:rsidRPr="00D0161E">
        <w:rPr>
          <w:color w:val="000000" w:themeColor="text1"/>
        </w:rPr>
        <w:t>80% threshold 24 hours post-exposure at the highe</w:t>
      </w:r>
      <w:r w:rsidR="009D2530" w:rsidRPr="00D0161E">
        <w:rPr>
          <w:color w:val="000000" w:themeColor="text1"/>
        </w:rPr>
        <w:t>st</w:t>
      </w:r>
      <w:r w:rsidR="00563093" w:rsidRPr="00D0161E">
        <w:rPr>
          <w:color w:val="000000" w:themeColor="text1"/>
        </w:rPr>
        <w:t xml:space="preserve"> concentration tested </w:t>
      </w:r>
      <w:r w:rsidR="000C5BFA" w:rsidRPr="00D0161E">
        <w:rPr>
          <w:color w:val="000000" w:themeColor="text1"/>
        </w:rPr>
        <w:t xml:space="preserve">following </w:t>
      </w:r>
      <w:r w:rsidR="00563093" w:rsidRPr="00D0161E">
        <w:rPr>
          <w:color w:val="000000" w:themeColor="text1"/>
        </w:rPr>
        <w:t>a 3</w:t>
      </w:r>
      <w:r w:rsidR="009D2530" w:rsidRPr="00D0161E">
        <w:rPr>
          <w:color w:val="000000" w:themeColor="text1"/>
        </w:rPr>
        <w:t>-</w:t>
      </w:r>
      <w:r w:rsidR="00563093" w:rsidRPr="00D0161E">
        <w:rPr>
          <w:color w:val="000000" w:themeColor="text1"/>
        </w:rPr>
        <w:t>min exposure</w:t>
      </w:r>
      <w:r w:rsidR="000C5BFA" w:rsidRPr="00D0161E">
        <w:rPr>
          <w:color w:val="000000" w:themeColor="text1"/>
        </w:rPr>
        <w:t xml:space="preserve"> in cones</w:t>
      </w:r>
      <w:r w:rsidR="007F3AA3" w:rsidRPr="00D0161E">
        <w:rPr>
          <w:color w:val="000000" w:themeColor="text1"/>
        </w:rPr>
        <w:t>, a</w:t>
      </w:r>
      <w:r w:rsidR="000C5BFA" w:rsidRPr="00D0161E">
        <w:rPr>
          <w:color w:val="000000" w:themeColor="text1"/>
        </w:rPr>
        <w:t xml:space="preserve"> concentration approximately</w:t>
      </w:r>
      <w:r w:rsidR="007F3AA3" w:rsidRPr="00D0161E">
        <w:rPr>
          <w:color w:val="000000" w:themeColor="text1"/>
        </w:rPr>
        <w:t xml:space="preserve"> </w:t>
      </w:r>
      <w:r w:rsidR="00585D37">
        <w:rPr>
          <w:color w:val="000000" w:themeColor="text1"/>
        </w:rPr>
        <w:t>10</w:t>
      </w:r>
      <w:r w:rsidR="00585D37" w:rsidRPr="00D0161E">
        <w:rPr>
          <w:color w:val="000000" w:themeColor="text1"/>
        </w:rPr>
        <w:t xml:space="preserve"> </w:t>
      </w:r>
      <w:r w:rsidR="007F3AA3" w:rsidRPr="00D0161E">
        <w:rPr>
          <w:color w:val="000000" w:themeColor="text1"/>
        </w:rPr>
        <w:t>times greater than the concentration of deltamethrin in the control</w:t>
      </w:r>
      <w:r w:rsidR="000C5BFA" w:rsidRPr="00D0161E">
        <w:rPr>
          <w:color w:val="000000" w:themeColor="text1"/>
        </w:rPr>
        <w:t xml:space="preserve"> net </w:t>
      </w:r>
      <w:r w:rsidR="007F3AA3" w:rsidRPr="00D0161E">
        <w:rPr>
          <w:color w:val="000000" w:themeColor="text1"/>
        </w:rPr>
        <w:t>s</w:t>
      </w:r>
      <w:r w:rsidR="000C5BFA" w:rsidRPr="00D0161E">
        <w:rPr>
          <w:color w:val="000000" w:themeColor="text1"/>
        </w:rPr>
        <w:t>ample</w:t>
      </w:r>
      <w:r w:rsidR="007F3AA3" w:rsidRPr="00D0161E">
        <w:rPr>
          <w:color w:val="000000" w:themeColor="text1"/>
        </w:rPr>
        <w:t>,</w:t>
      </w:r>
      <w:r w:rsidR="00563093" w:rsidRPr="00D0161E">
        <w:rPr>
          <w:color w:val="000000" w:themeColor="text1"/>
        </w:rPr>
        <w:t xml:space="preserve"> but only </w:t>
      </w:r>
      <w:r w:rsidR="000C5BFA" w:rsidRPr="00D0161E">
        <w:rPr>
          <w:color w:val="000000" w:themeColor="text1"/>
        </w:rPr>
        <w:t xml:space="preserve">reached this threshold </w:t>
      </w:r>
      <w:r w:rsidR="009D2530" w:rsidRPr="00D0161E">
        <w:rPr>
          <w:color w:val="000000" w:themeColor="text1"/>
        </w:rPr>
        <w:t xml:space="preserve">48 or 72 hours post-exposure at the lower concentrations. </w:t>
      </w:r>
      <w:bookmarkStart w:id="38" w:name="_Hlk50468735"/>
      <w:r w:rsidR="009D2530" w:rsidRPr="00D0161E">
        <w:rPr>
          <w:color w:val="000000" w:themeColor="text1"/>
        </w:rPr>
        <w:t xml:space="preserve">Exposing female adults to the net samples for 20 min </w:t>
      </w:r>
      <w:r w:rsidR="001C7CD7" w:rsidRPr="00D0161E">
        <w:rPr>
          <w:color w:val="000000" w:themeColor="text1"/>
        </w:rPr>
        <w:t>only slightly</w:t>
      </w:r>
      <w:r w:rsidR="000C5BFA" w:rsidRPr="00D0161E">
        <w:rPr>
          <w:color w:val="000000" w:themeColor="text1"/>
        </w:rPr>
        <w:t xml:space="preserve"> </w:t>
      </w:r>
      <w:r w:rsidR="009D2530" w:rsidRPr="00D0161E">
        <w:rPr>
          <w:color w:val="000000" w:themeColor="text1"/>
        </w:rPr>
        <w:t>increase</w:t>
      </w:r>
      <w:r w:rsidR="001C7CD7" w:rsidRPr="00D0161E">
        <w:rPr>
          <w:color w:val="000000" w:themeColor="text1"/>
        </w:rPr>
        <w:t>d the</w:t>
      </w:r>
      <w:r w:rsidR="009D2530" w:rsidRPr="00D0161E">
        <w:rPr>
          <w:color w:val="000000" w:themeColor="text1"/>
        </w:rPr>
        <w:t xml:space="preserve"> </w:t>
      </w:r>
      <w:r w:rsidR="000C5BFA" w:rsidRPr="00D0161E">
        <w:rPr>
          <w:color w:val="000000" w:themeColor="text1"/>
        </w:rPr>
        <w:t xml:space="preserve">observed </w:t>
      </w:r>
      <w:r w:rsidR="009D2530" w:rsidRPr="00D0161E">
        <w:rPr>
          <w:color w:val="000000" w:themeColor="text1"/>
        </w:rPr>
        <w:t xml:space="preserve">mortality. </w:t>
      </w:r>
      <w:bookmarkEnd w:id="38"/>
    </w:p>
    <w:p w14:paraId="629758A5" w14:textId="77777777" w:rsidR="0099169D" w:rsidRPr="00D0161E" w:rsidRDefault="0099169D" w:rsidP="00D0161E">
      <w:pPr>
        <w:spacing w:line="480" w:lineRule="auto"/>
        <w:rPr>
          <w:color w:val="000000" w:themeColor="text1"/>
        </w:rPr>
      </w:pPr>
    </w:p>
    <w:p w14:paraId="6330A99A" w14:textId="5A1B94D1" w:rsidR="00B72EB8" w:rsidRPr="00D0161E" w:rsidRDefault="00B72EB8" w:rsidP="00D0161E">
      <w:pPr>
        <w:pStyle w:val="Heading3"/>
        <w:spacing w:before="0" w:line="480" w:lineRule="auto"/>
        <w:rPr>
          <w:rFonts w:ascii="Times New Roman" w:hAnsi="Times New Roman"/>
          <w:b/>
          <w:color w:val="000000" w:themeColor="text1"/>
        </w:rPr>
      </w:pPr>
      <w:r w:rsidRPr="00D0161E">
        <w:rPr>
          <w:rFonts w:ascii="Times New Roman" w:hAnsi="Times New Roman"/>
          <w:b/>
          <w:color w:val="000000" w:themeColor="text1"/>
        </w:rPr>
        <w:t xml:space="preserve">Cross </w:t>
      </w:r>
      <w:r w:rsidR="00585D37">
        <w:rPr>
          <w:rFonts w:ascii="Times New Roman" w:hAnsi="Times New Roman"/>
          <w:b/>
          <w:color w:val="000000" w:themeColor="text1"/>
        </w:rPr>
        <w:t>r</w:t>
      </w:r>
      <w:r w:rsidRPr="00D0161E">
        <w:rPr>
          <w:rFonts w:ascii="Times New Roman" w:hAnsi="Times New Roman"/>
          <w:b/>
          <w:color w:val="000000" w:themeColor="text1"/>
        </w:rPr>
        <w:t xml:space="preserve">esistance liability </w:t>
      </w:r>
    </w:p>
    <w:p w14:paraId="5CE755DB" w14:textId="77777777" w:rsidR="00B72EB8"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 xml:space="preserve">Calculating resistance ratios </w:t>
      </w:r>
      <w:r w:rsidRPr="00025A3F">
        <w:rPr>
          <w:rFonts w:ascii="Times New Roman" w:hAnsi="Times New Roman"/>
          <w:b/>
          <w:iCs w:val="0"/>
          <w:color w:val="000000" w:themeColor="text1"/>
          <w:sz w:val="24"/>
        </w:rPr>
        <w:t>in vivo</w:t>
      </w:r>
    </w:p>
    <w:p w14:paraId="31D59564" w14:textId="4403B9F3" w:rsidR="000278E4" w:rsidRPr="00D0161E" w:rsidRDefault="001000C9" w:rsidP="00D0161E">
      <w:pPr>
        <w:spacing w:line="480" w:lineRule="auto"/>
        <w:rPr>
          <w:color w:val="000000" w:themeColor="text1"/>
        </w:rPr>
      </w:pPr>
      <w:r w:rsidRPr="00D0161E">
        <w:rPr>
          <w:color w:val="000000" w:themeColor="text1"/>
        </w:rPr>
        <w:t>The LC</w:t>
      </w:r>
      <w:r w:rsidRPr="00D0161E">
        <w:rPr>
          <w:color w:val="000000" w:themeColor="text1"/>
          <w:vertAlign w:val="subscript"/>
        </w:rPr>
        <w:t>50</w:t>
      </w:r>
      <w:r w:rsidRPr="00D0161E">
        <w:rPr>
          <w:color w:val="000000" w:themeColor="text1"/>
        </w:rPr>
        <w:t xml:space="preserve"> values for each strain (</w:t>
      </w:r>
      <w:r w:rsidR="00597F7E" w:rsidRPr="00D0161E">
        <w:rPr>
          <w:color w:val="000000" w:themeColor="text1"/>
        </w:rPr>
        <w:t xml:space="preserve">and </w:t>
      </w:r>
      <w:r w:rsidRPr="00D0161E">
        <w:rPr>
          <w:color w:val="000000" w:themeColor="text1"/>
        </w:rPr>
        <w:t xml:space="preserve">95% CI) </w:t>
      </w:r>
      <w:r w:rsidR="005E57D7" w:rsidRPr="00D0161E">
        <w:rPr>
          <w:color w:val="000000" w:themeColor="text1"/>
        </w:rPr>
        <w:t xml:space="preserve">calculated using mosquitoes from each strain exposed to filter papers with a range of concentrations in a WHO tube assay </w:t>
      </w:r>
      <w:r w:rsidRPr="00D0161E">
        <w:rPr>
          <w:color w:val="000000" w:themeColor="text1"/>
        </w:rPr>
        <w:t>were as follows: Kisumu 0.11% (0.067-0.16%</w:t>
      </w:r>
      <w:r w:rsidR="00597F7E" w:rsidRPr="00D0161E">
        <w:rPr>
          <w:color w:val="000000" w:themeColor="text1"/>
        </w:rPr>
        <w:t xml:space="preserve">, </w:t>
      </w:r>
      <w:r w:rsidR="002C22B5" w:rsidRPr="00D0161E">
        <w:rPr>
          <w:color w:val="000000" w:themeColor="text1"/>
        </w:rPr>
        <w:t>Chi</w:t>
      </w:r>
      <w:r w:rsidR="002C22B5" w:rsidRPr="00D0161E">
        <w:rPr>
          <w:color w:val="000000" w:themeColor="text1"/>
          <w:vertAlign w:val="superscript"/>
        </w:rPr>
        <w:t>2</w:t>
      </w:r>
      <w:r w:rsidR="002C22B5" w:rsidRPr="00D0161E">
        <w:rPr>
          <w:color w:val="000000" w:themeColor="text1"/>
        </w:rPr>
        <w:t xml:space="preserve"> = 24.46, df = 6, </w:t>
      </w:r>
      <w:r w:rsidR="00597F7E" w:rsidRPr="00D0161E">
        <w:rPr>
          <w:color w:val="000000" w:themeColor="text1"/>
        </w:rPr>
        <w:t>p&lt;0.001</w:t>
      </w:r>
      <w:r w:rsidRPr="00D0161E">
        <w:rPr>
          <w:color w:val="000000" w:themeColor="text1"/>
        </w:rPr>
        <w:t>), Kisumu RDL 0.19% (0.156-0.232%</w:t>
      </w:r>
      <w:r w:rsidR="002C22B5" w:rsidRPr="00D0161E">
        <w:rPr>
          <w:color w:val="000000" w:themeColor="text1"/>
        </w:rPr>
        <w:t>, df = 6, Chi</w:t>
      </w:r>
      <w:r w:rsidR="002C22B5" w:rsidRPr="00D0161E">
        <w:rPr>
          <w:color w:val="000000" w:themeColor="text1"/>
          <w:vertAlign w:val="superscript"/>
        </w:rPr>
        <w:t>2</w:t>
      </w:r>
      <w:r w:rsidR="002C22B5" w:rsidRPr="00D0161E">
        <w:rPr>
          <w:color w:val="000000" w:themeColor="text1"/>
        </w:rPr>
        <w:t xml:space="preserve"> = 17.20, df = 6, p&lt;0.01</w:t>
      </w:r>
      <w:r w:rsidRPr="00D0161E">
        <w:rPr>
          <w:color w:val="000000" w:themeColor="text1"/>
        </w:rPr>
        <w:t>), New Orleans 0.14% (0.131-0.157%</w:t>
      </w:r>
      <w:r w:rsidR="002C22B5" w:rsidRPr="00D0161E">
        <w:rPr>
          <w:color w:val="000000" w:themeColor="text1"/>
        </w:rPr>
        <w:t>, Chi</w:t>
      </w:r>
      <w:r w:rsidR="002C22B5" w:rsidRPr="00D0161E">
        <w:rPr>
          <w:color w:val="000000" w:themeColor="text1"/>
          <w:vertAlign w:val="superscript"/>
        </w:rPr>
        <w:t>2</w:t>
      </w:r>
      <w:r w:rsidR="002C22B5" w:rsidRPr="00D0161E">
        <w:rPr>
          <w:color w:val="000000" w:themeColor="text1"/>
        </w:rPr>
        <w:t xml:space="preserve"> = 3.24, p</w:t>
      </w:r>
      <w:r w:rsidR="002C22B5" w:rsidRPr="00D0161E">
        <w:rPr>
          <w:color w:val="000000" w:themeColor="text1"/>
          <w:vertAlign w:val="subscript"/>
        </w:rPr>
        <w:t>[0.05, df=6]</w:t>
      </w:r>
      <w:r w:rsidR="002C22B5" w:rsidRPr="00D0161E">
        <w:rPr>
          <w:color w:val="000000" w:themeColor="text1"/>
        </w:rPr>
        <w:t xml:space="preserve"> = 3.24</w:t>
      </w:r>
      <w:r w:rsidRPr="00D0161E">
        <w:rPr>
          <w:color w:val="000000" w:themeColor="text1"/>
        </w:rPr>
        <w:t>) and Tiassalé 2 0.37% (0.258-0.518%</w:t>
      </w:r>
      <w:r w:rsidR="002C22B5" w:rsidRPr="00D0161E">
        <w:rPr>
          <w:color w:val="000000" w:themeColor="text1"/>
        </w:rPr>
        <w:t>, Chi</w:t>
      </w:r>
      <w:r w:rsidR="002C22B5" w:rsidRPr="00D0161E">
        <w:rPr>
          <w:color w:val="000000" w:themeColor="text1"/>
          <w:vertAlign w:val="superscript"/>
        </w:rPr>
        <w:t>2</w:t>
      </w:r>
      <w:r w:rsidR="002C22B5" w:rsidRPr="00D0161E">
        <w:rPr>
          <w:color w:val="000000" w:themeColor="text1"/>
        </w:rPr>
        <w:t xml:space="preserve"> = 43.06, df = 6, p&lt;0.001</w:t>
      </w:r>
      <w:r w:rsidRPr="00D0161E">
        <w:rPr>
          <w:color w:val="000000" w:themeColor="text1"/>
        </w:rPr>
        <w:t>)</w:t>
      </w:r>
      <w:r w:rsidR="002C22B5" w:rsidRPr="00D0161E">
        <w:rPr>
          <w:color w:val="000000" w:themeColor="text1"/>
        </w:rPr>
        <w:t>.</w:t>
      </w:r>
      <w:r w:rsidRPr="00D0161E">
        <w:rPr>
          <w:color w:val="000000" w:themeColor="text1"/>
        </w:rPr>
        <w:t xml:space="preserve"> </w:t>
      </w:r>
      <w:r w:rsidR="002C22B5" w:rsidRPr="00D0161E">
        <w:rPr>
          <w:color w:val="000000" w:themeColor="text1"/>
        </w:rPr>
        <w:t>Kisumu RDL</w:t>
      </w:r>
      <w:r w:rsidRPr="00D0161E">
        <w:rPr>
          <w:color w:val="000000" w:themeColor="text1"/>
        </w:rPr>
        <w:t xml:space="preserve"> and Tiassalé 2 were</w:t>
      </w:r>
      <w:r w:rsidR="0065348A" w:rsidRPr="00D0161E">
        <w:rPr>
          <w:color w:val="000000" w:themeColor="text1"/>
        </w:rPr>
        <w:t>,</w:t>
      </w:r>
      <w:r w:rsidRPr="00D0161E">
        <w:rPr>
          <w:color w:val="000000" w:themeColor="text1"/>
        </w:rPr>
        <w:t xml:space="preserve"> </w:t>
      </w:r>
      <w:r w:rsidR="002C22B5" w:rsidRPr="00D0161E">
        <w:rPr>
          <w:color w:val="000000" w:themeColor="text1"/>
        </w:rPr>
        <w:t>therefore</w:t>
      </w:r>
      <w:r w:rsidR="0065348A" w:rsidRPr="00D0161E">
        <w:rPr>
          <w:color w:val="000000" w:themeColor="text1"/>
        </w:rPr>
        <w:t>,</w:t>
      </w:r>
      <w:r w:rsidR="002C22B5" w:rsidRPr="00D0161E">
        <w:rPr>
          <w:color w:val="000000" w:themeColor="text1"/>
        </w:rPr>
        <w:t xml:space="preserve"> </w:t>
      </w:r>
      <w:r w:rsidRPr="00D0161E">
        <w:rPr>
          <w:color w:val="000000" w:themeColor="text1"/>
        </w:rPr>
        <w:t xml:space="preserve">significantly (p&lt;0.05) more </w:t>
      </w:r>
      <w:r w:rsidR="0065348A" w:rsidRPr="00D0161E">
        <w:rPr>
          <w:color w:val="000000" w:themeColor="text1"/>
        </w:rPr>
        <w:t>tolerant</w:t>
      </w:r>
      <w:r w:rsidRPr="00D0161E">
        <w:rPr>
          <w:color w:val="000000" w:themeColor="text1"/>
        </w:rPr>
        <w:t xml:space="preserve"> to </w:t>
      </w:r>
      <w:r w:rsidR="0065348A" w:rsidRPr="00D0161E">
        <w:rPr>
          <w:color w:val="000000" w:themeColor="text1"/>
        </w:rPr>
        <w:t xml:space="preserve">the </w:t>
      </w:r>
      <w:proofErr w:type="spellStart"/>
      <w:r w:rsidR="00D54567" w:rsidRPr="00D54567">
        <w:rPr>
          <w:color w:val="000000" w:themeColor="text1"/>
          <w:szCs w:val="22"/>
        </w:rPr>
        <w:t>Tenebenal</w:t>
      </w:r>
      <w:r w:rsidR="007556AB" w:rsidRPr="00D0161E">
        <w:rPr>
          <w:b/>
          <w:bCs/>
          <w:color w:val="000000" w:themeColor="text1"/>
          <w:vertAlign w:val="superscript"/>
        </w:rPr>
        <w:t>TM</w:t>
      </w:r>
      <w:proofErr w:type="spellEnd"/>
      <w:r w:rsidRPr="00D0161E">
        <w:rPr>
          <w:color w:val="000000" w:themeColor="text1"/>
        </w:rPr>
        <w:t xml:space="preserve"> </w:t>
      </w:r>
      <w:r w:rsidR="0065348A" w:rsidRPr="00D0161E">
        <w:rPr>
          <w:color w:val="000000" w:themeColor="text1"/>
        </w:rPr>
        <w:t xml:space="preserve">insecticide </w:t>
      </w:r>
      <w:r w:rsidRPr="00D0161E">
        <w:rPr>
          <w:color w:val="000000" w:themeColor="text1"/>
        </w:rPr>
        <w:t xml:space="preserve">than the </w:t>
      </w:r>
      <w:r w:rsidR="0065348A" w:rsidRPr="00D0161E">
        <w:rPr>
          <w:color w:val="000000" w:themeColor="text1"/>
        </w:rPr>
        <w:t xml:space="preserve">standard susceptible </w:t>
      </w:r>
      <w:r w:rsidRPr="00D0161E">
        <w:rPr>
          <w:color w:val="000000" w:themeColor="text1"/>
        </w:rPr>
        <w:t>strain Kisumu, but New Orleans</w:t>
      </w:r>
      <w:r w:rsidR="002C22B5" w:rsidRPr="00D0161E">
        <w:rPr>
          <w:color w:val="000000" w:themeColor="text1"/>
        </w:rPr>
        <w:t xml:space="preserve"> was not</w:t>
      </w:r>
      <w:r w:rsidRPr="00D0161E">
        <w:rPr>
          <w:color w:val="000000" w:themeColor="text1"/>
        </w:rPr>
        <w:t xml:space="preserve">. </w:t>
      </w:r>
      <w:r w:rsidR="002C22B5" w:rsidRPr="00D0161E">
        <w:rPr>
          <w:color w:val="000000" w:themeColor="text1"/>
        </w:rPr>
        <w:t>T</w:t>
      </w:r>
      <w:r w:rsidRPr="00D0161E">
        <w:rPr>
          <w:color w:val="000000" w:themeColor="text1"/>
        </w:rPr>
        <w:t xml:space="preserve">he resistance ratios were </w:t>
      </w:r>
      <w:r w:rsidR="002C22B5" w:rsidRPr="00D0161E">
        <w:rPr>
          <w:color w:val="000000" w:themeColor="text1"/>
        </w:rPr>
        <w:t xml:space="preserve">1.73 for Kisumu RDL, 1.27 for New Orleans and 3.36 for Tiassalé 2. </w:t>
      </w:r>
      <w:bookmarkStart w:id="39" w:name="_Hlk50470770"/>
      <w:r w:rsidR="0065348A" w:rsidRPr="00D0161E">
        <w:rPr>
          <w:color w:val="000000" w:themeColor="text1"/>
        </w:rPr>
        <w:t>These small resistance ratios likely arise from difference</w:t>
      </w:r>
      <w:r w:rsidR="00122A77" w:rsidRPr="00D0161E">
        <w:rPr>
          <w:color w:val="000000" w:themeColor="text1"/>
        </w:rPr>
        <w:t>s</w:t>
      </w:r>
      <w:r w:rsidR="0065348A" w:rsidRPr="00D0161E">
        <w:rPr>
          <w:color w:val="000000" w:themeColor="text1"/>
        </w:rPr>
        <w:t xml:space="preserve"> in the fitness of </w:t>
      </w:r>
      <w:r w:rsidR="00122A77" w:rsidRPr="00D0161E">
        <w:rPr>
          <w:color w:val="000000" w:themeColor="text1"/>
        </w:rPr>
        <w:t>the cohorts of mosquitoes used for this experiment</w:t>
      </w:r>
      <w:r w:rsidR="0065348A" w:rsidRPr="00D0161E">
        <w:rPr>
          <w:color w:val="000000" w:themeColor="text1"/>
        </w:rPr>
        <w:t>, leading to a slightly higher tolerance.</w:t>
      </w:r>
      <w:r w:rsidR="00122A77" w:rsidRPr="00D0161E">
        <w:rPr>
          <w:color w:val="000000" w:themeColor="text1"/>
        </w:rPr>
        <w:t xml:space="preserve"> Further repetition would help to confirm this, but there is at least no evidence for a dramatically reduced mortality in resistant strains compared to Kisumu.</w:t>
      </w:r>
    </w:p>
    <w:bookmarkEnd w:id="39"/>
    <w:p w14:paraId="69D0E735" w14:textId="77777777" w:rsidR="00B72EB8" w:rsidRPr="00D0161E" w:rsidRDefault="00B72EB8" w:rsidP="00D0161E">
      <w:pPr>
        <w:spacing w:line="480" w:lineRule="auto"/>
        <w:rPr>
          <w:color w:val="000000" w:themeColor="text1"/>
        </w:rPr>
      </w:pPr>
    </w:p>
    <w:p w14:paraId="0E42B9D8" w14:textId="77777777" w:rsidR="0099169D" w:rsidRPr="00025A3F" w:rsidRDefault="00BD1AEC" w:rsidP="00D0161E">
      <w:pPr>
        <w:pStyle w:val="Heading4"/>
        <w:spacing w:before="0" w:line="480" w:lineRule="auto"/>
        <w:rPr>
          <w:rFonts w:ascii="Times New Roman" w:hAnsi="Times New Roman"/>
          <w:b/>
          <w:i w:val="0"/>
          <w:color w:val="000000" w:themeColor="text1"/>
          <w:sz w:val="24"/>
        </w:rPr>
      </w:pPr>
      <w:r w:rsidRPr="00025A3F">
        <w:rPr>
          <w:rFonts w:ascii="Times New Roman" w:hAnsi="Times New Roman"/>
          <w:b/>
          <w:i w:val="0"/>
          <w:color w:val="000000" w:themeColor="text1"/>
          <w:sz w:val="24"/>
        </w:rPr>
        <w:t xml:space="preserve">Screening for target site mutations </w:t>
      </w:r>
      <w:r w:rsidRPr="00025A3F">
        <w:rPr>
          <w:rFonts w:ascii="Times New Roman" w:hAnsi="Times New Roman"/>
          <w:b/>
          <w:color w:val="000000" w:themeColor="text1"/>
          <w:sz w:val="24"/>
        </w:rPr>
        <w:t>in silico</w:t>
      </w:r>
    </w:p>
    <w:p w14:paraId="30E041ED" w14:textId="7C2FD085" w:rsidR="0099169D" w:rsidRPr="00D0161E" w:rsidRDefault="00720460" w:rsidP="00D0161E">
      <w:pPr>
        <w:spacing w:line="480" w:lineRule="auto"/>
        <w:rPr>
          <w:color w:val="000000" w:themeColor="text1"/>
        </w:rPr>
      </w:pPr>
      <w:r w:rsidRPr="00D0161E">
        <w:rPr>
          <w:color w:val="000000" w:themeColor="text1"/>
        </w:rPr>
        <w:t xml:space="preserve">Three amino acids have previously been </w:t>
      </w:r>
      <w:proofErr w:type="spellStart"/>
      <w:r w:rsidRPr="00D0161E">
        <w:rPr>
          <w:color w:val="000000" w:themeColor="text1"/>
        </w:rPr>
        <w:t>indentified</w:t>
      </w:r>
      <w:proofErr w:type="spellEnd"/>
      <w:r w:rsidRPr="00D0161E">
        <w:rPr>
          <w:color w:val="000000" w:themeColor="text1"/>
        </w:rPr>
        <w:t xml:space="preserve"> that disrupt the efficacy of </w:t>
      </w:r>
      <w:proofErr w:type="spellStart"/>
      <w:r w:rsidR="00D54567" w:rsidRPr="00D54567">
        <w:rPr>
          <w:color w:val="000000" w:themeColor="text1"/>
          <w:szCs w:val="22"/>
        </w:rPr>
        <w:t>Tenebenal</w:t>
      </w:r>
      <w:r w:rsidR="00B651FB" w:rsidRPr="00025A3F">
        <w:rPr>
          <w:b/>
          <w:bCs/>
          <w:color w:val="000000" w:themeColor="text1"/>
          <w:vertAlign w:val="superscript"/>
        </w:rPr>
        <w:t>TM</w:t>
      </w:r>
      <w:proofErr w:type="spellEnd"/>
      <w:r w:rsidRPr="00D0161E">
        <w:rPr>
          <w:color w:val="000000" w:themeColor="text1"/>
        </w:rPr>
        <w:t xml:space="preserve"> binding: G336, I277 and L281</w:t>
      </w:r>
      <w:r w:rsidR="00E661D6" w:rsidRPr="00D0161E">
        <w:rPr>
          <w:color w:val="000000" w:themeColor="text1"/>
        </w:rPr>
        <w:t xml:space="preserve"> corresponding to G331, I272 and L276 in </w:t>
      </w:r>
      <w:r w:rsidR="00E661D6" w:rsidRPr="00D0161E">
        <w:rPr>
          <w:i/>
          <w:iCs/>
          <w:color w:val="000000" w:themeColor="text1"/>
        </w:rPr>
        <w:t>An. gambiae</w:t>
      </w:r>
      <w:r w:rsidRPr="00D0161E">
        <w:rPr>
          <w:color w:val="000000" w:themeColor="text1"/>
        </w:rPr>
        <w:t xml:space="preserve">. These amino acids surround the binding pocket of </w:t>
      </w:r>
      <w:proofErr w:type="spellStart"/>
      <w:r w:rsidR="00D54567" w:rsidRPr="00D54567">
        <w:rPr>
          <w:color w:val="000000" w:themeColor="text1"/>
          <w:szCs w:val="22"/>
        </w:rPr>
        <w:t>Tenebenal</w:t>
      </w:r>
      <w:r w:rsidR="00D54567" w:rsidRPr="00025A3F">
        <w:rPr>
          <w:b/>
          <w:bCs/>
          <w:color w:val="000000" w:themeColor="text1"/>
          <w:szCs w:val="22"/>
          <w:vertAlign w:val="superscript"/>
        </w:rPr>
        <w:t>TM</w:t>
      </w:r>
      <w:proofErr w:type="spellEnd"/>
      <w:r w:rsidRPr="00D0161E">
        <w:rPr>
          <w:color w:val="000000" w:themeColor="text1"/>
        </w:rPr>
        <w:t xml:space="preserve"> and any mutations in natural </w:t>
      </w:r>
      <w:r w:rsidRPr="00D0161E">
        <w:rPr>
          <w:i/>
          <w:iCs/>
          <w:color w:val="000000" w:themeColor="text1"/>
        </w:rPr>
        <w:t xml:space="preserve">Anopheles </w:t>
      </w:r>
      <w:r w:rsidRPr="00D0161E">
        <w:rPr>
          <w:color w:val="000000" w:themeColor="text1"/>
        </w:rPr>
        <w:t xml:space="preserve">vectors at these positions could result in resistance to this compound. </w:t>
      </w:r>
      <w:bookmarkStart w:id="40" w:name="_Hlk50479665"/>
      <w:r w:rsidRPr="00D0161E">
        <w:rPr>
          <w:color w:val="000000" w:themeColor="text1"/>
        </w:rPr>
        <w:t>To determine the risk of target site resistance in field</w:t>
      </w:r>
      <w:r w:rsidR="006F3AC6" w:rsidRPr="00D0161E">
        <w:rPr>
          <w:color w:val="000000" w:themeColor="text1"/>
        </w:rPr>
        <w:t xml:space="preserve"> populations</w:t>
      </w:r>
      <w:r w:rsidRPr="00D0161E">
        <w:rPr>
          <w:color w:val="000000" w:themeColor="text1"/>
        </w:rPr>
        <w:t>,</w:t>
      </w:r>
      <w:bookmarkEnd w:id="40"/>
      <w:r w:rsidRPr="00D0161E">
        <w:rPr>
          <w:color w:val="000000" w:themeColor="text1"/>
        </w:rPr>
        <w:t xml:space="preserve"> the</w:t>
      </w:r>
      <w:r w:rsidR="00E342C8" w:rsidRPr="00D0161E">
        <w:rPr>
          <w:color w:val="000000" w:themeColor="text1"/>
        </w:rPr>
        <w:t xml:space="preserve"> Phase 2</w:t>
      </w:r>
      <w:r w:rsidRPr="00D0161E">
        <w:rPr>
          <w:color w:val="000000" w:themeColor="text1"/>
        </w:rPr>
        <w:t xml:space="preserve"> Ag1000 was screened for all</w:t>
      </w:r>
      <w:r w:rsidR="00036C9E" w:rsidRPr="00D0161E">
        <w:rPr>
          <w:color w:val="000000" w:themeColor="text1"/>
        </w:rPr>
        <w:t xml:space="preserve"> variation, including</w:t>
      </w:r>
      <w:r w:rsidRPr="00D0161E">
        <w:rPr>
          <w:color w:val="000000" w:themeColor="text1"/>
        </w:rPr>
        <w:t xml:space="preserve"> non-synonymous mutations</w:t>
      </w:r>
      <w:r w:rsidR="00E342C8" w:rsidRPr="00D0161E">
        <w:rPr>
          <w:color w:val="000000" w:themeColor="text1"/>
        </w:rPr>
        <w:t xml:space="preserve"> (Supplementary Table</w:t>
      </w:r>
      <w:r w:rsidR="001261BC" w:rsidRPr="00D0161E">
        <w:rPr>
          <w:color w:val="000000" w:themeColor="text1"/>
        </w:rPr>
        <w:t xml:space="preserve"> </w:t>
      </w:r>
      <w:r w:rsidR="00B1007F" w:rsidRPr="00D0161E">
        <w:rPr>
          <w:color w:val="000000" w:themeColor="text1"/>
        </w:rPr>
        <w:t>3</w:t>
      </w:r>
      <w:r w:rsidR="00E342C8" w:rsidRPr="00D0161E">
        <w:rPr>
          <w:color w:val="000000" w:themeColor="text1"/>
        </w:rPr>
        <w:t>)</w:t>
      </w:r>
      <w:r w:rsidRPr="00D0161E">
        <w:rPr>
          <w:color w:val="000000" w:themeColor="text1"/>
        </w:rPr>
        <w:t>. No mutations were found in G33</w:t>
      </w:r>
      <w:r w:rsidR="00E661D6" w:rsidRPr="00D0161E">
        <w:rPr>
          <w:color w:val="000000" w:themeColor="text1"/>
        </w:rPr>
        <w:t>1</w:t>
      </w:r>
      <w:r w:rsidRPr="00D0161E">
        <w:rPr>
          <w:color w:val="000000" w:themeColor="text1"/>
        </w:rPr>
        <w:t>, I27</w:t>
      </w:r>
      <w:r w:rsidR="00E661D6" w:rsidRPr="00D0161E">
        <w:rPr>
          <w:color w:val="000000" w:themeColor="text1"/>
        </w:rPr>
        <w:t>2</w:t>
      </w:r>
      <w:r w:rsidRPr="00D0161E">
        <w:rPr>
          <w:color w:val="000000" w:themeColor="text1"/>
        </w:rPr>
        <w:t xml:space="preserve"> or L2</w:t>
      </w:r>
      <w:r w:rsidR="00E661D6" w:rsidRPr="00D0161E">
        <w:rPr>
          <w:color w:val="000000" w:themeColor="text1"/>
        </w:rPr>
        <w:t>76</w:t>
      </w:r>
      <w:r w:rsidRPr="00D0161E">
        <w:rPr>
          <w:color w:val="000000" w:themeColor="text1"/>
        </w:rPr>
        <w:t>, indicating that resistance to this compound is unlikely to occur in field.</w:t>
      </w:r>
    </w:p>
    <w:p w14:paraId="264DEC41" w14:textId="77777777" w:rsidR="000F7918" w:rsidRPr="00D0161E" w:rsidRDefault="000F7918" w:rsidP="00D0161E">
      <w:pPr>
        <w:spacing w:line="480" w:lineRule="auto"/>
        <w:rPr>
          <w:color w:val="000000" w:themeColor="text1"/>
        </w:rPr>
      </w:pPr>
    </w:p>
    <w:p w14:paraId="166D3436" w14:textId="77777777" w:rsidR="0040258A" w:rsidRPr="00D0161E" w:rsidRDefault="0040258A" w:rsidP="00D0161E">
      <w:pPr>
        <w:spacing w:line="480" w:lineRule="auto"/>
        <w:rPr>
          <w:color w:val="000000" w:themeColor="text1"/>
        </w:rPr>
      </w:pPr>
    </w:p>
    <w:p w14:paraId="7678B0BD" w14:textId="77777777" w:rsidR="000C167F" w:rsidRPr="00D0161E" w:rsidRDefault="0034351B" w:rsidP="00D0161E">
      <w:pPr>
        <w:pStyle w:val="Heading2"/>
        <w:spacing w:before="0" w:line="480" w:lineRule="auto"/>
        <w:rPr>
          <w:rFonts w:ascii="Times New Roman" w:hAnsi="Times New Roman"/>
          <w:b/>
          <w:color w:val="000000" w:themeColor="text1"/>
          <w:sz w:val="24"/>
        </w:rPr>
      </w:pPr>
      <w:r w:rsidRPr="00D0161E">
        <w:rPr>
          <w:rFonts w:ascii="Times New Roman" w:hAnsi="Times New Roman"/>
          <w:b/>
          <w:color w:val="000000" w:themeColor="text1"/>
          <w:sz w:val="24"/>
        </w:rPr>
        <w:t>Discussion</w:t>
      </w:r>
    </w:p>
    <w:p w14:paraId="0F213A8C" w14:textId="77777777" w:rsidR="0097401E" w:rsidRPr="00D0161E" w:rsidRDefault="0097401E" w:rsidP="00D0161E">
      <w:pPr>
        <w:spacing w:line="480" w:lineRule="auto"/>
      </w:pPr>
    </w:p>
    <w:p w14:paraId="08CFD851" w14:textId="11E7D417" w:rsidR="000C167F" w:rsidRPr="00D0161E" w:rsidRDefault="00F77405" w:rsidP="00D0161E">
      <w:pPr>
        <w:spacing w:line="480" w:lineRule="auto"/>
        <w:rPr>
          <w:color w:val="000000" w:themeColor="text1"/>
        </w:rPr>
      </w:pPr>
      <w:r w:rsidRPr="00D0161E">
        <w:rPr>
          <w:color w:val="000000" w:themeColor="text1"/>
        </w:rPr>
        <w:t xml:space="preserve">This study is the first to demonstrate the efficacy of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indeed any meta-diamide pesticide, against mosquito vectors of disease. The efficacy of the compound via tarsal contact against </w:t>
      </w:r>
      <w:r w:rsidRPr="00D0161E">
        <w:rPr>
          <w:i/>
          <w:color w:val="000000" w:themeColor="text1"/>
        </w:rPr>
        <w:t xml:space="preserve">An. gambiae </w:t>
      </w:r>
      <w:r w:rsidRPr="00D0161E">
        <w:rPr>
          <w:color w:val="000000" w:themeColor="text1"/>
        </w:rPr>
        <w:t>and</w:t>
      </w:r>
      <w:r w:rsidRPr="00D0161E">
        <w:rPr>
          <w:i/>
          <w:color w:val="000000" w:themeColor="text1"/>
        </w:rPr>
        <w:t xml:space="preserve"> Ae. aegypti</w:t>
      </w:r>
      <w:r w:rsidRPr="00D0161E">
        <w:rPr>
          <w:color w:val="000000" w:themeColor="text1"/>
        </w:rPr>
        <w:t xml:space="preserve"> mosquitoes, including strains with resistance to multiple classes of insecticide, and an absence of point mutations in the target site in </w:t>
      </w:r>
      <w:r w:rsidR="00BD1AEC" w:rsidRPr="00025A3F">
        <w:rPr>
          <w:i/>
          <w:color w:val="000000" w:themeColor="text1"/>
        </w:rPr>
        <w:t>Anopheles</w:t>
      </w:r>
      <w:r w:rsidRPr="00D0161E">
        <w:rPr>
          <w:color w:val="000000" w:themeColor="text1"/>
        </w:rPr>
        <w:t xml:space="preserve"> genomic data suggests a low risk of cross-resistance when used against field populations. The potential for the use of </w:t>
      </w:r>
      <w:proofErr w:type="spellStart"/>
      <w:proofErr w:type="gram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for</w:t>
      </w:r>
      <w:proofErr w:type="gramEnd"/>
      <w:r w:rsidRPr="00D0161E">
        <w:rPr>
          <w:color w:val="000000" w:themeColor="text1"/>
        </w:rPr>
        <w:t xml:space="preserve"> use in IRS or insecticide</w:t>
      </w:r>
      <w:r w:rsidR="00331CA5">
        <w:rPr>
          <w:color w:val="000000" w:themeColor="text1"/>
        </w:rPr>
        <w:t>-</w:t>
      </w:r>
      <w:r w:rsidRPr="00D0161E">
        <w:rPr>
          <w:color w:val="000000" w:themeColor="text1"/>
        </w:rPr>
        <w:t>treated bed net formulations is demonstrated. A prototype</w:t>
      </w:r>
      <w:r w:rsidRPr="00D0161E">
        <w:rPr>
          <w:rFonts w:cstheme="minorHAnsi"/>
          <w:color w:val="000000" w:themeColor="text1"/>
        </w:rPr>
        <w:t xml:space="preserve"> wettable powder</w:t>
      </w:r>
      <w:r w:rsidRPr="00D0161E">
        <w:rPr>
          <w:color w:val="000000" w:themeColor="text1"/>
        </w:rPr>
        <w:t xml:space="preserve"> </w:t>
      </w:r>
      <w:r w:rsidRPr="00D0161E">
        <w:rPr>
          <w:rFonts w:cstheme="minorHAnsi"/>
          <w:color w:val="000000" w:themeColor="text1"/>
        </w:rPr>
        <w:t>formulation</w:t>
      </w:r>
      <w:r w:rsidRPr="00D0161E">
        <w:rPr>
          <w:color w:val="000000" w:themeColor="text1"/>
        </w:rPr>
        <w:t xml:space="preserve"> showed comparable residual efficacy when compared with existing WHO PQ-VCT listed IRS formulations </w:t>
      </w:r>
      <w:r w:rsidR="00BD1AEC" w:rsidRPr="00D0161E">
        <w:rPr>
          <w:color w:val="000000" w:themeColor="text1"/>
        </w:rPr>
        <w:fldChar w:fldCharType="begin" w:fldLock="1"/>
      </w:r>
      <w:r w:rsidR="00B63A44">
        <w:rPr>
          <w:color w:val="000000" w:themeColor="text1"/>
        </w:rPr>
        <w:instrText>ADDIN CSL_CITATION {"citationItems":[{"id":"ITEM-1","itemData":{"abstract":"This list contains vector control products that have been assessed by WHO and found to be acceptable, in principle, for procurement by UN and other international agencies and countries.","author":[{"dropping-particle":"","family":"WHO","given":"","non-dropping-particle":"","parse-names":false,"suffix":""}],"container-title":"WHO","id":"ITEM-1","issued":{"date-parts":[["2019"]]},"title":"WHO | Prequalified Lists: Vector control products","type":"webpage"},"uris":["http://www.mendeley.com/documents/?uuid=59ad0604-9b44-4bde-93bd-b129edb920ac"]}],"mendeley":{"formattedCitation":"[22]","plainTextFormattedCitation":"[22]","previouslyFormattedCitation":"[22]"},"properties":{"noteIndex":0},"schema":"https://github.com/citation-style-language/schema/raw/master/csl-citation.json"}</w:instrText>
      </w:r>
      <w:r w:rsidR="00BD1AEC" w:rsidRPr="00D0161E">
        <w:rPr>
          <w:color w:val="000000" w:themeColor="text1"/>
        </w:rPr>
        <w:fldChar w:fldCharType="separate"/>
      </w:r>
      <w:r w:rsidR="00B63A44" w:rsidRPr="00B63A44">
        <w:rPr>
          <w:noProof/>
          <w:color w:val="000000" w:themeColor="text1"/>
        </w:rPr>
        <w:t>[22]</w:t>
      </w:r>
      <w:r w:rsidR="00BD1AEC" w:rsidRPr="00D0161E">
        <w:rPr>
          <w:color w:val="000000" w:themeColor="text1"/>
        </w:rPr>
        <w:fldChar w:fldCharType="end"/>
      </w:r>
      <w:r w:rsidRPr="00D0161E">
        <w:rPr>
          <w:color w:val="000000" w:themeColor="text1"/>
        </w:rPr>
        <w:t xml:space="preserve">. The evidence presented here from laboratory bioassays supports the further evaluation of both LLIN and IRS formulations containing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in the laboratory, and if successful in the field</w:t>
      </w:r>
      <w:r w:rsidR="00331CA5">
        <w:rPr>
          <w:color w:val="000000" w:themeColor="text1"/>
        </w:rPr>
        <w:t>,</w:t>
      </w:r>
      <w:r w:rsidRPr="00D0161E">
        <w:rPr>
          <w:color w:val="000000" w:themeColor="text1"/>
        </w:rPr>
        <w:t xml:space="preserve"> against locally dominant mosquito vector populations in relevant settings.</w:t>
      </w:r>
    </w:p>
    <w:p w14:paraId="28AA4B88" w14:textId="77777777" w:rsidR="00F77405" w:rsidRPr="00D0161E" w:rsidRDefault="00F77405" w:rsidP="00D0161E">
      <w:pPr>
        <w:spacing w:line="480" w:lineRule="auto"/>
        <w:rPr>
          <w:color w:val="000000" w:themeColor="text1"/>
        </w:rPr>
      </w:pPr>
    </w:p>
    <w:p w14:paraId="28206B69" w14:textId="0DBA65B0" w:rsidR="000C167F" w:rsidRPr="00D0161E" w:rsidRDefault="00F77405" w:rsidP="00D0161E">
      <w:pPr>
        <w:spacing w:line="480" w:lineRule="auto"/>
        <w:rPr>
          <w:color w:val="000000" w:themeColor="text1"/>
        </w:rPr>
      </w:pPr>
      <w:r w:rsidRPr="00D0161E">
        <w:rPr>
          <w:color w:val="000000" w:themeColor="text1"/>
        </w:rPr>
        <w:t xml:space="preserve">The results from all laboratory bioassays performed suggest that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is an effective and highly potent insecticide against adult mosquitoes. The concentrations used in the topical application assay were orders of magnitude lower than were used in the same protocol to screen compounds for repurposing as public health insecticides (0.01-1%) </w:t>
      </w:r>
      <w:r w:rsidR="00BD1AEC" w:rsidRPr="00D0161E">
        <w:rPr>
          <w:color w:val="000000" w:themeColor="text1"/>
        </w:rPr>
        <w:fldChar w:fldCharType="begin" w:fldLock="1"/>
      </w:r>
      <w:r w:rsidR="00B63A44">
        <w:rPr>
          <w:color w:val="000000" w:themeColor="text1"/>
        </w:rPr>
        <w:instrText>ADDIN CSL_CITATION {"citationItems":[{"id":"ITEM-1","itemData":{"DOI":"10.12688/gatesopenres.12957.2","ISSN":"25724754","abstract":"Background: With insecticide resistance in malaria vectors spreading in geographical range and intensity, there is a need for compounds with novel modes of action to maintain the successes achieved to date by long-lasting insecticidal nets and indoor residual sprays, used as part of an insecticide resistance management strategy. Screening existing registered pesticides, predominantly those developed for use in agriculture, may provide a more rapid and less logistically challenging route to identifying active ingredients of value to public health than screening and chemical synthesis programmes for novel compounds. Methods: Insecticides and acaricides from all IRAC classes, including those with unclassified modes of action, were assessed for inclusion in a laboratory bioassay testing cascade against adult female Anopheles gambiae mosquitoes. A longlist of representative candidate compounds was selected, excluding those with safety concerns, unsuitable physiochemical properties, and likely hurdles to registration for public health use. An initial screen using topical application eliminated compounds with insufficient intrinsic activity, and a tarsal contact assay identified those with activity at an appropriate concentration. Compounds of interest were ranked by relative potency using dose response assays and discriminating dose calculations. Results: Inclusion of an adjuvant enhanced the tarsal efficacy of several compounds, facilitating the promotion of chemistries with great potential, given suitable formulation, which would not progress based on activity of compound alone. Comparison of data between stages in the testing cascade suggest that a more streamlined approach, topical application to test for intrinsic activity and determining the discriminating dose to compare relative potency of compounds, may be sufficient to identify compounds with potential value for use in long lasting insecticidal nets and indoor residual spray products. Conclusions: Identified were 11 compounds of interest as vector control agents (in descending order of potency): clothianidin, spinetoram, metaflumizone, dinotefuran, indoxacarb, abamectin, sulfoxaflor, oxazosulfyl, triflumezopyrim, fenpyroximate, and tolfenpyrad.","author":[{"dropping-particle":"","family":"Lees","given":"Rosemary","non-dropping-particle":"","parse-names":false,"suffix":""},{"dropping-particle":"","family":"Praulins","given":"Giorgio","non-dropping-particle":"","parse-names":false,"suffix":""},{"dropping-particle":"","family":"Davies","given":"Rachel","non-dropping-particle":"","parse-names":false,"suffix":""},{"dropping-particle":"","family":"Brown","given":"Faye","non-dropping-particle":"","parse-names":false,"suffix":""},{"dropping-particle":"","family":"Parsons","given":"George","non-dropping-particle":"","parse-names":false,"suffix":""},{"dropping-particle":"","family":"White","given":"Anthony","non-dropping-particle":"","parse-names":false,"suffix":""},{"dropping-particle":"","family":"Ranson","given":"Hilary","non-dropping-particle":"","parse-names":false,"suffix":""},{"dropping-particle":"","family":"Small","given":"Graham","non-dropping-particle":"","parse-names":false,"suffix":""},{"dropping-particle":"","family":"Malone","given":"David","non-dropping-particle":"","parse-names":false,"suffix":""}],"container-title":"Gates Open Research","id":"ITEM-1","issued":{"date-parts":[["2019"]]},"page":"1464","title":"A testing cascade to identify repurposed insecticides for next-generation vector control tools: Screening a panel of chemistries with novel modes of action against a malaria vector","type":"article-journal","volume":"3"},"uris":["http://www.mendeley.com/documents/?uuid=1acd47f2-bf5d-4856-8545-3d50c29f821a"]}],"mendeley":{"formattedCitation":"[15]","plainTextFormattedCitation":"[15]","previouslyFormattedCitation":"[15]"},"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[15]</w:t>
      </w:r>
      <w:r w:rsidR="00BD1AEC" w:rsidRPr="00D0161E">
        <w:rPr>
          <w:color w:val="000000" w:themeColor="text1"/>
        </w:rPr>
        <w:fldChar w:fldCharType="end"/>
      </w:r>
      <w:r w:rsidRPr="00D0161E">
        <w:rPr>
          <w:color w:val="000000" w:themeColor="text1"/>
        </w:rPr>
        <w:t xml:space="preserve">. This previous screen used a glass plate tarsal contact assay method which differs from the standard WHO susceptibility bioassay where the mosquitoes are exposed to a treated filter paper instead, making direct comparison of potency by tarsal contact difficult. However, the concentrations applied per unit area in each assay were approximately equivalent, and the breakpoint in 24-hour mortality in Kisumu was approximately 10-fold lower for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than for clothianidin, the most potent compound identified by the screen (12). As assessed by discriminating dose,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is more potent than all insecticides previously identified by IVCC as having potential for repurposing for use against malaria vectors</w:t>
      </w:r>
      <w:r w:rsidR="00331CA5">
        <w:rPr>
          <w:color w:val="000000" w:themeColor="text1"/>
        </w:rPr>
        <w:t>,</w:t>
      </w:r>
      <w:r w:rsidRPr="00D0161E">
        <w:rPr>
          <w:color w:val="000000" w:themeColor="text1"/>
        </w:rPr>
        <w:t xml:space="preserve"> apart from clothianidin </w:t>
      </w:r>
      <w:r w:rsidR="00BD1AEC" w:rsidRPr="00D0161E">
        <w:rPr>
          <w:color w:val="000000" w:themeColor="text1"/>
        </w:rPr>
        <w:fldChar w:fldCharType="begin" w:fldLock="1"/>
      </w:r>
      <w:r w:rsidR="00B63A44">
        <w:rPr>
          <w:color w:val="000000" w:themeColor="text1"/>
        </w:rPr>
        <w:instrText>ADDIN CSL_CITATION {"citationItems":[{"id":"ITEM-1","itemData":{"DOI":"10.12688/gatesopenres.12957.2","ISSN":"25724754","abstract":"Background: With insecticide resistance in malaria vectors spreading in geographical range and intensity, there is a need for compounds with novel modes of action to maintain the successes achieved to date by long-lasting insecticidal nets and indoor residual sprays, used as part of an insecticide resistance management strategy. Screening existing registered pesticides, predominantly those developed for use in agriculture, may provide a more rapid and less logistically challenging route to identifying active ingredients of value to public health than screening and chemical synthesis programmes for novel compounds. Methods: Insecticides and acaricides from all IRAC classes, including those with unclassified modes of action, were assessed for inclusion in a laboratory bioassay testing cascade against adult female Anopheles gambiae mosquitoes. A longlist of representative candidate compounds was selected, excluding those with safety concerns, unsuitable physiochemical properties, and likely hurdles to registration for public health use. An initial screen using topical application eliminated compounds with insufficient intrinsic activity, and a tarsal contact assay identified those with activity at an appropriate concentration. Compounds of interest were ranked by relative potency using dose response assays and discriminating dose calculations. Results: Inclusion of an adjuvant enhanced the tarsal efficacy of several compounds, facilitating the promotion of chemistries with great potential, given suitable formulation, which would not progress based on activity of compound alone. Comparison of data between stages in the testing cascade suggest that a more streamlined approach, topical application to test for intrinsic activity and determining the discriminating dose to compare relative potency of compounds, may be sufficient to identify compounds with potential value for use in long lasting insecticidal nets and indoor residual spray products. Conclusions: Identified were 11 compounds of interest as vector control agents (in descending order of potency): clothianidin, spinetoram, metaflumizone, dinotefuran, indoxacarb, abamectin, sulfoxaflor, oxazosulfyl, triflumezopyrim, fenpyroximate, and tolfenpyrad.","author":[{"dropping-particle":"","family":"Lees","given":"Rosemary","non-dropping-particle":"","parse-names":false,"suffix":""},{"dropping-particle":"","family":"Praulins","given":"Giorgio","non-dropping-particle":"","parse-names":false,"suffix":""},{"dropping-particle":"","family":"Davies","given":"Rachel","non-dropping-particle":"","parse-names":false,"suffix":""},{"dropping-particle":"","family":"Brown","given":"Faye","non-dropping-particle":"","parse-names":false,"suffix":""},{"dropping-particle":"","family":"Parsons","given":"George","non-dropping-particle":"","parse-names":false,"suffix":""},{"dropping-particle":"","family":"White","given":"Anthony","non-dropping-particle":"","parse-names":false,"suffix":""},{"dropping-particle":"","family":"Ranson","given":"Hilary","non-dropping-particle":"","parse-names":false,"suffix":""},{"dropping-particle":"","family":"Small","given":"Graham","non-dropping-particle":"","parse-names":false,"suffix":""},{"dropping-particle":"","family":"Malone","given":"David","non-dropping-particle":"","parse-names":false,"suffix":""}],"container-title":"Gates Open Research","id":"ITEM-1","issued":{"date-parts":[["2019"]]},"page":"1464","title":"A testing cascade to identify repurposed insecticides for next-generation vector control tools: Screening a panel of chemistries with novel modes of action against a malaria vector","type":"article-journal","volume":"3"},"uris":["http://www.mendeley.com/documents/?uuid=1acd47f2-bf5d-4856-8545-3d50c29f821a"]}],"mendeley":{"formattedCitation":"[15]","plainTextFormattedCitation":"[15]","previouslyFormattedCitation":"[15]"},"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[15]</w:t>
      </w:r>
      <w:r w:rsidR="00BD1AEC" w:rsidRPr="00D0161E">
        <w:rPr>
          <w:color w:val="000000" w:themeColor="text1"/>
        </w:rPr>
        <w:fldChar w:fldCharType="end"/>
      </w:r>
      <w:r w:rsidRPr="00D0161E">
        <w:rPr>
          <w:color w:val="000000" w:themeColor="text1"/>
        </w:rPr>
        <w:t>, and the LC</w:t>
      </w:r>
      <w:r w:rsidRPr="00D0161E">
        <w:rPr>
          <w:color w:val="000000" w:themeColor="text1"/>
          <w:vertAlign w:val="subscript"/>
        </w:rPr>
        <w:t>50</w:t>
      </w:r>
      <w:r w:rsidRPr="00D0161E">
        <w:rPr>
          <w:color w:val="000000" w:themeColor="text1"/>
        </w:rPr>
        <w:t xml:space="preserve"> of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against the susceptible Kisumu strain of </w:t>
      </w:r>
      <w:r w:rsidRPr="00D0161E">
        <w:rPr>
          <w:i/>
          <w:color w:val="000000" w:themeColor="text1"/>
        </w:rPr>
        <w:t>An. gambiae</w:t>
      </w:r>
      <w:r w:rsidRPr="00D0161E">
        <w:rPr>
          <w:color w:val="000000" w:themeColor="text1"/>
        </w:rPr>
        <w:t xml:space="preserve"> was very similar.  </w:t>
      </w:r>
    </w:p>
    <w:p w14:paraId="7EC56E29" w14:textId="77777777" w:rsidR="00F77405" w:rsidRPr="00D0161E" w:rsidRDefault="00F77405" w:rsidP="00D0161E">
      <w:pPr>
        <w:spacing w:line="480" w:lineRule="auto"/>
        <w:rPr>
          <w:color w:val="000000" w:themeColor="text1"/>
        </w:rPr>
      </w:pPr>
    </w:p>
    <w:p w14:paraId="772024FC" w14:textId="75E5C603" w:rsidR="000C167F" w:rsidRPr="00D0161E" w:rsidRDefault="00F77405" w:rsidP="00D0161E">
      <w:pPr>
        <w:spacing w:line="480" w:lineRule="auto"/>
        <w:rPr>
          <w:color w:val="000000" w:themeColor="text1"/>
        </w:rPr>
      </w:pPr>
      <w:r w:rsidRPr="00D0161E">
        <w:rPr>
          <w:color w:val="000000" w:themeColor="text1"/>
        </w:rPr>
        <w:t xml:space="preserve">As a proof of concept, a prototype WP formulation of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was produced by Mitsui</w:t>
      </w:r>
      <w:r w:rsidRPr="00D0161E">
        <w:rPr>
          <w:color w:val="000000" w:themeColor="text1"/>
          <w:lang w:eastAsia="ja-JP"/>
        </w:rPr>
        <w:t xml:space="preserve"> Chemicals </w:t>
      </w:r>
      <w:proofErr w:type="spellStart"/>
      <w:r w:rsidRPr="00D0161E">
        <w:rPr>
          <w:color w:val="000000" w:themeColor="text1"/>
          <w:lang w:eastAsia="ja-JP"/>
        </w:rPr>
        <w:t>Agro</w:t>
      </w:r>
      <w:proofErr w:type="spellEnd"/>
      <w:r w:rsidRPr="00D0161E">
        <w:rPr>
          <w:color w:val="000000" w:themeColor="text1"/>
          <w:lang w:eastAsia="ja-JP"/>
        </w:rPr>
        <w:t xml:space="preserve"> Inc. </w:t>
      </w:r>
      <w:r w:rsidRPr="00D0161E">
        <w:rPr>
          <w:color w:val="000000" w:themeColor="text1"/>
        </w:rPr>
        <w:t xml:space="preserve">and applied to a range of substrates representative of building materials to which an IRS product might be applied for mosquito vector control. </w:t>
      </w:r>
      <w:r w:rsidR="00202BE2" w:rsidRPr="00D0161E">
        <w:rPr>
          <w:color w:val="000000" w:themeColor="text1"/>
        </w:rPr>
        <w:t>Residual efficacy was demonstrated for the full</w:t>
      </w:r>
      <w:r w:rsidRPr="00D0161E">
        <w:rPr>
          <w:color w:val="000000" w:themeColor="text1"/>
        </w:rPr>
        <w:t xml:space="preserve"> 18 months, </w:t>
      </w:r>
      <w:r w:rsidR="00202BE2" w:rsidRPr="00D0161E">
        <w:rPr>
          <w:color w:val="000000" w:themeColor="text1"/>
        </w:rPr>
        <w:t>of</w:t>
      </w:r>
      <w:r w:rsidRPr="00D0161E">
        <w:rPr>
          <w:color w:val="000000" w:themeColor="text1"/>
        </w:rPr>
        <w:t xml:space="preserve"> the testing </w:t>
      </w:r>
      <w:r w:rsidR="00202BE2" w:rsidRPr="00D0161E">
        <w:rPr>
          <w:color w:val="000000" w:themeColor="text1"/>
        </w:rPr>
        <w:t xml:space="preserve">on some surfaces, and for 12 months </w:t>
      </w:r>
      <w:proofErr w:type="spellStart"/>
      <w:r w:rsidR="00202BE2" w:rsidRPr="00D0161E">
        <w:rPr>
          <w:color w:val="000000" w:themeColor="text1"/>
        </w:rPr>
        <w:t>n</w:t>
      </w:r>
      <w:proofErr w:type="spellEnd"/>
      <w:r w:rsidR="00202BE2" w:rsidRPr="00D0161E">
        <w:rPr>
          <w:color w:val="000000" w:themeColor="text1"/>
        </w:rPr>
        <w:t xml:space="preserve"> the more challenging surfaces</w:t>
      </w:r>
      <w:r w:rsidRPr="00D0161E">
        <w:rPr>
          <w:color w:val="000000" w:themeColor="text1"/>
        </w:rPr>
        <w:t xml:space="preserve">. Thus, the potential for long-term stability of a preliminary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WP formulation on an inert surface was demonstrated. </w:t>
      </w:r>
      <w:bookmarkStart w:id="41" w:name="_Hlk50467170"/>
      <w:r w:rsidR="009C405C" w:rsidRPr="00D0161E">
        <w:rPr>
          <w:color w:val="000000" w:themeColor="text1"/>
        </w:rPr>
        <w:t xml:space="preserve">Given the measured over-application of formulation to the surfaces measured by HPLC, the concentration required in any final IRS formulation would require further investigation. </w:t>
      </w:r>
      <w:bookmarkEnd w:id="41"/>
      <w:r w:rsidRPr="00D0161E">
        <w:rPr>
          <w:color w:val="000000" w:themeColor="text1"/>
        </w:rPr>
        <w:t xml:space="preserve">The known challenges of achieving long-lasting residual efficacy on a relatively uneven and porous mud surface (for example </w:t>
      </w:r>
      <w:r w:rsidR="00BD1AEC" w:rsidRPr="00D0161E">
        <w:rPr>
          <w:color w:val="000000" w:themeColor="text1"/>
        </w:rPr>
        <w:fldChar w:fldCharType="begin" w:fldLock="1"/>
      </w:r>
      <w:r w:rsidR="00B63A44">
        <w:rPr>
          <w:color w:val="000000" w:themeColor="text1"/>
        </w:rPr>
        <w:instrText>ADDIN CSL_CITATION {"citationItems":[{"id":"ITEM-1","itemData":{"DOI":"10.1186/1475-2875-10-333","ISSN":"14752875","abstract":"Background: Determination of residual activity of insecticides is essential information for the selection of appropriate indoor spraying operation. The present study was undertaken to evaluate the residual effect of three candidate insecticide formulations on different indoor surfaces in order to guide future interventions, in the context of Cameroon and other African countries. Methods. The study was conducted in the Ntougou neighbourhood in Yaoundé (capital city of Cameroon). Bendiocarb WP, lambda-cyhalothrin CS and deltamethrin WG were sprayed on the indoor wall surfaces of local cement, wood and mud houses. Their effects on the knockdown and mortality of the Kisumu susceptible strain of Anopheles gambiae s.s were assessed each month from March to September 2009, using the WHO plastic cones test. Knockdown and mortality rates were compared between different surfaces using Chi-square test. A Kaplan-Meir model was used to estimate the time of treatment failure. Results: With bendiocarb WP, the knockdown rates were frequently above 98% during 13 weeks after spraying, except on mud walls where it significantly decreased at the 13th week (P &lt; 0.05). With lambda cyhalothrin CS, the knockdown rates remained 100% on wood surfaces during the 26 weeks trial. However, it significantly decreased on concrete and mud surfaces from the 11th (83%) and the 20th (88%) weeks respectively (P &lt; 0.05). With deltamethrin WG, it remained high on concrete surfaces during 26 weeks (&gt; 98%); while it varied between 60 and 100% on wood or mud surfaces. The survival estimates of bendiocarb WP treatments remaining effective in killing An. gambiae s.s. (mortality rate 80%) was &gt; 13 weeks on cement and wood surfaces and 13 weeks on mud surfaces. Those of lambda-cyhalothrin CS were &gt; 26 weeks on wood surfaces, and 20 weeks on concrete and mud surfaces. By contrast, those of deltamethrin WG were 26 weeks on concrete, 20 weeks on mud surfaces and 15 weeks on wood surfaces. Conclusion: Current data suggest variable durations of spray cycles for each product, according to the type of wall surfaces, highlighting the importance of testing candidate products in local context before using them in large scale. © 2011 Etang et al; licensee BioMed Central Ltd.","author":[{"dropping-particle":"","family":"Etang","given":"Josiane","non-dropping-particle":"","parse-names":false,"suffix":""},{"dropping-particle":"","family":"Nwane","given":"Philippe","non-dropping-particle":"","parse-names":false,"suffix":""},{"dropping-particle":"","family":"Mbida","given":"Jean","non-dropping-particle":"","parse-names":false,"suffix":""},{"dropping-particle":"","family":"Piameu","given":"Michael","non-dropping-particle":"","parse-names":false,"suffix":""},{"dropping-particle":"","family":"Manga","given":"Blaise","non-dropping-particle":"","parse-names":false,"suffix":""},{"dropping-particle":"","family":"Souop","given":"Daniel","non-dropping-particle":"","parse-names":false,"suffix":""},{"dropping-particle":"","family":"Awono-Ambene","given":"Parfait","non-dropping-particle":"","parse-names":false,"suffix":""}],"container-title":"Malaria Journal","id":"ITEM-1","issued":{"date-parts":[["2011"]]},"page":"333","title":"Variations of insecticide residual bio-efficacy on different types of walls: Results from a community-based trial in south Cameroon","type":"article-journal","volume":"10"},"uris":["http://www.mendeley.com/documents/?uuid=bd35e5bb-fa37-35ec-a190-2ac2700209bd"]},{"id":"ITEM-2","itemData":{"DOI":"10.1186/s12936-019-2829-4","ISSN":"14752875","abstract":"Background: From 2011 to 2014, an indoor residual spray (IRS) programme for malaria vectors control was implemented in six health districts in Senegal. The main objective of the present study was to evaluate the efficacy of bendiocarb (FICAM WP 80) sprayed on different wall surfaces and its impact on malaria vectors. The entomological monitoring activities were carried out monthly in five treated sentinel villages and one control untreated village in each district. Methods: The residual efficacy of bendiocarb applied at a dosage of 0.4 g/sq m was monitored for a period up to 9 months post-IRS using WHO cone bioassay method. This assay consisted to expose 2-5 days old unfed susceptible Anopheles coluzzii females to sprayed walls for a period of 30 min. The mortality rates after 24 h post-exposure were estimated and compared between the different types of walls sprayed in each sentinel village. Results: The results showed that the residual efficacy varied between the different sprayed walls, from one sentinel village to another and between the different campaigns. The FICAM had a residual efficacy of 3-6 months post-IRS on mud and cement wall surfaces. In some cases, the observed mortality rates were much higher than those reported elsewhere particularly during the first campaign in all the six districts. Conclusions: The FICAM was found to be effective with a residual efficacy varying from 3 to 6 months. If the quality of the IRS application is excluded as a possible explanation of the short efficacy duration, the results suggest at least two rounds of treatments in order to cover the rainy season that lasts 5 to 6 months in the area. Such treatments could be carried out before the intensification of the rains in July and August in order to better cover the transmission period that occurs between late August and October in the area.","author":[{"dropping-particle":"","family":"Lo","given":"Cheikh","non-dropping-particle":"","parse-names":false,"suffix":""},{"dropping-particle":"","family":"Dia","given":"Abdoulaye Kane","non-dropping-particle":"","parse-names":false,"suffix":""},{"dropping-particle":"","family":"Dia","given":"Ibrahima","non-dropping-particle":"","parse-names":false,"suffix":""},{"dropping-particle":"","family":"Niang","given":"El Hadji Amadou","non-dropping-particle":"","parse-names":false,"suffix":""},{"dropping-particle":"","family":"Konaté","given":"Lassana","non-dropping-particle":"","parse-names":false,"suffix":""},{"dropping-particle":"","family":"Faye","given":"Ousmane","non-dropping-particle":"","parse-names":false,"suffix":""}],"container-title":"Malaria Journal","id":"ITEM-2","issued":{"date-parts":[["2019"]]},"page":"198","title":"Evaluation of the residual efficacy of indoor residual spraying with bendiocarb (FICAM WP 80) in six health districts in Senegal","type":"article-journal","volume":"18"},"uris":["http://www.mendeley.com/documents/?uuid=9f088277-ce0c-30a3-9233-5615adbe480f"]}],"mendeley":{"formattedCitation":"[23,24]","plainTextFormattedCitation":"[23,24]","previouslyFormattedCitation":"[23,24]"},"properties":{"noteIndex":0},"schema":"https://github.com/citation-style-language/schema/raw/master/csl-citation.json"}</w:instrText>
      </w:r>
      <w:r w:rsidR="00BD1AEC" w:rsidRPr="00D0161E">
        <w:rPr>
          <w:color w:val="000000" w:themeColor="text1"/>
        </w:rPr>
        <w:fldChar w:fldCharType="separate"/>
      </w:r>
      <w:r w:rsidR="00B63A44" w:rsidRPr="00B63A44">
        <w:rPr>
          <w:noProof/>
          <w:color w:val="000000" w:themeColor="text1"/>
        </w:rPr>
        <w:t>[23,24]</w:t>
      </w:r>
      <w:r w:rsidR="00BD1AEC" w:rsidRPr="00D0161E">
        <w:rPr>
          <w:color w:val="000000" w:themeColor="text1"/>
        </w:rPr>
        <w:fldChar w:fldCharType="end"/>
      </w:r>
      <w:r w:rsidRPr="00D0161E">
        <w:rPr>
          <w:color w:val="000000" w:themeColor="text1"/>
        </w:rPr>
        <w:t xml:space="preserve">) was again observed and will need to be a consideration in developing a final IRS formulation. Even though a preliminary prototype IRS formulation of </w:t>
      </w:r>
      <w:proofErr w:type="spellStart"/>
      <w:r w:rsidR="00D54567" w:rsidRPr="00D54567">
        <w:rPr>
          <w:color w:val="000000" w:themeColor="text1"/>
          <w:szCs w:val="22"/>
        </w:rPr>
        <w:t>Tenebenal</w:t>
      </w:r>
      <w:r w:rsidRPr="00D0161E">
        <w:rPr>
          <w:color w:val="000000" w:themeColor="text1"/>
          <w:vertAlign w:val="superscript"/>
        </w:rPr>
        <w:t>TM</w:t>
      </w:r>
      <w:proofErr w:type="spellEnd"/>
      <w:r w:rsidRPr="00D0161E">
        <w:rPr>
          <w:color w:val="000000" w:themeColor="text1"/>
        </w:rPr>
        <w:t xml:space="preserve"> was used to measure residual efficacy, it performed well compared to existing IRS products applied at their recommended application rate. A final formulated product is therefore expected to be a powerful new IRS product, and given its new mode of action a valuable addition to the range of IRS products available for use in rotation to minimise the development of resistance.</w:t>
      </w:r>
    </w:p>
    <w:p w14:paraId="2737CEC2" w14:textId="77777777" w:rsidR="00F77405" w:rsidRPr="00D0161E" w:rsidRDefault="00F77405" w:rsidP="00D0161E">
      <w:pPr>
        <w:spacing w:line="480" w:lineRule="auto"/>
        <w:rPr>
          <w:color w:val="000000" w:themeColor="text1"/>
        </w:rPr>
      </w:pPr>
    </w:p>
    <w:p w14:paraId="2303C205" w14:textId="08902941" w:rsidR="000C167F" w:rsidRPr="00D0161E" w:rsidRDefault="00D54567" w:rsidP="00D0161E">
      <w:pPr>
        <w:spacing w:line="480" w:lineRule="auto"/>
        <w:rPr>
          <w:color w:val="000000" w:themeColor="text1"/>
        </w:rPr>
      </w:pPr>
      <w:proofErr w:type="spellStart"/>
      <w:r w:rsidRPr="00D54567">
        <w:rPr>
          <w:color w:val="000000" w:themeColor="text1"/>
          <w:szCs w:val="22"/>
        </w:rPr>
        <w:t>Tenebenal</w:t>
      </w:r>
      <w:r w:rsidR="00F77405" w:rsidRPr="00D0161E">
        <w:rPr>
          <w:b/>
          <w:bCs/>
          <w:color w:val="000000" w:themeColor="text1"/>
          <w:vertAlign w:val="superscript"/>
        </w:rPr>
        <w:t>TM</w:t>
      </w:r>
      <w:proofErr w:type="spellEnd"/>
      <w:r w:rsidR="00F77405" w:rsidRPr="00D0161E">
        <w:rPr>
          <w:color w:val="000000" w:themeColor="text1"/>
        </w:rPr>
        <w:t xml:space="preserve"> </w:t>
      </w:r>
      <w:r w:rsidR="00202BE2" w:rsidRPr="00D0161E">
        <w:rPr>
          <w:color w:val="000000" w:themeColor="text1"/>
        </w:rPr>
        <w:t xml:space="preserve">is </w:t>
      </w:r>
      <w:r w:rsidR="00F77405" w:rsidRPr="00D0161E">
        <w:rPr>
          <w:color w:val="000000" w:themeColor="text1"/>
        </w:rPr>
        <w:t>a pro-insecticide which must be metaboli</w:t>
      </w:r>
      <w:r w:rsidR="00331CA5">
        <w:rPr>
          <w:color w:val="000000" w:themeColor="text1"/>
        </w:rPr>
        <w:t>z</w:t>
      </w:r>
      <w:r w:rsidR="00F77405" w:rsidRPr="00D0161E">
        <w:rPr>
          <w:color w:val="000000" w:themeColor="text1"/>
        </w:rPr>
        <w:t>ed into the active form within the insect</w:t>
      </w:r>
      <w:r w:rsidR="00202BE2" w:rsidRPr="00D0161E">
        <w:rPr>
          <w:color w:val="000000" w:themeColor="text1"/>
        </w:rPr>
        <w:t xml:space="preserve"> </w:t>
      </w:r>
      <w:r w:rsidR="00BD1AEC" w:rsidRPr="00D0161E">
        <w:rPr>
          <w:color w:val="000000" w:themeColor="text1"/>
        </w:rPr>
        <w:fldChar w:fldCharType="begin" w:fldLock="1"/>
      </w:r>
      <w:r w:rsidR="00B63A44">
        <w:rPr>
          <w:color w:val="000000" w:themeColor="text1"/>
        </w:rPr>
        <w:instrText>ADDIN CSL_CITATION {"citationItems":[{"id":"ITEM-1","itemData":{"DOI":"10.1016/j.bmc.2015.08.008","ISSN":"14643391","abstract":"Broflanilide is a meta-diamide [3-benzamido-N-(4-(perfluoropropan-2-yl)phenyl)benzamide] that exhibits high larvicidal activity against Spodoptera litura. It has been suggested that broflanilide is metabolized to desmethyl-broflanilide and that it acts as a noncompetitive resistant-to-dieldrin (RDL) γ-aminobutyric acid (GABA) receptor antagonist. The binding site of desmethyl-broflanilide was demonstrated to be distinct from that of conventional noncompetitive antagonists such as fipronil. It has been proposed that the site of action for desmethyl-broflanilide is close to G336 in the M3 region of the Drosophila RDL GABA receptor. However, although the site of action for desmethyl-broflanilide appears to overlap with that of macrocyclic lactones, different modes of actions have been demonstrated for desmethyl-broflanilide and the macrocyclic lactones. The mechanisms underlying the high selectivity of meta-diamides are also discussed in this review. Broflanilide is expected to become a prominent insecticide because it is effective against pests with resistance to cyclodienes and fipronil.","author":[{"dropping-particle":"","family":"Nakao","given":"Toshifumi","non-dropping-particle":"","parse-names":false,"suffix":""},{"dropping-particle":"","family":"Banba","given":"Shinichi","non-dropping-particle":"","parse-names":false,"suffix":""}],"container-title":"Bioorganic and Medicinal Chemistry","id":"ITEM-1","issue":"3","issued":{"date-parts":[["2016"]]},"page":"372 - 377","title":"Broflanilide: A meta-diamide insecticide with a novel mode of action","type":"article-journal","volume":"24"},"uris":["http://www.mendeley.com/documents/?uuid=54714f3f-bdcd-37cc-ba2e-8292b7afdc9d"]}],"mendeley":{"formattedCitation":"[8]","plainTextFormattedCitation":"[8]","previouslyFormattedCitation":"[8]"},"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[8]</w:t>
      </w:r>
      <w:r w:rsidR="00BD1AEC" w:rsidRPr="00D0161E">
        <w:rPr>
          <w:color w:val="000000" w:themeColor="text1"/>
        </w:rPr>
        <w:fldChar w:fldCharType="end"/>
      </w:r>
      <w:r w:rsidR="00F77405" w:rsidRPr="00D0161E">
        <w:rPr>
          <w:color w:val="000000" w:themeColor="text1"/>
        </w:rPr>
        <w:t xml:space="preserve">, </w:t>
      </w:r>
      <w:r w:rsidR="00202BE2" w:rsidRPr="00D0161E">
        <w:rPr>
          <w:color w:val="000000" w:themeColor="text1"/>
        </w:rPr>
        <w:t xml:space="preserve">and the minimal </w:t>
      </w:r>
      <w:r w:rsidR="00331CA5">
        <w:rPr>
          <w:color w:val="000000" w:themeColor="text1"/>
        </w:rPr>
        <w:t xml:space="preserve">KD </w:t>
      </w:r>
      <w:r w:rsidR="00202BE2" w:rsidRPr="00D0161E">
        <w:rPr>
          <w:color w:val="000000" w:themeColor="text1"/>
        </w:rPr>
        <w:t>observed immediately after exposure and increased residual efficacy of IRS formulation when mortality was scored beyond the standard 24</w:t>
      </w:r>
      <w:r w:rsidR="00331CA5">
        <w:rPr>
          <w:color w:val="000000" w:themeColor="text1"/>
        </w:rPr>
        <w:t>-</w:t>
      </w:r>
      <w:r w:rsidR="00202BE2" w:rsidRPr="00D0161E">
        <w:rPr>
          <w:color w:val="000000" w:themeColor="text1"/>
        </w:rPr>
        <w:t xml:space="preserve">hour observation period suggests that it </w:t>
      </w:r>
      <w:r w:rsidR="00F77405" w:rsidRPr="00D0161E">
        <w:rPr>
          <w:color w:val="000000" w:themeColor="text1"/>
        </w:rPr>
        <w:t xml:space="preserve">is slower acting than pyrethroids used in vector control. The WHO define efficacy in IRS as </w:t>
      </w:r>
      <w:r w:rsidR="00F77405" w:rsidRPr="00D0161E">
        <w:rPr>
          <w:rFonts w:cstheme="minorHAnsi"/>
          <w:color w:val="000000" w:themeColor="text1"/>
        </w:rPr>
        <w:t>≥</w:t>
      </w:r>
      <w:r w:rsidR="00F77405" w:rsidRPr="00D0161E">
        <w:rPr>
          <w:color w:val="000000" w:themeColor="text1"/>
        </w:rPr>
        <w:t xml:space="preserve">80% mortality within 24 hours of exposure to a treated surface. Using this definition </w:t>
      </w:r>
      <w:proofErr w:type="spellStart"/>
      <w:r w:rsidRPr="00D54567">
        <w:rPr>
          <w:color w:val="000000" w:themeColor="text1"/>
          <w:szCs w:val="22"/>
        </w:rPr>
        <w:t>Tenebenal</w:t>
      </w:r>
      <w:r w:rsidR="00F77405" w:rsidRPr="00D0161E">
        <w:rPr>
          <w:b/>
          <w:bCs/>
          <w:color w:val="000000" w:themeColor="text1"/>
          <w:vertAlign w:val="superscript"/>
        </w:rPr>
        <w:t>TM</w:t>
      </w:r>
      <w:proofErr w:type="spellEnd"/>
      <w:r w:rsidR="00F77405" w:rsidRPr="00D0161E">
        <w:rPr>
          <w:color w:val="000000" w:themeColor="text1"/>
        </w:rPr>
        <w:t xml:space="preserve"> can be reported as active in this study for at least 18 months on ceramic, wood and cement tile substrates at all but the lowest concentration tested (</w:t>
      </w:r>
      <w:r w:rsidR="0095004D" w:rsidRPr="00D0161E">
        <w:rPr>
          <w:color w:val="000000" w:themeColor="text1"/>
        </w:rPr>
        <w:t>0.025</w:t>
      </w:r>
      <w:r w:rsidR="00F77405" w:rsidRPr="00D0161E">
        <w:rPr>
          <w:color w:val="000000" w:themeColor="text1"/>
        </w:rPr>
        <w:t>%).</w:t>
      </w:r>
      <w:r w:rsidR="00F72088" w:rsidRPr="00D0161E">
        <w:rPr>
          <w:color w:val="000000" w:themeColor="text1"/>
        </w:rPr>
        <w:t xml:space="preserve"> </w:t>
      </w:r>
      <w:r w:rsidR="00F77405" w:rsidRPr="00D0161E">
        <w:rPr>
          <w:color w:val="000000" w:themeColor="text1"/>
        </w:rPr>
        <w:t xml:space="preserve">For some active ingredients being developed for use as IRS against mosquitoes, most notably those which are pro-insecticides, it is proposed that mortality should be scored later, due to their novel mode of action being slower acting than the pyrethroids for which the WHO guidelines were developed </w:t>
      </w:r>
      <w:r w:rsidR="00BD1AEC" w:rsidRPr="00D0161E">
        <w:rPr>
          <w:color w:val="000000" w:themeColor="text1"/>
        </w:rPr>
        <w:fldChar w:fldCharType="begin" w:fldLock="1"/>
      </w:r>
      <w:r w:rsidR="00B63A44">
        <w:rPr>
          <w:color w:val="000000" w:themeColor="text1"/>
        </w:rPr>
        <w:instrText>ADDIN CSL_CITATION {"citationItems":[{"id":"ITEM-1","itemData":{"DOI":"10.1186/s13071-018-2869-6","ISSN":"17563305","abstract":"Background: Scale-up of the distribution of long-lasting insecticide-treated bed nets and indoor residual spraying with insecticides over the last decade have contributed to the considerable decrease of malaria morbidity and mortality in sub-Saharan Africa. Due to the increasing pyrethroid resistance intensity and the spread of carbamate resistance in Anopheles gambiae (s.s.) mosquitoes and the limited number of insecticides recommended by the WHO for vector control, alternative insecticide formulations for IRS with long-lasting residual activity are required to sustain the gains obtained in most malaria-endemic countries. Methods: SumiShield 50WG (clothianidin 300 mg ai/m2) developed by Sumitomo Chemical was evaluated alongside deltamethrin 25 mg ai/m2 (K-Othrine 250 WG) against a pyrethroid resistant Anopheles gambiae (s.l.) population in experimental huts in Covè, Benin. Residual activity was also tested in cone bioassays with the susceptible An. gambiae \"Kisumu\" strain and the local wild resistant population. Results: The results showed very low toxicity from deltamethrin (mortality rates ranged between 1-40%) against host-seeking resistant Anopheles populations. SumiShield in contrast gave an overall mean mortality of 91.7% at the 120 h observation across the eight- month observation period following spraying. The residual activity measured using cone tests was over the 80% WHO threshold for 24 weeks for resistant wild Anopheles population and 32 weeks for the susceptible strain \"Kisumu\" after the spraying. Conclusions: SumiShield is a good candidate for IRS in areas of permanent malaria transmission and where Anopheles populations are resistant to other conventional insecticides such as pyrethroids. It would be interesting to complete experimental huts studies by assessing the efficacy and residual effect of SumiShield 50WG at community level (small-scale field testing) in an area where vectors are highly resistant to insecticides.","author":[{"dropping-particle":"","family":"Agossa","given":"Fiacre R.","non-dropping-particle":"","parse-names":false,"suffix":""},{"dropping-particle":"","family":"Padonou","given":"Gil G.","non-dropping-particle":"","parse-names":false,"suffix":""},{"dropping-particle":"","family":"Koukpo","given":"Come Z.","non-dropping-particle":"","parse-names":false,"suffix":""},{"dropping-particle":"","family":"Zola-Sahossi","given":"Jacques","non-dropping-particle":"","parse-names":false,"suffix":""},{"dropping-particle":"","family":"Azondekon","given":"Roseric","non-dropping-particle":"","parse-names":false,"suffix":""},{"dropping-particle":"","family":"Akuoko","given":"Osei K.","non-dropping-particle":"","parse-names":false,"suffix":""},{"dropping-particle":"","family":"Ahoga","given":"Juniace","non-dropping-particle":"","parse-names":false,"suffix":""},{"dropping-particle":"","family":"N'Dombidje","given":"Boris","non-dropping-particle":"","parse-names":false,"suffix":""},{"dropping-particle":"","family":"Akinro","given":"Bruno","non-dropping-particle":"","parse-names":false,"suffix":""},{"dropping-particle":"","family":"Fassinou","given":"Arsene Jacques Y.H.","non-dropping-particle":"","parse-names":false,"suffix":""},{"dropping-particle":"","family":"Sezonlin","given":"Michel","non-dropping-particle":"","parse-names":false,"suffix":""},{"dropping-particle":"","family":"Akogbeto","given":"Martin C.","non-dropping-particle":"","parse-names":false,"suffix":""}],"container-title":"Parasites and Vectors","id":"ITEM-1","issued":{"date-parts":[["2018"]]},"title":"Efficacy of a novel mode of action of an indoor residual spraying product, SumiShield® 50WG against susceptible and resistant populations of Anopheles gambiae (s.l.) in Benin, West Africa","type":"article-journal"},"uris":["http://www.mendeley.com/documents/?uuid=e847d2bc-26fa-482a-a0ac-7e4f1cc47f00"]},{"id":"ITEM-2","itemData":{"DOI":"10.1111/tmi.13056","ISSN":"13653156","abstract":"Objective: There is an urgent need to test and incorporate new molecules with promising efficacy and novel mode of action to control insecticide-resistant mosquito vectors for disease control. We tested a new compound, clothianidin (SumiShield 50 WG), for its efficacy as an indoor residual spray (IRS) for the control of pyrethroid-resistant Anopheles culicifacies (Diptera: Culicidae) in comparison with pirimiphos methyl (Actellic CS) as a positive control. Methods: Ten villages were selected, five each for IRS with clothianidin (300 mg AI/m2) and pirimiphos methyl (1000 mg AI/m2) in Almatti Dam catchment area in Karnataka state, India. Entomological parameters were monitored in these sprayed villages using standard methods. Assessment of quality of spray was performed by analysing the insecticide content in the filter paper samples collected from sprayed houses. Perceptions of spray men and inhabitants were recorded post-spray on safety of these molecules. Results: The mean applied to target ratio of content was 1.7 (n = 29) for clothianidin and 1.8 (n = 50) for pirimiphos methyl on filter paper samples analysed. Residual activity (≥80% mortality in exposed mosquitoes) after 24 h post-exposure of SumiShield WG was 5 months and increased to 6 months when the holding period was extended to 120 h and that of Actellic CS was 3 months at 24-h holding period and extended to 4 months at 120-h extended holding period. The mean densities of An. culicifacies in both arms fell drastically post-spray. In light trap collections, density of mosquitoes collected indoors was lower than outdoors in both arms indicating effectiveness of IRS. SumiShield WG was more efficacious in reducing the per-structure density than Actellic CS. The proportion of nulliparous mosquitoes was higher than that of parous mosquitoes during post-spray collections in both arms. The majority of adverse events reported were transitory and subsided without medication. Conclusion: Indoor residual spraying with SumiShield WG was found effective, operationally feasible and safe, and it is effective for up to 6 months.","author":[{"dropping-particle":"","family":"Uragayala","given":"S.","non-dropping-particle":"","parse-names":false,"suffix":""},{"dropping-particle":"","family":"Kamaraju","given":"R.","non-dropping-particle":"","parse-names":false,"suffix":""},{"dropping-particle":"","family":"Tiwari","given":"S. N.","non-dropping-particle":"","parse-names":false,"suffix":""},{"dropping-particle":"","family":"Sreedharan","given":"S.","non-dropping-particle":"","parse-names":false,"suffix":""},{"dropping-particle":"","family":"Ghosh","given":"S. K.","non-dropping-particle":"","parse-names":false,"suffix":""},{"dropping-particle":"","family":"Valecha","given":"N.","non-dropping-particle":"","parse-names":false,"suffix":""}],"container-title":"Tropical Medicine and International Health","id":"ITEM-2","issued":{"date-parts":[["2018"]]},"title":"Village-scale (Phase III) evaluation of the efficacy and residual activity of SumiShield® 50 WG (Clothianidin 50%, w/w) for indoor spraying for the control of pyrethroid-resistant Anopheles culicifacies Giles in Karnataka state, India","type":"article-journal"},"uris":["http://www.mendeley.com/documents/?uuid=0cddb9a6-6320-4257-bb8f-cac79728e516"]}],"mendeley":{"formattedCitation":"[25,26]","plainTextFormattedCitation":"[25,26]","previouslyFormattedCitation":"[25,26]"},"properties":{"noteIndex":0},"schema":"https://github.com/citation-style-language/schema/raw/master/csl-citation.json"}</w:instrText>
      </w:r>
      <w:r w:rsidR="00BD1AEC" w:rsidRPr="00D0161E">
        <w:rPr>
          <w:color w:val="000000" w:themeColor="text1"/>
        </w:rPr>
        <w:fldChar w:fldCharType="separate"/>
      </w:r>
      <w:r w:rsidR="00B63A44" w:rsidRPr="00B63A44">
        <w:rPr>
          <w:noProof/>
          <w:color w:val="000000" w:themeColor="text1"/>
        </w:rPr>
        <w:t>[25,26]</w:t>
      </w:r>
      <w:r w:rsidR="00BD1AEC" w:rsidRPr="00D0161E">
        <w:rPr>
          <w:color w:val="000000" w:themeColor="text1"/>
        </w:rPr>
        <w:fldChar w:fldCharType="end"/>
      </w:r>
      <w:r w:rsidR="00F77405" w:rsidRPr="00D0161E">
        <w:rPr>
          <w:color w:val="000000" w:themeColor="text1"/>
        </w:rPr>
        <w:t xml:space="preserve">. When applied to mud surfaces, the speed of action seemed to decrease with time post-treatment, suggestive of a dose-dependent speed of action. Extending the definition of efficacy to include those mosquitoes which died up to 72 hours after exposure would extend the reported residual efficacy from 5 months to 12 months, and for longer at the higher concentrations tested.  </w:t>
      </w:r>
    </w:p>
    <w:p w14:paraId="6236EF9D" w14:textId="77777777" w:rsidR="00F77405" w:rsidRPr="00D0161E" w:rsidRDefault="00F77405" w:rsidP="00D0161E">
      <w:pPr>
        <w:spacing w:line="480" w:lineRule="auto"/>
        <w:rPr>
          <w:color w:val="000000" w:themeColor="text1"/>
        </w:rPr>
      </w:pPr>
    </w:p>
    <w:p w14:paraId="709343E8" w14:textId="34232BEE" w:rsidR="000C167F" w:rsidRPr="00D0161E" w:rsidRDefault="00F77405" w:rsidP="00D0161E">
      <w:pPr>
        <w:spacing w:line="480" w:lineRule="auto"/>
        <w:rPr>
          <w:color w:val="000000" w:themeColor="text1"/>
        </w:rPr>
      </w:pPr>
      <w:r w:rsidRPr="00D0161E">
        <w:rPr>
          <w:color w:val="000000" w:themeColor="text1"/>
        </w:rPr>
        <w:t>Cone bioassays with net samples dipped in a</w:t>
      </w:r>
      <w:r w:rsidR="00921EC3" w:rsidRPr="00D0161E">
        <w:rPr>
          <w:color w:val="000000" w:themeColor="text1"/>
        </w:rPr>
        <w:t>n</w:t>
      </w:r>
      <w:r w:rsidRPr="00D0161E">
        <w:rPr>
          <w:color w:val="000000" w:themeColor="text1"/>
        </w:rPr>
        <w:t xml:space="preserve"> SC formulation demonstrates that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also has potential for development into an LLIN product. Dipped net samples with an application rate of </w:t>
      </w:r>
      <w:r w:rsidR="00B651FB" w:rsidRPr="00D0161E">
        <w:rPr>
          <w:color w:val="000000" w:themeColor="text1"/>
        </w:rPr>
        <w:t>around 2 g</w:t>
      </w:r>
      <w:r w:rsidRPr="00D0161E">
        <w:rPr>
          <w:color w:val="000000" w:themeColor="text1"/>
        </w:rPr>
        <w:t>/</w:t>
      </w:r>
      <w:proofErr w:type="spellStart"/>
      <w:r w:rsidR="00331CA5">
        <w:rPr>
          <w:color w:val="000000" w:themeColor="text1"/>
        </w:rPr>
        <w:t>sq</w:t>
      </w:r>
      <w:proofErr w:type="spellEnd"/>
      <w:r w:rsidR="00331CA5">
        <w:rPr>
          <w:color w:val="000000" w:themeColor="text1"/>
        </w:rPr>
        <w:t xml:space="preserve"> </w:t>
      </w:r>
      <w:r w:rsidRPr="00D0161E">
        <w:rPr>
          <w:color w:val="000000" w:themeColor="text1"/>
        </w:rPr>
        <w:t xml:space="preserve">m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(in an SC formulation) gave &gt;80% mortality with a 3-min exposure; for comparison</w:t>
      </w:r>
      <w:r w:rsidR="00331CA5">
        <w:rPr>
          <w:color w:val="000000" w:themeColor="text1"/>
        </w:rPr>
        <w:t>,</w:t>
      </w:r>
      <w:r w:rsidRPr="00D0161E">
        <w:rPr>
          <w:color w:val="000000" w:themeColor="text1"/>
        </w:rPr>
        <w:t xml:space="preserve"> the OLYSET® net (Sumitomo Chemical Co. Ltd.) contains </w:t>
      </w:r>
      <w:r w:rsidR="00921EC3" w:rsidRPr="00D0161E">
        <w:rPr>
          <w:color w:val="000000" w:themeColor="text1"/>
        </w:rPr>
        <w:t xml:space="preserve">1 </w:t>
      </w:r>
      <w:r w:rsidRPr="00D0161E">
        <w:rPr>
          <w:color w:val="000000" w:themeColor="text1"/>
        </w:rPr>
        <w:t>g/</w:t>
      </w:r>
      <w:proofErr w:type="spellStart"/>
      <w:r w:rsidR="00331CA5">
        <w:rPr>
          <w:color w:val="000000" w:themeColor="text1"/>
        </w:rPr>
        <w:t>sq</w:t>
      </w:r>
      <w:proofErr w:type="spellEnd"/>
      <w:r w:rsidR="00331CA5">
        <w:rPr>
          <w:color w:val="000000" w:themeColor="text1"/>
        </w:rPr>
        <w:t xml:space="preserve"> </w:t>
      </w:r>
      <w:r w:rsidRPr="00D0161E">
        <w:rPr>
          <w:color w:val="000000" w:themeColor="text1"/>
        </w:rPr>
        <w:t>m permethrin</w:t>
      </w:r>
      <w:r w:rsidR="00A91ADB" w:rsidRPr="00D0161E">
        <w:rPr>
          <w:color w:val="000000" w:themeColor="text1"/>
        </w:rPr>
        <w:t>,</w:t>
      </w:r>
      <w:r w:rsidRPr="00D0161E">
        <w:rPr>
          <w:color w:val="000000" w:themeColor="text1"/>
        </w:rPr>
        <w:t xml:space="preserve"> the Interceptor® net (BASF SE) contains </w:t>
      </w:r>
      <w:r w:rsidR="00A91ADB" w:rsidRPr="00D0161E">
        <w:rPr>
          <w:color w:val="000000" w:themeColor="text1"/>
        </w:rPr>
        <w:t>0.</w:t>
      </w:r>
      <w:r w:rsidRPr="00D0161E">
        <w:rPr>
          <w:color w:val="000000" w:themeColor="text1"/>
        </w:rPr>
        <w:t>2 g/</w:t>
      </w:r>
      <w:proofErr w:type="spellStart"/>
      <w:r w:rsidR="00331CA5">
        <w:rPr>
          <w:color w:val="000000" w:themeColor="text1"/>
        </w:rPr>
        <w:t>sq</w:t>
      </w:r>
      <w:proofErr w:type="spellEnd"/>
      <w:r w:rsidR="00331CA5">
        <w:rPr>
          <w:color w:val="000000" w:themeColor="text1"/>
        </w:rPr>
        <w:t xml:space="preserve"> </w:t>
      </w:r>
      <w:r w:rsidRPr="00D0161E">
        <w:rPr>
          <w:color w:val="000000" w:themeColor="text1"/>
        </w:rPr>
        <w:t>m alpha-cypermethrin</w:t>
      </w:r>
      <w:r w:rsidR="00A91ADB" w:rsidRPr="00D0161E">
        <w:rPr>
          <w:color w:val="000000" w:themeColor="text1"/>
        </w:rPr>
        <w:t>, and the Interceptor G2® net (BASF SE) 0.1 mg/</w:t>
      </w:r>
      <w:proofErr w:type="spellStart"/>
      <w:r w:rsidR="00331CA5">
        <w:rPr>
          <w:color w:val="000000" w:themeColor="text1"/>
        </w:rPr>
        <w:t>sq</w:t>
      </w:r>
      <w:proofErr w:type="spellEnd"/>
      <w:r w:rsidR="00331CA5">
        <w:rPr>
          <w:color w:val="000000" w:themeColor="text1"/>
        </w:rPr>
        <w:t xml:space="preserve"> </w:t>
      </w:r>
      <w:r w:rsidR="00A91ADB" w:rsidRPr="00D0161E">
        <w:rPr>
          <w:color w:val="000000" w:themeColor="text1"/>
        </w:rPr>
        <w:t>m alpha-cypermethrin and 0.2 g/</w:t>
      </w:r>
      <w:proofErr w:type="spellStart"/>
      <w:r w:rsidR="00331CA5">
        <w:rPr>
          <w:color w:val="000000" w:themeColor="text1"/>
        </w:rPr>
        <w:t>sq</w:t>
      </w:r>
      <w:proofErr w:type="spellEnd"/>
      <w:r w:rsidR="00331CA5">
        <w:rPr>
          <w:color w:val="000000" w:themeColor="text1"/>
        </w:rPr>
        <w:t xml:space="preserve"> </w:t>
      </w:r>
      <w:r w:rsidR="00A91ADB" w:rsidRPr="00D0161E">
        <w:rPr>
          <w:color w:val="000000" w:themeColor="text1"/>
        </w:rPr>
        <w:t>m chlorfenapyr</w:t>
      </w:r>
      <w:r w:rsidRPr="00D0161E">
        <w:rPr>
          <w:color w:val="000000" w:themeColor="text1"/>
        </w:rPr>
        <w:t xml:space="preserve">. </w:t>
      </w:r>
      <w:bookmarkStart w:id="42" w:name="_Hlk50467280"/>
      <w:r w:rsidR="00B55C11" w:rsidRPr="00D0161E">
        <w:rPr>
          <w:color w:val="000000" w:themeColor="text1"/>
        </w:rPr>
        <w:t xml:space="preserve">Again, further investigation is required to determine the effective dose on an ITN, and this </w:t>
      </w:r>
      <w:r w:rsidR="00BF5712" w:rsidRPr="00D0161E">
        <w:rPr>
          <w:color w:val="000000" w:themeColor="text1"/>
        </w:rPr>
        <w:t xml:space="preserve">small </w:t>
      </w:r>
      <w:r w:rsidR="00B55C11" w:rsidRPr="00D0161E">
        <w:rPr>
          <w:color w:val="000000" w:themeColor="text1"/>
        </w:rPr>
        <w:t xml:space="preserve">experiment serves as only a proof of principle. </w:t>
      </w:r>
      <w:bookmarkEnd w:id="42"/>
      <w:r w:rsidRPr="00D0161E">
        <w:rPr>
          <w:color w:val="000000" w:themeColor="text1"/>
        </w:rPr>
        <w:t xml:space="preserve">In contrast to the deltamethrin-dipped nets used in this study, no </w:t>
      </w:r>
      <w:r w:rsidR="00331CA5">
        <w:rPr>
          <w:color w:val="000000" w:themeColor="text1"/>
        </w:rPr>
        <w:t>KD</w:t>
      </w:r>
      <w:r w:rsidRPr="00D0161E">
        <w:rPr>
          <w:color w:val="000000" w:themeColor="text1"/>
        </w:rPr>
        <w:t xml:space="preserve"> was observed with the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SC dipped net samples. Chloride channel-blocking insecticides typically cause hyperexcitability and convulsions in exposed insects, but as a pro-insecticide </w:t>
      </w:r>
      <w:proofErr w:type="spellStart"/>
      <w:r w:rsidR="00D54567" w:rsidRPr="00D54567">
        <w:rPr>
          <w:color w:val="000000" w:themeColor="text1"/>
          <w:szCs w:val="22"/>
        </w:rPr>
        <w:t>Tenebenal</w:t>
      </w:r>
      <w:r w:rsidRPr="00D0161E">
        <w:rPr>
          <w:color w:val="000000" w:themeColor="text1"/>
          <w:vertAlign w:val="superscript"/>
        </w:rPr>
        <w:t>TM</w:t>
      </w:r>
      <w:proofErr w:type="spellEnd"/>
      <w:r w:rsidRPr="00D0161E">
        <w:rPr>
          <w:color w:val="000000" w:themeColor="text1"/>
        </w:rPr>
        <w:t xml:space="preserve"> may be slower acting that pyrethroids when presented on a net, in common with other compounds being applied to the newer LLINs. </w:t>
      </w:r>
      <w:bookmarkStart w:id="43" w:name="_Hlk50470483"/>
      <w:r w:rsidR="00A91ADB" w:rsidRPr="00D0161E">
        <w:rPr>
          <w:color w:val="000000" w:themeColor="text1"/>
        </w:rPr>
        <w:t>A bed net reduces malaria transmission in two ways. Community protection is offered when mosquitoes are killed on contact. P</w:t>
      </w:r>
      <w:r w:rsidRPr="00D0161E">
        <w:rPr>
          <w:color w:val="000000" w:themeColor="text1"/>
        </w:rPr>
        <w:t xml:space="preserve">ersonal protection </w:t>
      </w:r>
      <w:r w:rsidR="00A91ADB" w:rsidRPr="00D0161E">
        <w:rPr>
          <w:color w:val="000000" w:themeColor="text1"/>
        </w:rPr>
        <w:t xml:space="preserve">is </w:t>
      </w:r>
      <w:r w:rsidRPr="00D0161E">
        <w:rPr>
          <w:color w:val="000000" w:themeColor="text1"/>
        </w:rPr>
        <w:t xml:space="preserve">offered by a rapid </w:t>
      </w:r>
      <w:r w:rsidR="00331CA5">
        <w:rPr>
          <w:color w:val="000000" w:themeColor="text1"/>
        </w:rPr>
        <w:t>KD</w:t>
      </w:r>
      <w:r w:rsidRPr="00D0161E">
        <w:rPr>
          <w:color w:val="000000" w:themeColor="text1"/>
        </w:rPr>
        <w:t xml:space="preserve">, which </w:t>
      </w:r>
      <w:r w:rsidR="00A91ADB" w:rsidRPr="00D0161E">
        <w:rPr>
          <w:color w:val="000000" w:themeColor="text1"/>
        </w:rPr>
        <w:t xml:space="preserve">prevents the person sleeping under the net from being </w:t>
      </w:r>
      <w:proofErr w:type="gramStart"/>
      <w:r w:rsidR="00A91ADB" w:rsidRPr="00D0161E">
        <w:rPr>
          <w:color w:val="000000" w:themeColor="text1"/>
        </w:rPr>
        <w:t>bitten, and</w:t>
      </w:r>
      <w:proofErr w:type="gramEnd"/>
      <w:r w:rsidR="00A91ADB" w:rsidRPr="00D0161E">
        <w:rPr>
          <w:color w:val="000000" w:themeColor="text1"/>
        </w:rPr>
        <w:t xml:space="preserve"> </w:t>
      </w:r>
      <w:r w:rsidRPr="00D0161E">
        <w:rPr>
          <w:color w:val="000000" w:themeColor="text1"/>
        </w:rPr>
        <w:t>may be helped by some measure of repellency and blood</w:t>
      </w:r>
      <w:r w:rsidR="00331CA5">
        <w:rPr>
          <w:color w:val="000000" w:themeColor="text1"/>
        </w:rPr>
        <w:t>-</w:t>
      </w:r>
      <w:r w:rsidRPr="00D0161E">
        <w:rPr>
          <w:color w:val="000000" w:themeColor="text1"/>
        </w:rPr>
        <w:t>feeding inhibition</w:t>
      </w:r>
      <w:r w:rsidR="00A91ADB" w:rsidRPr="00D0161E">
        <w:rPr>
          <w:color w:val="000000" w:themeColor="text1"/>
        </w:rPr>
        <w:t>.</w:t>
      </w:r>
      <w:r w:rsidRPr="00D0161E">
        <w:rPr>
          <w:color w:val="000000" w:themeColor="text1"/>
        </w:rPr>
        <w:t xml:space="preserve"> </w:t>
      </w:r>
      <w:r w:rsidR="00122A77" w:rsidRPr="00D0161E">
        <w:rPr>
          <w:color w:val="000000" w:themeColor="text1"/>
        </w:rPr>
        <w:t>These potential additional effects have yet to be</w:t>
      </w:r>
      <w:r w:rsidRPr="00D0161E">
        <w:rPr>
          <w:color w:val="000000" w:themeColor="text1"/>
        </w:rPr>
        <w:t xml:space="preserve"> investigated for </w:t>
      </w:r>
      <w:proofErr w:type="spellStart"/>
      <w:r w:rsidR="00D54567" w:rsidRPr="00D54567">
        <w:rPr>
          <w:color w:val="000000" w:themeColor="text1"/>
          <w:szCs w:val="22"/>
        </w:rPr>
        <w:t>Tenebenal</w:t>
      </w:r>
      <w:r w:rsidRPr="00D0161E">
        <w:rPr>
          <w:color w:val="000000" w:themeColor="text1"/>
          <w:vertAlign w:val="superscript"/>
        </w:rPr>
        <w:t>TM</w:t>
      </w:r>
      <w:proofErr w:type="spellEnd"/>
      <w:r w:rsidR="00122A77" w:rsidRPr="00D0161E">
        <w:rPr>
          <w:color w:val="000000" w:themeColor="text1"/>
        </w:rPr>
        <w:t>.</w:t>
      </w:r>
      <w:r w:rsidRPr="00D0161E">
        <w:rPr>
          <w:color w:val="000000" w:themeColor="text1"/>
        </w:rPr>
        <w:t xml:space="preserve"> </w:t>
      </w:r>
      <w:r w:rsidR="00A91ADB" w:rsidRPr="00D0161E">
        <w:rPr>
          <w:color w:val="000000" w:themeColor="text1"/>
        </w:rPr>
        <w:t>To maximi</w:t>
      </w:r>
      <w:r w:rsidR="00331CA5">
        <w:rPr>
          <w:color w:val="000000" w:themeColor="text1"/>
        </w:rPr>
        <w:t>z</w:t>
      </w:r>
      <w:r w:rsidR="00A91ADB" w:rsidRPr="00D0161E">
        <w:rPr>
          <w:color w:val="000000" w:themeColor="text1"/>
        </w:rPr>
        <w:t xml:space="preserve">e the efficacy of an ITN in preventing malaria transmission </w:t>
      </w:r>
      <w:r w:rsidRPr="00D0161E">
        <w:rPr>
          <w:color w:val="000000" w:themeColor="text1"/>
        </w:rPr>
        <w:t>a combination of insecticides may be applied</w:t>
      </w:r>
      <w:r w:rsidR="00A91ADB" w:rsidRPr="00D0161E">
        <w:rPr>
          <w:color w:val="000000" w:themeColor="text1"/>
        </w:rPr>
        <w:t>, for example a slow</w:t>
      </w:r>
      <w:r w:rsidR="00331CA5">
        <w:rPr>
          <w:color w:val="000000" w:themeColor="text1"/>
        </w:rPr>
        <w:t>-</w:t>
      </w:r>
      <w:r w:rsidR="00A91ADB" w:rsidRPr="00D0161E">
        <w:rPr>
          <w:color w:val="000000" w:themeColor="text1"/>
        </w:rPr>
        <w:t>acting insecticide may be combined with a faster</w:t>
      </w:r>
      <w:r w:rsidR="00331CA5">
        <w:rPr>
          <w:color w:val="000000" w:themeColor="text1"/>
        </w:rPr>
        <w:t>-</w:t>
      </w:r>
      <w:r w:rsidR="00A91ADB" w:rsidRPr="00D0161E">
        <w:rPr>
          <w:color w:val="000000" w:themeColor="text1"/>
        </w:rPr>
        <w:t xml:space="preserve">acting </w:t>
      </w:r>
      <w:r w:rsidR="00122A77" w:rsidRPr="00D0161E">
        <w:rPr>
          <w:color w:val="000000" w:themeColor="text1"/>
        </w:rPr>
        <w:t>compound</w:t>
      </w:r>
      <w:r w:rsidRPr="00D0161E">
        <w:rPr>
          <w:color w:val="000000" w:themeColor="text1"/>
        </w:rPr>
        <w:t xml:space="preserve">. </w:t>
      </w:r>
      <w:bookmarkEnd w:id="43"/>
      <w:r w:rsidRPr="00D0161E">
        <w:rPr>
          <w:color w:val="000000" w:themeColor="text1"/>
        </w:rPr>
        <w:t xml:space="preserve">The first such net to reach field deployment is the Interceptor G2 which contains both chlorfenapyr and the pyrethroid alpha cypermethrin. The other benefit of this approach is that combined use of insecticides with different modes of action is consistent with good insecticide resistance management.  </w:t>
      </w:r>
    </w:p>
    <w:p w14:paraId="5CA10E5F" w14:textId="77777777" w:rsidR="00F77405" w:rsidRPr="00D0161E" w:rsidRDefault="00F77405" w:rsidP="00D0161E">
      <w:pPr>
        <w:spacing w:line="480" w:lineRule="auto"/>
        <w:rPr>
          <w:color w:val="000000" w:themeColor="text1"/>
        </w:rPr>
      </w:pPr>
    </w:p>
    <w:p w14:paraId="0CFF4A5F" w14:textId="5432F767" w:rsidR="000C167F" w:rsidRPr="00D0161E" w:rsidRDefault="00D54567" w:rsidP="00D0161E">
      <w:pPr>
        <w:spacing w:line="480" w:lineRule="auto"/>
        <w:rPr>
          <w:rFonts w:cstheme="minorHAnsi"/>
          <w:color w:val="000000" w:themeColor="text1"/>
        </w:rPr>
      </w:pPr>
      <w:proofErr w:type="spellStart"/>
      <w:r w:rsidRPr="00D54567">
        <w:rPr>
          <w:color w:val="000000" w:themeColor="text1"/>
          <w:szCs w:val="22"/>
        </w:rPr>
        <w:t>Tenebenal</w:t>
      </w:r>
      <w:r w:rsidR="00F77405" w:rsidRPr="00D0161E">
        <w:rPr>
          <w:rFonts w:cstheme="minorHAnsi"/>
          <w:color w:val="000000" w:themeColor="text1"/>
          <w:vertAlign w:val="superscript"/>
        </w:rPr>
        <w:t>TM</w:t>
      </w:r>
      <w:proofErr w:type="spellEnd"/>
      <w:r w:rsidR="00F77405" w:rsidRPr="00D0161E">
        <w:rPr>
          <w:rFonts w:cstheme="minorHAnsi"/>
          <w:color w:val="000000" w:themeColor="text1"/>
        </w:rPr>
        <w:t xml:space="preserve"> binds to a target site in the insect </w:t>
      </w:r>
      <w:r w:rsidR="00F77405" w:rsidRPr="00D0161E">
        <w:rPr>
          <w:rFonts w:cstheme="minorHAnsi"/>
          <w:color w:val="000000" w:themeColor="text1"/>
          <w:shd w:val="clear" w:color="auto" w:fill="FFFFFF"/>
        </w:rPr>
        <w:t xml:space="preserve">γ-aminobutyric acid (GABA) receptor that is distinct from that affected by </w:t>
      </w:r>
      <w:r w:rsidR="00F77405" w:rsidRPr="00D0161E">
        <w:rPr>
          <w:rFonts w:cstheme="minorHAnsi"/>
          <w:color w:val="000000" w:themeColor="text1"/>
        </w:rPr>
        <w:t xml:space="preserve">RDL mutations, and which leads to resistance to non-competitive antagonists (NCAs) such as dieldrin </w:t>
      </w:r>
      <w:r w:rsidR="00BD1AEC" w:rsidRPr="00D0161E">
        <w:rPr>
          <w:rFonts w:cstheme="minorHAnsi"/>
          <w:color w:val="000000" w:themeColor="text1"/>
        </w:rPr>
        <w:fldChar w:fldCharType="begin" w:fldLock="1"/>
      </w:r>
      <w:r w:rsidR="00B63A44">
        <w:rPr>
          <w:rFonts w:cstheme="minorHAnsi"/>
          <w:color w:val="000000" w:themeColor="text1"/>
        </w:rPr>
        <w:instrText>ADDIN CSL_CITATION {"citationItems":[{"id":"ITEM-1","itemData":{"DOI":"10.1016/j.bmc.2015.08.008","ISSN":"14643391","abstract":"Broflanilide is a meta-diamide [3-benzamido-N-(4-(perfluoropropan-2-yl)phenyl)benzamide] that exhibits high larvicidal activity against Spodoptera litura. It has been suggested that broflanilide is metabolized to desmethyl-broflanilide and that it acts as a noncompetitive resistant-to-dieldrin (RDL) γ-aminobutyric acid (GABA) receptor antagonist. The binding site of desmethyl-broflanilide was demonstrated to be distinct from that of conventional noncompetitive antagonists such as fipronil. It has been proposed that the site of action for desmethyl-broflanilide is close to G336 in the M3 region of the Drosophila RDL GABA receptor. However, although the site of action for desmethyl-broflanilide appears to overlap with that of macrocyclic lactones, different modes of actions have been demonstrated for desmethyl-broflanilide and the macrocyclic lactones. The mechanisms underlying the high selectivity of meta-diamides are also discussed in this review. Broflanilide is expected to become a prominent insecticide because it is effective against pests with resistance to cyclodienes and fipronil.","author":[{"dropping-particle":"","family":"Nakao","given":"Toshifumi","non-dropping-particle":"","parse-names":false,"suffix":""},{"dropping-particle":"","family":"Banba","given":"Shinichi","non-dropping-particle":"","parse-names":false,"suffix":""}],"container-title":"Bioorganic and Medicinal Chemistry","id":"ITEM-1","issue":"3","issued":{"date-parts":[["2016"]]},"page":"372 - 377","title":"Broflanilide: A meta-diamide insecticide with a novel mode of action","type":"article-journal","volume":"24"},"uris":["http://www.mendeley.com/documents/?uuid=54714f3f-bdcd-37cc-ba2e-8292b7afdc9d"]}],"mendeley":{"formattedCitation":"[8]","plainTextFormattedCitation":"[8]","previouslyFormattedCitation":"[8]"},"properties":{"noteIndex":0},"schema":"https://github.com/citation-style-language/schema/raw/master/csl-citation.json"}</w:instrText>
      </w:r>
      <w:r w:rsidR="00BD1AEC" w:rsidRPr="00D0161E">
        <w:rPr>
          <w:rFonts w:cstheme="minorHAnsi"/>
          <w:color w:val="000000" w:themeColor="text1"/>
        </w:rPr>
        <w:fldChar w:fldCharType="separate"/>
      </w:r>
      <w:r w:rsidR="00CC52E9" w:rsidRPr="00CC52E9">
        <w:rPr>
          <w:rFonts w:cstheme="minorHAnsi"/>
          <w:noProof/>
          <w:color w:val="000000" w:themeColor="text1"/>
        </w:rPr>
        <w:t>[8]</w:t>
      </w:r>
      <w:r w:rsidR="00BD1AEC" w:rsidRPr="00D0161E">
        <w:rPr>
          <w:rFonts w:cstheme="minorHAnsi"/>
          <w:color w:val="000000" w:themeColor="text1"/>
        </w:rPr>
        <w:fldChar w:fldCharType="end"/>
      </w:r>
      <w:r w:rsidR="00F77405" w:rsidRPr="00D0161E">
        <w:rPr>
          <w:rFonts w:cstheme="minorHAnsi"/>
          <w:color w:val="000000" w:themeColor="text1"/>
        </w:rPr>
        <w:t>. Mutations in the target site which confer resistance have been identified in Drosophila</w:t>
      </w:r>
      <w:r w:rsidR="00921EC3" w:rsidRPr="00D0161E">
        <w:rPr>
          <w:rFonts w:cstheme="minorHAnsi"/>
          <w:color w:val="000000" w:themeColor="text1"/>
        </w:rPr>
        <w:t xml:space="preserve"> </w:t>
      </w:r>
      <w:r w:rsidR="00BD1AEC" w:rsidRPr="00D0161E">
        <w:rPr>
          <w:rFonts w:cstheme="minorHAnsi"/>
          <w:color w:val="000000" w:themeColor="text1"/>
        </w:rPr>
        <w:fldChar w:fldCharType="begin" w:fldLock="1"/>
      </w:r>
      <w:r w:rsidR="00B63A44">
        <w:rPr>
          <w:rFonts w:cstheme="minorHAnsi"/>
          <w:color w:val="000000" w:themeColor="text1"/>
        </w:rPr>
        <w:instrText>ADDIN CSL_CITATION {"citationItems":[{"id":"ITEM-1","itemData":{"DOI":"10.1016/j.ibmb.2013.02.002","ISSN":"09651748","abstract":"The RDL GABA receptor is an attractive target of insecticides. Here we demonstrate that meta-diamides [3-benzamido-N-(4-(perfluoropropan-2-yl)phenyl)benzamides] are a distinct class of RDL GABA receptor antagonists showing high insecticidal activity against Spodoptera litura. We also suggest that the mode of action of the meta-diamides is distinct from that of conventional noncompetitive antagonists (NCAs), such as fipronil, picrotoxin, lindane, dieldrin, and α-endosulfan. Using a membrane potential assay, we examined the effects of the meta-diamide 3-benzamido-N-(2-bromo-4-(perfluoropropan-2-yl)-6-(trifluoromethyl)phenyl)-2-fluorobenzamide (meta-diamide 7) and NCAs on mutant Drosophila RDL GABA receptors expressed in Drosophila Mel-2 cells. NCAs had little or no inhibitory activity against at least one of the three mutant receptors (A2'S, A2'G, and A2'N), which were reported to confer resistance to NCAs. In contrast, meta-diamide 7 inhibited all three A2' mutant receptors, at levels comparable to its activity with the wild-type receptor. Furthermore, the A2'S·T6'V mutation almost abolished the inhibitory effects of all NCAs. However, meta-diamide 7 inhibited the A2'S.T6'S mutant receptor at the same level as its activity with the wild-type receptor. In contrast, a G336M mutation in the third transmembrane domain of the RDL GABA receptor abolished the inhibitory activities of meta-diamide 7, although the G336M mutation had little effect on the inhibitory activities of conventional NCAs. Molecular modeling studies also suggested that the binding site of meta-diamides was different from those of NCAs. Meta-diamide insecticides are expected to be prominent insecticides effective against A2' mutant RDL GABA receptors with a different mode of action. © 2013 Elsevier Ltd.","author":[{"dropping-particle":"","family":"Nakao","given":"Toshifumi","non-dropping-particle":"","parse-names":false,"suffix":""},{"dropping-particle":"","family":"Banba","given":"Shinich","non-dropping-particle":"","parse-names":false,"suffix":""},{"dropping-particle":"","family":"Nomura","given":"Michikazu","non-dropping-particle":"","parse-names":false,"suffix":""},{"dropping-particle":"","family":"Hirase","given":"Kangetsu","non-dropping-particle":"","parse-names":false,"suffix":""}],"container-title":"Insect Biochemistry and Molecular Biology","id":"ITEM-1","issue":"4","issued":{"date-parts":[["2013"]]},"page":"366 - 375","title":"Meta-diamide insecticides acting on distinct sites of RDL GABA receptor from those for conventional noncompetitive antagonists","type":"article-journal","volume":"43"},"uris":["http://www.mendeley.com/documents/?uuid=c4849e89-a1c1-4481-812a-e72800f6d3a3"]}],"mendeley":{"formattedCitation":"[7]","plainTextFormattedCitation":"[7]","previouslyFormattedCitation":"[7]"},"properties":{"noteIndex":0},"schema":"https://github.com/citation-style-language/schema/raw/master/csl-citation.json"}</w:instrText>
      </w:r>
      <w:r w:rsidR="00BD1AEC" w:rsidRPr="00D0161E">
        <w:rPr>
          <w:rFonts w:cstheme="minorHAnsi"/>
          <w:color w:val="000000" w:themeColor="text1"/>
        </w:rPr>
        <w:fldChar w:fldCharType="separate"/>
      </w:r>
      <w:r w:rsidR="00CC52E9" w:rsidRPr="00CC52E9">
        <w:rPr>
          <w:rFonts w:cstheme="minorHAnsi"/>
          <w:noProof/>
          <w:color w:val="000000" w:themeColor="text1"/>
        </w:rPr>
        <w:t>[7]</w:t>
      </w:r>
      <w:r w:rsidR="00BD1AEC" w:rsidRPr="00D0161E">
        <w:rPr>
          <w:rFonts w:cstheme="minorHAnsi"/>
          <w:color w:val="000000" w:themeColor="text1"/>
        </w:rPr>
        <w:fldChar w:fldCharType="end"/>
      </w:r>
      <w:r w:rsidR="00F77405" w:rsidRPr="00D0161E">
        <w:rPr>
          <w:rFonts w:cstheme="minorHAnsi"/>
          <w:color w:val="000000" w:themeColor="text1"/>
        </w:rPr>
        <w:t xml:space="preserve">, but it is perhaps not surprising that they were not detected in individual </w:t>
      </w:r>
      <w:r w:rsidR="00F77405" w:rsidRPr="00D0161E">
        <w:rPr>
          <w:rFonts w:cstheme="minorHAnsi"/>
          <w:i/>
          <w:color w:val="000000" w:themeColor="text1"/>
        </w:rPr>
        <w:t xml:space="preserve">An. gambiae </w:t>
      </w:r>
      <w:r w:rsidR="00F77405" w:rsidRPr="00D0161E">
        <w:rPr>
          <w:rFonts w:cstheme="minorHAnsi"/>
          <w:color w:val="000000" w:themeColor="text1"/>
        </w:rPr>
        <w:t>sampled from wild populations since they have not yet been</w:t>
      </w:r>
      <w:r w:rsidR="00596681" w:rsidRPr="00D0161E">
        <w:rPr>
          <w:rFonts w:cstheme="minorHAnsi"/>
          <w:color w:val="000000" w:themeColor="text1"/>
        </w:rPr>
        <w:t xml:space="preserve"> exposed</w:t>
      </w:r>
      <w:r w:rsidR="00F77405" w:rsidRPr="00D0161E">
        <w:rPr>
          <w:rFonts w:cstheme="minorHAnsi"/>
          <w:color w:val="000000" w:themeColor="text1"/>
        </w:rPr>
        <w:t xml:space="preserve"> to </w:t>
      </w:r>
      <w:proofErr w:type="spellStart"/>
      <w:r w:rsidRPr="00D54567">
        <w:rPr>
          <w:color w:val="000000" w:themeColor="text1"/>
          <w:szCs w:val="22"/>
        </w:rPr>
        <w:t>Tenebenal</w:t>
      </w:r>
      <w:r w:rsidR="00F77405" w:rsidRPr="00D0161E">
        <w:rPr>
          <w:rFonts w:cstheme="minorHAnsi"/>
          <w:color w:val="000000" w:themeColor="text1"/>
          <w:vertAlign w:val="superscript"/>
        </w:rPr>
        <w:t>TM</w:t>
      </w:r>
      <w:proofErr w:type="spellEnd"/>
      <w:r w:rsidR="00F77405" w:rsidRPr="00D0161E">
        <w:rPr>
          <w:rFonts w:cstheme="minorHAnsi"/>
          <w:color w:val="000000" w:themeColor="text1"/>
        </w:rPr>
        <w:t xml:space="preserve">. </w:t>
      </w:r>
      <w:bookmarkStart w:id="44" w:name="_Hlk36542264"/>
      <w:r w:rsidR="00F77405" w:rsidRPr="00D0161E">
        <w:rPr>
          <w:color w:val="000000" w:themeColor="text1"/>
        </w:rPr>
        <w:t xml:space="preserve">Given the fitness costs associated with target site mutations </w:t>
      </w:r>
      <w:r w:rsidR="00BD1AEC" w:rsidRPr="00D0161E">
        <w:rPr>
          <w:color w:val="000000" w:themeColor="text1"/>
        </w:rPr>
        <w:fldChar w:fldCharType="begin" w:fldLock="1"/>
      </w:r>
      <w:r w:rsidR="00B63A44">
        <w:rPr>
          <w:color w:val="000000" w:themeColor="text1"/>
        </w:rPr>
        <w:instrText>ADDIN CSL_CITATION {"citationItems":[{"id":"ITEM-1","itemData":{"DOI":"10.1038/hdy.2015.33","ISSN":"13652540","PMID":"25899013","abstract":"The implementation of successful insecticide resistance management strategies for malaria control is currently hampered by poor understanding of the fitness cost of resistance on mosquito populations, including their mating competiveness. To fill this knowledge gap, coupled and uncoupled Anopheles gambiae s.l. males (all M form (Anopheles coluzzii)) were collected from mating swarms in Burkina Faso. This multiple insecticide resistant population exhibited high 1014F kdr R allele frequencies (&gt;60%) and RDL R (&gt;80%) in contrast to the Ace-1 R allele (&lt;6%). Kdr heterozygote males were more likely to mate than homozygote resistant (OR=2.36; P&lt;0.001), suggesting a negative impact of kdr on An. coluzzii mating ability. Interestingly, heterozygote males were also more competitive than homozygote susceptible (OR=3.26; P=0.006), suggesting a heterozygote advantage effect. Similarly, heterozygote RDL R /RDL S were also more likely to mate than homozygote-resistant males (OR=2.58; P=0.007). Furthermore, an additive mating disadvantage was detected in male homozygotes for both kdr/RDL-resistant alleles. In contrast, no fitness difference was observed for the Ace-1 mutation. Comparative microarray-based genome-wide transcription analysis revealed that metabolic resistance did not significantly alter the mating competitiveness of male An. coluzzii mosquitoes. Indeed, no significant difference of expression levels was observed for the main metabolic resistance genes, suggesting that metabolic resistance has a limited impact on male mating competiveness. In addition, specific gene classes/GO terms associated with mating process were detected including sensory perception and peroxidase activity. The detrimental impact of insecticide resistance on mating competiveness observed here suggests that resistance management strategies such as insecticide rotation could help reverse the resistance, if implemented early.","author":[{"dropping-particle":"","family":"Platt","given":"N.","non-dropping-particle":"","parse-names":false,"suffix":""},{"dropping-particle":"","family":"Kwiatkowska","given":"R. M.","non-dropping-particle":"","parse-names":false,"suffix":""},{"dropping-particle":"","family":"Irving","given":"H.","non-dropping-particle":"","parse-names":false,"suffix":""},{"dropping-particle":"","family":"Diabaté","given":"A.","non-dropping-particle":"","parse-names":false,"suffix":""},{"dropping-particle":"","family":"Dabire","given":"R.","non-dropping-particle":"","parse-names":false,"suffix":""},{"dropping-particle":"","family":"Wondji","given":"C. S.","non-dropping-particle":"","parse-names":false,"suffix":""}],"container-title":"Heredity","id":"ITEM-1","issued":{"date-parts":[["2015"]]},"title":"Target-site resistance mutations (kdr and RDL), but not metabolic resistance, negatively impact male mating competiveness in the malaria vector Anopheles gambiae","type":"article-journal"},"uris":["http://www.mendeley.com/documents/?uuid=91207ba9-41b6-4c5e-9c14-5f3a85d90614"]},{"id":"ITEM-2","itemData":{"DOI":"10.1038/srep14529","ISSN":"20452322","abstract":"Widespread resistance to pyrethroids threatens malaria control in Africa. Consequently, several countries switched to carbamates and organophophates insecticides for indoor residual spraying. However, a mutation in the ace-1 gene conferring resistance to these compounds (ace-1&lt;sup&gt;R&lt;/sup&gt; allele), is already present. Furthermore, a duplicated allele (ace-1&lt;sup&gt;D&lt;/sup&gt;) recently appeared; characterizing its selective advantage is mandatory to evaluate the threat. Our data revealed that a unique duplication event, pairing a susceptible and a resistant copy of the ace-1 gene spread through West Africa. Further investigations revealed that, while ace-1&lt;sup&gt;D&lt;/sup&gt; confers less resistance than ace-1&lt;sup&gt;R&lt;/sup&gt;, the high fitness cost associated with ace-1&lt;sup&gt;R&lt;/sup&gt; is almost completely suppressed by the duplication for all traits studied. ace-1 duplication thus represents a permanent heterozygote phenotype, selected, and thus spreading, due to the mosaic nature of mosquito control. It provides malaria mosquito with a new evolutionary path that could hamper resistance management.","author":[{"dropping-particle":"","family":"Assogba","given":"Benoît S.","non-dropping-particle":"","parse-names":false,"suffix":""},{"dropping-particle":"","family":"Djogbénou","given":"Luc S.","non-dropping-particle":"","parse-names":false,"suffix":""},{"dropping-particle":"","family":"Milesi","given":"Pascal","non-dropping-particle":"","parse-names":false,"suffix":""},{"dropping-particle":"","family":"Berthomieu","given":"Arnaud","non-dropping-particle":"","parse-names":false,"suffix":""},{"dropping-particle":"","family":"Perez","given":"Julie","non-dropping-particle":"","parse-names":false,"suffix":""},{"dropping-particle":"","family":"Ayala","given":"Diego","non-dropping-particle":"","parse-names":false,"suffix":""},{"dropping-particle":"","family":"Chandre","given":"Fabrice","non-dropping-particle":"","parse-names":false,"suffix":""},{"dropping-particle":"","family":"Makoutodé","given":"Michel","non-dropping-particle":"","parse-names":false,"suffix":""},{"dropping-particle":"","family":"Labbé","given":"Pierrick","non-dropping-particle":"","parse-names":false,"suffix":""},{"dropping-particle":"","family":"Weill","given":"Mylène","non-dropping-particle":"","parse-names":false,"suffix":""}],"container-title":"Scientific Reports","id":"ITEM-2","issued":{"date-parts":[["2015"]]},"title":"An ace-1 gene duplication resorbs the fitness cost associated with resistance in Anopheles gambiae, the main malaria mosquito","type":"article-journal"},"uris":["http://www.mendeley.com/documents/?uuid=81e3fc5a-141f-4a1d-9c9d-57206322722a"]}],"mendeley":{"formattedCitation":"[27,28]","plainTextFormattedCitation":"[27,28]","previouslyFormattedCitation":"[27,28]"},"properties":{"noteIndex":0},"schema":"https://github.com/citation-style-language/schema/raw/master/csl-citation.json"}</w:instrText>
      </w:r>
      <w:r w:rsidR="00BD1AEC" w:rsidRPr="00D0161E">
        <w:rPr>
          <w:color w:val="000000" w:themeColor="text1"/>
        </w:rPr>
        <w:fldChar w:fldCharType="separate"/>
      </w:r>
      <w:r w:rsidR="00B63A44" w:rsidRPr="00B63A44">
        <w:rPr>
          <w:noProof/>
          <w:color w:val="000000" w:themeColor="text1"/>
        </w:rPr>
        <w:t>[27,28]</w:t>
      </w:r>
      <w:r w:rsidR="00BD1AEC" w:rsidRPr="00D0161E">
        <w:rPr>
          <w:color w:val="000000" w:themeColor="text1"/>
        </w:rPr>
        <w:fldChar w:fldCharType="end"/>
      </w:r>
      <w:r w:rsidR="00F77405" w:rsidRPr="00D0161E">
        <w:rPr>
          <w:color w:val="000000" w:themeColor="text1"/>
        </w:rPr>
        <w:t xml:space="preserve">, the risk of target site resistance to </w:t>
      </w:r>
      <w:proofErr w:type="spellStart"/>
      <w:r w:rsidRPr="00D54567">
        <w:rPr>
          <w:color w:val="000000" w:themeColor="text1"/>
          <w:szCs w:val="22"/>
        </w:rPr>
        <w:t>Tenebenal</w:t>
      </w:r>
      <w:r w:rsidR="00F77405" w:rsidRPr="00D0161E">
        <w:rPr>
          <w:color w:val="000000" w:themeColor="text1"/>
          <w:vertAlign w:val="superscript"/>
        </w:rPr>
        <w:t>TM</w:t>
      </w:r>
      <w:proofErr w:type="spellEnd"/>
      <w:r w:rsidR="00F77405" w:rsidRPr="00D0161E">
        <w:rPr>
          <w:color w:val="000000" w:themeColor="text1"/>
        </w:rPr>
        <w:t xml:space="preserve"> occurring in natural </w:t>
      </w:r>
      <w:r w:rsidR="00BD1AEC" w:rsidRPr="00025A3F">
        <w:rPr>
          <w:i/>
          <w:color w:val="000000" w:themeColor="text1"/>
        </w:rPr>
        <w:t>Anopheles</w:t>
      </w:r>
      <w:r w:rsidR="00F77405" w:rsidRPr="00D0161E">
        <w:rPr>
          <w:color w:val="000000" w:themeColor="text1"/>
        </w:rPr>
        <w:t xml:space="preserve"> populations in the absence of selective pressure would be expected to be low </w:t>
      </w:r>
      <w:r w:rsidR="00BD1AEC" w:rsidRPr="00D0161E">
        <w:rPr>
          <w:color w:val="000000" w:themeColor="text1"/>
        </w:rPr>
        <w:fldChar w:fldCharType="begin" w:fldLock="1"/>
      </w:r>
      <w:r w:rsidR="00B63A44">
        <w:rPr>
          <w:color w:val="000000" w:themeColor="text1"/>
        </w:rPr>
        <w:instrText>ADDIN CSL_CITATION {"citationItems":[{"id":"ITEM-1","itemData":{"DOI":"10.1016/j.ibmb.2013.02.002","ISSN":"09651748","abstract":"The RDL GABA receptor is an attractive target of insecticides. Here we demonstrate that meta-diamides [3-benzamido-N-(4-(perfluoropropan-2-yl)phenyl)benzamides] are a distinct class of RDL GABA receptor antagonists showing high insecticidal activity against Spodoptera litura. We also suggest that the mode of action of the meta-diamides is distinct from that of conventional noncompetitive antagonists (NCAs), such as fipronil, picrotoxin, lindane, dieldrin, and α-endosulfan. Using a membrane potential assay, we examined the effects of the meta-diamide 3-benzamido-N-(2-bromo-4-(perfluoropropan-2-yl)-6-(trifluoromethyl)phenyl)-2-fluorobenzamide (meta-diamide 7) and NCAs on mutant Drosophila RDL GABA receptors expressed in Drosophila Mel-2 cells. NCAs had little or no inhibitory activity against at least one of the three mutant receptors (A2'S, A2'G, and A2'N), which were reported to confer resistance to NCAs. In contrast, meta-diamide 7 inhibited all three A2' mutant receptors, at levels comparable to its activity with the wild-type receptor. Furthermore, the A2'S·T6'V mutation almost abolished the inhibitory effects of all NCAs. However, meta-diamide 7 inhibited the A2'S.T6'S mutant receptor at the same level as its activity with the wild-type receptor. In contrast, a G336M mutation in the third transmembrane domain of the RDL GABA receptor abolished the inhibitory activities of meta-diamide 7, although the G336M mutation had little effect on the inhibitory activities of conventional NCAs. Molecular modeling studies also suggested that the binding site of meta-diamides was different from those of NCAs. Meta-diamide insecticides are expected to be prominent insecticides effective against A2' mutant RDL GABA receptors with a different mode of action. © 2013 Elsevier Ltd.","author":[{"dropping-particle":"","family":"Nakao","given":"Toshifumi","non-dropping-particle":"","parse-names":false,"suffix":""},{"dropping-particle":"","family":"Banba","given":"Shinich","non-dropping-particle":"","parse-names":false,"suffix":""},{"dropping-particle":"","family":"Nomura","given":"Michikazu","non-dropping-particle":"","parse-names":false,"suffix":""},{"dropping-particle":"","family":"Hirase","given":"Kangetsu","non-dropping-particle":"","parse-names":false,"suffix":""}],"container-title":"Insect Biochemistry and Molecular Biology","id":"ITEM-1","issue":"4","issued":{"date-parts":[["2013"]]},"page":"366 - 375","title":"Meta-diamide insecticides acting on distinct sites of RDL GABA receptor from those for conventional noncompetitive antagonists","type":"article-journal","volume":"43"},"uris":["http://www.mendeley.com/documents/?uuid=c4849e89-a1c1-4481-812a-e72800f6d3a3"]}],"mendeley":{"formattedCitation":"[7]","plainTextFormattedCitation":"[7]","previouslyFormattedCitation":"[7]"},"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[7]</w:t>
      </w:r>
      <w:r w:rsidR="00BD1AEC" w:rsidRPr="00D0161E">
        <w:rPr>
          <w:color w:val="000000" w:themeColor="text1"/>
        </w:rPr>
        <w:fldChar w:fldCharType="end"/>
      </w:r>
      <w:r w:rsidR="00F77405" w:rsidRPr="00D0161E">
        <w:rPr>
          <w:color w:val="000000" w:themeColor="text1"/>
        </w:rPr>
        <w:t xml:space="preserve">. </w:t>
      </w:r>
      <w:r w:rsidR="00F77405" w:rsidRPr="00D0161E">
        <w:rPr>
          <w:rFonts w:cstheme="minorHAnsi"/>
          <w:color w:val="000000" w:themeColor="text1"/>
        </w:rPr>
        <w:t xml:space="preserve">It is possible that other sites may be important in conferring resistance, or that multiple mutations co-existing may be significant, as in the case of kdr/s-kdr mutants, where kdr must first be present for s-kdr to be functionally permissive </w:t>
      </w:r>
      <w:bookmarkStart w:id="45" w:name="_Hlk50470922"/>
      <w:r w:rsidR="00BD1AEC" w:rsidRPr="00D0161E">
        <w:rPr>
          <w:rFonts w:cstheme="minorHAnsi"/>
          <w:color w:val="000000" w:themeColor="text1"/>
        </w:rPr>
        <w:fldChar w:fldCharType="begin" w:fldLock="1"/>
      </w:r>
      <w:r w:rsidR="00B63A44">
        <w:rPr>
          <w:rFonts w:cstheme="minorHAnsi"/>
          <w:color w:val="000000" w:themeColor="text1"/>
        </w:rPr>
        <w:instrText>ADDIN CSL_CITATION {"citationItems":[{"id":"ITEM-1","itemData":{"DOI":"10.1073/pnas.1201475109","ISSN":"00278424","abstract":"Insecticide resistance is an ideal model to study the emergence and spread of adaptative variants. In the African malaria mosquito, Anopheles gambiae, this is complemented by a strong public health rationale. In this insect, resistance to pyrethroid and DDT insecticides is strongly associated with the mutations L1014F and L1014S within the para voltage-gated sodium channel (VGSC). Across much of West Africa, 1014F frequency approaches fixation. Here, we document the emergence of a mutation, N1575Y, within the linker between domains III-IV of the VGSC. In data extending over 40 kbp of the VGSC 1575Y occurs on only a single long-range haplotype, also bearing 1014F. The 1014F-1575Y haplotype was found in both M and S molecular forms of An. gambiae in West/ Central African sample sites separated by up to 2,000 km. In Burkina Faso M form, 1575Y allele frequency rose significantly from 0.053 to 0.172 between 2008 and 2010. Extended haplotype homozygosity analysis of the wild-type 1575N allele showed rapid decay of linkage disequilibrium (LD), in sharp contrast to the extended LD exhibited by 1575Y. A haplotype with long-range LD and high/increasing frequency is a classical sign of strong positive selection acting on a recent mutant. 1575Y occurs ubiquitously on a 1014F haplotypic background, suggesting that the N1575Y mutation compensates for deleterious fitness effects of 1014F and/or confers additional resistance to insecticides. Haplotypic tests of association suggest the latter: The 1014F-1575Y haplotype confers a significant additive benefit above 1014F-1575N for survival to DDT (M form P = 0.03) and permethrin (S form P = 0.003).","author":[{"dropping-particle":"","family":"Jones","given":"Christopher M.","non-dropping-particle":"","parse-names":false,"suffix":""},{"dropping-particle":"","family":"Liyanapathirana","given":"Milindu","non-dropping-particle":"","parse-names":false,"suffix":""},{"dropping-particle":"","family":"Agossa","given":"Fiacre R.","non-dropping-particle":"","parse-names":false,"suffix":""},{"dropping-particle":"","family":"Weetman","given":"David","non-dropping-particle":"","parse-names":false,"suffix":""},{"dropping-particle":"","family":"Ranson","given":"Hilary","non-dropping-particle":"","parse-names":false,"suffix":""},{"dropping-particle":"","family":"Donnelly","given":"Martin James","non-dropping-particle":"","parse-names":false,"suffix":""},{"dropping-particle":"","family":"Wilding","given":"Craig S.","non-dropping-particle":"","parse-names":false,"suffix":""}],"container-title":"Proceedings of the National Academy of Sciences of the United States of America","id":"ITEM-1","issued":{"date-parts":[["2012"]]},"title":"Footprints of positive selection associated with a mutation (N1575Y) in the voltage-gated sodium channel of Anopheles gambiae","type":"article-journal"},"uris":["http://www.mendeley.com/documents/?uuid=463ec575-161a-4a8f-8eb8-93289bb7a251"]}],"mendeley":{"formattedCitation":"[29]","plainTextFormattedCitation":"[29]","previouslyFormattedCitation":"[29]"},"properties":{"noteIndex":0},"schema":"https://github.com/citation-style-language/schema/raw/master/csl-citation.json"}</w:instrText>
      </w:r>
      <w:r w:rsidR="00BD1AEC" w:rsidRPr="00D0161E">
        <w:rPr>
          <w:rFonts w:cstheme="minorHAnsi"/>
          <w:color w:val="000000" w:themeColor="text1"/>
        </w:rPr>
        <w:fldChar w:fldCharType="separate"/>
      </w:r>
      <w:r w:rsidR="00B63A44" w:rsidRPr="00B63A44">
        <w:rPr>
          <w:rFonts w:cstheme="minorHAnsi"/>
          <w:noProof/>
          <w:color w:val="000000" w:themeColor="text1"/>
        </w:rPr>
        <w:t>[29]</w:t>
      </w:r>
      <w:r w:rsidR="00BD1AEC" w:rsidRPr="00D0161E">
        <w:rPr>
          <w:rFonts w:cstheme="minorHAnsi"/>
          <w:color w:val="000000" w:themeColor="text1"/>
        </w:rPr>
        <w:fldChar w:fldCharType="end"/>
      </w:r>
      <w:r w:rsidR="00F77405" w:rsidRPr="00D0161E">
        <w:rPr>
          <w:rFonts w:cstheme="minorHAnsi"/>
          <w:color w:val="000000" w:themeColor="text1"/>
        </w:rPr>
        <w:t xml:space="preserve">. </w:t>
      </w:r>
      <w:bookmarkEnd w:id="44"/>
      <w:r w:rsidR="00F77405" w:rsidRPr="00D0161E">
        <w:rPr>
          <w:rFonts w:cstheme="minorHAnsi"/>
          <w:color w:val="000000" w:themeColor="text1"/>
        </w:rPr>
        <w:t>The</w:t>
      </w:r>
      <w:r w:rsidR="00122A77" w:rsidRPr="00D0161E">
        <w:rPr>
          <w:rFonts w:cstheme="minorHAnsi"/>
          <w:color w:val="000000" w:themeColor="text1"/>
        </w:rPr>
        <w:t xml:space="preserve">re is no evidence </w:t>
      </w:r>
      <w:r w:rsidR="009675BC" w:rsidRPr="00D0161E">
        <w:rPr>
          <w:rFonts w:cstheme="minorHAnsi"/>
          <w:color w:val="000000" w:themeColor="text1"/>
        </w:rPr>
        <w:t xml:space="preserve">so far </w:t>
      </w:r>
      <w:r w:rsidR="00122A77" w:rsidRPr="00D0161E">
        <w:rPr>
          <w:rFonts w:cstheme="minorHAnsi"/>
          <w:color w:val="000000" w:themeColor="text1"/>
        </w:rPr>
        <w:t xml:space="preserve">for existing cross-resistance </w:t>
      </w:r>
      <w:r w:rsidR="00F77405" w:rsidRPr="00D0161E">
        <w:rPr>
          <w:rFonts w:cstheme="minorHAnsi"/>
          <w:color w:val="000000" w:themeColor="text1"/>
        </w:rPr>
        <w:t>in the pyrethroid-resistant lab</w:t>
      </w:r>
      <w:r w:rsidR="00331CA5">
        <w:rPr>
          <w:rFonts w:cstheme="minorHAnsi"/>
          <w:color w:val="000000" w:themeColor="text1"/>
        </w:rPr>
        <w:t>oratory</w:t>
      </w:r>
      <w:r w:rsidR="00F77405" w:rsidRPr="00D0161E">
        <w:rPr>
          <w:rFonts w:cstheme="minorHAnsi"/>
          <w:color w:val="000000" w:themeColor="text1"/>
        </w:rPr>
        <w:t xml:space="preserve"> strains </w:t>
      </w:r>
      <w:r w:rsidR="00122A77" w:rsidRPr="00D0161E">
        <w:rPr>
          <w:rFonts w:cstheme="minorHAnsi"/>
          <w:color w:val="000000" w:themeColor="text1"/>
        </w:rPr>
        <w:t>resulting from</w:t>
      </w:r>
      <w:r w:rsidR="00F77405" w:rsidRPr="00D0161E">
        <w:rPr>
          <w:rFonts w:cstheme="minorHAnsi"/>
          <w:color w:val="000000" w:themeColor="text1"/>
        </w:rPr>
        <w:t xml:space="preserve"> more general resistance mechanisms</w:t>
      </w:r>
      <w:r w:rsidR="00331CA5">
        <w:rPr>
          <w:rFonts w:cstheme="minorHAnsi"/>
          <w:color w:val="000000" w:themeColor="text1"/>
        </w:rPr>
        <w:t>,</w:t>
      </w:r>
      <w:r w:rsidR="00F77405" w:rsidRPr="00D0161E">
        <w:rPr>
          <w:rFonts w:cstheme="minorHAnsi"/>
          <w:color w:val="000000" w:themeColor="text1"/>
        </w:rPr>
        <w:t xml:space="preserve"> </w:t>
      </w:r>
      <w:bookmarkEnd w:id="45"/>
      <w:r w:rsidR="00F77405" w:rsidRPr="00D0161E">
        <w:rPr>
          <w:rFonts w:cstheme="minorHAnsi"/>
          <w:color w:val="000000" w:themeColor="text1"/>
        </w:rPr>
        <w:t>such as over</w:t>
      </w:r>
      <w:r w:rsidR="00331CA5">
        <w:rPr>
          <w:rFonts w:cstheme="minorHAnsi"/>
          <w:color w:val="000000" w:themeColor="text1"/>
        </w:rPr>
        <w:t>-</w:t>
      </w:r>
      <w:r w:rsidR="00F77405" w:rsidRPr="00D0161E">
        <w:rPr>
          <w:rFonts w:cstheme="minorHAnsi"/>
          <w:color w:val="000000" w:themeColor="text1"/>
        </w:rPr>
        <w:t xml:space="preserve">expression of cytochrome P450s metabolic enzymes </w:t>
      </w:r>
      <w:r w:rsidR="00BD1AEC" w:rsidRPr="00D0161E">
        <w:rPr>
          <w:rFonts w:cstheme="minorHAnsi"/>
          <w:color w:val="000000" w:themeColor="text1"/>
        </w:rPr>
        <w:fldChar w:fldCharType="begin" w:fldLock="1"/>
      </w:r>
      <w:r w:rsidR="00B63A44">
        <w:rPr>
          <w:rFonts w:cstheme="minorHAnsi"/>
          <w:color w:val="000000" w:themeColor="text1"/>
        </w:rPr>
        <w:instrText>ADDIN CSL_CITATION {"citationItems":[{"id":"ITEM-1","itemData":{"DOI":"10.1098/rstb.2012.0429","ISSN":"14712970","abstract":"The fight against diseases spread by mosquitoes and other insects has enormous environmental, economic and social consequences. Chemical insecticides remain the first line of defence but the control of diseases, especially malaria and dengue fever, is being increasingly undermined by insecticide resistance. Mosquitoes have a large repertoire of P450s (over 100 genes). By pinpointing the key enzymes associated with insecticide resistance we can begin to develop new tools to aid the implementation of control interventions and reduce their environmental impact on Earth. Recent technological advances are helping us to build a functional profile of the P450 determinants of insecticide metabolic resistance in mosquitoes. Alongside, the cross-responses of mosquito P450s to insecticides and pollutants are also being investigated. Such research will provide the means to produce diagnostic tools for early detection of P450s linked to resistance. It will also enable the design of new insecticides with optimized efficacy in different environments. © 2013 The Author(s) Published by the Royal Society. All rights reserved.","author":[{"dropping-particle":"","family":"David","given":"Jean Philippe","non-dropping-particle":"","parse-names":false,"suffix":""},{"dropping-particle":"","family":"Ismail","given":"Hanafy Mahmoud","non-dropping-particle":"","parse-names":false,"suffix":""},{"dropping-particle":"","family":"Chandor-Proust","given":"Alexia","non-dropping-particle":"","parse-names":false,"suffix":""},{"dropping-particle":"","family":"Paine","given":"Mark John Ingraham","non-dropping-particle":"","parse-names":false,"suffix":""}],"container-title":"Philosophical Transactions of the Royal Society B: Biological Sciences","id":"ITEM-1","issue":"368","issued":{"date-parts":[["2013"]]},"page":"1612","title":"Role of cytochrome P450s in insecticide resistance: Impact on the control of mosquito-borne diseases and use of insecticides on earth","type":"article-journal","volume":"6"},"uris":["http://www.mendeley.com/documents/?uuid=fdc65826-db92-3cc3-af3d-9a8283d748eb"]}],"mendeley":{"formattedCitation":"[30]","plainTextFormattedCitation":"[30]","previouslyFormattedCitation":"[30]"},"properties":{"noteIndex":0},"schema":"https://github.com/citation-style-language/schema/raw/master/csl-citation.json"}</w:instrText>
      </w:r>
      <w:r w:rsidR="00BD1AEC" w:rsidRPr="00D0161E">
        <w:rPr>
          <w:rFonts w:cstheme="minorHAnsi"/>
          <w:color w:val="000000" w:themeColor="text1"/>
        </w:rPr>
        <w:fldChar w:fldCharType="separate"/>
      </w:r>
      <w:r w:rsidR="00B63A44" w:rsidRPr="00B63A44">
        <w:rPr>
          <w:rFonts w:cstheme="minorHAnsi"/>
          <w:noProof/>
          <w:color w:val="000000" w:themeColor="text1"/>
        </w:rPr>
        <w:t>[30]</w:t>
      </w:r>
      <w:r w:rsidR="00BD1AEC" w:rsidRPr="00D0161E">
        <w:rPr>
          <w:rFonts w:cstheme="minorHAnsi"/>
          <w:color w:val="000000" w:themeColor="text1"/>
        </w:rPr>
        <w:fldChar w:fldCharType="end"/>
      </w:r>
      <w:r w:rsidR="00F77405" w:rsidRPr="00D0161E">
        <w:rPr>
          <w:rFonts w:cstheme="minorHAnsi"/>
          <w:color w:val="000000" w:themeColor="text1"/>
        </w:rPr>
        <w:t xml:space="preserve">, cuticular thickening </w:t>
      </w:r>
      <w:r w:rsidR="00BD1AEC" w:rsidRPr="00D0161E">
        <w:rPr>
          <w:rFonts w:cstheme="minorHAnsi"/>
          <w:color w:val="000000" w:themeColor="text1"/>
        </w:rPr>
        <w:fldChar w:fldCharType="begin" w:fldLock="1"/>
      </w:r>
      <w:r w:rsidR="00B63A44">
        <w:rPr>
          <w:rFonts w:cstheme="minorHAnsi"/>
          <w:color w:val="000000" w:themeColor="text1"/>
        </w:rPr>
        <w:instrText>ADDIN CSL_CITATION {"citationItems":[{"id":"ITEM-1","itemData":{"DOI":"10.1098/rspb.2019.1091","ISSN":"14712954","abstract":"Malaria incidence has halved since the year 2000, with 80% of the reduction attributable to the use of insecticides. However, insecticide resistance is now widespread, is rapidly increasing in spectrum and intensity across Africa, and may be contributing to the increase of malaria incidence in 2018. The role of detoxification enzymes and target site mutations has been documented in the major malaria vector Anopheles gambiae; however, the emergence of striking resistant phenotypes suggests the occurrence of additional mechanisms. By comparing legs, the most relevant insect tissue for insecticide uptake, we show that resistant mosquitoes largely remodel their leg cuticles via enhanced deposition of cuticular proteins and chitin, corroborating a leg-thickening phenotype. Moreover, we show that resistant female mosquitoes seal their leg cuticles with higher total and different relative amounts of cuticular hydrocarbons, compared with susceptible ones. The structural and functional alterations in Anopheles female mosquito legs are associated with a reduced uptake of insecticides, substantially contributing to the resistance phenotype.","author":[{"dropping-particle":"","family":"Balabanidou","given":"Vasileia","non-dropping-particle":"","parse-names":false,"suffix":""},{"dropping-particle":"","family":"Kefi","given":"Mary","non-dropping-particle":"","parse-names":false,"suffix":""},{"dropping-particle":"","family":"Aivaliotis","given":"Michalis","non-dropping-particle":"","parse-names":false,"suffix":""},{"dropping-particle":"","family":"Koidou","given":"Venetia","non-dropping-particle":"","parse-names":false,"suffix":""},{"dropping-particle":"","family":"Girotti","given":"Juan R.","non-dropping-particle":"","parse-names":false,"suffix":""},{"dropping-particle":"","family":"Mijailovsky","given":"Sergio J.","non-dropping-particle":"","parse-names":false,"suffix":""},{"dropping-particle":"","family":"Patricia Juárez","given":"M.","non-dropping-particle":"","parse-names":false,"suffix":""},{"dropping-particle":"","family":"Papadogiorgaki","given":"Eva","non-dropping-particle":"","parse-names":false,"suffix":""},{"dropping-particle":"","family":"Chalepakis","given":"George","non-dropping-particle":"","parse-names":false,"suffix":""},{"dropping-particle":"","family":"Kampouraki","given":"Anastasia","non-dropping-particle":"","parse-names":false,"suffix":""},{"dropping-particle":"","family":"Nikolaou","given":"Christoforos","non-dropping-particle":"","parse-names":false,"suffix":""},{"dropping-particle":"","family":"Ranson","given":"Hilary","non-dropping-particle":"","parse-names":false,"suffix":""},{"dropping-particle":"","family":"Vontas","given":"John","non-dropping-particle":"","parse-names":false,"suffix":""}],"container-title":"Proceedings of the Royal Society B: Biological Sciences","id":"ITEM-1","issue":"1907","issued":{"date-parts":[["2019","7","24"]]},"page":"20191091","publisher":"Royal Society Publishing","title":"Mosquitoes cloak their legs to resist insecticides","type":"article-journal","volume":"286"},"uris":["http://www.mendeley.com/documents/?uuid=0a57e41d-4d5f-3894-bb9a-b71a7a3147f5"]}],"mendeley":{"formattedCitation":"[31]","plainTextFormattedCitation":"[31]","previouslyFormattedCitation":"[31]"},"properties":{"noteIndex":0},"schema":"https://github.com/citation-style-language/schema/raw/master/csl-citation.json"}</w:instrText>
      </w:r>
      <w:r w:rsidR="00BD1AEC" w:rsidRPr="00D0161E">
        <w:rPr>
          <w:rFonts w:cstheme="minorHAnsi"/>
          <w:color w:val="000000" w:themeColor="text1"/>
        </w:rPr>
        <w:fldChar w:fldCharType="separate"/>
      </w:r>
      <w:r w:rsidR="00B63A44" w:rsidRPr="00B63A44">
        <w:rPr>
          <w:rFonts w:cstheme="minorHAnsi"/>
          <w:noProof/>
          <w:color w:val="000000" w:themeColor="text1"/>
        </w:rPr>
        <w:t>[31]</w:t>
      </w:r>
      <w:r w:rsidR="00BD1AEC" w:rsidRPr="00D0161E">
        <w:rPr>
          <w:rFonts w:cstheme="minorHAnsi"/>
          <w:color w:val="000000" w:themeColor="text1"/>
        </w:rPr>
        <w:fldChar w:fldCharType="end"/>
      </w:r>
      <w:r w:rsidR="00F77405" w:rsidRPr="00D0161E">
        <w:rPr>
          <w:rFonts w:cstheme="minorHAnsi"/>
          <w:color w:val="000000" w:themeColor="text1"/>
        </w:rPr>
        <w:t xml:space="preserve"> or over</w:t>
      </w:r>
      <w:r w:rsidR="00331CA5">
        <w:rPr>
          <w:rFonts w:cstheme="minorHAnsi"/>
          <w:color w:val="000000" w:themeColor="text1"/>
        </w:rPr>
        <w:t>-</w:t>
      </w:r>
      <w:r w:rsidR="00F77405" w:rsidRPr="00D0161E">
        <w:rPr>
          <w:rFonts w:cstheme="minorHAnsi"/>
          <w:color w:val="000000" w:themeColor="text1"/>
        </w:rPr>
        <w:t xml:space="preserve">expression of chemosensory proteins </w:t>
      </w:r>
      <w:r w:rsidR="00BD1AEC" w:rsidRPr="00D0161E">
        <w:rPr>
          <w:rFonts w:cstheme="minorHAnsi"/>
          <w:color w:val="000000" w:themeColor="text1"/>
        </w:rPr>
        <w:fldChar w:fldCharType="begin" w:fldLock="1"/>
      </w:r>
      <w:r w:rsidR="00B63A44">
        <w:rPr>
          <w:rFonts w:cstheme="minorHAnsi"/>
          <w:color w:val="000000" w:themeColor="text1"/>
        </w:rPr>
        <w:instrText>ADDIN CSL_CITATION {"citationItems":[{"id":"ITEM-1","itemData":{"DOI":"10.1038/s41586-019-1864-1","ISSN":"14764687","abstract":"Pyrethroid-impregnated bed nets have driven considerable reductions in malaria-associated morbidity and mortality in Africa since the beginning of the century1. The intense selection pressure exerted by bed nets has precipitated widespread and escalating resistance to pyrethroids in African Anopheles populations, threatening to reverse the gains that been made by malaria control2. Here we show that expression of a sensory appendage protein (SAP2), which is enriched in the legs, confers pyrethroid resistance to Anopheles gambiae. Expression of SAP2 is increased in insecticide-resistant populations and is further induced after the mosquito comes into contact with pyrethroids. SAP2 silencing fully restores mortality of the mosquitoes, whereas SAP2 overexpression results in increased resistance, probably owing to high-affinity binding of SAP2 to pyrethroid insecticides. Mining of genome sequence data reveals a selective sweep near the SAP2 locus in the mosquito populations of three West African countries (Cameroon, Guinea and Burkina Faso) with the observed increase in haplotype-associated single-nucleotide polymorphisms mirroring the increasing resistance of mosquitoes to pyrethroids reported in Burkina Faso. Our study identifies a previously undescribed mechanism of insecticide resistance that is likely to be highly relevant to malaria control efforts.","author":[{"dropping-particle":"","family":"Ingham","given":"Victoria A.","non-dropping-particle":"","parse-names":false,"suffix":""},{"dropping-particle":"","family":"Anthousi","given":"Amalia","non-dropping-particle":"","parse-names":false,"suffix":""},{"dropping-particle":"","family":"Douris","given":"Vassilis","non-dropping-particle":"","parse-names":false,"suffix":""},{"dropping-particle":"","family":"Harding","given":"Nicholas J.","non-dropping-particle":"","parse-names":false,"suffix":""},{"dropping-particle":"","family":"Lycett","given":"Gareth","non-dropping-particle":"","parse-names":false,"suffix":""},{"dropping-particle":"","family":"Morris","given":"Marion","non-dropping-particle":"","parse-names":false,"suffix":""},{"dropping-particle":"","family":"Vontas","given":"John","non-dropping-particle":"","parse-names":false,"suffix":""},{"dropping-particle":"","family":"Ranson","given":"Hilary","non-dropping-particle":"","parse-names":false,"suffix":""}],"container-title":"Nature","id":"ITEM-1","issue":"7790","issued":{"date-parts":[["2020"]]},"page":"376-380","publisher":"Springer US","title":"A sensory appendage protein protects malaria vectors from pyrethroids","type":"article-journal","volume":"577"},"uris":["http://www.mendeley.com/documents/?uuid=ff476ebd-96d5-44da-991e-a40a796b5c80"]}],"mendeley":{"formattedCitation":"[32]","plainTextFormattedCitation":"[32]","previouslyFormattedCitation":"[32]"},"properties":{"noteIndex":0},"schema":"https://github.com/citation-style-language/schema/raw/master/csl-citation.json"}</w:instrText>
      </w:r>
      <w:r w:rsidR="00BD1AEC" w:rsidRPr="00D0161E">
        <w:rPr>
          <w:rFonts w:cstheme="minorHAnsi"/>
          <w:color w:val="000000" w:themeColor="text1"/>
        </w:rPr>
        <w:fldChar w:fldCharType="separate"/>
      </w:r>
      <w:r w:rsidR="00B63A44" w:rsidRPr="00B63A44">
        <w:rPr>
          <w:rFonts w:cstheme="minorHAnsi"/>
          <w:noProof/>
          <w:color w:val="000000" w:themeColor="text1"/>
        </w:rPr>
        <w:t>[32]</w:t>
      </w:r>
      <w:r w:rsidR="00BD1AEC" w:rsidRPr="00D0161E">
        <w:rPr>
          <w:rFonts w:cstheme="minorHAnsi"/>
          <w:color w:val="000000" w:themeColor="text1"/>
        </w:rPr>
        <w:fldChar w:fldCharType="end"/>
      </w:r>
      <w:r w:rsidR="00F77405" w:rsidRPr="00D0161E">
        <w:rPr>
          <w:rFonts w:cstheme="minorHAnsi"/>
          <w:color w:val="000000" w:themeColor="text1"/>
        </w:rPr>
        <w:t xml:space="preserve">. </w:t>
      </w:r>
      <w:r w:rsidR="00F77405" w:rsidRPr="00D0161E">
        <w:rPr>
          <w:color w:val="000000" w:themeColor="text1"/>
        </w:rPr>
        <w:t>Using data from the genome databases is an effective and efficient way to look for resistance liability in a population, allowing measurement of baseline prevalence of resistance markers as well as heterogeneity at the sites important for binding of an insecticide prior to deployment. The use of multiple</w:t>
      </w:r>
      <w:r w:rsidR="00331CA5">
        <w:rPr>
          <w:color w:val="000000" w:themeColor="text1"/>
        </w:rPr>
        <w:t>,</w:t>
      </w:r>
      <w:r w:rsidR="00F77405" w:rsidRPr="00D0161E">
        <w:rPr>
          <w:color w:val="000000" w:themeColor="text1"/>
        </w:rPr>
        <w:t xml:space="preserve"> well-characteri</w:t>
      </w:r>
      <w:r w:rsidR="00331CA5">
        <w:rPr>
          <w:color w:val="000000" w:themeColor="text1"/>
        </w:rPr>
        <w:t>z</w:t>
      </w:r>
      <w:r w:rsidR="00F77405" w:rsidRPr="00D0161E">
        <w:rPr>
          <w:color w:val="000000" w:themeColor="text1"/>
        </w:rPr>
        <w:t>ed</w:t>
      </w:r>
      <w:r w:rsidR="00331CA5">
        <w:rPr>
          <w:color w:val="000000" w:themeColor="text1"/>
        </w:rPr>
        <w:t>,</w:t>
      </w:r>
      <w:r w:rsidR="00F77405" w:rsidRPr="00D0161E">
        <w:rPr>
          <w:color w:val="000000" w:themeColor="text1"/>
        </w:rPr>
        <w:t xml:space="preserve"> resistant strains of mosquitoes allows this to be further investigated </w:t>
      </w:r>
      <w:r w:rsidR="00F77405" w:rsidRPr="00D0161E">
        <w:rPr>
          <w:i/>
          <w:color w:val="000000" w:themeColor="text1"/>
        </w:rPr>
        <w:t>in vitro</w:t>
      </w:r>
      <w:r w:rsidR="00F77405" w:rsidRPr="00D0161E">
        <w:rPr>
          <w:color w:val="000000" w:themeColor="text1"/>
        </w:rPr>
        <w:t xml:space="preserve">. </w:t>
      </w:r>
      <w:bookmarkStart w:id="46" w:name="_Hlk50478944"/>
      <w:r w:rsidR="00F77405" w:rsidRPr="00D0161E">
        <w:rPr>
          <w:rFonts w:cstheme="minorHAnsi"/>
          <w:color w:val="000000" w:themeColor="text1"/>
        </w:rPr>
        <w:t xml:space="preserve">Further investigation would be required to rule out the possibility that these mechanisms, or behavioural resistance </w:t>
      </w:r>
      <w:r w:rsidR="00BD1AEC" w:rsidRPr="00D0161E">
        <w:rPr>
          <w:rFonts w:cstheme="minorHAnsi"/>
          <w:color w:val="000000" w:themeColor="text1"/>
        </w:rPr>
        <w:fldChar w:fldCharType="begin" w:fldLock="1"/>
      </w:r>
      <w:r w:rsidR="00B63A44">
        <w:rPr>
          <w:rFonts w:cstheme="minorHAnsi"/>
          <w:color w:val="000000" w:themeColor="text1"/>
        </w:rPr>
        <w:instrText>ADDIN CSL_CITATION {"citationItems":[{"id":"ITEM-1","itemData":{"DOI":"10.1016/j.cois.2019.03.005","ISSN":"22145753","abstract":"Behavioural resistance to insecticides may be an important factor restraining the efficacy of vector control against mosquito-transmitted diseases. However, our understanding of the mechanisms underlying such behavioural resistance remains sparse. In this review, we focus on the behavioural adaptations of mosquito vectors in response to the use of insecticides and provide a general framework for guiding future investigations. We present our review of vector behaviour in the field and a conceptual classification of behavioural adaptations to insecticides. We emphasise that behavioural adaptations can result from constitutive or induced (i.e. phenotypically plastic) traits. Lastly, we identify gaps in knowledge limiting a better understanding of how mosquito behavioural adaptations may affect the fight against vector-borne diseases.","author":[{"dropping-particle":"","family":"Carrasco","given":"David","non-dropping-particle":"","parse-names":false,"suffix":""},{"dropping-particle":"","family":"Lefèvre","given":"Thierry","non-dropping-particle":"","parse-names":false,"suffix":""},{"dropping-particle":"","family":"Moiroux","given":"Nicolas","non-dropping-particle":"","parse-names":false,"suffix":""},{"dropping-particle":"","family":"Pennetier","given":"Cédric","non-dropping-particle":"","parse-names":false,"suffix":""},{"dropping-particle":"","family":"Chandre","given":"Fabrice","non-dropping-particle":"","parse-names":false,"suffix":""},{"dropping-particle":"","family":"Cohuet","given":"Anna","non-dropping-particle":"","parse-names":false,"suffix":""}],"container-title":"Current Opinion in Insect Science","id":"ITEM-1","issued":{"date-parts":[["2019"]]},"note":"Behavioural resistance can be divided into three catagories: Temporal (e.g. earlier biting), spatial (e.g. outdoor biting), and trophic avoidence (e.g. zoophagy)\n\nQualitative resistance - Avoid exposure. \nQuantitative resistance - Reduce the direct effects of the insecticide when exposure does occur.\nBehavioural tolerance - limit their fitness loss through e.g increased reproduction, selective nectar feeding.\n\nIntroduced 4th possible outcome:\n\nBehavioural exploitation - physiologically resistant mosquitoes may use the recognition of insecticide-based control tools as a proxy for host presence. = evidence from negative deterence values in EHT?","page":"48-54","title":"Behavioural adaptations of mosquito vectors to insecticide control","type":"article-journal","volume":"34"},"uris":["http://www.mendeley.com/documents/?uuid=38a185e6-1091-3dc3-be27-9aaef18e894b"]}],"mendeley":{"formattedCitation":"[33]","plainTextFormattedCitation":"[33]","previouslyFormattedCitation":"[33]"},"properties":{"noteIndex":0},"schema":"https://github.com/citation-style-language/schema/raw/master/csl-citation.json"}</w:instrText>
      </w:r>
      <w:r w:rsidR="00BD1AEC" w:rsidRPr="00D0161E">
        <w:rPr>
          <w:rFonts w:cstheme="minorHAnsi"/>
          <w:color w:val="000000" w:themeColor="text1"/>
        </w:rPr>
        <w:fldChar w:fldCharType="separate"/>
      </w:r>
      <w:r w:rsidR="00B63A44" w:rsidRPr="00B63A44">
        <w:rPr>
          <w:rFonts w:cstheme="minorHAnsi"/>
          <w:noProof/>
          <w:color w:val="000000" w:themeColor="text1"/>
        </w:rPr>
        <w:t>[33]</w:t>
      </w:r>
      <w:r w:rsidR="00BD1AEC" w:rsidRPr="00D0161E">
        <w:rPr>
          <w:rFonts w:cstheme="minorHAnsi"/>
          <w:color w:val="000000" w:themeColor="text1"/>
        </w:rPr>
        <w:fldChar w:fldCharType="end"/>
      </w:r>
      <w:r w:rsidR="00F77405" w:rsidRPr="00D0161E">
        <w:rPr>
          <w:rFonts w:cstheme="minorHAnsi"/>
          <w:color w:val="000000" w:themeColor="text1"/>
        </w:rPr>
        <w:t>, may result in cross-resistance.</w:t>
      </w:r>
      <w:bookmarkEnd w:id="46"/>
    </w:p>
    <w:p w14:paraId="38D4D18A" w14:textId="77777777" w:rsidR="00F77405" w:rsidRPr="00D0161E" w:rsidRDefault="00F77405" w:rsidP="00D0161E">
      <w:pPr>
        <w:spacing w:line="480" w:lineRule="auto"/>
        <w:rPr>
          <w:rFonts w:cstheme="minorHAnsi"/>
          <w:color w:val="000000" w:themeColor="text1"/>
        </w:rPr>
      </w:pPr>
    </w:p>
    <w:p w14:paraId="5777695B" w14:textId="66C6DFDE" w:rsidR="00F77405" w:rsidRPr="00D0161E" w:rsidRDefault="00F77405" w:rsidP="00D0161E">
      <w:pPr>
        <w:spacing w:line="480" w:lineRule="auto"/>
        <w:rPr>
          <w:color w:val="000000" w:themeColor="text1"/>
        </w:rPr>
      </w:pPr>
      <w:r w:rsidRPr="00D0161E">
        <w:rPr>
          <w:color w:val="000000" w:themeColor="text1"/>
        </w:rPr>
        <w:t xml:space="preserve">In addition to target site mutations, resistance to an insecticide may be conferred by upregulation of detoxification genes </w:t>
      </w:r>
      <w:r w:rsidR="00BD1AEC" w:rsidRPr="00D0161E">
        <w:rPr>
          <w:color w:val="000000" w:themeColor="text1"/>
        </w:rPr>
        <w:fldChar w:fldCharType="begin" w:fldLock="1"/>
      </w:r>
      <w:r w:rsidR="00B63A44">
        <w:rPr>
          <w:color w:val="000000" w:themeColor="text1"/>
        </w:rPr>
        <w:instrText>ADDIN CSL_CITATION {"citationItems":[{"id":"ITEM-1","itemData":{"DOI":"10.1098/rstb.2012.0429","ISSN":"14712970","abstract":"The fight against diseases spread by mosquitoes and other insects has enormous environmental, economic and social consequences. Chemical insecticides remain the first line of defence but the control of diseases, especially malaria and dengue fever, is being increasingly undermined by insecticide resistance. Mosquitoes have a large repertoire of P450s (over 100 genes). By pinpointing the key enzymes associated with insecticide resistance we can begin to develop new tools to aid the implementation of control interventions and reduce their environmental impact on Earth. Recent technological advances are helping us to build a functional profile of the P450 determinants of insecticide metabolic resistance in mosquitoes. Alongside, the cross-responses of mosquito P450s to insecticides and pollutants are also being investigated. Such research will provide the means to produce diagnostic tools for early detection of P450s linked to resistance. It will also enable the design of new insecticides with optimized efficacy in different environments. © 2013 The Author(s) Published by the Royal Society. All rights reserved.","author":[{"dropping-particle":"","family":"David","given":"Jean Philippe","non-dropping-particle":"","parse-names":false,"suffix":""},{"dropping-particle":"","family":"Ismail","given":"Hanafy Mahmoud","non-dropping-particle":"","parse-names":false,"suffix":""},{"dropping-particle":"","family":"Chandor-Proust","given":"Alexia","non-dropping-particle":"","parse-names":false,"suffix":""},{"dropping-particle":"","family":"Paine","given":"Mark John Ingraham","non-dropping-particle":"","parse-names":false,"suffix":""}],"container-title":"Philosophical Transactions of the Royal Society B: Biological Sciences","id":"ITEM-1","issue":"368","issued":{"date-parts":[["2013"]]},"page":"1612","title":"Role of cytochrome P450s in insecticide resistance: Impact on the control of mosquito-borne diseases and use of insecticides on earth","type":"article-journal","volume":"6"},"uris":["http://www.mendeley.com/documents/?uuid=fdc65826-db92-3cc3-af3d-9a8283d748eb"]}],"mendeley":{"formattedCitation":"[30]","plainTextFormattedCitation":"[30]","previouslyFormattedCitation":"[30]"},"properties":{"noteIndex":0},"schema":"https://github.com/citation-style-language/schema/raw/master/csl-citation.json"}</w:instrText>
      </w:r>
      <w:r w:rsidR="00BD1AEC" w:rsidRPr="00D0161E">
        <w:rPr>
          <w:color w:val="000000" w:themeColor="text1"/>
        </w:rPr>
        <w:fldChar w:fldCharType="separate"/>
      </w:r>
      <w:r w:rsidR="00B63A44" w:rsidRPr="00B63A44">
        <w:rPr>
          <w:noProof/>
          <w:color w:val="000000" w:themeColor="text1"/>
        </w:rPr>
        <w:t>[30]</w:t>
      </w:r>
      <w:r w:rsidR="00BD1AEC" w:rsidRPr="00D0161E">
        <w:rPr>
          <w:color w:val="000000" w:themeColor="text1"/>
        </w:rPr>
        <w:fldChar w:fldCharType="end"/>
      </w:r>
      <w:r w:rsidRPr="00D0161E">
        <w:rPr>
          <w:color w:val="000000" w:themeColor="text1"/>
        </w:rPr>
        <w:t xml:space="preserve">, reduced penetration of the cuticle </w:t>
      </w:r>
      <w:r w:rsidR="00BD1AEC" w:rsidRPr="00D0161E">
        <w:rPr>
          <w:color w:val="000000" w:themeColor="text1"/>
        </w:rPr>
        <w:fldChar w:fldCharType="begin" w:fldLock="1"/>
      </w:r>
      <w:r w:rsidR="00B63A44">
        <w:rPr>
          <w:color w:val="000000" w:themeColor="text1"/>
        </w:rPr>
        <w:instrText xml:space="preserve">ADDIN CSL_CITATION {"citationItems":[{"id":"ITEM-1","itemData":{"DOI":"10.1073/pnas.1608295113","ISSN":"10916490","abstract":"The role of cuticle changes in insecticide resistance in the major malaria vector Anopheles gambiae was assessed. The rate of internalization of 14C deltamethrin was significantly slower in a resistant strain than in a susceptible strain. Topical application of an acetone insecticide formulation to circumvent lipid-based uptake barriers decreased the resistance ratio by </w:instrText>
      </w:r>
      <w:r w:rsidR="00B63A44">
        <w:rPr>
          <w:rFonts w:ascii="Cambria Math" w:hAnsi="Cambria Math" w:cs="Cambria Math"/>
          <w:color w:val="000000" w:themeColor="text1"/>
        </w:rPr>
        <w:instrText>∼</w:instrText>
      </w:r>
      <w:r w:rsidR="00B63A44">
        <w:rPr>
          <w:color w:val="000000" w:themeColor="text1"/>
        </w:rPr>
        <w:instrText>50%. Cuticle analysis by electron microscopy and characterization of lipid extracts indicated that resistant mosquitoes had a thicker epicuticular layer and a significant increase in cuticular hydrocarbon (CHC) content (</w:instrText>
      </w:r>
      <w:r w:rsidR="00B63A44">
        <w:rPr>
          <w:rFonts w:ascii="Cambria Math" w:hAnsi="Cambria Math" w:cs="Cambria Math"/>
          <w:color w:val="000000" w:themeColor="text1"/>
        </w:rPr>
        <w:instrText>∼</w:instrText>
      </w:r>
      <w:r w:rsidR="00B63A44">
        <w:rPr>
          <w:color w:val="000000" w:themeColor="text1"/>
        </w:rPr>
        <w:instrText>29%). However, the CHC profile and relative distribution were similar in resistant and susceptible insects. The cellular localization and in vitro activity of two P450 enzymes, CYP4G16 and CYP4G17, whose genes are frequently overexpressed in resistant Anopheles mosquitoes, were analyzed. These enzymes are potential orthologs of the CYP4G1/2 enzymes that catalyze the final step of CHC biosynthesis in Drosophila and Musca domestica, respectively. Immunostaining indicated that both CYP4G16 and CYP4G17 are highly abundant in oenocytes, the insect cell type thought to secrete hydrocarbons. However, an intriguing difference was indicated; CYP4G17 occurs throughout the cell, as expected for a microsomal P450, but CYP4G16 localizes to the periphery of the cell and lies on the cytoplasmic side of the cell membrane, a unique position for a P450 enzyme. CYP4G16 and CYP4G17 were functionally expressed in insect cells. CYP4G16 produced hydrocarbons from a C18 aldehyde substrate and thus has bona fide decarbonylase activity similar to that of dmCYP4G1/2. The data support the hypothesis that the coevolution of multiple mechanisms, including cuticular barriers, has occurred in highly pyrethroid-resistant An. gambiae.","author":[{"dropping-particle":"","family":"Balabanidou","given":"Vasileia","non-dropping-particle":"","parse-names":false,"suffix":""},{"dropping-particle":"","family":"Kampouraki","given":"Anastasia","non-dropping-particle":"","parse-names":false,"suffix":""},{"dropping-particle":"","family":"Maclean","given":"Marina","non-dropping-particle":"","parse-names":false,"suffix":""},{"dropping-particle":"","family":"Blomquist","given":"Gary J.","non-dropping-particle":"","parse-names":false,"suffix":""},{"dropping-particle":"","family":"Tittiger","given":"Claus","non-dropping-particle":"","parse-names":false,"suffix":""},{"dropping-particle":"","family":"Juárez","given":"M. Patricia","non-dropping-particle":"","parse-names":false,"suffix":""},{"dropping-particle":"","family":"Mijailovsky","given":"Sergio J.","non-dropping-particle":"","parse-names":false,"suffix":""},{"dropping-particle":"","family":"Chalepakis","given":"George","non-dropping-particle":"","parse-names":false,"suffix":""},{"dropping-particle":"","family":"Anthousi","given":"Amalia","non-dropping-particle":"","parse-names":false,"suffix":""},{"dropping-particle":"","family":"Lynd","given":"Amy","non-dropping-particle":"","parse-names":false,"suffix":""},{"dropping-particle":"","family":"Antoine","given":"Sanou","non-dropping-particle":"","parse-names":false,"suffix":""},{"dropping-particle":"","family":"Hemingway","given":"Janet","non-dropping-particle":"","parse-names":false,"suffix":""},{"dropping-particle":"","family":"Ranson","given":"Hilary","non-dropping-particle":"","parse-names":false,"suffix":""},{"dropping-particle":"","family":"Lycett","given":"Gareth J.","non-dropping-particle":"","parse-names":false,"suffix":""},{"dropping-particle":"","family":"Vontas","given":"John","non-dropping-particle":"","parse-names":false,"suffix":""}],"container-title":"Proceedings of the National Academy of Sciences of the United States of America","id":"ITEM-1","issued":{"date-parts":[["2016"]]},"title":"Cytochrome P450 associated with insecticide resistance catalyzes cuticular hydrocarbon production in Anopheles gambiae","type":"article-journal"},"uris":["http://www.mendeley.com/documents/?uuid=b2715ca1-f525-4255-b40d-0374472ccf61"]}],"mendeley":{"formattedCitation":"[34]","plainTextFormattedCitation":"[34]","previouslyFormattedCitation":"[34]"},"properties":{"noteIndex":0},"schema":"https://github.com/citation-style-language/schema/raw/master/csl-citation.json"}</w:instrText>
      </w:r>
      <w:r w:rsidR="00BD1AEC" w:rsidRPr="00D0161E">
        <w:rPr>
          <w:color w:val="000000" w:themeColor="text1"/>
        </w:rPr>
        <w:fldChar w:fldCharType="separate"/>
      </w:r>
      <w:r w:rsidR="00B63A44" w:rsidRPr="00B63A44">
        <w:rPr>
          <w:noProof/>
          <w:color w:val="000000" w:themeColor="text1"/>
        </w:rPr>
        <w:t>[34]</w:t>
      </w:r>
      <w:r w:rsidR="00BD1AEC" w:rsidRPr="00D0161E">
        <w:rPr>
          <w:color w:val="000000" w:themeColor="text1"/>
        </w:rPr>
        <w:fldChar w:fldCharType="end"/>
      </w:r>
      <w:r w:rsidRPr="00D0161E">
        <w:rPr>
          <w:color w:val="000000" w:themeColor="text1"/>
        </w:rPr>
        <w:t xml:space="preserve">, and upregulation of pyrethroid binding proteins </w:t>
      </w:r>
      <w:r w:rsidR="00BD1AEC" w:rsidRPr="00D0161E">
        <w:rPr>
          <w:color w:val="000000" w:themeColor="text1"/>
        </w:rPr>
        <w:fldChar w:fldCharType="begin" w:fldLock="1"/>
      </w:r>
      <w:r w:rsidR="00B63A44">
        <w:rPr>
          <w:color w:val="000000" w:themeColor="text1"/>
        </w:rPr>
        <w:instrText>ADDIN CSL_CITATION {"citationItems":[{"id":"ITEM-1","itemData":{"DOI":"10.1038/s41586-019-1864-1","ISSN":"14764687","abstract":"Pyrethroid-impregnated bed nets have driven considerable reductions in malaria-associated morbidity and mortality in Africa since the beginning of the century1. The intense selection pressure exerted by bed nets has precipitated widespread and escalating resistance to pyrethroids in African Anopheles populations, threatening to reverse the gains that been made by malaria control2. Here we show that expression of a sensory appendage protein (SAP2), which is enriched in the legs, confers pyrethroid resistance to Anopheles gambiae. Expression of SAP2 is increased in insecticide-resistant populations and is further induced after the mosquito comes into contact with pyrethroids. SAP2 silencing fully restores mortality of the mosquitoes, whereas SAP2 overexpression results in increased resistance, probably owing to high-affinity binding of SAP2 to pyrethroid insecticides. Mining of genome sequence data reveals a selective sweep near the SAP2 locus in the mosquito populations of three West African countries (Cameroon, Guinea and Burkina Faso) with the observed increase in haplotype-associated single-nucleotide polymorphisms mirroring the increasing resistance of mosquitoes to pyrethroids reported in Burkina Faso. Our study identifies a previously undescribed mechanism of insecticide resistance that is likely to be highly relevant to malaria control efforts.","author":[{"dropping-particle":"","family":"Ingham","given":"Victoria A.","non-dropping-particle":"","parse-names":false,"suffix":""},{"dropping-particle":"","family":"Anthousi","given":"Amalia","non-dropping-particle":"","parse-names":false,"suffix":""},{"dropping-particle":"","family":"Douris","given":"Vassilis","non-dropping-particle":"","parse-names":false,"suffix":""},{"dropping-particle":"","family":"Harding","given":"Nicholas J.","non-dropping-particle":"","parse-names":false,"suffix":""},{"dropping-particle":"","family":"Lycett","given":"Gareth","non-dropping-particle":"","parse-names":false,"suffix":""},{"dropping-particle":"","family":"Morris","given":"Marion","non-dropping-particle":"","parse-names":false,"suffix":""},{"dropping-particle":"","family":"Vontas","given":"John","non-dropping-particle":"","parse-names":false,"suffix":""},{"dropping-particle":"","family":"Ranson","given":"Hilary","non-dropping-particle":"","parse-names":false,"suffix":""}],"container-title":"Nature","id":"ITEM-1","issue":"7790","issued":{"date-parts":[["2020"]]},"page":"376-380","publisher":"Springer US","title":"A sensory appendage protein protects malaria vectors from pyrethroids","type":"article-journal","volume":"577"},"uris":["http://www.mendeley.com/documents/?uuid=ff476ebd-96d5-44da-991e-a40a796b5c80"]},{"id":"ITEM-2","itemData":{"DOI":"10.1038/s41467-018-07615-x","ISSN":"20411723","abstract":"Increasing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Communications","id":"ITEM-2","issued":{"date-parts":[["2018"]]},"title":"Transcriptomic meta-signatures identified in Anopheles gambiae populations reveal previously undetected insecticide resistance mechanisms","type":"article-journal"},"uris":["http://www.mendeley.com/documents/?uuid=59a716b9-6f5e-46ca-b4c4-02661775300f"]}],"mendeley":{"formattedCitation":"[32,35]","plainTextFormattedCitation":"[32,35]","previouslyFormattedCitation":"[32,35]"},"properties":{"noteIndex":0},"schema":"https://github.com/citation-style-language/schema/raw/master/csl-citation.json"}</w:instrText>
      </w:r>
      <w:r w:rsidR="00BD1AEC" w:rsidRPr="00D0161E">
        <w:rPr>
          <w:color w:val="000000" w:themeColor="text1"/>
        </w:rPr>
        <w:fldChar w:fldCharType="separate"/>
      </w:r>
      <w:r w:rsidR="00B63A44" w:rsidRPr="00B63A44">
        <w:rPr>
          <w:noProof/>
          <w:color w:val="000000" w:themeColor="text1"/>
        </w:rPr>
        <w:t>[32,35]</w:t>
      </w:r>
      <w:r w:rsidR="00BD1AEC" w:rsidRPr="00D0161E">
        <w:rPr>
          <w:color w:val="000000" w:themeColor="text1"/>
        </w:rPr>
        <w:fldChar w:fldCharType="end"/>
      </w:r>
      <w:r w:rsidRPr="00D0161E">
        <w:rPr>
          <w:color w:val="000000" w:themeColor="text1"/>
        </w:rPr>
        <w:t xml:space="preserve">. These mechanisms may not be specific to pyrethroid </w:t>
      </w:r>
      <w:proofErr w:type="gramStart"/>
      <w:r w:rsidRPr="00D0161E">
        <w:rPr>
          <w:color w:val="000000" w:themeColor="text1"/>
        </w:rPr>
        <w:t>resistance, and</w:t>
      </w:r>
      <w:proofErr w:type="gramEnd"/>
      <w:r w:rsidRPr="00D0161E">
        <w:rPr>
          <w:color w:val="000000" w:themeColor="text1"/>
        </w:rPr>
        <w:t xml:space="preserve"> may confer cross</w:t>
      </w:r>
      <w:r w:rsidR="00C84605">
        <w:rPr>
          <w:color w:val="000000" w:themeColor="text1"/>
        </w:rPr>
        <w:t>-</w:t>
      </w:r>
      <w:r w:rsidRPr="00D0161E">
        <w:rPr>
          <w:color w:val="000000" w:themeColor="text1"/>
        </w:rPr>
        <w:t>resistance to different insecticide classes. It is therefore important for potential new vector health insecticides to be screened against well-characteri</w:t>
      </w:r>
      <w:r w:rsidR="00C84605">
        <w:rPr>
          <w:color w:val="000000" w:themeColor="text1"/>
        </w:rPr>
        <w:t>z</w:t>
      </w:r>
      <w:r w:rsidRPr="00D0161E">
        <w:rPr>
          <w:color w:val="000000" w:themeColor="text1"/>
        </w:rPr>
        <w:t xml:space="preserve">ed resistant strains carrying a range of resistance mechanisms </w:t>
      </w:r>
      <w:r w:rsidR="00BD1AEC" w:rsidRPr="00D0161E">
        <w:rPr>
          <w:color w:val="000000" w:themeColor="text1"/>
        </w:rPr>
        <w:fldChar w:fldCharType="begin" w:fldLock="1"/>
      </w:r>
      <w:r w:rsidR="00B63A44">
        <w:rPr>
          <w:color w:val="000000" w:themeColor="text1"/>
        </w:rPr>
        <w:instrText>ADDIN CSL_CITATION {"citationItems":[{"id":"ITEM-1","itemData":{"DOI":"10.1186/s13071-019-3774-3","ISSN":"17563305","abstract":"© 2019 The Author(s). Background: Insecticides formulated into products that target Anopheles mosquitos have had an immense impact on reducing malaria cases in Africa. However, resistance to currently used insecticides is spreading rapidly and there is an urgent need for alternative public health insecticides. Potential new insecticides must be screened against a range of characterized mosquito strains to identify potential resistance liabilities. The Liverpool School of Tropical Medicine maintains three susceptible and four resistant Anopheles strains that are widely used for screening for new insecticides. The properties of these strains are described in this paper. Methods: WHO tube susceptibility bioassays were used for colony selection and to screen for resistance to the major classes of public health insecticides. Topical and tarsal contact bioassays were used to produce dose response curves to assess resistance intensity. Bioassays with the synergist piperonyl butoxide were also performed. Taqman™ assays were used to screen for known target site resistance alleles (kdr and ace-1). RT-qPCR was used to quantify expression of genes associated with pyrethroid resistance. Results: Pyrethroid selection pressure has maintained resistance to this class in all four resistant strains. Some carbamate and organophosphate resistance has been lost through lack of exposure to these insecticide classes. The Anopheles gambiae (sensu lato) strains, VK7 2014, Banfora M and Tiassalé 13 have higher levels of pyrethroid resistance than the An. funestus FUMOZ-R strain. Elevated expression of P450s is found in all four strains and the 1014F kdr mutation is present in all three An. gambiae strains at varying frequencies. Tarsal contact data and overexpression of CYP4G16 and SAP2 suggest penetration barriers and/or sequestration also confer resistance in Banfora M. Conclusions: Continual selection with deltamethrin has maintained a stable pyrethroid-resistant phenotype over many generations. In conjunction with a standardized rearing regime, this ensures quality control of strains over time allowing for robust product comparison and selection of optimal products for further development. The identification of multiple mechanisms underpinning insecticide resistance highlights the importance of screening new compounds against a range of mosquito strains.[Figure not available: see fulltext.].","author":[{"dropping-particle":"","family":"Williams","given":"J.","non-dropping-particle":"","parse-names":false,"suffix":""},{"dropping-particle":"","family":"Flood","given":"L.","non-dropping-particle":"","parse-names":false,"suffix":""},{"dropping-particle":"","family":"Praulins","given":"G.","non-dropping-particle":"","parse-names":false,"suffix":""},{"dropping-particle":"","family":"Ingham","given":"V.A.","non-dropping-particle":"","parse-names":false,"suffix":""},{"dropping-particle":"","family":"Morgan","given":"J.","non-dropping-particle":"","parse-names":false,"suffix":""},{"dropping-particle":"","family":"Lees","given":"R.S.","non-dropping-particle":"","parse-names":false,"suffix":""},{"dropping-particle":"","family":"Ranson","given":"H.","non-dropping-particle":"","parse-names":false,"suffix":""}],"container-title":"Parasites and Vectors","id":"ITEM-1","issue":"1","issued":{"date-parts":[["2019"]]},"title":"Characterisation of Anopheles strains used for laboratory screening of new vector control products","type":"article-journal","volume":"12"},"uris":["http://www.mendeley.com/documents/?uuid=b4c30973-fef7-31f5-ab2e-cc509fa7a053"]}],"mendeley":{"formattedCitation":"[10]","plainTextFormattedCitation":"[10]","previouslyFormattedCitation":"[10]"},"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[10]</w:t>
      </w:r>
      <w:r w:rsidR="00BD1AEC" w:rsidRPr="00D0161E">
        <w:rPr>
          <w:color w:val="000000" w:themeColor="text1"/>
        </w:rPr>
        <w:fldChar w:fldCharType="end"/>
      </w:r>
      <w:r w:rsidRPr="00D0161E">
        <w:rPr>
          <w:color w:val="000000" w:themeColor="text1"/>
        </w:rPr>
        <w:t xml:space="preserve">. The efficacy of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against mosquito strains resistant to multiple classes of insecticide currently in use for public health is demonstrated by several bioassay methods. The potency of the compound was greater against the resistant strain Tiassal</w:t>
      </w:r>
      <w:r w:rsidRPr="00D0161E">
        <w:rPr>
          <w:rFonts w:cstheme="minorHAnsi"/>
          <w:color w:val="000000" w:themeColor="text1"/>
        </w:rPr>
        <w:t>é</w:t>
      </w:r>
      <w:r w:rsidRPr="00D0161E">
        <w:rPr>
          <w:color w:val="000000" w:themeColor="text1"/>
        </w:rPr>
        <w:t xml:space="preserve"> 2 than the susceptible Kisumu by topical application, but the </w:t>
      </w:r>
      <w:r w:rsidR="00C84605">
        <w:rPr>
          <w:color w:val="000000" w:themeColor="text1"/>
        </w:rPr>
        <w:t>KD</w:t>
      </w:r>
      <w:r w:rsidRPr="00D0161E">
        <w:rPr>
          <w:color w:val="000000" w:themeColor="text1"/>
        </w:rPr>
        <w:t xml:space="preserve"> scored immediately after exposure was higher in Kisumu strain than Tiassal</w:t>
      </w:r>
      <w:r w:rsidRPr="00D0161E">
        <w:rPr>
          <w:rFonts w:cstheme="minorHAnsi"/>
          <w:color w:val="000000" w:themeColor="text1"/>
        </w:rPr>
        <w:t>é</w:t>
      </w:r>
      <w:r w:rsidRPr="00D0161E">
        <w:rPr>
          <w:color w:val="000000" w:themeColor="text1"/>
        </w:rPr>
        <w:t xml:space="preserve"> 2 strain. Further investigation would be needed to determine the mechanism for this difference, which may be a result of metabolic differences between the two strains affecting the speed of activation of the pro-insecticide or of differential speeds of uptake. The </w:t>
      </w:r>
      <w:r w:rsidR="00215C54" w:rsidRPr="00D0161E">
        <w:rPr>
          <w:color w:val="000000" w:themeColor="text1"/>
        </w:rPr>
        <w:t>speed of</w:t>
      </w:r>
      <w:r w:rsidRPr="00D0161E">
        <w:rPr>
          <w:color w:val="000000" w:themeColor="text1"/>
        </w:rPr>
        <w:t xml:space="preserve"> kill after tarsal exposure was not significantly different between strains, and potency in the tarsal contact assay was similar between strains of </w:t>
      </w:r>
      <w:r w:rsidRPr="00D0161E">
        <w:rPr>
          <w:i/>
          <w:iCs/>
          <w:color w:val="000000" w:themeColor="text1"/>
        </w:rPr>
        <w:t>An. gambiae</w:t>
      </w:r>
      <w:r w:rsidRPr="00D0161E">
        <w:rPr>
          <w:color w:val="000000" w:themeColor="text1"/>
        </w:rPr>
        <w:t>, as measure from 24</w:t>
      </w:r>
      <w:r w:rsidR="00C84605">
        <w:rPr>
          <w:color w:val="000000" w:themeColor="text1"/>
        </w:rPr>
        <w:t>-</w:t>
      </w:r>
      <w:r w:rsidRPr="00D0161E">
        <w:rPr>
          <w:color w:val="000000" w:themeColor="text1"/>
        </w:rPr>
        <w:t>h</w:t>
      </w:r>
      <w:r w:rsidR="00C84605">
        <w:rPr>
          <w:color w:val="000000" w:themeColor="text1"/>
        </w:rPr>
        <w:t>ou</w:t>
      </w:r>
      <w:r w:rsidRPr="00D0161E">
        <w:rPr>
          <w:color w:val="000000" w:themeColor="text1"/>
        </w:rPr>
        <w:t xml:space="preserve">r mortality, which may point to a slower tarsal uptake of the compound but this would need further confirmation. The 48- and 72-hour mortality was slightly higher in Kisumu at the lowest concentrations tested, and there is a small difference between resistant Cayman and susceptible New Orleans </w:t>
      </w:r>
      <w:r w:rsidRPr="00D0161E">
        <w:rPr>
          <w:i/>
          <w:iCs/>
          <w:color w:val="000000" w:themeColor="text1"/>
        </w:rPr>
        <w:t>Ae. aegypti</w:t>
      </w:r>
      <w:r w:rsidRPr="00D0161E">
        <w:rPr>
          <w:color w:val="000000" w:themeColor="text1"/>
        </w:rPr>
        <w:t xml:space="preserve"> strains, although this may be an artefact of variability in the assay results. The slightly slower activity against </w:t>
      </w:r>
      <w:r w:rsidRPr="00D0161E">
        <w:rPr>
          <w:i/>
          <w:color w:val="000000" w:themeColor="text1"/>
        </w:rPr>
        <w:t>Ae. aegypti</w:t>
      </w:r>
      <w:r w:rsidRPr="00D0161E">
        <w:rPr>
          <w:color w:val="000000" w:themeColor="text1"/>
        </w:rPr>
        <w:t xml:space="preserve"> may be a result of differences in tarsal uptake rate between mosquito genera: this is supported by the higher breakpoints observed in the tarsal contact assay. However, all mosquitoes were killed by 12-24 hours after exposure, as required by the WHO guidelines for assessing the efficacy of new IRS products</w:t>
      </w:r>
      <w:r w:rsidR="00B86E65">
        <w:rPr>
          <w:color w:val="000000" w:themeColor="text1"/>
        </w:rPr>
        <w:t xml:space="preserve"> </w:t>
      </w:r>
      <w:r w:rsidR="00BD1AEC" w:rsidRPr="00D0161E">
        <w:rPr>
          <w:color w:val="000000" w:themeColor="text1"/>
        </w:rPr>
        <w:fldChar w:fldCharType="begin" w:fldLock="1"/>
      </w:r>
      <w:r w:rsidR="00B63A44">
        <w:rPr>
          <w:color w:val="000000" w:themeColor="text1"/>
        </w:rPr>
        <w:instrText>ADDIN CSL_CITATION {"citationItems":[{"id":"ITEM-1","itemData":{"DOI":"WHO/CDS/NTD/WHOPES/GCDPP/2006.3","abstract":"More than 50 companies are involved in the development of TB diagnostics. There are 10 new or re-purposed anti-TB drugs in late phases of clinical development. In the last two years, two new drugs have been approved for the treatment of MDR-TB under specific conditions: bedaquiline and delamanid. There are currently 15 vaccine candidates in clinical trials. US{$} 8 billion per year is needed for a full response to the global TB epidemic in low-and middle-income countries by 2015, with a funding gap of US{$} 2 billion per year. The amount excludes resources required for research and devel-opment, which are estimated at about US{$} 2 billion per year. 37 million lives saved between 2000 and 2013 through effective diagnosis and treatment 45{%} decline in TB mortality rate and 41{%} decline in TB prevalence since 1990 Fragile progress in MDR-TB diagnosis and treatment but widening gaps in treatment coverage could compromise gains MULTIDRUG-RESISTANT TB Globally in 2013, an estimated 480 000 people developed multidrug-resistant TB (MDR-TB) and there were an estimated 210 000 deaths from MDR-TB. The number of people diagnosed with MDR-TB tripled between 2009 and 2013, and reached 136 000 worldwide. This was equivalent to 45{%} of the estimated MDR-TB cases among notified TB patients. Progress in the detection of drug-resistant TB has been facilitated by the use of new rapid diagnostics. A total of 97 000 patients were started on MDR-TB treatment in 2013, a three-fold increase compared with 2009. However, 39 000 patients were on waiting lists, and the gap between diagnosis and treatment widened between 2012 and 2013 in several countries. Extensively drug-resistant TB (XDR-TB) has been reported by 100 countries in 2013. On average, an estimated 9{%} of people with MDR-TB have XDR-TB. NEW DIAGNOSTICS Xpert{®} MTB/RIF, a rapid molecular diagnostic test, is being rapidly adopted by countries to detect TB and rifampicin-resistant TB. By end June 2014, 3 269 testing machines and 7.5 million test cartridges had been procured by 108 of the 145 countries eligible for concessional prices. FINANCING FOR TB CARE AND CONTROL Between 2013 and 2015 up to US{$} 8 billion per year is needed in low-and middle-income countries, with a funding gap of up to US{$} 3 billion per year. International donor funding is especially critical to sustain recent gains and make further progress in RESEARCH AND DEVELOPMENT Tuberculosis (TB) is contagious and airborne. It ranks as the second lea…","author":[{"dropping-particle":"","family":"WHO","given":"","non-dropping-particle":"","parse-names":false,"suffix":""}],"id":"ITEM-1","issued":{"date-parts":[["2006"]]},"publisher-place":"Geneva","title":"Guidelines for testing adulticides for indoor residual spraying and treatment of mosquito nets","type":"report"},"uris":["http://www.mendeley.com/documents/?uuid=04f3b313-6c0e-3ced-971e-ac47d5b272bb"]}],"mendeley":{"formattedCitation":"[17]","plainTextFormattedCitation":"[17]","previouslyFormattedCitation":"[17]"},"properties":{"noteIndex":0},"schema":"https://github.com/citation-style-language/schema/raw/master/csl-citation.json"}</w:instrText>
      </w:r>
      <w:r w:rsidR="00BD1AEC" w:rsidRPr="00D0161E">
        <w:rPr>
          <w:color w:val="000000" w:themeColor="text1"/>
        </w:rPr>
        <w:fldChar w:fldCharType="separate"/>
      </w:r>
      <w:r w:rsidR="00B63A44" w:rsidRPr="00B63A44">
        <w:rPr>
          <w:noProof/>
          <w:color w:val="000000" w:themeColor="text1"/>
        </w:rPr>
        <w:t>[17]</w:t>
      </w:r>
      <w:r w:rsidR="00BD1AEC" w:rsidRPr="00D0161E">
        <w:rPr>
          <w:color w:val="000000" w:themeColor="text1"/>
        </w:rPr>
        <w:fldChar w:fldCharType="end"/>
      </w:r>
      <w:r w:rsidRPr="00D0161E">
        <w:rPr>
          <w:color w:val="000000" w:themeColor="text1"/>
        </w:rPr>
        <w:t xml:space="preserve">. Although the </w:t>
      </w:r>
      <w:r w:rsidR="00921EC3" w:rsidRPr="00D0161E">
        <w:rPr>
          <w:color w:val="000000" w:themeColor="text1"/>
        </w:rPr>
        <w:t xml:space="preserve">calculated </w:t>
      </w:r>
      <w:r w:rsidRPr="00D0161E">
        <w:rPr>
          <w:color w:val="000000" w:themeColor="text1"/>
        </w:rPr>
        <w:t>LC</w:t>
      </w:r>
      <w:r w:rsidRPr="00D0161E">
        <w:rPr>
          <w:color w:val="000000" w:themeColor="text1"/>
          <w:vertAlign w:val="subscript"/>
        </w:rPr>
        <w:t>50</w:t>
      </w:r>
      <w:r w:rsidRPr="00D0161E">
        <w:rPr>
          <w:color w:val="000000" w:themeColor="text1"/>
        </w:rPr>
        <w:t xml:space="preserve"> values were significantly different between Kisumu RDL and Tiassalé 2 resistant strains and the susceptible comparator Kisumu, the resistance ratios were only 1.73 and 3.36, respectively. Resistance ratios </w:t>
      </w:r>
      <w:r w:rsidR="00921EC3" w:rsidRPr="00D0161E">
        <w:rPr>
          <w:color w:val="000000" w:themeColor="text1"/>
        </w:rPr>
        <w:t>for</w:t>
      </w:r>
      <w:r w:rsidRPr="00D0161E">
        <w:rPr>
          <w:color w:val="000000" w:themeColor="text1"/>
        </w:rPr>
        <w:t xml:space="preserve"> pyrethroids </w:t>
      </w:r>
      <w:r w:rsidR="00921EC3" w:rsidRPr="00D0161E">
        <w:rPr>
          <w:color w:val="000000" w:themeColor="text1"/>
        </w:rPr>
        <w:t>against</w:t>
      </w:r>
      <w:r w:rsidRPr="00D0161E">
        <w:rPr>
          <w:color w:val="000000" w:themeColor="text1"/>
        </w:rPr>
        <w:t xml:space="preserve"> resistant strains of </w:t>
      </w:r>
      <w:r w:rsidRPr="00D0161E">
        <w:rPr>
          <w:i/>
          <w:iCs/>
          <w:color w:val="000000" w:themeColor="text1"/>
        </w:rPr>
        <w:t>Anopheles</w:t>
      </w:r>
      <w:r w:rsidRPr="00D0161E">
        <w:rPr>
          <w:color w:val="000000" w:themeColor="text1"/>
        </w:rPr>
        <w:t xml:space="preserve"> maintained in the LITE facility ranged from 11-384 when measured using the same methodology </w:t>
      </w:r>
      <w:r w:rsidR="00BD1AEC" w:rsidRPr="00D0161E">
        <w:rPr>
          <w:color w:val="000000" w:themeColor="text1"/>
        </w:rPr>
        <w:fldChar w:fldCharType="begin" w:fldLock="1"/>
      </w:r>
      <w:r w:rsidR="00B63A44">
        <w:rPr>
          <w:color w:val="000000" w:themeColor="text1"/>
        </w:rPr>
        <w:instrText>ADDIN CSL_CITATION {"citationItems":[{"id":"ITEM-1","itemData":{"DOI":"10.1186/s13071-019-3774-3","ISSN":"17563305","abstract":"© 2019 The Author(s). Background: Insecticides formulated into products that target Anopheles mosquitos have had an immense impact on reducing malaria cases in Africa. However, resistance to currently used insecticides is spreading rapidly and there is an urgent need for alternative public health insecticides. Potential new insecticides must be screened against a range of characterized mosquito strains to identify potential resistance liabilities. The Liverpool School of Tropical Medicine maintains three susceptible and four resistant Anopheles strains that are widely used for screening for new insecticides. The properties of these strains are described in this paper. Methods: WHO tube susceptibility bioassays were used for colony selection and to screen for resistance to the major classes of public health insecticides. Topical and tarsal contact bioassays were used to produce dose response curves to assess resistance intensity. Bioassays with the synergist piperonyl butoxide were also performed. Taqman™ assays were used to screen for known target site resistance alleles (kdr and ace-1). RT-qPCR was used to quantify expression of genes associated with pyrethroid resistance. Results: Pyrethroid selection pressure has maintained resistance to this class in all four resistant strains. Some carbamate and organophosphate resistance has been lost through lack of exposure to these insecticide classes. The Anopheles gambiae (sensu lato) strains, VK7 2014, Banfora M and Tiassalé 13 have higher levels of pyrethroid resistance than the An. funestus FUMOZ-R strain. Elevated expression of P450s is found in all four strains and the 1014F kdr mutation is present in all three An. gambiae strains at varying frequencies. Tarsal contact data and overexpression of CYP4G16 and SAP2 suggest penetration barriers and/or sequestration also confer resistance in Banfora M. Conclusions: Continual selection with deltamethrin has maintained a stable pyrethroid-resistant phenotype over many generations. In conjunction with a standardized rearing regime, this ensures quality control of strains over time allowing for robust product comparison and selection of optimal products for further development. The identification of multiple mechanisms underpinning insecticide resistance highlights the importance of screening new compounds against a range of mosquito strains.[Figure not available: see fulltext.].","author":[{"dropping-particle":"","family":"Williams","given":"J.","non-dropping-particle":"","parse-names":false,"suffix":""},{"dropping-particle":"","family":"Flood","given":"L.","non-dropping-particle":"","parse-names":false,"suffix":""},{"dropping-particle":"","family":"Praulins","given":"G.","non-dropping-particle":"","parse-names":false,"suffix":""},{"dropping-particle":"","family":"Ingham","given":"V.A.","non-dropping-particle":"","parse-names":false,"suffix":""},{"dropping-particle":"","family":"Morgan","given":"J.","non-dropping-particle":"","parse-names":false,"suffix":""},{"dropping-particle":"","family":"Lees","given":"R.S.","non-dropping-particle":"","parse-names":false,"suffix":""},{"dropping-particle":"","family":"Ranson","given":"H.","non-dropping-particle":"","parse-names":false,"suffix":""}],"container-title":"Parasites and Vectors","id":"ITEM-1","issue":"1","issued":{"date-parts":[["2019"]]},"title":"Characterisation of Anopheles strains used for laboratory screening of new vector control products","type":"article-journal","volume":"12"},"uris":["http://www.mendeley.com/documents/?uuid=b4c30973-fef7-31f5-ab2e-cc509fa7a053"]}],"mendeley":{"formattedCitation":"[10]","plainTextFormattedCitation":"[10]","previouslyFormattedCitation":"[10]"},"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[10]</w:t>
      </w:r>
      <w:r w:rsidR="00BD1AEC" w:rsidRPr="00D0161E">
        <w:rPr>
          <w:color w:val="000000" w:themeColor="text1"/>
        </w:rPr>
        <w:fldChar w:fldCharType="end"/>
      </w:r>
      <w:r w:rsidRPr="00D0161E">
        <w:rPr>
          <w:color w:val="000000" w:themeColor="text1"/>
        </w:rPr>
        <w:t xml:space="preserve">, suggesting that any difference in susceptibility to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is not biologically significant. Furthermore, surfaces treated with the prototype IRS formulation were effective against both susceptible and resistant strains of </w:t>
      </w:r>
      <w:r w:rsidRPr="00D0161E">
        <w:rPr>
          <w:i/>
          <w:color w:val="000000" w:themeColor="text1"/>
        </w:rPr>
        <w:t xml:space="preserve">An. gambiae </w:t>
      </w:r>
      <w:r w:rsidRPr="00D0161E">
        <w:rPr>
          <w:color w:val="000000" w:themeColor="text1"/>
        </w:rPr>
        <w:t>up to 8 months post-treatment.</w:t>
      </w:r>
    </w:p>
    <w:p w14:paraId="1B11BA2D" w14:textId="77777777" w:rsidR="007D1A79" w:rsidRPr="00D0161E" w:rsidRDefault="007D1A79" w:rsidP="00D0161E">
      <w:pPr>
        <w:spacing w:line="480" w:lineRule="auto"/>
        <w:rPr>
          <w:color w:val="000000" w:themeColor="text1"/>
        </w:rPr>
      </w:pPr>
    </w:p>
    <w:p w14:paraId="12201C54" w14:textId="77777777" w:rsidR="005364AE" w:rsidRPr="00D0161E" w:rsidRDefault="005364AE" w:rsidP="00D0161E">
      <w:pPr>
        <w:spacing w:line="480" w:lineRule="auto"/>
        <w:rPr>
          <w:color w:val="000000" w:themeColor="text1"/>
        </w:rPr>
      </w:pPr>
    </w:p>
    <w:p w14:paraId="74EB7D08" w14:textId="77777777" w:rsidR="00D85797" w:rsidRPr="00D0161E" w:rsidRDefault="00D85797" w:rsidP="00D0161E">
      <w:pPr>
        <w:pStyle w:val="Heading2"/>
        <w:spacing w:before="0" w:line="480" w:lineRule="auto"/>
        <w:rPr>
          <w:rFonts w:ascii="Times New Roman" w:hAnsi="Times New Roman"/>
          <w:b/>
          <w:color w:val="000000" w:themeColor="text1"/>
          <w:sz w:val="24"/>
        </w:rPr>
      </w:pPr>
      <w:bookmarkStart w:id="47" w:name="_Hlk12522264"/>
      <w:r w:rsidRPr="00D0161E">
        <w:rPr>
          <w:rFonts w:ascii="Times New Roman" w:hAnsi="Times New Roman"/>
          <w:b/>
          <w:color w:val="000000" w:themeColor="text1"/>
          <w:sz w:val="24"/>
        </w:rPr>
        <w:t>Conclusion</w:t>
      </w:r>
      <w:r w:rsidR="009D04AC" w:rsidRPr="00D0161E">
        <w:rPr>
          <w:rFonts w:ascii="Times New Roman" w:hAnsi="Times New Roman"/>
          <w:b/>
          <w:color w:val="000000" w:themeColor="text1"/>
          <w:sz w:val="24"/>
        </w:rPr>
        <w:t>s</w:t>
      </w:r>
    </w:p>
    <w:p w14:paraId="092896CB" w14:textId="77777777" w:rsidR="00B162CD" w:rsidRPr="00D0161E" w:rsidRDefault="00B162CD" w:rsidP="00D0161E">
      <w:pPr>
        <w:spacing w:line="480" w:lineRule="auto"/>
        <w:rPr>
          <w:color w:val="000000" w:themeColor="text1"/>
        </w:rPr>
      </w:pPr>
    </w:p>
    <w:p w14:paraId="752D9906" w14:textId="5E0AA1B7" w:rsidR="007556AB" w:rsidRPr="00D0161E" w:rsidRDefault="00D54567" w:rsidP="00D0161E">
      <w:pPr>
        <w:spacing w:line="480" w:lineRule="auto"/>
        <w:rPr>
          <w:color w:val="000000" w:themeColor="text1"/>
        </w:rPr>
      </w:pPr>
      <w:proofErr w:type="spellStart"/>
      <w:r w:rsidRPr="00D54567">
        <w:rPr>
          <w:color w:val="000000" w:themeColor="text1"/>
          <w:szCs w:val="22"/>
        </w:rPr>
        <w:t>Tenebenal</w:t>
      </w:r>
      <w:r w:rsidR="001C7CD7" w:rsidRPr="00D0161E">
        <w:rPr>
          <w:b/>
          <w:bCs/>
          <w:color w:val="000000" w:themeColor="text1"/>
          <w:vertAlign w:val="superscript"/>
        </w:rPr>
        <w:t>TM</w:t>
      </w:r>
      <w:proofErr w:type="spellEnd"/>
      <w:r w:rsidR="001C7CD7" w:rsidRPr="00D0161E">
        <w:rPr>
          <w:color w:val="000000" w:themeColor="text1"/>
        </w:rPr>
        <w:t xml:space="preserve"> is the first novel insecticide to be developed with the support of the IVCC programme, and represents a new mode of action and IRAC class </w:t>
      </w:r>
      <w:r w:rsidR="00BD1AEC" w:rsidRPr="00D0161E">
        <w:rPr>
          <w:color w:val="000000" w:themeColor="text1"/>
        </w:rPr>
        <w:fldChar w:fldCharType="begin" w:fldLock="1"/>
      </w:r>
      <w:r w:rsidR="00B63A44">
        <w:rPr>
          <w:color w:val="000000" w:themeColor="text1"/>
        </w:rPr>
        <w:instrText>ADDIN CSL_CITATION {"citationItems":[{"id":"ITEM-1","itemData":{"URL":"https://irac-online.org/modes-of-action/","accessed":{"date-parts":[["2020","5","6"]]},"author":[{"dropping-particle":"","family":"IRAC International","given":"","non-dropping-particle":"","parse-names":false,"suffix":""}],"id":"ITEM-1","issued":{"date-parts":[["2020"]]},"title":"Xml Version","type":"webpage"},"uris":["http://www.mendeley.com/documents/?uuid=c380556b-7303-4884-86ae-542c563f38a2"]}],"mendeley":{"formattedCitation":"[5]","plainTextFormattedCitation":"[5]","previouslyFormattedCitation":"[5]"},"properties":{"noteIndex":0},"schema":"https://github.com/citation-style-language/schema/raw/master/csl-citation.json"}</w:instrText>
      </w:r>
      <w:r w:rsidR="00BD1AEC" w:rsidRPr="00D0161E">
        <w:rPr>
          <w:color w:val="000000" w:themeColor="text1"/>
        </w:rPr>
        <w:fldChar w:fldCharType="separate"/>
      </w:r>
      <w:r w:rsidR="00CC52E9" w:rsidRPr="00CC52E9">
        <w:rPr>
          <w:noProof/>
          <w:color w:val="000000" w:themeColor="text1"/>
        </w:rPr>
        <w:t>[5]</w:t>
      </w:r>
      <w:r w:rsidR="00BD1AEC" w:rsidRPr="00D0161E">
        <w:rPr>
          <w:color w:val="000000" w:themeColor="text1"/>
        </w:rPr>
        <w:fldChar w:fldCharType="end"/>
      </w:r>
      <w:r w:rsidR="007556AB" w:rsidRPr="00D0161E">
        <w:rPr>
          <w:color w:val="000000" w:themeColor="text1"/>
        </w:rPr>
        <w:t xml:space="preserve"> for public health use</w:t>
      </w:r>
      <w:r w:rsidR="00202BE2" w:rsidRPr="00D0161E">
        <w:rPr>
          <w:color w:val="000000" w:themeColor="text1"/>
        </w:rPr>
        <w:t>. The compound’s</w:t>
      </w:r>
      <w:r w:rsidR="007556AB" w:rsidRPr="00D0161E">
        <w:rPr>
          <w:color w:val="000000" w:themeColor="text1"/>
        </w:rPr>
        <w:t xml:space="preserve"> potency has been demonstrated both through direct </w:t>
      </w:r>
      <w:r w:rsidR="003514D1" w:rsidRPr="00D0161E">
        <w:rPr>
          <w:color w:val="000000" w:themeColor="text1"/>
        </w:rPr>
        <w:t xml:space="preserve">topical </w:t>
      </w:r>
      <w:r w:rsidR="007556AB" w:rsidRPr="00D0161E">
        <w:rPr>
          <w:color w:val="000000" w:themeColor="text1"/>
        </w:rPr>
        <w:t>application and through tarsal contact</w:t>
      </w:r>
      <w:r w:rsidR="00C537E0" w:rsidRPr="00D0161E">
        <w:rPr>
          <w:color w:val="000000" w:themeColor="text1"/>
        </w:rPr>
        <w:t xml:space="preserve">. The compound </w:t>
      </w:r>
      <w:r w:rsidR="003514D1" w:rsidRPr="00D0161E">
        <w:rPr>
          <w:color w:val="000000" w:themeColor="text1"/>
        </w:rPr>
        <w:t>demonstrates the</w:t>
      </w:r>
      <w:r w:rsidR="007556AB" w:rsidRPr="00D0161E">
        <w:rPr>
          <w:color w:val="000000" w:themeColor="text1"/>
        </w:rPr>
        <w:t xml:space="preserve"> potential for development into </w:t>
      </w:r>
      <w:r w:rsidR="00C537E0" w:rsidRPr="00D0161E">
        <w:rPr>
          <w:color w:val="000000" w:themeColor="text1"/>
        </w:rPr>
        <w:t xml:space="preserve">both a </w:t>
      </w:r>
      <w:r w:rsidR="007556AB" w:rsidRPr="00D0161E">
        <w:rPr>
          <w:color w:val="000000" w:themeColor="text1"/>
        </w:rPr>
        <w:t xml:space="preserve">LLIN and </w:t>
      </w:r>
      <w:r w:rsidR="003514D1" w:rsidRPr="00D0161E">
        <w:rPr>
          <w:color w:val="000000" w:themeColor="text1"/>
        </w:rPr>
        <w:t>long-lasting</w:t>
      </w:r>
      <w:r w:rsidR="00C537E0" w:rsidRPr="00D0161E">
        <w:rPr>
          <w:color w:val="000000" w:themeColor="text1"/>
        </w:rPr>
        <w:t xml:space="preserve"> </w:t>
      </w:r>
      <w:r w:rsidR="007556AB" w:rsidRPr="00D0161E">
        <w:rPr>
          <w:color w:val="000000" w:themeColor="text1"/>
        </w:rPr>
        <w:t>IRS</w:t>
      </w:r>
      <w:r w:rsidR="003514D1" w:rsidRPr="00D0161E">
        <w:rPr>
          <w:color w:val="000000" w:themeColor="text1"/>
        </w:rPr>
        <w:t xml:space="preserve"> formulation</w:t>
      </w:r>
      <w:r w:rsidR="00C537E0" w:rsidRPr="00D0161E">
        <w:rPr>
          <w:color w:val="000000" w:themeColor="text1"/>
        </w:rPr>
        <w:t xml:space="preserve">, although its slow action </w:t>
      </w:r>
      <w:r w:rsidR="003514D1" w:rsidRPr="00D0161E">
        <w:rPr>
          <w:color w:val="000000" w:themeColor="text1"/>
        </w:rPr>
        <w:t>may require that</w:t>
      </w:r>
      <w:r w:rsidR="00C537E0" w:rsidRPr="00D0161E">
        <w:rPr>
          <w:color w:val="000000" w:themeColor="text1"/>
        </w:rPr>
        <w:t xml:space="preserve"> </w:t>
      </w:r>
      <w:proofErr w:type="spellStart"/>
      <w:r w:rsidRPr="00D54567">
        <w:rPr>
          <w:color w:val="000000" w:themeColor="text1"/>
          <w:szCs w:val="22"/>
        </w:rPr>
        <w:t>Tenebenal</w:t>
      </w:r>
      <w:r w:rsidR="00C537E0" w:rsidRPr="00D0161E">
        <w:rPr>
          <w:color w:val="000000" w:themeColor="text1"/>
          <w:vertAlign w:val="superscript"/>
        </w:rPr>
        <w:t>TM</w:t>
      </w:r>
      <w:proofErr w:type="spellEnd"/>
      <w:r w:rsidR="00C537E0" w:rsidRPr="00D0161E">
        <w:rPr>
          <w:color w:val="000000" w:themeColor="text1"/>
        </w:rPr>
        <w:t xml:space="preserve"> </w:t>
      </w:r>
      <w:r w:rsidR="003514D1" w:rsidRPr="00D0161E">
        <w:rPr>
          <w:color w:val="000000" w:themeColor="text1"/>
        </w:rPr>
        <w:t xml:space="preserve">be combined </w:t>
      </w:r>
      <w:r w:rsidR="00C537E0" w:rsidRPr="00D0161E">
        <w:rPr>
          <w:color w:val="000000" w:themeColor="text1"/>
        </w:rPr>
        <w:t>with a</w:t>
      </w:r>
      <w:r w:rsidR="003514D1" w:rsidRPr="00D0161E">
        <w:rPr>
          <w:color w:val="000000" w:themeColor="text1"/>
        </w:rPr>
        <w:t>n</w:t>
      </w:r>
      <w:r w:rsidR="00C537E0" w:rsidRPr="00D0161E">
        <w:rPr>
          <w:color w:val="000000" w:themeColor="text1"/>
        </w:rPr>
        <w:t xml:space="preserve"> insecticide </w:t>
      </w:r>
      <w:r w:rsidR="003514D1" w:rsidRPr="00D0161E">
        <w:rPr>
          <w:color w:val="000000" w:themeColor="text1"/>
        </w:rPr>
        <w:t xml:space="preserve">with a faster mode of action </w:t>
      </w:r>
      <w:r w:rsidR="00C537E0" w:rsidRPr="00D0161E">
        <w:rPr>
          <w:color w:val="000000" w:themeColor="text1"/>
        </w:rPr>
        <w:t>on a dual</w:t>
      </w:r>
      <w:r w:rsidR="00B86E65">
        <w:rPr>
          <w:color w:val="000000" w:themeColor="text1"/>
        </w:rPr>
        <w:t xml:space="preserve"> </w:t>
      </w:r>
      <w:r w:rsidR="00C537E0" w:rsidRPr="00D0161E">
        <w:rPr>
          <w:color w:val="000000" w:themeColor="text1"/>
        </w:rPr>
        <w:t>AI</w:t>
      </w:r>
      <w:r w:rsidR="00B86E65">
        <w:rPr>
          <w:color w:val="000000" w:themeColor="text1"/>
        </w:rPr>
        <w:t>-</w:t>
      </w:r>
      <w:r w:rsidR="00C537E0" w:rsidRPr="00D0161E">
        <w:rPr>
          <w:color w:val="000000" w:themeColor="text1"/>
        </w:rPr>
        <w:t>treated net</w:t>
      </w:r>
      <w:r w:rsidR="009B7979" w:rsidRPr="00D0161E">
        <w:rPr>
          <w:color w:val="000000" w:themeColor="text1"/>
        </w:rPr>
        <w:t xml:space="preserve"> both for personal protection and for insecticide resistance management purposes</w:t>
      </w:r>
      <w:r w:rsidR="00C537E0" w:rsidRPr="00D0161E">
        <w:rPr>
          <w:color w:val="000000" w:themeColor="text1"/>
        </w:rPr>
        <w:t xml:space="preserve">. </w:t>
      </w:r>
      <w:r w:rsidR="00F55004" w:rsidRPr="00D0161E">
        <w:rPr>
          <w:color w:val="000000" w:themeColor="text1"/>
        </w:rPr>
        <w:t>N</w:t>
      </w:r>
      <w:r w:rsidR="00C537E0" w:rsidRPr="00D0161E">
        <w:rPr>
          <w:color w:val="000000" w:themeColor="text1"/>
        </w:rPr>
        <w:t xml:space="preserve">o target site mutations </w:t>
      </w:r>
      <w:r w:rsidR="009B7979" w:rsidRPr="00D0161E">
        <w:rPr>
          <w:color w:val="000000" w:themeColor="text1"/>
        </w:rPr>
        <w:t xml:space="preserve">were detected </w:t>
      </w:r>
      <w:r w:rsidR="00C537E0" w:rsidRPr="00D0161E">
        <w:rPr>
          <w:color w:val="000000" w:themeColor="text1"/>
        </w:rPr>
        <w:t>in screened genome data and</w:t>
      </w:r>
      <w:r w:rsidR="00F55004" w:rsidRPr="00D0161E">
        <w:rPr>
          <w:color w:val="000000" w:themeColor="text1"/>
        </w:rPr>
        <w:t xml:space="preserve"> </w:t>
      </w:r>
      <w:r w:rsidR="009B7979" w:rsidRPr="00D0161E">
        <w:rPr>
          <w:color w:val="000000" w:themeColor="text1"/>
        </w:rPr>
        <w:t>during</w:t>
      </w:r>
      <w:r w:rsidR="00C537E0" w:rsidRPr="00D0161E">
        <w:rPr>
          <w:color w:val="000000" w:themeColor="text1"/>
        </w:rPr>
        <w:t xml:space="preserve"> testing with well</w:t>
      </w:r>
      <w:r w:rsidR="009B7979" w:rsidRPr="00D0161E">
        <w:rPr>
          <w:color w:val="000000" w:themeColor="text1"/>
        </w:rPr>
        <w:t>-</w:t>
      </w:r>
      <w:r w:rsidR="00C537E0" w:rsidRPr="00D0161E">
        <w:rPr>
          <w:color w:val="000000" w:themeColor="text1"/>
        </w:rPr>
        <w:t>characteri</w:t>
      </w:r>
      <w:r w:rsidR="00B86E65">
        <w:rPr>
          <w:color w:val="000000" w:themeColor="text1"/>
        </w:rPr>
        <w:t>z</w:t>
      </w:r>
      <w:r w:rsidR="00C537E0" w:rsidRPr="00D0161E">
        <w:rPr>
          <w:color w:val="000000" w:themeColor="text1"/>
        </w:rPr>
        <w:t xml:space="preserve">ed pyrethroid resistant strains of </w:t>
      </w:r>
      <w:r w:rsidR="00C537E0" w:rsidRPr="00D0161E">
        <w:rPr>
          <w:i/>
          <w:iCs/>
          <w:color w:val="000000" w:themeColor="text1"/>
        </w:rPr>
        <w:t>Aedes</w:t>
      </w:r>
      <w:r w:rsidR="00C537E0" w:rsidRPr="00D0161E">
        <w:rPr>
          <w:color w:val="000000" w:themeColor="text1"/>
        </w:rPr>
        <w:t xml:space="preserve"> and </w:t>
      </w:r>
      <w:r w:rsidR="00C537E0" w:rsidRPr="00D0161E">
        <w:rPr>
          <w:i/>
          <w:iCs/>
          <w:color w:val="000000" w:themeColor="text1"/>
        </w:rPr>
        <w:t>Anopheles</w:t>
      </w:r>
      <w:r w:rsidR="00C537E0" w:rsidRPr="00D0161E">
        <w:rPr>
          <w:color w:val="000000" w:themeColor="text1"/>
        </w:rPr>
        <w:t xml:space="preserve"> mosquitoes</w:t>
      </w:r>
      <w:r w:rsidR="009B7979" w:rsidRPr="00D0161E">
        <w:rPr>
          <w:color w:val="000000" w:themeColor="text1"/>
        </w:rPr>
        <w:t>,</w:t>
      </w:r>
      <w:r w:rsidR="00C537E0" w:rsidRPr="00D0161E">
        <w:rPr>
          <w:color w:val="000000" w:themeColor="text1"/>
        </w:rPr>
        <w:t xml:space="preserve"> </w:t>
      </w:r>
      <w:r w:rsidR="009B7979" w:rsidRPr="00D0161E">
        <w:rPr>
          <w:color w:val="000000" w:themeColor="text1"/>
        </w:rPr>
        <w:t>no</w:t>
      </w:r>
      <w:r w:rsidR="00C537E0" w:rsidRPr="00D0161E">
        <w:rPr>
          <w:color w:val="000000" w:themeColor="text1"/>
        </w:rPr>
        <w:t xml:space="preserve"> evidence of cross</w:t>
      </w:r>
      <w:r w:rsidR="009B7979" w:rsidRPr="00D0161E">
        <w:rPr>
          <w:color w:val="000000" w:themeColor="text1"/>
        </w:rPr>
        <w:t>-</w:t>
      </w:r>
      <w:r w:rsidR="00C537E0" w:rsidRPr="00D0161E">
        <w:rPr>
          <w:color w:val="000000" w:themeColor="text1"/>
        </w:rPr>
        <w:t>resistance</w:t>
      </w:r>
      <w:r w:rsidR="009B7979" w:rsidRPr="00D0161E">
        <w:rPr>
          <w:color w:val="000000" w:themeColor="text1"/>
        </w:rPr>
        <w:t xml:space="preserve"> was found</w:t>
      </w:r>
      <w:r w:rsidR="00C537E0" w:rsidRPr="00D0161E">
        <w:rPr>
          <w:color w:val="000000" w:themeColor="text1"/>
        </w:rPr>
        <w:t xml:space="preserve">. Indeed, </w:t>
      </w:r>
      <w:r w:rsidR="009B7979" w:rsidRPr="00D0161E">
        <w:rPr>
          <w:color w:val="000000" w:themeColor="text1"/>
        </w:rPr>
        <w:t xml:space="preserve">data suggest that </w:t>
      </w:r>
      <w:r w:rsidR="00C537E0" w:rsidRPr="00D0161E">
        <w:rPr>
          <w:color w:val="000000" w:themeColor="text1"/>
        </w:rPr>
        <w:t xml:space="preserve">binding </w:t>
      </w:r>
      <w:r w:rsidR="009B7979" w:rsidRPr="00D0161E">
        <w:rPr>
          <w:color w:val="000000" w:themeColor="text1"/>
        </w:rPr>
        <w:t xml:space="preserve">of </w:t>
      </w:r>
      <w:proofErr w:type="spellStart"/>
      <w:r w:rsidRPr="00D54567">
        <w:rPr>
          <w:color w:val="000000" w:themeColor="text1"/>
          <w:szCs w:val="22"/>
        </w:rPr>
        <w:t>Tenebenal</w:t>
      </w:r>
      <w:r w:rsidR="009B7979" w:rsidRPr="00D0161E">
        <w:rPr>
          <w:color w:val="000000" w:themeColor="text1"/>
          <w:vertAlign w:val="superscript"/>
        </w:rPr>
        <w:t>TM</w:t>
      </w:r>
      <w:proofErr w:type="spellEnd"/>
      <w:r w:rsidR="009B7979" w:rsidRPr="00D0161E">
        <w:rPr>
          <w:color w:val="000000" w:themeColor="text1"/>
        </w:rPr>
        <w:t xml:space="preserve"> </w:t>
      </w:r>
      <w:r w:rsidR="00C537E0" w:rsidRPr="00D0161E">
        <w:rPr>
          <w:color w:val="000000" w:themeColor="text1"/>
        </w:rPr>
        <w:t xml:space="preserve">to the GABA receptor </w:t>
      </w:r>
      <w:r w:rsidR="009B7979" w:rsidRPr="00D0161E">
        <w:rPr>
          <w:color w:val="000000" w:themeColor="text1"/>
        </w:rPr>
        <w:t>is</w:t>
      </w:r>
      <w:r w:rsidR="00C537E0" w:rsidRPr="00D0161E">
        <w:rPr>
          <w:color w:val="000000" w:themeColor="text1"/>
        </w:rPr>
        <w:t xml:space="preserve"> unaffected by the </w:t>
      </w:r>
      <w:proofErr w:type="spellStart"/>
      <w:r w:rsidR="009B7979" w:rsidRPr="00D0161E">
        <w:rPr>
          <w:color w:val="000000" w:themeColor="text1"/>
        </w:rPr>
        <w:t>Rdl</w:t>
      </w:r>
      <w:proofErr w:type="spellEnd"/>
      <w:r w:rsidR="009B7979" w:rsidRPr="00D0161E">
        <w:rPr>
          <w:color w:val="000000" w:themeColor="text1"/>
        </w:rPr>
        <w:t xml:space="preserve"> </w:t>
      </w:r>
      <w:r w:rsidR="00C537E0" w:rsidRPr="00D0161E">
        <w:rPr>
          <w:color w:val="000000" w:themeColor="text1"/>
        </w:rPr>
        <w:t xml:space="preserve">mutation </w:t>
      </w:r>
      <w:r w:rsidR="009B7979" w:rsidRPr="00D0161E">
        <w:rPr>
          <w:color w:val="000000" w:themeColor="text1"/>
        </w:rPr>
        <w:t>present in</w:t>
      </w:r>
      <w:r w:rsidR="00C537E0" w:rsidRPr="00D0161E">
        <w:rPr>
          <w:color w:val="000000" w:themeColor="text1"/>
        </w:rPr>
        <w:t xml:space="preserve"> </w:t>
      </w:r>
      <w:r w:rsidR="009B7979" w:rsidRPr="00D0161E">
        <w:rPr>
          <w:color w:val="000000" w:themeColor="text1"/>
        </w:rPr>
        <w:t>the</w:t>
      </w:r>
      <w:r w:rsidR="00C537E0" w:rsidRPr="00D0161E">
        <w:rPr>
          <w:color w:val="000000" w:themeColor="text1"/>
        </w:rPr>
        <w:t xml:space="preserve"> Kisumu RDL strain. </w:t>
      </w:r>
      <w:bookmarkStart w:id="48" w:name="_Hlk50471086"/>
      <w:r w:rsidR="00955703" w:rsidRPr="00D0161E">
        <w:rPr>
          <w:color w:val="000000" w:themeColor="text1"/>
        </w:rPr>
        <w:t xml:space="preserve">These findings indicate that </w:t>
      </w:r>
      <w:proofErr w:type="spellStart"/>
      <w:r w:rsidRPr="00D54567">
        <w:rPr>
          <w:color w:val="000000" w:themeColor="text1"/>
          <w:szCs w:val="22"/>
        </w:rPr>
        <w:t>Tenebenal</w:t>
      </w:r>
      <w:r w:rsidR="00955703" w:rsidRPr="00D0161E">
        <w:rPr>
          <w:color w:val="000000" w:themeColor="text1"/>
          <w:vertAlign w:val="superscript"/>
        </w:rPr>
        <w:t>TM</w:t>
      </w:r>
      <w:proofErr w:type="spellEnd"/>
      <w:r w:rsidR="00955703" w:rsidRPr="00D0161E">
        <w:rPr>
          <w:color w:val="000000" w:themeColor="text1"/>
        </w:rPr>
        <w:t xml:space="preserve"> has the potential for use in the control of resistant populations of </w:t>
      </w:r>
      <w:r w:rsidR="00955703" w:rsidRPr="00D0161E">
        <w:rPr>
          <w:i/>
          <w:iCs/>
          <w:color w:val="000000" w:themeColor="text1"/>
        </w:rPr>
        <w:t>Anopheles</w:t>
      </w:r>
      <w:r w:rsidR="00910A62" w:rsidRPr="00D0161E">
        <w:rPr>
          <w:color w:val="000000" w:themeColor="text1"/>
        </w:rPr>
        <w:t xml:space="preserve">. Offering a completely novel mode of action, the compound may </w:t>
      </w:r>
      <w:r w:rsidR="00955703" w:rsidRPr="00D0161E">
        <w:rPr>
          <w:color w:val="000000" w:themeColor="text1"/>
        </w:rPr>
        <w:t>play a key role in insecticide resistance management.</w:t>
      </w:r>
      <w:bookmarkEnd w:id="48"/>
    </w:p>
    <w:bookmarkEnd w:id="47"/>
    <w:p w14:paraId="71546C9E" w14:textId="77777777" w:rsidR="00AA66DA" w:rsidRDefault="00B86E65" w:rsidP="00AA66DA">
      <w:pPr>
        <w:spacing w:after="160" w:line="259" w:lineRule="auto"/>
        <w:rPr>
          <w:color w:val="000000" w:themeColor="text1"/>
        </w:rPr>
      </w:pPr>
      <w:r>
        <w:rPr>
          <w:color w:val="000000" w:themeColor="text1"/>
        </w:rPr>
        <w:br w:type="page"/>
      </w:r>
    </w:p>
    <w:p w14:paraId="4ED7E9E6" w14:textId="77777777" w:rsidR="00AA66DA" w:rsidRPr="006C52A4" w:rsidRDefault="00AA66DA" w:rsidP="00AA66DA">
      <w:pPr>
        <w:pStyle w:val="Heading2"/>
        <w:spacing w:before="0" w:line="480" w:lineRule="auto"/>
        <w:rPr>
          <w:rFonts w:ascii="Times New Roman" w:hAnsi="Times New Roman"/>
          <w:b/>
          <w:color w:val="000000" w:themeColor="text1"/>
          <w:sz w:val="24"/>
        </w:rPr>
      </w:pPr>
      <w:r w:rsidRPr="006C52A4">
        <w:rPr>
          <w:rFonts w:ascii="Times New Roman" w:hAnsi="Times New Roman"/>
          <w:b/>
          <w:color w:val="000000" w:themeColor="text1"/>
          <w:sz w:val="24"/>
        </w:rPr>
        <w:t>Abbreviations</w:t>
      </w:r>
    </w:p>
    <w:p w14:paraId="4C350A2D" w14:textId="77777777" w:rsidR="00AA66DA" w:rsidRPr="00D0161E" w:rsidRDefault="00AA66DA" w:rsidP="00AA66DA">
      <w:pPr>
        <w:spacing w:line="480" w:lineRule="auto"/>
        <w:rPr>
          <w:color w:val="000000" w:themeColor="text1"/>
        </w:rPr>
      </w:pPr>
      <w:r w:rsidRPr="00D0161E">
        <w:rPr>
          <w:color w:val="000000" w:themeColor="text1"/>
        </w:rPr>
        <w:t>LLIN     Long Lasting Insecticidal Nets</w:t>
      </w:r>
    </w:p>
    <w:p w14:paraId="29D43039" w14:textId="77777777" w:rsidR="00AA66DA" w:rsidRPr="00D0161E" w:rsidRDefault="00AA66DA" w:rsidP="00AA66DA">
      <w:pPr>
        <w:spacing w:line="480" w:lineRule="auto"/>
        <w:rPr>
          <w:color w:val="000000" w:themeColor="text1"/>
        </w:rPr>
      </w:pPr>
      <w:r w:rsidRPr="00D0161E">
        <w:rPr>
          <w:color w:val="000000" w:themeColor="text1"/>
        </w:rPr>
        <w:t>IRS        Indoor Residual Sprays</w:t>
      </w:r>
    </w:p>
    <w:p w14:paraId="4C4AC64F" w14:textId="77777777" w:rsidR="00AA66DA" w:rsidRPr="00D0161E" w:rsidRDefault="00AA66DA" w:rsidP="00AA66DA">
      <w:pPr>
        <w:spacing w:line="480" w:lineRule="auto"/>
        <w:rPr>
          <w:color w:val="000000" w:themeColor="text1"/>
        </w:rPr>
      </w:pPr>
      <w:r w:rsidRPr="00D0161E">
        <w:rPr>
          <w:color w:val="000000" w:themeColor="text1"/>
        </w:rPr>
        <w:t>GABA    γ-aminobutyric acid</w:t>
      </w:r>
    </w:p>
    <w:p w14:paraId="6BA6A91A" w14:textId="77777777" w:rsidR="00AA66DA" w:rsidRPr="00D0161E" w:rsidRDefault="00AA66DA" w:rsidP="00AA66DA">
      <w:pPr>
        <w:spacing w:line="480" w:lineRule="auto"/>
        <w:rPr>
          <w:color w:val="000000" w:themeColor="text1"/>
        </w:rPr>
      </w:pPr>
      <w:r w:rsidRPr="00D0161E">
        <w:rPr>
          <w:color w:val="000000" w:themeColor="text1"/>
        </w:rPr>
        <w:t>AI   Active Ingredient</w:t>
      </w:r>
    </w:p>
    <w:p w14:paraId="73B23391" w14:textId="77777777" w:rsidR="00AA66DA" w:rsidRPr="00D0161E" w:rsidRDefault="00AA66DA" w:rsidP="00AA66DA">
      <w:pPr>
        <w:spacing w:line="480" w:lineRule="auto"/>
        <w:rPr>
          <w:color w:val="000000" w:themeColor="text1"/>
        </w:rPr>
      </w:pPr>
      <w:r w:rsidRPr="00D0161E">
        <w:rPr>
          <w:color w:val="000000" w:themeColor="text1"/>
        </w:rPr>
        <w:t>WHO    World Health Organisation</w:t>
      </w:r>
    </w:p>
    <w:p w14:paraId="16713BE3" w14:textId="77777777" w:rsidR="00AA66DA" w:rsidRPr="00D0161E" w:rsidRDefault="00AA66DA" w:rsidP="00AA66DA">
      <w:pPr>
        <w:spacing w:line="480" w:lineRule="auto"/>
        <w:rPr>
          <w:color w:val="000000" w:themeColor="text1"/>
        </w:rPr>
      </w:pPr>
      <w:r w:rsidRPr="00D0161E">
        <w:rPr>
          <w:color w:val="000000" w:themeColor="text1"/>
        </w:rPr>
        <w:t>IVCC     Innovative Vector Control Consortium</w:t>
      </w:r>
    </w:p>
    <w:p w14:paraId="111330D6" w14:textId="77777777" w:rsidR="00AA66DA" w:rsidRPr="00D0161E" w:rsidRDefault="00AA66DA" w:rsidP="00AA66DA">
      <w:pPr>
        <w:spacing w:line="480" w:lineRule="auto"/>
        <w:rPr>
          <w:color w:val="000000" w:themeColor="text1"/>
        </w:rPr>
      </w:pPr>
      <w:r w:rsidRPr="00D0161E">
        <w:rPr>
          <w:color w:val="000000" w:themeColor="text1"/>
        </w:rPr>
        <w:t xml:space="preserve">LITE   Liverpool Insect Testing Establishment </w:t>
      </w:r>
    </w:p>
    <w:p w14:paraId="28452C27" w14:textId="77777777" w:rsidR="00AA66DA" w:rsidRPr="00D0161E" w:rsidRDefault="00AA66DA" w:rsidP="00AA66DA">
      <w:pPr>
        <w:spacing w:line="480" w:lineRule="auto"/>
        <w:rPr>
          <w:color w:val="000000" w:themeColor="text1"/>
        </w:rPr>
      </w:pPr>
      <w:r w:rsidRPr="00D0161E">
        <w:rPr>
          <w:color w:val="000000" w:themeColor="text1"/>
        </w:rPr>
        <w:t>IRAC      Insecticide Resistance Action Committee</w:t>
      </w:r>
    </w:p>
    <w:p w14:paraId="00BBA6AB" w14:textId="77777777" w:rsidR="00AA66DA" w:rsidRPr="00D0161E" w:rsidRDefault="00AA66DA" w:rsidP="00AA66DA">
      <w:pPr>
        <w:spacing w:line="480" w:lineRule="auto"/>
        <w:rPr>
          <w:color w:val="000000" w:themeColor="text1"/>
        </w:rPr>
      </w:pPr>
      <w:r w:rsidRPr="00D0161E">
        <w:rPr>
          <w:color w:val="000000" w:themeColor="text1"/>
        </w:rPr>
        <w:t>LSTM   Liverpool School of Tropical Medicine</w:t>
      </w:r>
    </w:p>
    <w:p w14:paraId="39F5A113" w14:textId="77777777" w:rsidR="00AA66DA" w:rsidRPr="00D0161E" w:rsidRDefault="00AA66DA" w:rsidP="00AA66DA">
      <w:pPr>
        <w:spacing w:line="480" w:lineRule="auto"/>
        <w:rPr>
          <w:color w:val="000000" w:themeColor="text1"/>
        </w:rPr>
      </w:pPr>
      <w:r w:rsidRPr="00D0161E">
        <w:rPr>
          <w:color w:val="000000" w:themeColor="text1"/>
        </w:rPr>
        <w:t>NCAs   Non-Competitive Antagonists</w:t>
      </w:r>
    </w:p>
    <w:p w14:paraId="1F311D2A" w14:textId="77777777" w:rsidR="00AA66DA" w:rsidRPr="00D0161E" w:rsidRDefault="00AA66DA" w:rsidP="00AA66DA">
      <w:pPr>
        <w:spacing w:line="480" w:lineRule="auto"/>
        <w:rPr>
          <w:color w:val="000000" w:themeColor="text1"/>
        </w:rPr>
      </w:pPr>
      <w:r w:rsidRPr="00D0161E">
        <w:rPr>
          <w:color w:val="000000" w:themeColor="text1"/>
        </w:rPr>
        <w:t>KDR   Knock Down Resistance</w:t>
      </w:r>
    </w:p>
    <w:p w14:paraId="3A38893C" w14:textId="77777777" w:rsidR="00AA66DA" w:rsidRPr="00D0161E" w:rsidRDefault="00AA66DA" w:rsidP="00AA66DA">
      <w:pPr>
        <w:spacing w:line="480" w:lineRule="auto"/>
        <w:rPr>
          <w:color w:val="000000" w:themeColor="text1"/>
        </w:rPr>
      </w:pPr>
      <w:r w:rsidRPr="00D0161E">
        <w:rPr>
          <w:color w:val="000000" w:themeColor="text1"/>
        </w:rPr>
        <w:t>CDC   Centre for Disease Control</w:t>
      </w:r>
    </w:p>
    <w:p w14:paraId="25F58662" w14:textId="77777777" w:rsidR="00AA66DA" w:rsidRPr="00D0161E" w:rsidRDefault="00AA66DA" w:rsidP="00AA66DA">
      <w:pPr>
        <w:spacing w:line="480" w:lineRule="auto"/>
        <w:rPr>
          <w:color w:val="000000" w:themeColor="text1"/>
        </w:rPr>
      </w:pPr>
      <w:r w:rsidRPr="00D0161E">
        <w:rPr>
          <w:color w:val="000000" w:themeColor="text1"/>
        </w:rPr>
        <w:t>DD   Discriminating Dose</w:t>
      </w:r>
    </w:p>
    <w:p w14:paraId="5731314C" w14:textId="77777777" w:rsidR="00AA66DA" w:rsidRPr="00D0161E" w:rsidRDefault="00AA66DA" w:rsidP="00AA66DA">
      <w:pPr>
        <w:spacing w:line="480" w:lineRule="auto"/>
        <w:rPr>
          <w:color w:val="000000" w:themeColor="text1"/>
        </w:rPr>
      </w:pPr>
      <w:r w:rsidRPr="00D0161E">
        <w:rPr>
          <w:color w:val="000000" w:themeColor="text1"/>
        </w:rPr>
        <w:t>LC   Lethal Concentration</w:t>
      </w:r>
    </w:p>
    <w:p w14:paraId="153D0655" w14:textId="77777777" w:rsidR="00AA66DA" w:rsidRPr="00D0161E" w:rsidRDefault="00AA66DA" w:rsidP="00AA66DA">
      <w:pPr>
        <w:spacing w:line="480" w:lineRule="auto"/>
        <w:rPr>
          <w:color w:val="000000" w:themeColor="text1"/>
        </w:rPr>
      </w:pPr>
      <w:r w:rsidRPr="00D0161E">
        <w:rPr>
          <w:color w:val="000000" w:themeColor="text1"/>
        </w:rPr>
        <w:t>HPLC   High-performance Liquid Chromatography</w:t>
      </w:r>
    </w:p>
    <w:p w14:paraId="6128968F" w14:textId="77777777" w:rsidR="00AA66DA" w:rsidRPr="00D0161E" w:rsidRDefault="00AA66DA" w:rsidP="00AA66DA">
      <w:pPr>
        <w:spacing w:line="480" w:lineRule="auto"/>
        <w:rPr>
          <w:color w:val="000000" w:themeColor="text1"/>
        </w:rPr>
      </w:pPr>
      <w:r w:rsidRPr="00D0161E">
        <w:rPr>
          <w:color w:val="000000" w:themeColor="text1"/>
        </w:rPr>
        <w:t>WP   Wettable Powder</w:t>
      </w:r>
    </w:p>
    <w:p w14:paraId="6D24E82E" w14:textId="77777777" w:rsidR="00AA66DA" w:rsidRPr="00D0161E" w:rsidRDefault="00AA66DA" w:rsidP="00AA66DA">
      <w:pPr>
        <w:spacing w:line="480" w:lineRule="auto"/>
        <w:rPr>
          <w:color w:val="000000" w:themeColor="text1"/>
        </w:rPr>
      </w:pPr>
      <w:r w:rsidRPr="00D0161E">
        <w:rPr>
          <w:color w:val="000000" w:themeColor="text1"/>
        </w:rPr>
        <w:t>WG   Wettable Granule</w:t>
      </w:r>
    </w:p>
    <w:p w14:paraId="3BEC0CB2" w14:textId="77777777" w:rsidR="00AA66DA" w:rsidRPr="00D0161E" w:rsidRDefault="00AA66DA" w:rsidP="00AA66DA">
      <w:pPr>
        <w:spacing w:line="480" w:lineRule="auto"/>
        <w:rPr>
          <w:color w:val="000000" w:themeColor="text1"/>
        </w:rPr>
      </w:pPr>
      <w:r w:rsidRPr="00D0161E">
        <w:rPr>
          <w:color w:val="000000" w:themeColor="text1"/>
        </w:rPr>
        <w:t>W/V   Weight by volume</w:t>
      </w:r>
    </w:p>
    <w:p w14:paraId="69AFD65D" w14:textId="77777777" w:rsidR="00AA66DA" w:rsidRPr="00D0161E" w:rsidRDefault="00AA66DA" w:rsidP="00AA66DA">
      <w:pPr>
        <w:spacing w:line="480" w:lineRule="auto"/>
        <w:rPr>
          <w:color w:val="000000" w:themeColor="text1"/>
        </w:rPr>
      </w:pPr>
      <w:r w:rsidRPr="00D0161E">
        <w:rPr>
          <w:color w:val="000000" w:themeColor="text1"/>
        </w:rPr>
        <w:t>RDL    Resistant to Dieldrin</w:t>
      </w:r>
    </w:p>
    <w:p w14:paraId="19BF957D" w14:textId="77777777" w:rsidR="00AA66DA" w:rsidRPr="00D0161E" w:rsidRDefault="00AA66DA" w:rsidP="00AA66DA">
      <w:pPr>
        <w:spacing w:line="480" w:lineRule="auto"/>
        <w:rPr>
          <w:color w:val="000000" w:themeColor="text1"/>
        </w:rPr>
      </w:pPr>
    </w:p>
    <w:p w14:paraId="65D69EDF" w14:textId="77777777" w:rsidR="00AA66DA" w:rsidRPr="006C52A4" w:rsidRDefault="00AA66DA" w:rsidP="00AA66DA">
      <w:pPr>
        <w:pStyle w:val="Heading2"/>
        <w:spacing w:before="0" w:line="480" w:lineRule="auto"/>
        <w:rPr>
          <w:rFonts w:ascii="Times New Roman" w:hAnsi="Times New Roman"/>
          <w:b/>
          <w:color w:val="000000" w:themeColor="text1"/>
          <w:sz w:val="24"/>
        </w:rPr>
      </w:pPr>
      <w:r w:rsidRPr="006C52A4">
        <w:rPr>
          <w:rFonts w:ascii="Times New Roman" w:hAnsi="Times New Roman"/>
          <w:b/>
          <w:color w:val="000000" w:themeColor="text1"/>
          <w:sz w:val="24"/>
        </w:rPr>
        <w:t>Declarations</w:t>
      </w:r>
    </w:p>
    <w:p w14:paraId="7599AF45" w14:textId="77777777" w:rsidR="00AA66DA" w:rsidRPr="00D0161E" w:rsidRDefault="00AA66DA" w:rsidP="00AA66DA">
      <w:pPr>
        <w:spacing w:line="480" w:lineRule="auto"/>
        <w:rPr>
          <w:color w:val="000000" w:themeColor="text1"/>
        </w:rPr>
      </w:pPr>
    </w:p>
    <w:p w14:paraId="23E5D73D" w14:textId="77777777" w:rsidR="00AA66DA" w:rsidRPr="006C52A4" w:rsidRDefault="00AA66DA" w:rsidP="00AA66DA">
      <w:pPr>
        <w:pStyle w:val="Heading3"/>
        <w:spacing w:before="0" w:line="480" w:lineRule="auto"/>
        <w:rPr>
          <w:rFonts w:ascii="Times New Roman" w:eastAsia="Times New Roman" w:hAnsi="Times New Roman"/>
          <w:b/>
          <w:color w:val="000000" w:themeColor="text1"/>
          <w:lang w:eastAsia="en-GB"/>
        </w:rPr>
      </w:pPr>
      <w:r w:rsidRPr="006C52A4">
        <w:rPr>
          <w:rFonts w:ascii="Times New Roman" w:eastAsia="Times New Roman" w:hAnsi="Times New Roman"/>
          <w:b/>
          <w:color w:val="000000" w:themeColor="text1"/>
          <w:lang w:eastAsia="en-GB"/>
        </w:rPr>
        <w:t xml:space="preserve">Ethics approval and consent to </w:t>
      </w:r>
      <w:proofErr w:type="spellStart"/>
      <w:r w:rsidRPr="006C52A4">
        <w:rPr>
          <w:rFonts w:ascii="Times New Roman" w:eastAsia="Times New Roman" w:hAnsi="Times New Roman"/>
          <w:b/>
          <w:color w:val="000000" w:themeColor="text1"/>
          <w:lang w:eastAsia="en-GB"/>
        </w:rPr>
        <w:t>participateof</w:t>
      </w:r>
      <w:proofErr w:type="spellEnd"/>
      <w:r w:rsidRPr="006C52A4">
        <w:rPr>
          <w:rFonts w:ascii="Times New Roman" w:eastAsia="Times New Roman" w:hAnsi="Times New Roman"/>
          <w:b/>
          <w:color w:val="000000" w:themeColor="text1"/>
          <w:lang w:eastAsia="en-GB"/>
        </w:rPr>
        <w:t xml:space="preserve"> data and material</w:t>
      </w:r>
    </w:p>
    <w:p w14:paraId="437F0BA9" w14:textId="77777777" w:rsidR="00AA66DA" w:rsidRPr="00D0161E" w:rsidRDefault="00AA66DA" w:rsidP="00AA66DA">
      <w:pPr>
        <w:tabs>
          <w:tab w:val="left" w:pos="975"/>
        </w:tabs>
        <w:spacing w:line="480" w:lineRule="auto"/>
        <w:rPr>
          <w:color w:val="000000" w:themeColor="text1"/>
        </w:rPr>
      </w:pPr>
      <w:r w:rsidRPr="00D0161E">
        <w:rPr>
          <w:color w:val="000000" w:themeColor="text1"/>
        </w:rPr>
        <w:t xml:space="preserve">Not applicable </w:t>
      </w:r>
    </w:p>
    <w:p w14:paraId="7BEF3DB0" w14:textId="77777777" w:rsidR="00AA66DA" w:rsidRPr="006C52A4" w:rsidRDefault="00AA66DA" w:rsidP="00AA66DA">
      <w:pPr>
        <w:pStyle w:val="Heading3"/>
        <w:spacing w:before="0" w:line="480" w:lineRule="auto"/>
        <w:rPr>
          <w:rFonts w:ascii="Times New Roman" w:eastAsia="Times New Roman" w:hAnsi="Times New Roman"/>
          <w:b/>
          <w:color w:val="000000" w:themeColor="text1"/>
          <w:lang w:eastAsia="en-GB"/>
        </w:rPr>
      </w:pPr>
      <w:r w:rsidRPr="006C52A4">
        <w:rPr>
          <w:rFonts w:ascii="Times New Roman" w:eastAsia="Times New Roman" w:hAnsi="Times New Roman"/>
          <w:b/>
          <w:color w:val="000000" w:themeColor="text1"/>
          <w:lang w:eastAsia="en-GB"/>
        </w:rPr>
        <w:t>Consent for publication</w:t>
      </w:r>
    </w:p>
    <w:p w14:paraId="241E8D56" w14:textId="77777777" w:rsidR="00AA66DA" w:rsidRPr="00D0161E" w:rsidRDefault="00AA66DA" w:rsidP="00AA66DA">
      <w:pPr>
        <w:tabs>
          <w:tab w:val="left" w:pos="975"/>
        </w:tabs>
        <w:spacing w:line="480" w:lineRule="auto"/>
        <w:rPr>
          <w:color w:val="000000" w:themeColor="text1"/>
        </w:rPr>
      </w:pPr>
      <w:r w:rsidRPr="00D0161E">
        <w:rPr>
          <w:color w:val="000000" w:themeColor="text1"/>
        </w:rPr>
        <w:t xml:space="preserve">Not applicable </w:t>
      </w:r>
    </w:p>
    <w:p w14:paraId="4320F495" w14:textId="77777777" w:rsidR="00AA66DA" w:rsidRPr="006C52A4" w:rsidRDefault="00AA66DA" w:rsidP="00AA66DA">
      <w:pPr>
        <w:pStyle w:val="Heading3"/>
        <w:spacing w:before="0" w:line="480" w:lineRule="auto"/>
        <w:rPr>
          <w:rFonts w:ascii="Times New Roman" w:eastAsia="Times New Roman" w:hAnsi="Times New Roman"/>
          <w:b/>
          <w:color w:val="000000" w:themeColor="text1"/>
          <w:lang w:eastAsia="en-GB"/>
        </w:rPr>
      </w:pPr>
      <w:r w:rsidRPr="006C52A4">
        <w:rPr>
          <w:rFonts w:ascii="Times New Roman" w:eastAsia="Times New Roman" w:hAnsi="Times New Roman"/>
          <w:b/>
          <w:color w:val="000000" w:themeColor="text1"/>
          <w:lang w:eastAsia="en-GB"/>
        </w:rPr>
        <w:t>Availability of data and material</w:t>
      </w:r>
    </w:p>
    <w:p w14:paraId="6253D7E3" w14:textId="77777777" w:rsidR="00AA66DA" w:rsidRPr="00D0161E" w:rsidRDefault="00AA66DA" w:rsidP="00AA66DA">
      <w:pPr>
        <w:spacing w:line="480" w:lineRule="auto"/>
        <w:rPr>
          <w:color w:val="000000" w:themeColor="text1"/>
        </w:rPr>
      </w:pPr>
      <w:r w:rsidRPr="00D0161E">
        <w:rPr>
          <w:color w:val="000000" w:themeColor="text1"/>
        </w:rPr>
        <w:t>The datasets generated and/or analysed during the current study are not publicly available due to commercial sensitivities but are available from the corresponding author on reasonable request.</w:t>
      </w:r>
    </w:p>
    <w:p w14:paraId="458DFE8D" w14:textId="77777777" w:rsidR="00AA66DA" w:rsidRPr="006C52A4" w:rsidRDefault="00AA66DA" w:rsidP="00AA66DA">
      <w:pPr>
        <w:pStyle w:val="Heading3"/>
        <w:spacing w:before="0" w:line="480" w:lineRule="auto"/>
        <w:rPr>
          <w:rFonts w:ascii="Times New Roman" w:eastAsia="Times New Roman" w:hAnsi="Times New Roman"/>
          <w:b/>
          <w:color w:val="000000" w:themeColor="text1"/>
          <w:lang w:eastAsia="en-GB"/>
        </w:rPr>
      </w:pPr>
      <w:r w:rsidRPr="006C52A4">
        <w:rPr>
          <w:rFonts w:ascii="Times New Roman" w:eastAsia="Times New Roman" w:hAnsi="Times New Roman"/>
          <w:b/>
          <w:color w:val="000000" w:themeColor="text1"/>
          <w:lang w:eastAsia="en-GB"/>
        </w:rPr>
        <w:t>Competing interests</w:t>
      </w:r>
    </w:p>
    <w:p w14:paraId="736B2DF4" w14:textId="77777777" w:rsidR="00AA66DA" w:rsidRPr="00D0161E" w:rsidRDefault="00AA66DA" w:rsidP="00AA66DA">
      <w:pPr>
        <w:spacing w:line="480" w:lineRule="auto"/>
        <w:rPr>
          <w:color w:val="000000" w:themeColor="text1"/>
        </w:rPr>
      </w:pPr>
      <w:r w:rsidRPr="00D0161E">
        <w:rPr>
          <w:color w:val="000000" w:themeColor="text1"/>
        </w:rPr>
        <w:t>The authors declare that they have no competing interests</w:t>
      </w:r>
    </w:p>
    <w:p w14:paraId="71CED576" w14:textId="77777777" w:rsidR="00AA66DA" w:rsidRPr="006C52A4" w:rsidRDefault="00AA66DA" w:rsidP="00AA66DA">
      <w:pPr>
        <w:pStyle w:val="Heading3"/>
        <w:spacing w:before="0" w:line="480" w:lineRule="auto"/>
        <w:rPr>
          <w:rFonts w:ascii="Times New Roman" w:eastAsia="Times New Roman" w:hAnsi="Times New Roman"/>
          <w:b/>
          <w:color w:val="000000" w:themeColor="text1"/>
          <w:lang w:eastAsia="en-GB"/>
        </w:rPr>
      </w:pPr>
      <w:r w:rsidRPr="006C52A4">
        <w:rPr>
          <w:rFonts w:ascii="Times New Roman" w:eastAsia="Times New Roman" w:hAnsi="Times New Roman"/>
          <w:b/>
          <w:color w:val="000000" w:themeColor="text1"/>
          <w:lang w:eastAsia="en-GB"/>
        </w:rPr>
        <w:t>Funding</w:t>
      </w:r>
    </w:p>
    <w:p w14:paraId="26DFF865" w14:textId="77777777" w:rsidR="00AA66DA" w:rsidRPr="00D0161E" w:rsidRDefault="00AA66DA" w:rsidP="00AA66DA">
      <w:pPr>
        <w:shd w:val="clear" w:color="auto" w:fill="FFFFFF"/>
        <w:spacing w:beforeAutospacing="1" w:line="480" w:lineRule="auto"/>
        <w:rPr>
          <w:rFonts w:cs="Segoe UI"/>
          <w:color w:val="000000" w:themeColor="text1"/>
        </w:rPr>
      </w:pPr>
      <w:r w:rsidRPr="00D0161E">
        <w:rPr>
          <w:rFonts w:cs="Segoe UI"/>
          <w:color w:val="000000" w:themeColor="text1"/>
        </w:rPr>
        <w:t>This work was funded by IVCC, who are supported by the Bill &amp; Melinda Gates Foundation, under grant number OPP1148615. The funders had no role in study design, data collection and analysis, decision to publish, or preparation of the manuscript.</w:t>
      </w:r>
    </w:p>
    <w:p w14:paraId="7948FD26" w14:textId="77777777" w:rsidR="00AA66DA" w:rsidRPr="00D0161E" w:rsidRDefault="00AA66DA" w:rsidP="00AA66DA">
      <w:pPr>
        <w:shd w:val="clear" w:color="auto" w:fill="FFFFFF"/>
        <w:spacing w:beforeAutospacing="1" w:line="480" w:lineRule="auto"/>
        <w:rPr>
          <w:rFonts w:cs="Segoe UI"/>
          <w:color w:val="000000" w:themeColor="text1"/>
        </w:rPr>
      </w:pPr>
    </w:p>
    <w:p w14:paraId="00249F6F" w14:textId="77777777" w:rsidR="00AA66DA" w:rsidRPr="006C52A4" w:rsidRDefault="00AA66DA" w:rsidP="00AA66DA">
      <w:pPr>
        <w:pStyle w:val="Heading3"/>
        <w:spacing w:before="0" w:line="480" w:lineRule="auto"/>
        <w:rPr>
          <w:rFonts w:ascii="Times New Roman" w:eastAsia="Times New Roman" w:hAnsi="Times New Roman"/>
          <w:b/>
          <w:color w:val="000000" w:themeColor="text1"/>
          <w:lang w:eastAsia="en-GB"/>
        </w:rPr>
      </w:pPr>
      <w:r w:rsidRPr="006C52A4">
        <w:rPr>
          <w:rFonts w:ascii="Times New Roman" w:eastAsia="Times New Roman" w:hAnsi="Times New Roman"/>
          <w:b/>
          <w:color w:val="000000" w:themeColor="text1"/>
          <w:lang w:eastAsia="en-GB"/>
        </w:rPr>
        <w:t>Authors' contributions</w:t>
      </w:r>
    </w:p>
    <w:p w14:paraId="180505EC" w14:textId="77777777" w:rsidR="00AA66DA" w:rsidRPr="00D0161E" w:rsidRDefault="00AA66DA" w:rsidP="00AA66DA">
      <w:pPr>
        <w:shd w:val="clear" w:color="auto" w:fill="FFFFFF"/>
        <w:spacing w:beforeAutospacing="1" w:line="480" w:lineRule="auto"/>
        <w:rPr>
          <w:rFonts w:cs="Segoe UI"/>
          <w:color w:val="000000" w:themeColor="text1"/>
          <w:shd w:val="clear" w:color="auto" w:fill="FFFFFF"/>
        </w:rPr>
      </w:pPr>
      <w:r w:rsidRPr="00D0161E">
        <w:rPr>
          <w:rFonts w:cs="Segoe UI"/>
          <w:color w:val="000000" w:themeColor="text1"/>
          <w:shd w:val="clear" w:color="auto" w:fill="FFFFFF"/>
        </w:rPr>
        <w:t>RSL analysed the data for publication and prepared the manuscript. PA led the IRS residuality experiment and collated the data for analysis. JM managed the insectary which produced the mosquitoes for much of this work and performed several of the bioassays. GP performed the discriminating dose bioassays and data analysis. RAEL and CTW performed the HPLC analysis, and HL analysed and presented the HPLC data. VAI analysed the Ag1000 data. DM conceived of the study design, led the project, and was a major contributor in writing the manuscript. All authors read and approved the final manuscript.</w:t>
      </w:r>
    </w:p>
    <w:p w14:paraId="13C0E2BD" w14:textId="77777777" w:rsidR="00AA66DA" w:rsidRPr="00D0161E" w:rsidRDefault="00AA66DA" w:rsidP="00AA66DA">
      <w:pPr>
        <w:shd w:val="clear" w:color="auto" w:fill="FFFFFF"/>
        <w:spacing w:beforeAutospacing="1" w:line="480" w:lineRule="auto"/>
        <w:rPr>
          <w:rFonts w:cs="Segoe UI"/>
          <w:color w:val="000000" w:themeColor="text1"/>
          <w:szCs w:val="26"/>
        </w:rPr>
      </w:pPr>
    </w:p>
    <w:p w14:paraId="69C730C0" w14:textId="77777777" w:rsidR="00AA66DA" w:rsidRPr="006C52A4" w:rsidRDefault="00AA66DA" w:rsidP="00AA66DA">
      <w:pPr>
        <w:pStyle w:val="Heading2"/>
        <w:spacing w:before="0" w:line="480" w:lineRule="auto"/>
        <w:rPr>
          <w:rFonts w:ascii="Times New Roman" w:eastAsia="Times New Roman" w:hAnsi="Times New Roman"/>
          <w:b/>
          <w:color w:val="000000" w:themeColor="text1"/>
          <w:sz w:val="24"/>
          <w:lang w:eastAsia="en-GB"/>
        </w:rPr>
      </w:pPr>
      <w:r w:rsidRPr="006C52A4">
        <w:rPr>
          <w:rFonts w:ascii="Times New Roman" w:eastAsia="Times New Roman" w:hAnsi="Times New Roman"/>
          <w:b/>
          <w:color w:val="000000" w:themeColor="text1"/>
          <w:sz w:val="24"/>
          <w:lang w:eastAsia="en-GB"/>
        </w:rPr>
        <w:t>Acknowledgements</w:t>
      </w:r>
    </w:p>
    <w:p w14:paraId="19A61BB6" w14:textId="6DD78032" w:rsidR="00AA66DA" w:rsidRPr="00D0161E" w:rsidRDefault="00AA66DA" w:rsidP="00AA66DA">
      <w:pPr>
        <w:spacing w:line="480" w:lineRule="auto"/>
        <w:rPr>
          <w:rFonts w:cs="Arial"/>
          <w:color w:val="000000" w:themeColor="text1"/>
          <w:shd w:val="clear" w:color="auto" w:fill="FFFFFF"/>
        </w:rPr>
      </w:pPr>
      <w:r w:rsidRPr="00D0161E">
        <w:rPr>
          <w:rFonts w:cs="Arial"/>
          <w:color w:val="000000" w:themeColor="text1"/>
          <w:shd w:val="clear" w:color="auto" w:fill="FFFFFF"/>
        </w:rPr>
        <w:t xml:space="preserve">The authors would like to thank Helen Williams and members of Liverpool Insect Testing Establishment (LITE) team past and present for rearing all mosquitoes and conducting much of the testing described at the Liverpool School of Tropical Medicine (LSTM). George Parsons helped to pull together the considerable data set on IRS residuality ready for analysis. </w:t>
      </w:r>
      <w:r w:rsidRPr="00D0161E">
        <w:rPr>
          <w:color w:val="000000" w:themeColor="text1"/>
        </w:rPr>
        <w:t>Mitsui</w:t>
      </w:r>
      <w:r w:rsidRPr="00D0161E">
        <w:rPr>
          <w:color w:val="000000" w:themeColor="text1"/>
          <w:lang w:eastAsia="ja-JP"/>
        </w:rPr>
        <w:t xml:space="preserve"> Chemicals </w:t>
      </w:r>
      <w:proofErr w:type="spellStart"/>
      <w:r w:rsidRPr="00D0161E">
        <w:rPr>
          <w:color w:val="000000" w:themeColor="text1"/>
          <w:lang w:eastAsia="ja-JP"/>
        </w:rPr>
        <w:t>Agro</w:t>
      </w:r>
      <w:proofErr w:type="spellEnd"/>
      <w:r w:rsidRPr="00D0161E">
        <w:rPr>
          <w:color w:val="000000" w:themeColor="text1"/>
          <w:lang w:eastAsia="ja-JP"/>
        </w:rPr>
        <w:t xml:space="preserve">, Inc. </w:t>
      </w:r>
      <w:r w:rsidRPr="00D0161E">
        <w:rPr>
          <w:rFonts w:cs="Arial"/>
          <w:color w:val="000000" w:themeColor="text1"/>
          <w:shd w:val="clear" w:color="auto" w:fill="FFFFFF"/>
        </w:rPr>
        <w:t xml:space="preserve">provided the </w:t>
      </w:r>
      <w:proofErr w:type="spellStart"/>
      <w:r w:rsidR="00D54567" w:rsidRPr="00D54567">
        <w:rPr>
          <w:color w:val="000000" w:themeColor="text1"/>
          <w:szCs w:val="22"/>
        </w:rPr>
        <w:t>Tenebenal</w:t>
      </w:r>
      <w:r w:rsidRPr="00025A3F">
        <w:rPr>
          <w:rFonts w:cs="Arial"/>
          <w:b/>
          <w:bCs/>
          <w:color w:val="000000" w:themeColor="text1"/>
          <w:shd w:val="clear" w:color="auto" w:fill="FFFFFF"/>
          <w:vertAlign w:val="superscript"/>
        </w:rPr>
        <w:t>TM</w:t>
      </w:r>
      <w:proofErr w:type="spellEnd"/>
      <w:r w:rsidRPr="00D0161E">
        <w:rPr>
          <w:rFonts w:cs="Arial"/>
          <w:color w:val="000000" w:themeColor="text1"/>
          <w:shd w:val="clear" w:color="auto" w:fill="FFFFFF"/>
        </w:rPr>
        <w:t xml:space="preserve"> compound and prototype formulations used for this study.</w:t>
      </w:r>
    </w:p>
    <w:p w14:paraId="1481D8A1" w14:textId="77777777" w:rsidR="00AA66DA" w:rsidRPr="00D0161E" w:rsidRDefault="00AA66DA" w:rsidP="00AA66DA">
      <w:pPr>
        <w:spacing w:line="480" w:lineRule="auto"/>
        <w:rPr>
          <w:color w:val="000000" w:themeColor="text1"/>
        </w:rPr>
      </w:pPr>
    </w:p>
    <w:p w14:paraId="54606537" w14:textId="77777777" w:rsidR="00AA66DA" w:rsidRPr="00D0161E" w:rsidRDefault="00AA66DA" w:rsidP="00AA66DA">
      <w:pPr>
        <w:spacing w:line="480" w:lineRule="auto"/>
        <w:rPr>
          <w:color w:val="000000" w:themeColor="text1"/>
        </w:rPr>
      </w:pPr>
    </w:p>
    <w:p w14:paraId="2449222D" w14:textId="2D87F32B" w:rsidR="00BB6F30" w:rsidRDefault="00AA66DA" w:rsidP="00025A3F">
      <w:pPr>
        <w:spacing w:after="160" w:line="259" w:lineRule="auto"/>
        <w:rPr>
          <w:rFonts w:eastAsiaTheme="majorEastAsia" w:cstheme="majorBidi"/>
          <w:b/>
          <w:color w:val="000000" w:themeColor="text1"/>
          <w:szCs w:val="26"/>
          <w:lang w:eastAsia="en-US"/>
        </w:rPr>
      </w:pPr>
      <w:r w:rsidRPr="00D0161E">
        <w:rPr>
          <w:b/>
          <w:color w:val="000000" w:themeColor="text1"/>
        </w:rPr>
        <w:br w:type="page"/>
      </w:r>
    </w:p>
    <w:p w14:paraId="24B0E00E" w14:textId="77777777" w:rsidR="009D04AC" w:rsidRPr="00D0161E" w:rsidRDefault="009D04AC" w:rsidP="00D0161E">
      <w:pPr>
        <w:pStyle w:val="Heading2"/>
        <w:spacing w:before="0" w:line="480" w:lineRule="auto"/>
        <w:rPr>
          <w:rFonts w:ascii="Times New Roman" w:hAnsi="Times New Roman"/>
          <w:b/>
          <w:color w:val="000000" w:themeColor="text1"/>
          <w:sz w:val="24"/>
        </w:rPr>
      </w:pPr>
      <w:r w:rsidRPr="00D0161E">
        <w:rPr>
          <w:rFonts w:ascii="Times New Roman" w:hAnsi="Times New Roman"/>
          <w:b/>
          <w:color w:val="000000" w:themeColor="text1"/>
          <w:sz w:val="24"/>
        </w:rPr>
        <w:t>References</w:t>
      </w:r>
    </w:p>
    <w:p w14:paraId="30904C68" w14:textId="77777777" w:rsidR="00B63A44" w:rsidRPr="00B63A44" w:rsidRDefault="00BD1AEC" w:rsidP="00B63A44">
      <w:pPr>
        <w:widowControl w:val="0"/>
        <w:autoSpaceDE w:val="0"/>
        <w:autoSpaceDN w:val="0"/>
        <w:adjustRightInd w:val="0"/>
        <w:spacing w:line="480" w:lineRule="auto"/>
        <w:rPr>
          <w:noProof/>
        </w:rPr>
      </w:pPr>
      <w:r w:rsidRPr="00D0161E">
        <w:rPr>
          <w:color w:val="000000" w:themeColor="text1"/>
        </w:rPr>
        <w:fldChar w:fldCharType="begin" w:fldLock="1"/>
      </w:r>
      <w:r w:rsidR="00142490" w:rsidRPr="00D0161E">
        <w:rPr>
          <w:color w:val="000000" w:themeColor="text1"/>
        </w:rPr>
        <w:instrText xml:space="preserve">ADDIN Mendeley Bibliography CSL_BIBLIOGRAPHY </w:instrText>
      </w:r>
      <w:r w:rsidRPr="00D0161E">
        <w:rPr>
          <w:color w:val="000000" w:themeColor="text1"/>
        </w:rPr>
        <w:fldChar w:fldCharType="separate"/>
      </w:r>
      <w:r w:rsidR="00B63A44" w:rsidRPr="00B63A44">
        <w:rPr>
          <w:noProof/>
        </w:rPr>
        <w:t xml:space="preserve">1. Moyes CL, Vontas J, Martins AJ, Ng LC, Koou SY, Dusfour I, et al. Contemporary status of insecticide resistance in the major Aedes vectors of arboviruses infecting humans. PLoS Negl Trop Dis. 2017;11:e0005625. </w:t>
      </w:r>
    </w:p>
    <w:p w14:paraId="2AD00B06"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2. WHO. World Malaria Report 2019. Geneva: World Health Organization; 2019. </w:t>
      </w:r>
    </w:p>
    <w:p w14:paraId="0A43A579"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3. Hemingway J, Ranson H, Magill A, Kolaczinski J, Fornadel C, Gimnig J, et al. Averting a malaria disaster: Will insecticide resistance derail malaria control? Lancet. 2016;387:1785–8. </w:t>
      </w:r>
    </w:p>
    <w:p w14:paraId="602FC096"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4. Katsuta H, Nomura M, Wakita T, Daido H, Kobayashi Y, Kawahara A, et al. Discovery of broflanilide, a novel insecticide. J Pestic Sci. 2019;44:120–8. </w:t>
      </w:r>
    </w:p>
    <w:p w14:paraId="22FC2C16" w14:textId="77777777" w:rsidR="00B63A44" w:rsidRPr="00B63A44" w:rsidRDefault="00B63A44" w:rsidP="00B63A44">
      <w:pPr>
        <w:widowControl w:val="0"/>
        <w:autoSpaceDE w:val="0"/>
        <w:autoSpaceDN w:val="0"/>
        <w:adjustRightInd w:val="0"/>
        <w:spacing w:line="480" w:lineRule="auto"/>
        <w:rPr>
          <w:noProof/>
        </w:rPr>
      </w:pPr>
      <w:r w:rsidRPr="00B63A44">
        <w:rPr>
          <w:noProof/>
        </w:rPr>
        <w:t>5. IRAC International. Xml Version [Internet]. 2020 [cited 2020 May 6]. Available from: https://irac-online.org/modes-of-action/</w:t>
      </w:r>
    </w:p>
    <w:p w14:paraId="3F34098E"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6. Hemingway J, Beaty BJ, Rowland M, Scott TW, Sharp BL. The Innovative Vector Control Consortium: improved control of mosquito-borne diseases. Trends Parasitol. 2006;22:308–12. </w:t>
      </w:r>
    </w:p>
    <w:p w14:paraId="4A5F63F4"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7. Nakao T, Banba S, Nomura M, Hirase K. Meta-diamide insecticides acting on distinct sites of RDL GABA receptor from those for conventional noncompetitive antagonists. Insect Biochem Mol Biol. 2013;43:366–75. </w:t>
      </w:r>
    </w:p>
    <w:p w14:paraId="488A5989"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8. Nakao T, Banba S. Broflanilide: A meta-diamide insecticide with a novel mode of action. Bioorganic Med Chem. 2016;24:372–7. </w:t>
      </w:r>
    </w:p>
    <w:p w14:paraId="7E99CB0F" w14:textId="77777777" w:rsidR="00B63A44" w:rsidRPr="00B63A44" w:rsidRDefault="00B63A44" w:rsidP="00B63A44">
      <w:pPr>
        <w:widowControl w:val="0"/>
        <w:autoSpaceDE w:val="0"/>
        <w:autoSpaceDN w:val="0"/>
        <w:adjustRightInd w:val="0"/>
        <w:spacing w:line="480" w:lineRule="auto"/>
        <w:rPr>
          <w:noProof/>
        </w:rPr>
      </w:pPr>
      <w:r w:rsidRPr="00B63A44">
        <w:rPr>
          <w:noProof/>
        </w:rPr>
        <w:t>9. MalariaGEN. Ag1000 [Internet]. 2020. Available from: https://www.malariagen.net/projects/ag1000g</w:t>
      </w:r>
    </w:p>
    <w:p w14:paraId="6D100D09"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10. Williams J, Flood L, Praulins G, Ingham VA, Morgan J, Lees RS, et al. Characterisation of Anopheles strains used for laboratory screening of new vector control products. Parasites and Vectors. 2019;12. </w:t>
      </w:r>
    </w:p>
    <w:p w14:paraId="1BD10596"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11. Djouaka RF, Bakare AA, Coulibaly ON, Akogbeto MC, Ranson H, Hemingway J, et al. Expression of the cytochrome P450s, CYP6P3 and CYP6M2 are significantly elevated in multiple pyrethroid resistant populations of Anopheles gambiae s.s. from Southern Benin and Nigeria. BMC Genomics. 2008;9:538. </w:t>
      </w:r>
    </w:p>
    <w:p w14:paraId="3CD013F3" w14:textId="77777777" w:rsidR="00B63A44" w:rsidRPr="00B63A44" w:rsidRDefault="00B63A44" w:rsidP="00B63A44">
      <w:pPr>
        <w:widowControl w:val="0"/>
        <w:autoSpaceDE w:val="0"/>
        <w:autoSpaceDN w:val="0"/>
        <w:adjustRightInd w:val="0"/>
        <w:spacing w:line="480" w:lineRule="auto"/>
        <w:rPr>
          <w:noProof/>
        </w:rPr>
      </w:pPr>
      <w:r w:rsidRPr="00B63A44">
        <w:rPr>
          <w:noProof/>
        </w:rPr>
        <w:t>12. Gross A, Bloomquist J. Characterizing Permethrin and Etofenprox Resistance in Two Common Laboratory Strains of Anopheles gambiae (Diptera: Culicidae). Insects [Internet]. MDPI AG; 2018 [cited 2020 Feb 24];9:146. Available from: http://www.mdpi.com/2075-4450/9/4/146</w:t>
      </w:r>
    </w:p>
    <w:p w14:paraId="159A1D8F"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13. Harris AF, Rajatileka S, Ranson H. Pyrethroid resistance in Aedes aegypti from Grand Cayman. Am J Trop Med Hyg. 2010; </w:t>
      </w:r>
    </w:p>
    <w:p w14:paraId="546CA6FA"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14. WHO. Test procedures for insecticide resistance monitoring in malaria vector mosquitoes. Geneva: World Health Organization; 2016. </w:t>
      </w:r>
    </w:p>
    <w:p w14:paraId="674EAF37"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15. Lees R, Praulins G, Davies R, Brown F, Parsons G, White A, et al. A testing cascade to identify repurposed insecticides for next-generation vector control tools: Screening a panel of chemistries with novel modes of action against a malaria vector. Gates Open Res. 2019;3:1464. </w:t>
      </w:r>
    </w:p>
    <w:p w14:paraId="50A4CE7C" w14:textId="77777777" w:rsidR="00B63A44" w:rsidRPr="00B63A44" w:rsidRDefault="00B63A44" w:rsidP="00B63A44">
      <w:pPr>
        <w:widowControl w:val="0"/>
        <w:autoSpaceDE w:val="0"/>
        <w:autoSpaceDN w:val="0"/>
        <w:adjustRightInd w:val="0"/>
        <w:spacing w:line="480" w:lineRule="auto"/>
        <w:rPr>
          <w:noProof/>
        </w:rPr>
      </w:pPr>
      <w:r w:rsidRPr="00B63A44">
        <w:rPr>
          <w:noProof/>
        </w:rPr>
        <w:t>16. Brogdon W, Chan A. Guideline for Evaluating Insecticide Resistance in Vectors Using the CDC Bottle Bioassay [Internet]. Atlanta; 2010. Available from: http://www.cdc.gov/malaria.</w:t>
      </w:r>
    </w:p>
    <w:p w14:paraId="5D924E66"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17. WHO. Guidelines for testing adulticides for indoor residual spraying and treatment of mosquito nets. Geneva; 2006. </w:t>
      </w:r>
    </w:p>
    <w:p w14:paraId="50D699B6" w14:textId="0BD87EC3" w:rsidR="00B63A44" w:rsidRPr="00B63A44" w:rsidRDefault="00B63A44" w:rsidP="00B63A44">
      <w:pPr>
        <w:widowControl w:val="0"/>
        <w:autoSpaceDE w:val="0"/>
        <w:autoSpaceDN w:val="0"/>
        <w:adjustRightInd w:val="0"/>
        <w:spacing w:line="480" w:lineRule="auto"/>
        <w:rPr>
          <w:noProof/>
        </w:rPr>
      </w:pPr>
      <w:r w:rsidRPr="00B63A44">
        <w:rPr>
          <w:noProof/>
        </w:rPr>
        <w:t xml:space="preserve">18. Toé KH, Mechan F, Tangena JAA, Morris M, Solino J, Tchicaya EFS, et al. Assessing the impact of the addition of pyriproxyfen on the durability of permethrin-treated bed nets in Burkina Faso: A compound-randomized controlled trial. Malar J. 2019; </w:t>
      </w:r>
      <w:r w:rsidR="00C0310F">
        <w:rPr>
          <w:noProof/>
        </w:rPr>
        <w:t>18.</w:t>
      </w:r>
    </w:p>
    <w:p w14:paraId="53D3C238" w14:textId="772BA529" w:rsidR="00B63A44" w:rsidRPr="00B63A44" w:rsidRDefault="00B63A44" w:rsidP="00B63A44">
      <w:pPr>
        <w:widowControl w:val="0"/>
        <w:autoSpaceDE w:val="0"/>
        <w:autoSpaceDN w:val="0"/>
        <w:adjustRightInd w:val="0"/>
        <w:spacing w:line="480" w:lineRule="auto"/>
        <w:rPr>
          <w:noProof/>
        </w:rPr>
      </w:pPr>
      <w:r w:rsidRPr="00B63A44">
        <w:rPr>
          <w:noProof/>
        </w:rPr>
        <w:t xml:space="preserve">19. Abbott WS. A method for computing the effectiveness of an insecticide. J Econ Entomol. 1925; </w:t>
      </w:r>
      <w:r w:rsidR="00C0310F">
        <w:rPr>
          <w:noProof/>
        </w:rPr>
        <w:t>18:265-267.</w:t>
      </w:r>
    </w:p>
    <w:p w14:paraId="7DCEB5C8" w14:textId="691DCC02" w:rsidR="00B63A44" w:rsidRPr="00B63A44" w:rsidRDefault="00B63A44" w:rsidP="00B63A44">
      <w:pPr>
        <w:widowControl w:val="0"/>
        <w:autoSpaceDE w:val="0"/>
        <w:autoSpaceDN w:val="0"/>
        <w:adjustRightInd w:val="0"/>
        <w:spacing w:line="480" w:lineRule="auto"/>
        <w:rPr>
          <w:noProof/>
        </w:rPr>
      </w:pPr>
      <w:r w:rsidRPr="00B63A44">
        <w:rPr>
          <w:noProof/>
        </w:rPr>
        <w:t xml:space="preserve">20. Robertson JL, Russell RM, Savin NE. POLO: A User’s Guide to Probit or Logit Analysis. Gen Tech Rep PSW-38. 1980; </w:t>
      </w:r>
      <w:r w:rsidR="00C0310F">
        <w:rPr>
          <w:noProof/>
        </w:rPr>
        <w:t>15.</w:t>
      </w:r>
    </w:p>
    <w:p w14:paraId="7E20B8E2"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21. WHO. Guidelines for laboratory and field-testing of long-lasting insecticidal nets. Geneva: World Health Organization; 2013. </w:t>
      </w:r>
    </w:p>
    <w:p w14:paraId="4861A06D"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22. WHO. WHO | Prequalified Lists: Vector control products. WHO. 2019. </w:t>
      </w:r>
    </w:p>
    <w:p w14:paraId="645445D8"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23. Etang J, Nwane P, Mbida J, Piameu M, Manga B, Souop D, et al. Variations of insecticide residual bio-efficacy on different types of walls: Results from a community-based trial in south Cameroon. Malar J. 2011;10:333. </w:t>
      </w:r>
    </w:p>
    <w:p w14:paraId="10085DEB"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24. Lo C, Dia AK, Dia I, Niang EHA, Konaté L, Faye O. Evaluation of the residual efficacy of indoor residual spraying with bendiocarb (FICAM WP 80) in six health districts in Senegal. Malar J. 2019;18:198. </w:t>
      </w:r>
    </w:p>
    <w:p w14:paraId="2C07A9CF"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25. Agossa FR, Padonou GG, Koukpo CZ, Zola-Sahossi J, Azondekon R, Akuoko OK, et al. Efficacy of a novel mode of action of an indoor residual spraying product, SumiShield® 50WG against susceptible and resistant populations of Anopheles gambiae (s.l.) in Benin, West Africa. Parasites and Vectors. 2018; </w:t>
      </w:r>
      <w:r w:rsidR="00F96AE4">
        <w:rPr>
          <w:noProof/>
        </w:rPr>
        <w:t>293.</w:t>
      </w:r>
    </w:p>
    <w:p w14:paraId="3D0A2ED6" w14:textId="7F807FB1" w:rsidR="00B63A44" w:rsidRPr="00B63A44" w:rsidRDefault="00B63A44" w:rsidP="00B63A44">
      <w:pPr>
        <w:widowControl w:val="0"/>
        <w:autoSpaceDE w:val="0"/>
        <w:autoSpaceDN w:val="0"/>
        <w:adjustRightInd w:val="0"/>
        <w:spacing w:line="480" w:lineRule="auto"/>
        <w:rPr>
          <w:noProof/>
        </w:rPr>
      </w:pPr>
      <w:r w:rsidRPr="00B63A44">
        <w:rPr>
          <w:noProof/>
        </w:rPr>
        <w:t xml:space="preserve">26. Uragayala S, Kamaraju R, Tiwari SN, Sreedharan S, Ghosh SK, Valecha N. Village-scale (Phase III) evaluation of the efficacy and residual activity of SumiShield® 50 WG (Clothianidin 50%, w/w) for indoor spraying for the control of pyrethroid-resistant Anopheles culicifacies Giles in Karnataka state, India. Trop Med Int Heal. 2018; </w:t>
      </w:r>
      <w:r w:rsidR="00F96AE4">
        <w:rPr>
          <w:noProof/>
        </w:rPr>
        <w:t>23:605</w:t>
      </w:r>
      <w:r w:rsidR="00C0310F">
        <w:rPr>
          <w:noProof/>
        </w:rPr>
        <w:t>-15</w:t>
      </w:r>
      <w:r w:rsidR="00F96AE4">
        <w:rPr>
          <w:noProof/>
        </w:rPr>
        <w:t>.</w:t>
      </w:r>
    </w:p>
    <w:p w14:paraId="4AB389E7" w14:textId="72FE6DC8" w:rsidR="00B63A44" w:rsidRPr="00B63A44" w:rsidRDefault="00B63A44" w:rsidP="00B63A44">
      <w:pPr>
        <w:widowControl w:val="0"/>
        <w:autoSpaceDE w:val="0"/>
        <w:autoSpaceDN w:val="0"/>
        <w:adjustRightInd w:val="0"/>
        <w:spacing w:line="480" w:lineRule="auto"/>
        <w:rPr>
          <w:noProof/>
        </w:rPr>
      </w:pPr>
      <w:r w:rsidRPr="00B63A44">
        <w:rPr>
          <w:noProof/>
        </w:rPr>
        <w:t xml:space="preserve">27. Platt N, Kwiatkowska RM, Irving H, Diabaté A, Dabire R, Wondji CS. Target-site resistance mutations (kdr and RDL), but not metabolic resistance, negatively impact male mating competiveness in the malaria vector Anopheles gambiae. Heredity (Edinb). 2015; </w:t>
      </w:r>
      <w:r w:rsidR="00F96AE4">
        <w:rPr>
          <w:noProof/>
        </w:rPr>
        <w:t>115:243</w:t>
      </w:r>
      <w:r w:rsidR="00C0310F">
        <w:rPr>
          <w:noProof/>
        </w:rPr>
        <w:t>-52</w:t>
      </w:r>
      <w:r w:rsidR="00F96AE4">
        <w:rPr>
          <w:noProof/>
        </w:rPr>
        <w:t>.</w:t>
      </w:r>
    </w:p>
    <w:p w14:paraId="64BE4BAA"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28. Assogba BS, Djogbénou LS, Milesi P, Berthomieu A, Perez J, Ayala D, et al. An ace-1 gene duplication resorbs the fitness cost associated with resistance in Anopheles gambiae, the main malaria mosquito. Sci Rep. 2015; </w:t>
      </w:r>
      <w:r w:rsidR="00F96AE4">
        <w:rPr>
          <w:noProof/>
        </w:rPr>
        <w:t>5:14529.</w:t>
      </w:r>
    </w:p>
    <w:p w14:paraId="7369B669" w14:textId="0E15D0D2" w:rsidR="00B63A44" w:rsidRPr="00B63A44" w:rsidRDefault="00B63A44" w:rsidP="00B63A44">
      <w:pPr>
        <w:widowControl w:val="0"/>
        <w:autoSpaceDE w:val="0"/>
        <w:autoSpaceDN w:val="0"/>
        <w:adjustRightInd w:val="0"/>
        <w:spacing w:line="480" w:lineRule="auto"/>
        <w:rPr>
          <w:noProof/>
        </w:rPr>
      </w:pPr>
      <w:r w:rsidRPr="00B63A44">
        <w:rPr>
          <w:noProof/>
        </w:rPr>
        <w:t xml:space="preserve">29. Jones CM, Liyanapathirana M, Agossa FR, Weetman D, Ranson H, Donnelly MJ, et al. Footprints of positive selection associated with a mutation (N1575Y) in the voltage-gated sodium channel of Anopheles gambiae. Proc Natl Acad Sci U S A. 2012; </w:t>
      </w:r>
      <w:r w:rsidR="00F96AE4">
        <w:rPr>
          <w:noProof/>
        </w:rPr>
        <w:t>109:6614</w:t>
      </w:r>
      <w:r w:rsidR="00C0310F">
        <w:rPr>
          <w:noProof/>
        </w:rPr>
        <w:t>-9</w:t>
      </w:r>
      <w:r w:rsidR="00F96AE4">
        <w:rPr>
          <w:noProof/>
        </w:rPr>
        <w:t>.</w:t>
      </w:r>
    </w:p>
    <w:p w14:paraId="3987CB70"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30. David JP, Ismail HM, Chandor-Proust A, Paine MJI. Role of cytochrome P450s in insecticide resistance: Impact on the control of mosquito-borne diseases and use of insecticides on earth. Philos Trans R Soc B Biol Sci. 2013;6:1612. </w:t>
      </w:r>
    </w:p>
    <w:p w14:paraId="299453BE" w14:textId="77777777" w:rsidR="00B63A44" w:rsidRPr="00B63A44" w:rsidRDefault="00B63A44" w:rsidP="00B63A44">
      <w:pPr>
        <w:widowControl w:val="0"/>
        <w:autoSpaceDE w:val="0"/>
        <w:autoSpaceDN w:val="0"/>
        <w:adjustRightInd w:val="0"/>
        <w:spacing w:line="480" w:lineRule="auto"/>
        <w:rPr>
          <w:noProof/>
        </w:rPr>
      </w:pPr>
      <w:r w:rsidRPr="00B63A44">
        <w:rPr>
          <w:noProof/>
        </w:rPr>
        <w:t>31. Balabanidou V, Kefi M, Aivaliotis M, Koidou V, Girotti JR, Mijailovsky SJ, et al. Mosquitoes cloak their legs to resist insecticides. Proc R Soc B Biol Sci [Internet]. Royal Society Publishing; 2019 [cited 2020 Feb 10];286:20191091. Available from: http://www.ncbi.nlm.nih.gov/pubmed/31311476</w:t>
      </w:r>
    </w:p>
    <w:p w14:paraId="3A5D6183" w14:textId="77777777" w:rsidR="00B63A44" w:rsidRPr="00B63A44" w:rsidRDefault="00B63A44" w:rsidP="00B63A44">
      <w:pPr>
        <w:widowControl w:val="0"/>
        <w:autoSpaceDE w:val="0"/>
        <w:autoSpaceDN w:val="0"/>
        <w:adjustRightInd w:val="0"/>
        <w:spacing w:line="480" w:lineRule="auto"/>
        <w:rPr>
          <w:noProof/>
        </w:rPr>
      </w:pPr>
      <w:r w:rsidRPr="00B63A44">
        <w:rPr>
          <w:noProof/>
        </w:rPr>
        <w:t>32. Ingham VA, Anthousi A, Douris V, Harding NJ, Lycett G, Morris M, et al. A sensory appendage protein protects malaria vectors from pyrethroids. Nature [Internet]. Springer US; 2020;577:376–80. Available from: https://doi.org/10.1038/s41586-019-1864-1</w:t>
      </w:r>
    </w:p>
    <w:p w14:paraId="2B72AEFD"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33. Carrasco D, Lefèvre T, Moiroux N, Pennetier C, Chandre F, Cohuet A. Behavioural adaptations of mosquito vectors to insecticide control. Curr Opin Insect Sci. 2019;34:48–54. </w:t>
      </w:r>
    </w:p>
    <w:p w14:paraId="69AFF5ED"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34. Balabanidou V, Kampouraki A, Maclean M, Blomquist GJ, Tittiger C, Juárez MP, et al. Cytochrome P450 associated with insecticide resistance catalyzes cuticular hydrocarbon production in Anopheles gambiae. Proc Natl Acad Sci U S A. 2016; </w:t>
      </w:r>
      <w:r w:rsidR="00F96AE4">
        <w:rPr>
          <w:noProof/>
        </w:rPr>
        <w:t>113:9268.</w:t>
      </w:r>
    </w:p>
    <w:p w14:paraId="1E7A7305" w14:textId="77777777" w:rsidR="00B63A44" w:rsidRPr="00B63A44" w:rsidRDefault="00B63A44" w:rsidP="00B63A44">
      <w:pPr>
        <w:widowControl w:val="0"/>
        <w:autoSpaceDE w:val="0"/>
        <w:autoSpaceDN w:val="0"/>
        <w:adjustRightInd w:val="0"/>
        <w:spacing w:line="480" w:lineRule="auto"/>
        <w:rPr>
          <w:noProof/>
        </w:rPr>
      </w:pPr>
      <w:r w:rsidRPr="00B63A44">
        <w:rPr>
          <w:noProof/>
        </w:rPr>
        <w:t xml:space="preserve">35. Ingham VA, Wagstaff S, Ranson H. Transcriptomic meta-signatures identified in Anopheles gambiae populations reveal previously undetected insecticide resistance mechanisms. Nat Commun. 2018; </w:t>
      </w:r>
      <w:r w:rsidR="00BE1684">
        <w:rPr>
          <w:noProof/>
        </w:rPr>
        <w:t>9:5282.</w:t>
      </w:r>
    </w:p>
    <w:p w14:paraId="5A9B4C33" w14:textId="77777777" w:rsidR="00AA66DA" w:rsidRDefault="00BD1AEC" w:rsidP="00D0161E">
      <w:pPr>
        <w:spacing w:line="480" w:lineRule="auto"/>
        <w:rPr>
          <w:color w:val="000000" w:themeColor="text1"/>
        </w:rPr>
      </w:pPr>
      <w:r w:rsidRPr="00D0161E">
        <w:rPr>
          <w:color w:val="000000" w:themeColor="text1"/>
        </w:rPr>
        <w:fldChar w:fldCharType="end"/>
      </w:r>
      <w:bookmarkStart w:id="49" w:name="d8102e5032"/>
      <w:bookmarkStart w:id="50" w:name="_Hlk40690890"/>
      <w:bookmarkEnd w:id="49"/>
    </w:p>
    <w:p w14:paraId="12C72203" w14:textId="77777777" w:rsidR="00AA66DA" w:rsidRDefault="00AA66DA" w:rsidP="00AA66DA">
      <w:pPr>
        <w:spacing w:after="160" w:line="259" w:lineRule="auto"/>
        <w:rPr>
          <w:color w:val="000000" w:themeColor="text1"/>
        </w:rPr>
      </w:pPr>
      <w:r>
        <w:rPr>
          <w:color w:val="000000" w:themeColor="text1"/>
        </w:rPr>
        <w:br w:type="page"/>
      </w:r>
    </w:p>
    <w:p w14:paraId="7C708CA0" w14:textId="77777777" w:rsidR="00AA66DA" w:rsidRDefault="00AA66DA" w:rsidP="00AA66DA">
      <w:pPr>
        <w:pStyle w:val="Heading2"/>
        <w:spacing w:before="0" w:line="480" w:lineRule="auto"/>
        <w:rPr>
          <w:rFonts w:ascii="Times New Roman" w:hAnsi="Times New Roman"/>
          <w:color w:val="000000" w:themeColor="text1"/>
          <w:sz w:val="24"/>
        </w:rPr>
      </w:pPr>
      <w:r w:rsidRPr="00D0161E">
        <w:rPr>
          <w:rFonts w:ascii="Times New Roman" w:hAnsi="Times New Roman"/>
          <w:color w:val="000000" w:themeColor="text1"/>
          <w:sz w:val="24"/>
        </w:rPr>
        <w:t xml:space="preserve">Table </w:t>
      </w:r>
      <w:r>
        <w:rPr>
          <w:rFonts w:ascii="Times New Roman" w:hAnsi="Times New Roman"/>
          <w:color w:val="000000" w:themeColor="text1"/>
          <w:sz w:val="24"/>
        </w:rPr>
        <w:t>legends</w:t>
      </w:r>
    </w:p>
    <w:p w14:paraId="04CFD788" w14:textId="77777777" w:rsidR="00AA66DA" w:rsidRPr="00D0161E" w:rsidRDefault="00AA66DA" w:rsidP="00AA66DA">
      <w:pPr>
        <w:spacing w:line="480" w:lineRule="auto"/>
        <w:rPr>
          <w:color w:val="000000" w:themeColor="text1"/>
        </w:rPr>
      </w:pPr>
    </w:p>
    <w:p w14:paraId="348C2432" w14:textId="35BBABD5" w:rsidR="00AA66DA" w:rsidRDefault="00AA66DA" w:rsidP="00AA66DA">
      <w:pPr>
        <w:spacing w:line="480" w:lineRule="auto"/>
        <w:rPr>
          <w:i/>
          <w:color w:val="000000" w:themeColor="text1"/>
        </w:rPr>
      </w:pPr>
      <w:r w:rsidRPr="00D0161E">
        <w:rPr>
          <w:b/>
          <w:bCs/>
          <w:color w:val="000000" w:themeColor="text1"/>
        </w:rPr>
        <w:t xml:space="preserve">Table </w:t>
      </w:r>
      <w:proofErr w:type="gramStart"/>
      <w:r w:rsidRPr="00D0161E">
        <w:rPr>
          <w:b/>
          <w:bCs/>
          <w:color w:val="000000" w:themeColor="text1"/>
        </w:rPr>
        <w:t>1</w:t>
      </w:r>
      <w:r>
        <w:rPr>
          <w:b/>
          <w:bCs/>
          <w:color w:val="000000" w:themeColor="text1"/>
        </w:rPr>
        <w:t xml:space="preserve"> </w:t>
      </w:r>
      <w:r w:rsidRPr="00D0161E">
        <w:rPr>
          <w:b/>
          <w:bCs/>
          <w:color w:val="000000" w:themeColor="text1"/>
        </w:rPr>
        <w:t xml:space="preserve"> Effect</w:t>
      </w:r>
      <w:proofErr w:type="gramEnd"/>
      <w:r w:rsidRPr="00D0161E">
        <w:rPr>
          <w:b/>
          <w:bCs/>
          <w:color w:val="000000" w:themeColor="text1"/>
        </w:rPr>
        <w:t xml:space="preserve"> of topical application of </w:t>
      </w:r>
      <w:proofErr w:type="spellStart"/>
      <w:r w:rsidR="00D54567" w:rsidRPr="00D54567">
        <w:rPr>
          <w:b/>
          <w:bCs/>
          <w:color w:val="000000" w:themeColor="text1"/>
        </w:rPr>
        <w:t>Tenebenal</w:t>
      </w:r>
      <w:r w:rsidRPr="00D0161E">
        <w:rPr>
          <w:b/>
          <w:bCs/>
          <w:color w:val="000000" w:themeColor="text1"/>
          <w:vertAlign w:val="superscript"/>
        </w:rPr>
        <w:t>TM</w:t>
      </w:r>
      <w:proofErr w:type="spellEnd"/>
      <w:r w:rsidRPr="00D0161E">
        <w:rPr>
          <w:b/>
          <w:bCs/>
          <w:color w:val="000000" w:themeColor="text1"/>
        </w:rPr>
        <w:t xml:space="preserve"> and two standard comparators on adult female </w:t>
      </w:r>
      <w:r w:rsidRPr="00D0161E">
        <w:rPr>
          <w:b/>
          <w:bCs/>
          <w:i/>
          <w:color w:val="000000" w:themeColor="text1"/>
        </w:rPr>
        <w:t>Anopheles gambiae</w:t>
      </w:r>
    </w:p>
    <w:p w14:paraId="7F5556F2" w14:textId="77777777" w:rsidR="00AA66DA" w:rsidRPr="00D0161E" w:rsidRDefault="00AA66DA" w:rsidP="00AA66DA">
      <w:pPr>
        <w:spacing w:line="480" w:lineRule="auto"/>
        <w:rPr>
          <w:color w:val="000000" w:themeColor="text1"/>
        </w:rPr>
      </w:pPr>
      <w:r w:rsidRPr="00D0161E">
        <w:rPr>
          <w:iCs/>
          <w:color w:val="000000" w:themeColor="text1"/>
        </w:rPr>
        <w:t xml:space="preserve">Efficacy was tested against </w:t>
      </w:r>
      <w:r w:rsidRPr="00D0161E">
        <w:rPr>
          <w:color w:val="000000" w:themeColor="text1"/>
        </w:rPr>
        <w:t>Kisumu (insecticide susceptible) and Tiassal</w:t>
      </w:r>
      <w:r w:rsidRPr="00D0161E">
        <w:rPr>
          <w:rFonts w:cstheme="minorHAnsi"/>
          <w:color w:val="000000" w:themeColor="text1"/>
        </w:rPr>
        <w:t>é</w:t>
      </w:r>
      <w:r w:rsidRPr="00D0161E">
        <w:rPr>
          <w:color w:val="000000" w:themeColor="text1"/>
        </w:rPr>
        <w:t xml:space="preserve"> 2 (resistant) strains. KD and mortality was observed 30 min and 24, 48 and 72 hours after topical application, respectively, and were corrected for negative control mortality using Abbott’s formula where mortality was greater than 5%. The breakpoint at each observation point denotes the lowest concentration at which the 80% mortality threshold, the measure of efficacy given by </w:t>
      </w:r>
      <w:r>
        <w:rPr>
          <w:color w:val="000000" w:themeColor="text1"/>
        </w:rPr>
        <w:t>WHO</w:t>
      </w:r>
      <w:r w:rsidRPr="00D0161E">
        <w:rPr>
          <w:color w:val="000000" w:themeColor="text1"/>
        </w:rPr>
        <w:t xml:space="preserve"> for IRS formulations, was reached.</w:t>
      </w:r>
    </w:p>
    <w:p w14:paraId="07F57861" w14:textId="77777777" w:rsidR="00AA66DA" w:rsidRPr="00D0161E" w:rsidRDefault="00AA66DA" w:rsidP="00AA66DA">
      <w:pPr>
        <w:spacing w:line="480" w:lineRule="auto"/>
        <w:rPr>
          <w:color w:val="000000" w:themeColor="text1"/>
        </w:rPr>
      </w:pPr>
    </w:p>
    <w:p w14:paraId="6F17DB74" w14:textId="7BBBDF92" w:rsidR="00AA66DA" w:rsidRDefault="00AA66DA" w:rsidP="00AA66DA">
      <w:pPr>
        <w:spacing w:line="480" w:lineRule="auto"/>
        <w:rPr>
          <w:color w:val="000000" w:themeColor="text1"/>
        </w:rPr>
      </w:pPr>
      <w:r w:rsidRPr="00D0161E">
        <w:rPr>
          <w:b/>
          <w:bCs/>
          <w:color w:val="000000" w:themeColor="text1"/>
        </w:rPr>
        <w:t xml:space="preserve">Table </w:t>
      </w:r>
      <w:proofErr w:type="gramStart"/>
      <w:r w:rsidRPr="00D0161E">
        <w:rPr>
          <w:b/>
          <w:bCs/>
          <w:color w:val="000000" w:themeColor="text1"/>
        </w:rPr>
        <w:t>2</w:t>
      </w:r>
      <w:r>
        <w:rPr>
          <w:b/>
          <w:bCs/>
          <w:color w:val="000000" w:themeColor="text1"/>
        </w:rPr>
        <w:t xml:space="preserve"> </w:t>
      </w:r>
      <w:r w:rsidRPr="00D0161E">
        <w:rPr>
          <w:b/>
          <w:bCs/>
          <w:color w:val="000000" w:themeColor="text1"/>
        </w:rPr>
        <w:t xml:space="preserve"> Effect</w:t>
      </w:r>
      <w:proofErr w:type="gramEnd"/>
      <w:r w:rsidRPr="00D0161E">
        <w:rPr>
          <w:b/>
          <w:bCs/>
          <w:color w:val="000000" w:themeColor="text1"/>
        </w:rPr>
        <w:t xml:space="preserve"> of exposure to </w:t>
      </w:r>
      <w:proofErr w:type="spellStart"/>
      <w:r w:rsidR="00D54567" w:rsidRPr="00D54567">
        <w:rPr>
          <w:b/>
          <w:bCs/>
          <w:color w:val="000000" w:themeColor="text1"/>
        </w:rPr>
        <w:t>Tenebenal</w:t>
      </w:r>
      <w:r w:rsidRPr="00D0161E">
        <w:rPr>
          <w:b/>
          <w:bCs/>
          <w:color w:val="000000" w:themeColor="text1"/>
          <w:vertAlign w:val="superscript"/>
        </w:rPr>
        <w:t>TM</w:t>
      </w:r>
      <w:proofErr w:type="spellEnd"/>
      <w:r w:rsidRPr="00D0161E">
        <w:rPr>
          <w:b/>
          <w:bCs/>
          <w:color w:val="000000" w:themeColor="text1"/>
        </w:rPr>
        <w:t xml:space="preserve"> applied to a filter paper in a WHO tube bioassay  on adult female </w:t>
      </w:r>
      <w:r w:rsidRPr="00D0161E">
        <w:rPr>
          <w:b/>
          <w:bCs/>
          <w:i/>
          <w:color w:val="000000" w:themeColor="text1"/>
        </w:rPr>
        <w:t>Anopheles gambiae</w:t>
      </w:r>
    </w:p>
    <w:p w14:paraId="014AF684" w14:textId="77777777" w:rsidR="00AA66DA" w:rsidRPr="00D0161E" w:rsidRDefault="00AA66DA" w:rsidP="00AA66DA">
      <w:pPr>
        <w:spacing w:line="480" w:lineRule="auto"/>
        <w:rPr>
          <w:color w:val="000000" w:themeColor="text1"/>
        </w:rPr>
      </w:pPr>
      <w:r w:rsidRPr="00D0161E">
        <w:rPr>
          <w:color w:val="000000" w:themeColor="text1"/>
        </w:rPr>
        <w:t>KD and mortality was observed 1, 24, 48 and 72 hours after the start of exposure, and is reported as the average of 3 replicates of 10 mosquitoes. Values are corrected for negative control mortality using the Abbott’s formula where mortality in the negative control was greater than 5%. In one replicate of the Tiassal</w:t>
      </w:r>
      <w:r w:rsidRPr="00D0161E">
        <w:rPr>
          <w:rFonts w:cstheme="minorHAnsi"/>
          <w:color w:val="000000" w:themeColor="text1"/>
        </w:rPr>
        <w:t>é</w:t>
      </w:r>
      <w:r w:rsidRPr="00D0161E">
        <w:rPr>
          <w:color w:val="000000" w:themeColor="text1"/>
        </w:rPr>
        <w:t xml:space="preserve"> 2 assay one negative control tube produced 100% mortality; this replicate was excluded from analysis. The breakpoint at each observation point denotes the lowest concentration at which the 80% mortality threshold, the measure of efficacy given by </w:t>
      </w:r>
      <w:r>
        <w:rPr>
          <w:color w:val="000000" w:themeColor="text1"/>
        </w:rPr>
        <w:t>WHO</w:t>
      </w:r>
      <w:r w:rsidRPr="00D0161E">
        <w:rPr>
          <w:color w:val="000000" w:themeColor="text1"/>
        </w:rPr>
        <w:t xml:space="preserve"> for IRS formulations </w:t>
      </w:r>
      <w:r w:rsidR="00BD1AEC" w:rsidRPr="00D0161E">
        <w:rPr>
          <w:color w:val="000000" w:themeColor="text1"/>
        </w:rPr>
        <w:fldChar w:fldCharType="begin" w:fldLock="1"/>
      </w:r>
      <w:r w:rsidR="00B63A44">
        <w:rPr>
          <w:color w:val="000000" w:themeColor="text1"/>
        </w:rPr>
        <w:instrText>ADDIN CSL_CITATION {"citationItems":[{"id":"ITEM-1","itemData":{"DOI":"WHO/CDS/NTD/WHOPES/GCDPP/2006.3","abstract":"More than 50 companies are involved in the development of TB diagnostics. There are 10 new or re-purposed anti-TB drugs in late phases of clinical development. In the last two years, two new drugs have been approved for the treatment of MDR-TB under specific conditions: bedaquiline and delamanid. There are currently 15 vaccine candidates in clinical trials. US{$} 8 billion per year is needed for a full response to the global TB epidemic in low-and middle-income countries by 2015, with a funding gap of US{$} 2 billion per year. The amount excludes resources required for research and devel-opment, which are estimated at about US{$} 2 billion per year. 37 million lives saved between 2000 and 2013 through effective diagnosis and treatment 45{%} decline in TB mortality rate and 41{%} decline in TB prevalence since 1990 Fragile progress in MDR-TB diagnosis and treatment but widening gaps in treatment coverage could compromise gains MULTIDRUG-RESISTANT TB Globally in 2013, an estimated 480 000 people developed multidrug-resistant TB (MDR-TB) and there were an estimated 210 000 deaths from MDR-TB. The number of people diagnosed with MDR-TB tripled between 2009 and 2013, and reached 136 000 worldwide. This was equivalent to 45{%} of the estimated MDR-TB cases among notified TB patients. Progress in the detection of drug-resistant TB has been facilitated by the use of new rapid diagnostics. A total of 97 000 patients were started on MDR-TB treatment in 2013, a three-fold increase compared with 2009. However, 39 000 patients were on waiting lists, and the gap between diagnosis and treatment widened between 2012 and 2013 in several countries. Extensively drug-resistant TB (XDR-TB) has been reported by 100 countries in 2013. On average, an estimated 9{%} of people with MDR-TB have XDR-TB. NEW DIAGNOSTICS Xpert{®} MTB/RIF, a rapid molecular diagnostic test, is being rapidly adopted by countries to detect TB and rifampicin-resistant TB. By end June 2014, 3 269 testing machines and 7.5 million test cartridges had been procured by 108 of the 145 countries eligible for concessional prices. FINANCING FOR TB CARE AND CONTROL Between 2013 and 2015 up to US{$} 8 billion per year is needed in low-and middle-income countries, with a funding gap of up to US{$} 3 billion per year. International donor funding is especially critical to sustain recent gains and make further progress in RESEARCH AND DEVELOPMENT Tuberculosis (TB) is contagious and airborne. It ranks as the second lea…","author":[{"dropping-particle":"","family":"WHO","given":"","non-dropping-particle":"","parse-names":false,"suffix":""}],"id":"ITEM-1","issued":{"date-parts":[["2006"]]},"publisher-place":"Geneva","title":"Guidelines for testing adulticides for indoor residual spraying and treatment of mosquito nets","type":"report"},"uris":["http://www.mendeley.com/documents/?uuid=04f3b313-6c0e-3ced-971e-ac47d5b272bb"]}],"mendeley":{"formattedCitation":"[17]","plainTextFormattedCitation":"[17]","previouslyFormattedCitation":"[17]"},"properties":{"noteIndex":0},"schema":"https://github.com/citation-style-language/schema/raw/master/csl-citation.json"}</w:instrText>
      </w:r>
      <w:r w:rsidR="00BD1AEC" w:rsidRPr="00D0161E">
        <w:rPr>
          <w:color w:val="000000" w:themeColor="text1"/>
        </w:rPr>
        <w:fldChar w:fldCharType="separate"/>
      </w:r>
      <w:r w:rsidR="00B63A44" w:rsidRPr="00B63A44">
        <w:rPr>
          <w:noProof/>
          <w:color w:val="000000" w:themeColor="text1"/>
        </w:rPr>
        <w:t>[17]</w:t>
      </w:r>
      <w:r w:rsidR="00BD1AEC" w:rsidRPr="00D0161E">
        <w:rPr>
          <w:color w:val="000000" w:themeColor="text1"/>
        </w:rPr>
        <w:fldChar w:fldCharType="end"/>
      </w:r>
      <w:r w:rsidRPr="00D0161E">
        <w:rPr>
          <w:color w:val="000000" w:themeColor="text1"/>
        </w:rPr>
        <w:t>, was reached.</w:t>
      </w:r>
    </w:p>
    <w:p w14:paraId="33DFE5B8" w14:textId="77777777" w:rsidR="00AA66DA" w:rsidRDefault="00AA66DA" w:rsidP="00AA66DA">
      <w:pPr>
        <w:spacing w:after="160" w:line="259" w:lineRule="auto"/>
        <w:rPr>
          <w:color w:val="000000" w:themeColor="text1"/>
        </w:rPr>
      </w:pPr>
      <w:r>
        <w:rPr>
          <w:color w:val="000000" w:themeColor="text1"/>
        </w:rPr>
        <w:br w:type="page"/>
      </w:r>
    </w:p>
    <w:p w14:paraId="2F7C8D6D" w14:textId="77777777" w:rsidR="00AA66DA" w:rsidRPr="00D0161E" w:rsidRDefault="00AA66DA" w:rsidP="00AA66DA">
      <w:pPr>
        <w:spacing w:line="480" w:lineRule="auto"/>
        <w:rPr>
          <w:color w:val="000000" w:themeColor="text1"/>
        </w:rPr>
      </w:pPr>
    </w:p>
    <w:p w14:paraId="584A5BCF" w14:textId="717CD208" w:rsidR="00AA66DA" w:rsidRPr="00D0161E" w:rsidRDefault="00AA66DA" w:rsidP="00AA66DA">
      <w:pPr>
        <w:spacing w:line="480" w:lineRule="auto"/>
        <w:rPr>
          <w:color w:val="000000" w:themeColor="text1"/>
        </w:rPr>
      </w:pPr>
      <w:r w:rsidRPr="00B86E65">
        <w:rPr>
          <w:b/>
          <w:color w:val="000000" w:themeColor="text1"/>
        </w:rPr>
        <w:t xml:space="preserve">Fig. </w:t>
      </w:r>
      <w:proofErr w:type="gramStart"/>
      <w:r w:rsidRPr="00B86E65">
        <w:rPr>
          <w:b/>
          <w:color w:val="000000" w:themeColor="text1"/>
        </w:rPr>
        <w:t>1</w:t>
      </w:r>
      <w:r>
        <w:rPr>
          <w:color w:val="000000" w:themeColor="text1"/>
        </w:rPr>
        <w:t xml:space="preserve"> </w:t>
      </w:r>
      <w:r w:rsidRPr="00D0161E">
        <w:rPr>
          <w:color w:val="000000" w:themeColor="text1"/>
        </w:rPr>
        <w:t xml:space="preserve"> </w:t>
      </w:r>
      <w:r w:rsidRPr="00B86E65">
        <w:rPr>
          <w:b/>
          <w:color w:val="000000" w:themeColor="text1"/>
        </w:rPr>
        <w:t>The</w:t>
      </w:r>
      <w:proofErr w:type="gramEnd"/>
      <w:r w:rsidRPr="00B86E65">
        <w:rPr>
          <w:b/>
          <w:color w:val="000000" w:themeColor="text1"/>
        </w:rPr>
        <w:t xml:space="preserve"> 24-hour mortality dose response curve of female </w:t>
      </w:r>
      <w:r w:rsidRPr="00B86E65">
        <w:rPr>
          <w:b/>
          <w:i/>
          <w:color w:val="000000" w:themeColor="text1"/>
        </w:rPr>
        <w:t>Anopheles gambiae</w:t>
      </w:r>
      <w:r w:rsidRPr="00B86E65">
        <w:rPr>
          <w:b/>
          <w:color w:val="000000" w:themeColor="text1"/>
        </w:rPr>
        <w:t xml:space="preserve"> adults of the susceptible Kisumu strain exposed to </w:t>
      </w:r>
      <w:proofErr w:type="spellStart"/>
      <w:r w:rsidR="00D54567" w:rsidRPr="00D54567">
        <w:rPr>
          <w:b/>
          <w:color w:val="000000" w:themeColor="text1"/>
        </w:rPr>
        <w:t>Tenebenal</w:t>
      </w:r>
      <w:r w:rsidRPr="00B86E65">
        <w:rPr>
          <w:b/>
          <w:bCs/>
          <w:color w:val="000000" w:themeColor="text1"/>
          <w:vertAlign w:val="superscript"/>
        </w:rPr>
        <w:t>TM</w:t>
      </w:r>
      <w:proofErr w:type="spellEnd"/>
      <w:r w:rsidRPr="00B86E65">
        <w:rPr>
          <w:b/>
          <w:color w:val="000000" w:themeColor="text1"/>
        </w:rPr>
        <w:t xml:space="preserve"> in a CDC bottle bioassay</w:t>
      </w:r>
    </w:p>
    <w:p w14:paraId="37B10827" w14:textId="77777777" w:rsidR="00AA66DA" w:rsidRPr="00D0161E" w:rsidRDefault="00AA66DA" w:rsidP="00AA66DA">
      <w:pPr>
        <w:spacing w:line="480" w:lineRule="auto"/>
        <w:rPr>
          <w:color w:val="000000" w:themeColor="text1"/>
        </w:rPr>
      </w:pPr>
    </w:p>
    <w:p w14:paraId="1D928A33" w14:textId="5C926F9F" w:rsidR="00AA66DA" w:rsidRPr="00B86E65" w:rsidRDefault="00AA66DA" w:rsidP="00AA66DA">
      <w:pPr>
        <w:spacing w:line="480" w:lineRule="auto"/>
        <w:rPr>
          <w:b/>
          <w:color w:val="000000" w:themeColor="text1"/>
        </w:rPr>
      </w:pPr>
      <w:r w:rsidRPr="00B86E65">
        <w:rPr>
          <w:b/>
          <w:color w:val="000000" w:themeColor="text1"/>
        </w:rPr>
        <w:t xml:space="preserve">Fig. </w:t>
      </w:r>
      <w:proofErr w:type="gramStart"/>
      <w:r w:rsidRPr="00B86E65">
        <w:rPr>
          <w:b/>
          <w:color w:val="000000" w:themeColor="text1"/>
        </w:rPr>
        <w:t>2  Mortality</w:t>
      </w:r>
      <w:proofErr w:type="gramEnd"/>
      <w:r w:rsidRPr="00B86E65">
        <w:rPr>
          <w:b/>
          <w:color w:val="000000" w:themeColor="text1"/>
        </w:rPr>
        <w:t xml:space="preserve"> over time in four mosquito strains after exposure to </w:t>
      </w:r>
      <w:proofErr w:type="spellStart"/>
      <w:r w:rsidR="00D54567" w:rsidRPr="00D54567">
        <w:rPr>
          <w:b/>
          <w:color w:val="000000" w:themeColor="text1"/>
        </w:rPr>
        <w:t>Tenebenal</w:t>
      </w:r>
      <w:r w:rsidRPr="00B86E65">
        <w:rPr>
          <w:b/>
          <w:bCs/>
          <w:color w:val="000000" w:themeColor="text1"/>
          <w:vertAlign w:val="superscript"/>
        </w:rPr>
        <w:t>TM</w:t>
      </w:r>
      <w:proofErr w:type="spellEnd"/>
      <w:r w:rsidRPr="00B86E65">
        <w:rPr>
          <w:b/>
          <w:color w:val="000000" w:themeColor="text1"/>
        </w:rPr>
        <w:t xml:space="preserve"> applied to a filter paper in a WHO tube bioassay</w:t>
      </w:r>
    </w:p>
    <w:p w14:paraId="19CC8BB0" w14:textId="77777777" w:rsidR="00AA66DA" w:rsidRPr="00D0161E" w:rsidRDefault="00AA66DA" w:rsidP="00AA66DA">
      <w:pPr>
        <w:spacing w:line="480" w:lineRule="auto"/>
        <w:rPr>
          <w:color w:val="000000" w:themeColor="text1"/>
        </w:rPr>
      </w:pPr>
      <w:r w:rsidRPr="00D0161E">
        <w:rPr>
          <w:color w:val="000000" w:themeColor="text1"/>
        </w:rPr>
        <w:t>Concentrations used for each strain were those needed to provide 100% mortality in each strain based on preliminary dose response experiments (not presented), and were as follows: Kisumu 6.2%, Kisumu RDL 2.7%, Tiassal</w:t>
      </w:r>
      <w:r w:rsidRPr="00D0161E">
        <w:rPr>
          <w:rFonts w:cstheme="minorHAnsi"/>
          <w:color w:val="000000" w:themeColor="text1"/>
        </w:rPr>
        <w:t>é</w:t>
      </w:r>
      <w:r w:rsidRPr="00D0161E">
        <w:rPr>
          <w:color w:val="000000" w:themeColor="text1"/>
        </w:rPr>
        <w:t xml:space="preserve"> 2 5.3%, and New Orleans 1.5%. Mosquitoes were scored for </w:t>
      </w:r>
      <w:r>
        <w:rPr>
          <w:color w:val="000000" w:themeColor="text1"/>
        </w:rPr>
        <w:t>KD</w:t>
      </w:r>
      <w:r w:rsidRPr="00D0161E">
        <w:rPr>
          <w:color w:val="000000" w:themeColor="text1"/>
        </w:rPr>
        <w:t xml:space="preserve"> or mortality every hour until 12 hours and then at 24 hours post-exposure. Results are presented as an average of three replicate tubes of ~25 mosquitoes.</w:t>
      </w:r>
    </w:p>
    <w:p w14:paraId="5717AB83" w14:textId="77777777" w:rsidR="00AA66DA" w:rsidRDefault="00AA66DA" w:rsidP="00AA66DA">
      <w:pPr>
        <w:spacing w:line="480" w:lineRule="auto"/>
        <w:rPr>
          <w:color w:val="000000" w:themeColor="text1"/>
        </w:rPr>
      </w:pPr>
    </w:p>
    <w:p w14:paraId="421BB2DB" w14:textId="78D10432" w:rsidR="00AA66DA" w:rsidRDefault="00AA66DA" w:rsidP="00AA66DA">
      <w:pPr>
        <w:spacing w:line="480" w:lineRule="auto"/>
        <w:rPr>
          <w:color w:val="000000" w:themeColor="text1"/>
        </w:rPr>
      </w:pPr>
      <w:r w:rsidRPr="00993418">
        <w:rPr>
          <w:b/>
          <w:color w:val="000000" w:themeColor="text1"/>
        </w:rPr>
        <w:t xml:space="preserve">Fig. </w:t>
      </w:r>
      <w:proofErr w:type="gramStart"/>
      <w:r w:rsidRPr="00993418">
        <w:rPr>
          <w:b/>
          <w:color w:val="000000" w:themeColor="text1"/>
        </w:rPr>
        <w:t>3  Residual</w:t>
      </w:r>
      <w:proofErr w:type="gramEnd"/>
      <w:r w:rsidRPr="00993418">
        <w:rPr>
          <w:b/>
          <w:color w:val="000000" w:themeColor="text1"/>
        </w:rPr>
        <w:t xml:space="preserve"> activity of </w:t>
      </w:r>
      <w:proofErr w:type="spellStart"/>
      <w:r w:rsidR="00D54567" w:rsidRPr="00D54567">
        <w:rPr>
          <w:b/>
          <w:color w:val="000000" w:themeColor="text1"/>
        </w:rPr>
        <w:t>Tenebenal</w:t>
      </w:r>
      <w:r w:rsidRPr="00993418">
        <w:rPr>
          <w:b/>
          <w:bCs/>
          <w:color w:val="000000" w:themeColor="text1"/>
          <w:vertAlign w:val="superscript"/>
        </w:rPr>
        <w:t>TM</w:t>
      </w:r>
      <w:proofErr w:type="spellEnd"/>
      <w:r w:rsidRPr="00993418">
        <w:rPr>
          <w:b/>
          <w:color w:val="000000" w:themeColor="text1"/>
        </w:rPr>
        <w:t xml:space="preserve"> WP applied at four concentrations as a prototype WP IRS to four surface materials, in comparison to an untreated control, measured as mortality in adult female </w:t>
      </w:r>
      <w:r w:rsidRPr="00993418">
        <w:rPr>
          <w:b/>
          <w:i/>
          <w:color w:val="000000" w:themeColor="text1"/>
        </w:rPr>
        <w:t xml:space="preserve">Anopheles gambiae </w:t>
      </w:r>
      <w:r w:rsidRPr="00993418">
        <w:rPr>
          <w:b/>
          <w:color w:val="000000" w:themeColor="text1"/>
        </w:rPr>
        <w:t>of the Kisumu strain 24 hours after exposure</w:t>
      </w:r>
    </w:p>
    <w:p w14:paraId="3BA95579" w14:textId="059ADF6A" w:rsidR="00AA66DA" w:rsidRPr="00D0161E" w:rsidRDefault="00AA66DA" w:rsidP="00AA66DA">
      <w:pPr>
        <w:spacing w:line="480" w:lineRule="auto"/>
        <w:rPr>
          <w:color w:val="000000" w:themeColor="text1"/>
        </w:rPr>
      </w:pPr>
      <w:r w:rsidRPr="00D0161E">
        <w:rPr>
          <w:color w:val="000000" w:themeColor="text1"/>
        </w:rPr>
        <w:t xml:space="preserve">Mosquitoes were exposed to mud, cement, ceramic tiles or wood treated with 0.025, 0.05, 0.1 or 0.2% solutions of </w:t>
      </w:r>
      <w:proofErr w:type="spellStart"/>
      <w:r w:rsidR="00D54567" w:rsidRPr="00D54567">
        <w:rPr>
          <w:color w:val="000000" w:themeColor="text1"/>
          <w:szCs w:val="22"/>
        </w:rPr>
        <w:t>Tenebenal</w:t>
      </w:r>
      <w:r w:rsidRPr="00D0161E">
        <w:rPr>
          <w:b/>
          <w:bCs/>
          <w:color w:val="000000" w:themeColor="text1"/>
          <w:vertAlign w:val="superscript"/>
        </w:rPr>
        <w:t>TM</w:t>
      </w:r>
      <w:proofErr w:type="spellEnd"/>
      <w:r w:rsidRPr="00D0161E">
        <w:rPr>
          <w:color w:val="000000" w:themeColor="text1"/>
        </w:rPr>
        <w:t xml:space="preserve"> WP or an untreated negative control, and mortality observed 24 hours after exposure. Values shown are average mortality in 30 mosquitoes, 10 exposed to each of three replicate surfaces. </w:t>
      </w:r>
      <w:r w:rsidRPr="00D0161E">
        <w:rPr>
          <w:noProof/>
          <w:color w:val="000000" w:themeColor="text1"/>
        </w:rPr>
        <w:t>Mud blocks with 0.025 and 0.05% were withdrawn after month 14 due to low activity, but assays were continued with higher concentrations until month 20.</w:t>
      </w:r>
      <w:r w:rsidRPr="00D0161E">
        <w:rPr>
          <w:color w:val="000000" w:themeColor="text1"/>
        </w:rPr>
        <w:t xml:space="preserve"> Mortality in the negative control ceramic tile for month 10 was anomalously high but returned to expected value at subsequent time points; this datapoint is omitted from the </w:t>
      </w:r>
      <w:r>
        <w:rPr>
          <w:color w:val="000000" w:themeColor="text1"/>
        </w:rPr>
        <w:t>F</w:t>
      </w:r>
      <w:r w:rsidRPr="00D0161E">
        <w:rPr>
          <w:color w:val="000000" w:themeColor="text1"/>
        </w:rPr>
        <w:t>igure.</w:t>
      </w:r>
    </w:p>
    <w:p w14:paraId="6A40DB98" w14:textId="77777777" w:rsidR="00AA66DA" w:rsidRPr="00D0161E" w:rsidRDefault="00AA66DA" w:rsidP="00AA66DA">
      <w:pPr>
        <w:spacing w:line="480" w:lineRule="auto"/>
        <w:rPr>
          <w:color w:val="000000" w:themeColor="text1"/>
        </w:rPr>
      </w:pPr>
    </w:p>
    <w:p w14:paraId="553551D9" w14:textId="217992B1" w:rsidR="00AA66DA" w:rsidRDefault="00AA66DA" w:rsidP="00AA66DA">
      <w:pPr>
        <w:spacing w:line="480" w:lineRule="auto"/>
        <w:rPr>
          <w:color w:val="000000" w:themeColor="text1"/>
        </w:rPr>
      </w:pPr>
      <w:r w:rsidRPr="006C52A4">
        <w:rPr>
          <w:b/>
          <w:color w:val="000000" w:themeColor="text1"/>
        </w:rPr>
        <w:t xml:space="preserve">Fig. </w:t>
      </w:r>
      <w:proofErr w:type="gramStart"/>
      <w:r w:rsidRPr="006C52A4">
        <w:rPr>
          <w:b/>
          <w:color w:val="000000" w:themeColor="text1"/>
        </w:rPr>
        <w:t>4  Residual</w:t>
      </w:r>
      <w:proofErr w:type="gramEnd"/>
      <w:r w:rsidRPr="006C52A4">
        <w:rPr>
          <w:b/>
          <w:color w:val="000000" w:themeColor="text1"/>
        </w:rPr>
        <w:t xml:space="preserve"> activity of </w:t>
      </w:r>
      <w:proofErr w:type="spellStart"/>
      <w:r w:rsidR="00D54567" w:rsidRPr="00D54567">
        <w:rPr>
          <w:b/>
          <w:color w:val="000000" w:themeColor="text1"/>
        </w:rPr>
        <w:t>Tenebenal</w:t>
      </w:r>
      <w:r w:rsidRPr="006C52A4">
        <w:rPr>
          <w:b/>
          <w:bCs/>
          <w:color w:val="000000" w:themeColor="text1"/>
          <w:vertAlign w:val="superscript"/>
        </w:rPr>
        <w:t>TM</w:t>
      </w:r>
      <w:proofErr w:type="spellEnd"/>
      <w:r w:rsidRPr="006C52A4">
        <w:rPr>
          <w:b/>
          <w:color w:val="000000" w:themeColor="text1"/>
        </w:rPr>
        <w:t xml:space="preserve"> applied in four concentrations as a prototype WP, as measured by cone bioassays, in comparison to three standard IRS products and an untreated negative control, against insecticide resistant strains of </w:t>
      </w:r>
      <w:r w:rsidRPr="006C52A4">
        <w:rPr>
          <w:b/>
          <w:i/>
          <w:color w:val="000000" w:themeColor="text1"/>
        </w:rPr>
        <w:t>Anopheles gambiae</w:t>
      </w:r>
    </w:p>
    <w:p w14:paraId="7991E6CB" w14:textId="77777777" w:rsidR="00AA66DA" w:rsidRPr="00D0161E" w:rsidRDefault="00AA66DA" w:rsidP="00AA66DA">
      <w:pPr>
        <w:spacing w:line="480" w:lineRule="auto"/>
        <w:rPr>
          <w:color w:val="000000" w:themeColor="text1"/>
        </w:rPr>
      </w:pPr>
      <w:r w:rsidRPr="00D0161E">
        <w:rPr>
          <w:color w:val="000000" w:themeColor="text1"/>
        </w:rPr>
        <w:t>Mosquitoes were exposed to surfaces for 30 min, and mortality observed 24 hours after exposure: Tiassal</w:t>
      </w:r>
      <w:r w:rsidRPr="00D0161E">
        <w:rPr>
          <w:rFonts w:cstheme="minorHAnsi"/>
          <w:color w:val="000000" w:themeColor="text1"/>
        </w:rPr>
        <w:t>é</w:t>
      </w:r>
      <w:r w:rsidRPr="00D0161E">
        <w:rPr>
          <w:color w:val="000000" w:themeColor="text1"/>
        </w:rPr>
        <w:t xml:space="preserve"> 2 females were exposed to treated wood surfaces on the day after treatment, and Tiassal</w:t>
      </w:r>
      <w:r w:rsidRPr="00D0161E">
        <w:rPr>
          <w:rFonts w:cstheme="minorHAnsi"/>
          <w:color w:val="000000" w:themeColor="text1"/>
        </w:rPr>
        <w:t>é</w:t>
      </w:r>
      <w:r w:rsidRPr="00D0161E">
        <w:rPr>
          <w:color w:val="000000" w:themeColor="text1"/>
        </w:rPr>
        <w:t xml:space="preserve"> 13 females were exposed to treated mud surfaces and ceramic tiles in months 6 and 8 post-treatment application, respectively. Values shown are average mortality in 30 mosquitoes, 10 exposed in cones to each of three replicate tiles; replicates are represented by the top, dissecting line, and bottom of each bar.  </w:t>
      </w:r>
    </w:p>
    <w:p w14:paraId="6D4FE856" w14:textId="77777777" w:rsidR="00AA66DA" w:rsidRPr="00D0161E" w:rsidRDefault="00AA66DA" w:rsidP="00AA66DA">
      <w:pPr>
        <w:spacing w:line="480" w:lineRule="auto"/>
        <w:rPr>
          <w:color w:val="000000" w:themeColor="text1"/>
        </w:rPr>
      </w:pPr>
    </w:p>
    <w:p w14:paraId="2D912F58" w14:textId="4FFD5815" w:rsidR="00AA66DA" w:rsidRDefault="00AA66DA" w:rsidP="00AA66DA">
      <w:pPr>
        <w:spacing w:line="480" w:lineRule="auto"/>
        <w:rPr>
          <w:color w:val="000000" w:themeColor="text1"/>
        </w:rPr>
      </w:pPr>
      <w:r w:rsidRPr="006C52A4">
        <w:rPr>
          <w:b/>
          <w:color w:val="000000" w:themeColor="text1"/>
        </w:rPr>
        <w:t xml:space="preserve">Fig. </w:t>
      </w:r>
      <w:proofErr w:type="gramStart"/>
      <w:r w:rsidRPr="006C52A4">
        <w:rPr>
          <w:b/>
          <w:color w:val="000000" w:themeColor="text1"/>
        </w:rPr>
        <w:t>5  Assessment</w:t>
      </w:r>
      <w:proofErr w:type="gramEnd"/>
      <w:r w:rsidRPr="006C52A4">
        <w:rPr>
          <w:b/>
          <w:color w:val="000000" w:themeColor="text1"/>
        </w:rPr>
        <w:t xml:space="preserve"> of the efficacy of net samples dipped in </w:t>
      </w:r>
      <w:proofErr w:type="spellStart"/>
      <w:r w:rsidR="00D54567" w:rsidRPr="00D54567">
        <w:rPr>
          <w:b/>
          <w:color w:val="000000" w:themeColor="text1"/>
        </w:rPr>
        <w:t>Tenebenal</w:t>
      </w:r>
      <w:r w:rsidRPr="006C52A4">
        <w:rPr>
          <w:b/>
          <w:bCs/>
          <w:color w:val="000000" w:themeColor="text1"/>
          <w:vertAlign w:val="superscript"/>
        </w:rPr>
        <w:t>TM</w:t>
      </w:r>
      <w:proofErr w:type="spellEnd"/>
      <w:r w:rsidRPr="006C52A4">
        <w:rPr>
          <w:b/>
          <w:color w:val="000000" w:themeColor="text1"/>
        </w:rPr>
        <w:t xml:space="preserve"> SC using cone bioassays, in comparison to a standard deltamethrin net and an untreated negative control, against adult female Kisumu </w:t>
      </w:r>
      <w:r w:rsidRPr="006C52A4">
        <w:rPr>
          <w:b/>
          <w:i/>
          <w:color w:val="000000" w:themeColor="text1"/>
        </w:rPr>
        <w:t>Anopheles gambiae</w:t>
      </w:r>
    </w:p>
    <w:p w14:paraId="35D1FF70" w14:textId="77777777" w:rsidR="00AA66DA" w:rsidRPr="00D0161E" w:rsidRDefault="00AA66DA" w:rsidP="00AA66DA">
      <w:pPr>
        <w:spacing w:line="480" w:lineRule="auto"/>
        <w:rPr>
          <w:color w:val="000000" w:themeColor="text1"/>
        </w:rPr>
      </w:pPr>
      <w:r w:rsidRPr="00D0161E">
        <w:rPr>
          <w:color w:val="000000" w:themeColor="text1"/>
        </w:rPr>
        <w:t xml:space="preserve">Mosquitoes were exposed surfaces for 3 or 20 min, </w:t>
      </w:r>
      <w:r>
        <w:rPr>
          <w:color w:val="000000" w:themeColor="text1"/>
        </w:rPr>
        <w:t>KD</w:t>
      </w:r>
      <w:r w:rsidRPr="00D0161E">
        <w:rPr>
          <w:color w:val="000000" w:themeColor="text1"/>
        </w:rPr>
        <w:t xml:space="preserve"> observed 60 min later, and mortality observed 24, 48 and 72 hours after exposure. Values shown are average mortality in 30 mosquitoes, 10 exposed per cone to each of the three replicate net samples; replicates are represented by the top, dissecting line, and bottom of each bar.  </w:t>
      </w:r>
    </w:p>
    <w:p w14:paraId="54413591" w14:textId="77777777" w:rsidR="007D33E3" w:rsidRPr="00D0161E" w:rsidRDefault="007D33E3" w:rsidP="00D0161E">
      <w:pPr>
        <w:spacing w:line="480" w:lineRule="auto"/>
        <w:rPr>
          <w:color w:val="000000" w:themeColor="text1"/>
        </w:rPr>
      </w:pPr>
    </w:p>
    <w:p w14:paraId="64B0D942" w14:textId="77777777" w:rsidR="007D33E3" w:rsidRPr="00D0161E" w:rsidRDefault="007D33E3" w:rsidP="00D0161E">
      <w:pPr>
        <w:spacing w:line="480" w:lineRule="auto"/>
        <w:rPr>
          <w:color w:val="000000" w:themeColor="text1"/>
        </w:rPr>
      </w:pPr>
    </w:p>
    <w:p w14:paraId="6F8BB428" w14:textId="77777777" w:rsidR="00AA1147" w:rsidRPr="00D0161E" w:rsidRDefault="00AA1147" w:rsidP="00D0161E">
      <w:pPr>
        <w:spacing w:line="480" w:lineRule="auto"/>
        <w:rPr>
          <w:b/>
          <w:bCs/>
          <w:color w:val="000000" w:themeColor="text1"/>
        </w:rPr>
        <w:sectPr w:rsidR="00AA1147" w:rsidRPr="00D0161E">
          <w:footerReference w:type="default" r:id="rId8"/>
          <w:pgSz w:w="11906" w:h="16838"/>
          <w:pgMar w:top="1440" w:right="1440" w:bottom="1440" w:left="1440" w:header="709" w:footer="709" w:gutter="0"/>
          <w:cols w:space="708"/>
          <w:docGrid w:linePitch="360"/>
        </w:sectPr>
      </w:pPr>
    </w:p>
    <w:p w14:paraId="5D8B540C" w14:textId="71E0ED6F" w:rsidR="00CF1BEF" w:rsidRPr="00D0161E" w:rsidRDefault="00CF1BEF" w:rsidP="00D0161E">
      <w:pPr>
        <w:spacing w:line="480" w:lineRule="auto"/>
        <w:rPr>
          <w:b/>
          <w:bCs/>
          <w:i/>
          <w:color w:val="000000" w:themeColor="text1"/>
        </w:rPr>
      </w:pPr>
      <w:r w:rsidRPr="00D0161E">
        <w:rPr>
          <w:b/>
          <w:bCs/>
          <w:color w:val="000000" w:themeColor="text1"/>
        </w:rPr>
        <w:t xml:space="preserve">Table </w:t>
      </w:r>
      <w:proofErr w:type="gramStart"/>
      <w:r w:rsidRPr="00D0161E">
        <w:rPr>
          <w:b/>
          <w:bCs/>
          <w:color w:val="000000" w:themeColor="text1"/>
        </w:rPr>
        <w:t>1</w:t>
      </w:r>
      <w:r w:rsidR="006C52A4">
        <w:rPr>
          <w:b/>
          <w:bCs/>
          <w:color w:val="000000" w:themeColor="text1"/>
        </w:rPr>
        <w:t xml:space="preserve"> </w:t>
      </w:r>
      <w:r w:rsidRPr="00D0161E">
        <w:rPr>
          <w:b/>
          <w:bCs/>
          <w:color w:val="000000" w:themeColor="text1"/>
        </w:rPr>
        <w:t xml:space="preserve"> Effect</w:t>
      </w:r>
      <w:proofErr w:type="gramEnd"/>
      <w:r w:rsidRPr="00D0161E">
        <w:rPr>
          <w:b/>
          <w:bCs/>
          <w:color w:val="000000" w:themeColor="text1"/>
        </w:rPr>
        <w:t xml:space="preserve"> of topical application of </w:t>
      </w:r>
      <w:proofErr w:type="spellStart"/>
      <w:r w:rsidR="00D54567" w:rsidRPr="00D54567">
        <w:rPr>
          <w:b/>
          <w:bCs/>
          <w:color w:val="000000" w:themeColor="text1"/>
        </w:rPr>
        <w:t>Tenebenal</w:t>
      </w:r>
      <w:r w:rsidRPr="00D0161E">
        <w:rPr>
          <w:b/>
          <w:bCs/>
          <w:color w:val="000000" w:themeColor="text1"/>
          <w:vertAlign w:val="superscript"/>
        </w:rPr>
        <w:t>TM</w:t>
      </w:r>
      <w:proofErr w:type="spellEnd"/>
      <w:r w:rsidRPr="00D0161E">
        <w:rPr>
          <w:b/>
          <w:bCs/>
          <w:color w:val="000000" w:themeColor="text1"/>
        </w:rPr>
        <w:t xml:space="preserve"> and two standard comparators on adult female </w:t>
      </w:r>
      <w:r w:rsidRPr="00D0161E">
        <w:rPr>
          <w:b/>
          <w:bCs/>
          <w:i/>
          <w:color w:val="000000" w:themeColor="text1"/>
        </w:rPr>
        <w:t>Anopheles gambiae</w:t>
      </w:r>
    </w:p>
    <w:tbl>
      <w:tblPr>
        <w:tblW w:w="0" w:type="auto"/>
        <w:tblLayout w:type="fixed"/>
        <w:tblLook w:val="04A0" w:firstRow="1" w:lastRow="0" w:firstColumn="1" w:lastColumn="0" w:noHBand="0" w:noVBand="1"/>
      </w:tblPr>
      <w:tblGrid>
        <w:gridCol w:w="993"/>
        <w:gridCol w:w="1417"/>
        <w:gridCol w:w="1418"/>
        <w:gridCol w:w="708"/>
        <w:gridCol w:w="1560"/>
        <w:gridCol w:w="1080"/>
        <w:gridCol w:w="1400"/>
        <w:gridCol w:w="1291"/>
        <w:gridCol w:w="1400"/>
        <w:gridCol w:w="1291"/>
        <w:gridCol w:w="1400"/>
      </w:tblGrid>
      <w:tr w:rsidR="00CF1BEF" w:rsidRPr="00D0161E" w14:paraId="194E3936" w14:textId="77777777">
        <w:trPr>
          <w:trHeight w:val="266"/>
        </w:trPr>
        <w:tc>
          <w:tcPr>
            <w:tcW w:w="993" w:type="dxa"/>
            <w:vMerge w:val="restart"/>
            <w:tcBorders>
              <w:top w:val="single" w:sz="4" w:space="0" w:color="auto"/>
              <w:left w:val="nil"/>
              <w:bottom w:val="single" w:sz="4" w:space="0" w:color="000000"/>
              <w:right w:val="nil"/>
            </w:tcBorders>
            <w:shd w:val="clear" w:color="auto" w:fill="auto"/>
            <w:noWrap/>
            <w:vAlign w:val="center"/>
          </w:tcPr>
          <w:bookmarkEnd w:id="50"/>
          <w:p w14:paraId="45243164" w14:textId="77777777" w:rsidR="00CF1BEF" w:rsidRPr="00D0161E" w:rsidRDefault="00994C95" w:rsidP="00D0161E">
            <w:pPr>
              <w:spacing w:line="480" w:lineRule="auto"/>
              <w:rPr>
                <w:rFonts w:cs="Calibri"/>
                <w:b/>
                <w:bCs/>
                <w:color w:val="000000" w:themeColor="text1"/>
                <w:szCs w:val="18"/>
              </w:rPr>
            </w:pPr>
            <w:r w:rsidRPr="00D0161E">
              <w:rPr>
                <w:rFonts w:cs="Calibri"/>
                <w:b/>
                <w:bCs/>
                <w:color w:val="000000" w:themeColor="text1"/>
                <w:szCs w:val="18"/>
              </w:rPr>
              <w:t>Strain</w:t>
            </w:r>
          </w:p>
        </w:tc>
        <w:tc>
          <w:tcPr>
            <w:tcW w:w="1417" w:type="dxa"/>
            <w:vMerge w:val="restart"/>
            <w:tcBorders>
              <w:top w:val="single" w:sz="4" w:space="0" w:color="auto"/>
              <w:left w:val="nil"/>
              <w:bottom w:val="single" w:sz="4" w:space="0" w:color="000000"/>
              <w:right w:val="nil"/>
            </w:tcBorders>
            <w:shd w:val="clear" w:color="auto" w:fill="auto"/>
            <w:noWrap/>
            <w:vAlign w:val="center"/>
          </w:tcPr>
          <w:p w14:paraId="1887ABC9"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Insecticide</w:t>
            </w:r>
          </w:p>
        </w:tc>
        <w:tc>
          <w:tcPr>
            <w:tcW w:w="1418" w:type="dxa"/>
            <w:vMerge w:val="restart"/>
            <w:tcBorders>
              <w:top w:val="single" w:sz="4" w:space="0" w:color="auto"/>
              <w:left w:val="nil"/>
              <w:bottom w:val="single" w:sz="4" w:space="0" w:color="000000"/>
              <w:right w:val="single" w:sz="4" w:space="0" w:color="auto"/>
            </w:tcBorders>
            <w:shd w:val="clear" w:color="auto" w:fill="auto"/>
            <w:noWrap/>
            <w:vAlign w:val="center"/>
          </w:tcPr>
          <w:p w14:paraId="27D60B6C"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Concentration</w:t>
            </w:r>
          </w:p>
        </w:tc>
        <w:tc>
          <w:tcPr>
            <w:tcW w:w="2268" w:type="dxa"/>
            <w:gridSpan w:val="2"/>
            <w:tcBorders>
              <w:top w:val="single" w:sz="4" w:space="0" w:color="auto"/>
              <w:left w:val="single" w:sz="4" w:space="0" w:color="auto"/>
              <w:right w:val="single" w:sz="4" w:space="0" w:color="auto"/>
            </w:tcBorders>
            <w:shd w:val="clear" w:color="auto" w:fill="auto"/>
            <w:noWrap/>
            <w:vAlign w:val="center"/>
          </w:tcPr>
          <w:p w14:paraId="5980FA10"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30 minutes</w:t>
            </w:r>
          </w:p>
        </w:tc>
        <w:tc>
          <w:tcPr>
            <w:tcW w:w="2480" w:type="dxa"/>
            <w:gridSpan w:val="2"/>
            <w:tcBorders>
              <w:top w:val="single" w:sz="4" w:space="0" w:color="auto"/>
              <w:left w:val="single" w:sz="4" w:space="0" w:color="auto"/>
              <w:right w:val="single" w:sz="4" w:space="0" w:color="auto"/>
            </w:tcBorders>
            <w:shd w:val="clear" w:color="auto" w:fill="auto"/>
            <w:noWrap/>
            <w:vAlign w:val="center"/>
          </w:tcPr>
          <w:p w14:paraId="44060AC2"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24 hours</w:t>
            </w:r>
          </w:p>
        </w:tc>
        <w:tc>
          <w:tcPr>
            <w:tcW w:w="2691" w:type="dxa"/>
            <w:gridSpan w:val="2"/>
            <w:tcBorders>
              <w:top w:val="single" w:sz="4" w:space="0" w:color="auto"/>
              <w:left w:val="single" w:sz="4" w:space="0" w:color="auto"/>
              <w:right w:val="single" w:sz="4" w:space="0" w:color="auto"/>
            </w:tcBorders>
            <w:shd w:val="clear" w:color="auto" w:fill="auto"/>
            <w:noWrap/>
            <w:vAlign w:val="center"/>
          </w:tcPr>
          <w:p w14:paraId="36D7913D"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48 hours</w:t>
            </w:r>
          </w:p>
        </w:tc>
        <w:tc>
          <w:tcPr>
            <w:tcW w:w="2691" w:type="dxa"/>
            <w:gridSpan w:val="2"/>
            <w:tcBorders>
              <w:top w:val="single" w:sz="4" w:space="0" w:color="auto"/>
              <w:left w:val="single" w:sz="4" w:space="0" w:color="auto"/>
              <w:bottom w:val="nil"/>
              <w:right w:val="nil"/>
            </w:tcBorders>
            <w:shd w:val="clear" w:color="auto" w:fill="auto"/>
            <w:noWrap/>
            <w:vAlign w:val="center"/>
          </w:tcPr>
          <w:p w14:paraId="06EBA60F"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72 hours</w:t>
            </w:r>
          </w:p>
        </w:tc>
      </w:tr>
      <w:tr w:rsidR="00CF1BEF" w:rsidRPr="00D0161E" w14:paraId="3F91D953" w14:textId="77777777">
        <w:trPr>
          <w:trHeight w:val="266"/>
        </w:trPr>
        <w:tc>
          <w:tcPr>
            <w:tcW w:w="993" w:type="dxa"/>
            <w:vMerge/>
            <w:tcBorders>
              <w:left w:val="nil"/>
              <w:bottom w:val="single" w:sz="4" w:space="0" w:color="000000"/>
              <w:right w:val="nil"/>
            </w:tcBorders>
            <w:vAlign w:val="center"/>
          </w:tcPr>
          <w:p w14:paraId="68F58316" w14:textId="77777777" w:rsidR="00CF1BEF" w:rsidRPr="00D0161E" w:rsidRDefault="00CF1BEF" w:rsidP="00D0161E">
            <w:pPr>
              <w:spacing w:line="480" w:lineRule="auto"/>
              <w:rPr>
                <w:rFonts w:cs="Calibri"/>
                <w:b/>
                <w:bCs/>
                <w:color w:val="000000" w:themeColor="text1"/>
                <w:szCs w:val="18"/>
              </w:rPr>
            </w:pPr>
          </w:p>
        </w:tc>
        <w:tc>
          <w:tcPr>
            <w:tcW w:w="1417" w:type="dxa"/>
            <w:vMerge/>
            <w:tcBorders>
              <w:left w:val="nil"/>
              <w:bottom w:val="single" w:sz="4" w:space="0" w:color="000000"/>
              <w:right w:val="nil"/>
            </w:tcBorders>
            <w:vAlign w:val="center"/>
          </w:tcPr>
          <w:p w14:paraId="2DB2E538" w14:textId="77777777" w:rsidR="00CF1BEF" w:rsidRPr="00D0161E" w:rsidRDefault="00CF1BEF" w:rsidP="00D0161E">
            <w:pPr>
              <w:spacing w:line="480" w:lineRule="auto"/>
              <w:rPr>
                <w:rFonts w:cs="Calibri"/>
                <w:b/>
                <w:bCs/>
                <w:color w:val="000000" w:themeColor="text1"/>
                <w:szCs w:val="18"/>
              </w:rPr>
            </w:pPr>
          </w:p>
        </w:tc>
        <w:tc>
          <w:tcPr>
            <w:tcW w:w="1418" w:type="dxa"/>
            <w:vMerge/>
            <w:tcBorders>
              <w:top w:val="single" w:sz="4" w:space="0" w:color="auto"/>
              <w:left w:val="nil"/>
              <w:bottom w:val="single" w:sz="4" w:space="0" w:color="000000"/>
              <w:right w:val="single" w:sz="4" w:space="0" w:color="auto"/>
            </w:tcBorders>
            <w:vAlign w:val="center"/>
          </w:tcPr>
          <w:p w14:paraId="43106358" w14:textId="77777777" w:rsidR="00CF1BEF" w:rsidRPr="00D0161E" w:rsidRDefault="00CF1BEF" w:rsidP="00D0161E">
            <w:pPr>
              <w:spacing w:line="480" w:lineRule="auto"/>
              <w:rPr>
                <w:rFonts w:cs="Calibri"/>
                <w:b/>
                <w:bCs/>
                <w:color w:val="000000" w:themeColor="text1"/>
                <w:szCs w:val="18"/>
              </w:rPr>
            </w:pPr>
          </w:p>
        </w:tc>
        <w:tc>
          <w:tcPr>
            <w:tcW w:w="708" w:type="dxa"/>
            <w:tcBorders>
              <w:left w:val="single" w:sz="4" w:space="0" w:color="auto"/>
              <w:bottom w:val="single" w:sz="4" w:space="0" w:color="auto"/>
              <w:right w:val="nil"/>
            </w:tcBorders>
            <w:shd w:val="clear" w:color="auto" w:fill="auto"/>
            <w:noWrap/>
            <w:vAlign w:val="bottom"/>
          </w:tcPr>
          <w:p w14:paraId="66C0042D"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KD (%)</w:t>
            </w:r>
          </w:p>
        </w:tc>
        <w:tc>
          <w:tcPr>
            <w:tcW w:w="1560" w:type="dxa"/>
            <w:tcBorders>
              <w:left w:val="nil"/>
              <w:bottom w:val="single" w:sz="4" w:space="0" w:color="000000"/>
              <w:right w:val="single" w:sz="4" w:space="0" w:color="auto"/>
            </w:tcBorders>
            <w:shd w:val="clear" w:color="auto" w:fill="auto"/>
            <w:noWrap/>
            <w:vAlign w:val="center"/>
          </w:tcPr>
          <w:p w14:paraId="6F6D310C"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Breakpoint</w:t>
            </w:r>
          </w:p>
        </w:tc>
        <w:tc>
          <w:tcPr>
            <w:tcW w:w="1080" w:type="dxa"/>
            <w:tcBorders>
              <w:left w:val="single" w:sz="4" w:space="0" w:color="auto"/>
              <w:bottom w:val="single" w:sz="4" w:space="0" w:color="auto"/>
              <w:right w:val="nil"/>
            </w:tcBorders>
            <w:shd w:val="clear" w:color="auto" w:fill="auto"/>
            <w:noWrap/>
            <w:vAlign w:val="bottom"/>
          </w:tcPr>
          <w:p w14:paraId="4AFF9F7B"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Mortality (%)</w:t>
            </w:r>
          </w:p>
        </w:tc>
        <w:tc>
          <w:tcPr>
            <w:tcW w:w="1400" w:type="dxa"/>
            <w:tcBorders>
              <w:left w:val="nil"/>
              <w:bottom w:val="single" w:sz="4" w:space="0" w:color="000000"/>
              <w:right w:val="single" w:sz="4" w:space="0" w:color="auto"/>
            </w:tcBorders>
            <w:shd w:val="clear" w:color="auto" w:fill="auto"/>
            <w:noWrap/>
            <w:vAlign w:val="center"/>
          </w:tcPr>
          <w:p w14:paraId="4B9610EB"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Breakpoint</w:t>
            </w:r>
          </w:p>
        </w:tc>
        <w:tc>
          <w:tcPr>
            <w:tcW w:w="1291" w:type="dxa"/>
            <w:tcBorders>
              <w:left w:val="single" w:sz="4" w:space="0" w:color="auto"/>
              <w:bottom w:val="single" w:sz="4" w:space="0" w:color="auto"/>
              <w:right w:val="nil"/>
            </w:tcBorders>
            <w:shd w:val="clear" w:color="auto" w:fill="auto"/>
            <w:noWrap/>
            <w:vAlign w:val="bottom"/>
          </w:tcPr>
          <w:p w14:paraId="5713DC0A"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Mortality (%)</w:t>
            </w:r>
          </w:p>
        </w:tc>
        <w:tc>
          <w:tcPr>
            <w:tcW w:w="1400" w:type="dxa"/>
            <w:tcBorders>
              <w:left w:val="nil"/>
              <w:bottom w:val="single" w:sz="4" w:space="0" w:color="000000"/>
              <w:right w:val="single" w:sz="4" w:space="0" w:color="auto"/>
            </w:tcBorders>
            <w:shd w:val="clear" w:color="auto" w:fill="auto"/>
            <w:noWrap/>
            <w:vAlign w:val="center"/>
          </w:tcPr>
          <w:p w14:paraId="2FED4F37"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Breakpoint</w:t>
            </w:r>
          </w:p>
        </w:tc>
        <w:tc>
          <w:tcPr>
            <w:tcW w:w="1291" w:type="dxa"/>
            <w:tcBorders>
              <w:top w:val="nil"/>
              <w:left w:val="single" w:sz="4" w:space="0" w:color="auto"/>
              <w:bottom w:val="single" w:sz="4" w:space="0" w:color="auto"/>
              <w:right w:val="nil"/>
            </w:tcBorders>
            <w:shd w:val="clear" w:color="auto" w:fill="auto"/>
            <w:noWrap/>
            <w:vAlign w:val="bottom"/>
          </w:tcPr>
          <w:p w14:paraId="3E04B3D1"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Mortality (%)</w:t>
            </w:r>
          </w:p>
        </w:tc>
        <w:tc>
          <w:tcPr>
            <w:tcW w:w="1400" w:type="dxa"/>
            <w:tcBorders>
              <w:top w:val="nil"/>
              <w:left w:val="nil"/>
              <w:bottom w:val="single" w:sz="4" w:space="0" w:color="auto"/>
              <w:right w:val="nil"/>
            </w:tcBorders>
            <w:shd w:val="clear" w:color="auto" w:fill="auto"/>
            <w:noWrap/>
            <w:vAlign w:val="center"/>
          </w:tcPr>
          <w:p w14:paraId="557333AA"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Breakpoint</w:t>
            </w:r>
          </w:p>
        </w:tc>
      </w:tr>
      <w:tr w:rsidR="00CF1BEF" w:rsidRPr="00D0161E" w14:paraId="2C05DD47" w14:textId="77777777">
        <w:trPr>
          <w:trHeight w:val="266"/>
        </w:trPr>
        <w:tc>
          <w:tcPr>
            <w:tcW w:w="993" w:type="dxa"/>
            <w:vMerge w:val="restart"/>
            <w:tcBorders>
              <w:top w:val="nil"/>
              <w:left w:val="nil"/>
              <w:bottom w:val="single" w:sz="4" w:space="0" w:color="000000"/>
              <w:right w:val="nil"/>
            </w:tcBorders>
            <w:shd w:val="clear" w:color="auto" w:fill="auto"/>
            <w:noWrap/>
            <w:vAlign w:val="center"/>
          </w:tcPr>
          <w:p w14:paraId="594B1374"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Kisumu</w:t>
            </w:r>
          </w:p>
        </w:tc>
        <w:tc>
          <w:tcPr>
            <w:tcW w:w="1417" w:type="dxa"/>
            <w:vMerge w:val="restart"/>
            <w:tcBorders>
              <w:top w:val="nil"/>
              <w:left w:val="nil"/>
              <w:bottom w:val="single" w:sz="4" w:space="0" w:color="000000"/>
              <w:right w:val="nil"/>
            </w:tcBorders>
            <w:shd w:val="clear" w:color="auto" w:fill="auto"/>
            <w:noWrap/>
            <w:vAlign w:val="center"/>
          </w:tcPr>
          <w:p w14:paraId="30361BDD" w14:textId="264607AD" w:rsidR="00CF1BEF" w:rsidRPr="00D0161E" w:rsidRDefault="00D54567" w:rsidP="00D0161E">
            <w:pPr>
              <w:spacing w:line="480" w:lineRule="auto"/>
              <w:rPr>
                <w:rFonts w:cs="Calibri"/>
                <w:b/>
                <w:bCs/>
                <w:color w:val="000000" w:themeColor="text1"/>
                <w:szCs w:val="18"/>
              </w:rPr>
            </w:pPr>
            <w:proofErr w:type="spellStart"/>
            <w:r w:rsidRPr="00D54567">
              <w:rPr>
                <w:rFonts w:cs="Calibri"/>
                <w:b/>
                <w:bCs/>
                <w:color w:val="000000" w:themeColor="text1"/>
                <w:szCs w:val="18"/>
              </w:rPr>
              <w:t>Tenebenal</w:t>
            </w:r>
            <w:r w:rsidR="00CF1BEF" w:rsidRPr="00D0161E">
              <w:rPr>
                <w:b/>
                <w:bCs/>
                <w:color w:val="000000" w:themeColor="text1"/>
                <w:szCs w:val="18"/>
                <w:vertAlign w:val="superscript"/>
              </w:rPr>
              <w:t>TM</w:t>
            </w:r>
            <w:proofErr w:type="spellEnd"/>
          </w:p>
        </w:tc>
        <w:tc>
          <w:tcPr>
            <w:tcW w:w="1418" w:type="dxa"/>
            <w:tcBorders>
              <w:top w:val="nil"/>
              <w:left w:val="nil"/>
              <w:bottom w:val="nil"/>
              <w:right w:val="single" w:sz="4" w:space="0" w:color="auto"/>
            </w:tcBorders>
            <w:shd w:val="clear" w:color="auto" w:fill="auto"/>
            <w:noWrap/>
            <w:vAlign w:val="bottom"/>
          </w:tcPr>
          <w:p w14:paraId="26D7B525"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0.00000625%</w:t>
            </w:r>
          </w:p>
        </w:tc>
        <w:tc>
          <w:tcPr>
            <w:tcW w:w="708" w:type="dxa"/>
            <w:tcBorders>
              <w:top w:val="nil"/>
              <w:left w:val="single" w:sz="4" w:space="0" w:color="auto"/>
              <w:bottom w:val="nil"/>
              <w:right w:val="nil"/>
            </w:tcBorders>
            <w:shd w:val="clear" w:color="auto" w:fill="auto"/>
            <w:noWrap/>
            <w:vAlign w:val="center"/>
          </w:tcPr>
          <w:p w14:paraId="3C4D0756"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560" w:type="dxa"/>
            <w:vMerge w:val="restart"/>
            <w:tcBorders>
              <w:top w:val="nil"/>
              <w:left w:val="nil"/>
              <w:bottom w:val="single" w:sz="4" w:space="0" w:color="000000"/>
              <w:right w:val="single" w:sz="4" w:space="0" w:color="auto"/>
            </w:tcBorders>
            <w:shd w:val="clear" w:color="auto" w:fill="auto"/>
            <w:noWrap/>
            <w:vAlign w:val="center"/>
          </w:tcPr>
          <w:p w14:paraId="721F3F3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&lt;0.00000625%</w:t>
            </w:r>
          </w:p>
        </w:tc>
        <w:tc>
          <w:tcPr>
            <w:tcW w:w="1080" w:type="dxa"/>
            <w:tcBorders>
              <w:top w:val="nil"/>
              <w:left w:val="single" w:sz="4" w:space="0" w:color="auto"/>
              <w:bottom w:val="nil"/>
              <w:right w:val="nil"/>
            </w:tcBorders>
            <w:shd w:val="clear" w:color="auto" w:fill="auto"/>
            <w:noWrap/>
            <w:vAlign w:val="center"/>
          </w:tcPr>
          <w:p w14:paraId="33C9EE90"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66.7</w:t>
            </w:r>
          </w:p>
        </w:tc>
        <w:tc>
          <w:tcPr>
            <w:tcW w:w="1400" w:type="dxa"/>
            <w:vMerge w:val="restart"/>
            <w:tcBorders>
              <w:top w:val="nil"/>
              <w:left w:val="nil"/>
              <w:bottom w:val="single" w:sz="4" w:space="0" w:color="000000"/>
              <w:right w:val="single" w:sz="4" w:space="0" w:color="auto"/>
            </w:tcBorders>
            <w:shd w:val="clear" w:color="auto" w:fill="auto"/>
            <w:noWrap/>
            <w:vAlign w:val="center"/>
          </w:tcPr>
          <w:p w14:paraId="64D1D743"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0.000025%</w:t>
            </w:r>
          </w:p>
        </w:tc>
        <w:tc>
          <w:tcPr>
            <w:tcW w:w="1291" w:type="dxa"/>
            <w:tcBorders>
              <w:top w:val="nil"/>
              <w:left w:val="single" w:sz="4" w:space="0" w:color="auto"/>
              <w:bottom w:val="nil"/>
              <w:right w:val="nil"/>
            </w:tcBorders>
            <w:shd w:val="clear" w:color="auto" w:fill="auto"/>
            <w:noWrap/>
            <w:vAlign w:val="center"/>
          </w:tcPr>
          <w:p w14:paraId="613C1415"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60.0</w:t>
            </w:r>
          </w:p>
        </w:tc>
        <w:tc>
          <w:tcPr>
            <w:tcW w:w="1400" w:type="dxa"/>
            <w:vMerge w:val="restart"/>
            <w:tcBorders>
              <w:top w:val="nil"/>
              <w:left w:val="nil"/>
              <w:bottom w:val="single" w:sz="4" w:space="0" w:color="000000"/>
              <w:right w:val="single" w:sz="4" w:space="0" w:color="auto"/>
            </w:tcBorders>
            <w:shd w:val="clear" w:color="auto" w:fill="auto"/>
            <w:noWrap/>
            <w:vAlign w:val="center"/>
          </w:tcPr>
          <w:p w14:paraId="58DB554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0.00000125%</w:t>
            </w:r>
          </w:p>
        </w:tc>
        <w:tc>
          <w:tcPr>
            <w:tcW w:w="1291" w:type="dxa"/>
            <w:tcBorders>
              <w:top w:val="nil"/>
              <w:left w:val="single" w:sz="4" w:space="0" w:color="auto"/>
              <w:bottom w:val="nil"/>
              <w:right w:val="nil"/>
            </w:tcBorders>
            <w:shd w:val="clear" w:color="auto" w:fill="auto"/>
            <w:noWrap/>
            <w:vAlign w:val="center"/>
          </w:tcPr>
          <w:p w14:paraId="7164457C"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63.3</w:t>
            </w:r>
          </w:p>
        </w:tc>
        <w:tc>
          <w:tcPr>
            <w:tcW w:w="1400" w:type="dxa"/>
            <w:vMerge w:val="restart"/>
            <w:tcBorders>
              <w:top w:val="nil"/>
              <w:left w:val="nil"/>
              <w:bottom w:val="single" w:sz="4" w:space="0" w:color="000000"/>
              <w:right w:val="nil"/>
            </w:tcBorders>
            <w:shd w:val="clear" w:color="auto" w:fill="auto"/>
            <w:noWrap/>
            <w:vAlign w:val="center"/>
          </w:tcPr>
          <w:p w14:paraId="2ECA9012"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0.00000125%</w:t>
            </w:r>
          </w:p>
        </w:tc>
      </w:tr>
      <w:tr w:rsidR="00CF1BEF" w:rsidRPr="00D0161E" w14:paraId="0E9294DA" w14:textId="77777777">
        <w:trPr>
          <w:trHeight w:val="266"/>
        </w:trPr>
        <w:tc>
          <w:tcPr>
            <w:tcW w:w="993" w:type="dxa"/>
            <w:vMerge/>
            <w:tcBorders>
              <w:top w:val="nil"/>
              <w:left w:val="nil"/>
              <w:bottom w:val="single" w:sz="4" w:space="0" w:color="000000"/>
              <w:right w:val="nil"/>
            </w:tcBorders>
            <w:vAlign w:val="center"/>
          </w:tcPr>
          <w:p w14:paraId="7806C55B"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36CE28B9"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1DFD140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0.00000125%</w:t>
            </w:r>
          </w:p>
        </w:tc>
        <w:tc>
          <w:tcPr>
            <w:tcW w:w="708" w:type="dxa"/>
            <w:tcBorders>
              <w:top w:val="nil"/>
              <w:left w:val="single" w:sz="4" w:space="0" w:color="auto"/>
              <w:bottom w:val="nil"/>
              <w:right w:val="nil"/>
            </w:tcBorders>
            <w:shd w:val="clear" w:color="auto" w:fill="auto"/>
            <w:noWrap/>
            <w:vAlign w:val="center"/>
          </w:tcPr>
          <w:p w14:paraId="10F5393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88.0</w:t>
            </w:r>
          </w:p>
        </w:tc>
        <w:tc>
          <w:tcPr>
            <w:tcW w:w="1560" w:type="dxa"/>
            <w:vMerge/>
            <w:tcBorders>
              <w:top w:val="nil"/>
              <w:left w:val="nil"/>
              <w:bottom w:val="single" w:sz="4" w:space="0" w:color="000000"/>
              <w:right w:val="single" w:sz="4" w:space="0" w:color="auto"/>
            </w:tcBorders>
            <w:vAlign w:val="center"/>
          </w:tcPr>
          <w:p w14:paraId="2A9FC393"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center"/>
          </w:tcPr>
          <w:p w14:paraId="4E1EAFC6"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73.3</w:t>
            </w:r>
          </w:p>
        </w:tc>
        <w:tc>
          <w:tcPr>
            <w:tcW w:w="1400" w:type="dxa"/>
            <w:vMerge/>
            <w:tcBorders>
              <w:top w:val="nil"/>
              <w:left w:val="nil"/>
              <w:bottom w:val="single" w:sz="4" w:space="0" w:color="000000"/>
              <w:right w:val="single" w:sz="4" w:space="0" w:color="auto"/>
            </w:tcBorders>
            <w:vAlign w:val="center"/>
          </w:tcPr>
          <w:p w14:paraId="0A4A22D0"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59263DE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80.0</w:t>
            </w:r>
          </w:p>
        </w:tc>
        <w:tc>
          <w:tcPr>
            <w:tcW w:w="1400" w:type="dxa"/>
            <w:vMerge/>
            <w:tcBorders>
              <w:top w:val="nil"/>
              <w:left w:val="nil"/>
              <w:bottom w:val="single" w:sz="4" w:space="0" w:color="000000"/>
              <w:right w:val="single" w:sz="4" w:space="0" w:color="auto"/>
            </w:tcBorders>
            <w:vAlign w:val="center"/>
          </w:tcPr>
          <w:p w14:paraId="2B21DDE6"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4D4A9A9E"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80.0</w:t>
            </w:r>
          </w:p>
        </w:tc>
        <w:tc>
          <w:tcPr>
            <w:tcW w:w="1400" w:type="dxa"/>
            <w:vMerge/>
            <w:tcBorders>
              <w:top w:val="nil"/>
              <w:left w:val="nil"/>
              <w:bottom w:val="single" w:sz="4" w:space="0" w:color="000000"/>
              <w:right w:val="nil"/>
            </w:tcBorders>
            <w:vAlign w:val="center"/>
          </w:tcPr>
          <w:p w14:paraId="421A85FA" w14:textId="77777777" w:rsidR="00CF1BEF" w:rsidRPr="00D0161E" w:rsidRDefault="00CF1BEF" w:rsidP="00D0161E">
            <w:pPr>
              <w:spacing w:line="480" w:lineRule="auto"/>
              <w:rPr>
                <w:rFonts w:cs="Calibri"/>
                <w:color w:val="000000" w:themeColor="text1"/>
                <w:szCs w:val="18"/>
              </w:rPr>
            </w:pPr>
          </w:p>
        </w:tc>
      </w:tr>
      <w:tr w:rsidR="00CF1BEF" w:rsidRPr="00D0161E" w14:paraId="236864DB" w14:textId="77777777">
        <w:trPr>
          <w:trHeight w:val="266"/>
        </w:trPr>
        <w:tc>
          <w:tcPr>
            <w:tcW w:w="993" w:type="dxa"/>
            <w:vMerge/>
            <w:tcBorders>
              <w:top w:val="nil"/>
              <w:left w:val="nil"/>
              <w:bottom w:val="single" w:sz="4" w:space="0" w:color="000000"/>
              <w:right w:val="nil"/>
            </w:tcBorders>
            <w:vAlign w:val="center"/>
          </w:tcPr>
          <w:p w14:paraId="2865182F"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495D8443"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23A7D93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0.000025%</w:t>
            </w:r>
          </w:p>
        </w:tc>
        <w:tc>
          <w:tcPr>
            <w:tcW w:w="708" w:type="dxa"/>
            <w:tcBorders>
              <w:top w:val="nil"/>
              <w:left w:val="single" w:sz="4" w:space="0" w:color="auto"/>
              <w:bottom w:val="nil"/>
              <w:right w:val="nil"/>
            </w:tcBorders>
            <w:shd w:val="clear" w:color="auto" w:fill="auto"/>
            <w:noWrap/>
            <w:vAlign w:val="center"/>
          </w:tcPr>
          <w:p w14:paraId="79456C92"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88.4</w:t>
            </w:r>
          </w:p>
        </w:tc>
        <w:tc>
          <w:tcPr>
            <w:tcW w:w="1560" w:type="dxa"/>
            <w:vMerge/>
            <w:tcBorders>
              <w:top w:val="nil"/>
              <w:left w:val="nil"/>
              <w:bottom w:val="single" w:sz="4" w:space="0" w:color="000000"/>
              <w:right w:val="single" w:sz="4" w:space="0" w:color="auto"/>
            </w:tcBorders>
            <w:vAlign w:val="center"/>
          </w:tcPr>
          <w:p w14:paraId="77630975"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center"/>
          </w:tcPr>
          <w:p w14:paraId="2D6EC76A"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83.9</w:t>
            </w:r>
          </w:p>
        </w:tc>
        <w:tc>
          <w:tcPr>
            <w:tcW w:w="1400" w:type="dxa"/>
            <w:vMerge/>
            <w:tcBorders>
              <w:top w:val="nil"/>
              <w:left w:val="nil"/>
              <w:bottom w:val="single" w:sz="4" w:space="0" w:color="000000"/>
              <w:right w:val="single" w:sz="4" w:space="0" w:color="auto"/>
            </w:tcBorders>
            <w:vAlign w:val="center"/>
          </w:tcPr>
          <w:p w14:paraId="0DE4F55E"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23A5D20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96.8</w:t>
            </w:r>
          </w:p>
        </w:tc>
        <w:tc>
          <w:tcPr>
            <w:tcW w:w="1400" w:type="dxa"/>
            <w:vMerge/>
            <w:tcBorders>
              <w:top w:val="nil"/>
              <w:left w:val="nil"/>
              <w:bottom w:val="single" w:sz="4" w:space="0" w:color="000000"/>
              <w:right w:val="single" w:sz="4" w:space="0" w:color="auto"/>
            </w:tcBorders>
            <w:vAlign w:val="center"/>
          </w:tcPr>
          <w:p w14:paraId="2B77C0FF"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2C33B7A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nil"/>
            </w:tcBorders>
            <w:vAlign w:val="center"/>
          </w:tcPr>
          <w:p w14:paraId="571A34CC" w14:textId="77777777" w:rsidR="00CF1BEF" w:rsidRPr="00D0161E" w:rsidRDefault="00CF1BEF" w:rsidP="00D0161E">
            <w:pPr>
              <w:spacing w:line="480" w:lineRule="auto"/>
              <w:rPr>
                <w:rFonts w:cs="Calibri"/>
                <w:color w:val="000000" w:themeColor="text1"/>
                <w:szCs w:val="18"/>
              </w:rPr>
            </w:pPr>
          </w:p>
        </w:tc>
      </w:tr>
      <w:tr w:rsidR="00CF1BEF" w:rsidRPr="00D0161E" w14:paraId="554E33F4" w14:textId="77777777">
        <w:trPr>
          <w:trHeight w:val="266"/>
        </w:trPr>
        <w:tc>
          <w:tcPr>
            <w:tcW w:w="993" w:type="dxa"/>
            <w:vMerge/>
            <w:tcBorders>
              <w:top w:val="nil"/>
              <w:left w:val="nil"/>
              <w:bottom w:val="single" w:sz="4" w:space="0" w:color="000000"/>
              <w:right w:val="nil"/>
            </w:tcBorders>
            <w:vAlign w:val="center"/>
          </w:tcPr>
          <w:p w14:paraId="76F1EADD"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39CC212A"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67210BEA"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0.00005%</w:t>
            </w:r>
          </w:p>
        </w:tc>
        <w:tc>
          <w:tcPr>
            <w:tcW w:w="708" w:type="dxa"/>
            <w:tcBorders>
              <w:top w:val="nil"/>
              <w:left w:val="single" w:sz="4" w:space="0" w:color="auto"/>
              <w:bottom w:val="nil"/>
              <w:right w:val="nil"/>
            </w:tcBorders>
            <w:shd w:val="clear" w:color="auto" w:fill="auto"/>
            <w:noWrap/>
            <w:vAlign w:val="center"/>
          </w:tcPr>
          <w:p w14:paraId="79D3110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560" w:type="dxa"/>
            <w:vMerge/>
            <w:tcBorders>
              <w:top w:val="nil"/>
              <w:left w:val="nil"/>
              <w:bottom w:val="single" w:sz="4" w:space="0" w:color="000000"/>
              <w:right w:val="single" w:sz="4" w:space="0" w:color="auto"/>
            </w:tcBorders>
            <w:vAlign w:val="center"/>
          </w:tcPr>
          <w:p w14:paraId="314157DE"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center"/>
          </w:tcPr>
          <w:p w14:paraId="32D4B225"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96.7</w:t>
            </w:r>
          </w:p>
        </w:tc>
        <w:tc>
          <w:tcPr>
            <w:tcW w:w="1400" w:type="dxa"/>
            <w:vMerge/>
            <w:tcBorders>
              <w:top w:val="nil"/>
              <w:left w:val="nil"/>
              <w:bottom w:val="single" w:sz="4" w:space="0" w:color="000000"/>
              <w:right w:val="single" w:sz="4" w:space="0" w:color="auto"/>
            </w:tcBorders>
            <w:vAlign w:val="center"/>
          </w:tcPr>
          <w:p w14:paraId="24C30EC2"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6A19EFB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000ECF2D"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532E9696"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nil"/>
            </w:tcBorders>
            <w:vAlign w:val="center"/>
          </w:tcPr>
          <w:p w14:paraId="3D53DCE6" w14:textId="77777777" w:rsidR="00CF1BEF" w:rsidRPr="00D0161E" w:rsidRDefault="00CF1BEF" w:rsidP="00D0161E">
            <w:pPr>
              <w:spacing w:line="480" w:lineRule="auto"/>
              <w:rPr>
                <w:rFonts w:cs="Calibri"/>
                <w:color w:val="000000" w:themeColor="text1"/>
                <w:szCs w:val="18"/>
              </w:rPr>
            </w:pPr>
          </w:p>
        </w:tc>
      </w:tr>
      <w:tr w:rsidR="00CF1BEF" w:rsidRPr="00D0161E" w14:paraId="7A578839" w14:textId="77777777">
        <w:trPr>
          <w:trHeight w:val="266"/>
        </w:trPr>
        <w:tc>
          <w:tcPr>
            <w:tcW w:w="993" w:type="dxa"/>
            <w:vMerge/>
            <w:tcBorders>
              <w:top w:val="nil"/>
              <w:left w:val="nil"/>
              <w:bottom w:val="single" w:sz="4" w:space="0" w:color="000000"/>
              <w:right w:val="nil"/>
            </w:tcBorders>
            <w:vAlign w:val="center"/>
          </w:tcPr>
          <w:p w14:paraId="342BEDA9"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144933F4"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single" w:sz="4" w:space="0" w:color="auto"/>
              <w:right w:val="single" w:sz="4" w:space="0" w:color="auto"/>
            </w:tcBorders>
            <w:shd w:val="clear" w:color="auto" w:fill="auto"/>
            <w:noWrap/>
            <w:vAlign w:val="bottom"/>
          </w:tcPr>
          <w:p w14:paraId="575ADD06"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0.0001%</w:t>
            </w:r>
          </w:p>
        </w:tc>
        <w:tc>
          <w:tcPr>
            <w:tcW w:w="708" w:type="dxa"/>
            <w:tcBorders>
              <w:top w:val="nil"/>
              <w:left w:val="single" w:sz="4" w:space="0" w:color="auto"/>
              <w:bottom w:val="single" w:sz="4" w:space="0" w:color="auto"/>
              <w:right w:val="nil"/>
            </w:tcBorders>
            <w:shd w:val="clear" w:color="auto" w:fill="auto"/>
            <w:noWrap/>
            <w:vAlign w:val="center"/>
          </w:tcPr>
          <w:p w14:paraId="53DE10A9"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91.7</w:t>
            </w:r>
          </w:p>
        </w:tc>
        <w:tc>
          <w:tcPr>
            <w:tcW w:w="1560" w:type="dxa"/>
            <w:vMerge/>
            <w:tcBorders>
              <w:top w:val="nil"/>
              <w:left w:val="nil"/>
              <w:bottom w:val="single" w:sz="4" w:space="0" w:color="000000"/>
              <w:right w:val="single" w:sz="4" w:space="0" w:color="auto"/>
            </w:tcBorders>
            <w:vAlign w:val="center"/>
          </w:tcPr>
          <w:p w14:paraId="0932094D"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single" w:sz="4" w:space="0" w:color="auto"/>
              <w:right w:val="nil"/>
            </w:tcBorders>
            <w:shd w:val="clear" w:color="auto" w:fill="auto"/>
            <w:noWrap/>
            <w:vAlign w:val="center"/>
          </w:tcPr>
          <w:p w14:paraId="5F9B83A5"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96.6</w:t>
            </w:r>
          </w:p>
        </w:tc>
        <w:tc>
          <w:tcPr>
            <w:tcW w:w="1400" w:type="dxa"/>
            <w:vMerge/>
            <w:tcBorders>
              <w:top w:val="nil"/>
              <w:left w:val="nil"/>
              <w:bottom w:val="single" w:sz="4" w:space="0" w:color="000000"/>
              <w:right w:val="single" w:sz="4" w:space="0" w:color="auto"/>
            </w:tcBorders>
            <w:vAlign w:val="center"/>
          </w:tcPr>
          <w:p w14:paraId="6C164561"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single" w:sz="4" w:space="0" w:color="auto"/>
              <w:right w:val="nil"/>
            </w:tcBorders>
            <w:shd w:val="clear" w:color="auto" w:fill="auto"/>
            <w:noWrap/>
            <w:vAlign w:val="center"/>
          </w:tcPr>
          <w:p w14:paraId="2D707E6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96.6</w:t>
            </w:r>
          </w:p>
        </w:tc>
        <w:tc>
          <w:tcPr>
            <w:tcW w:w="1400" w:type="dxa"/>
            <w:vMerge/>
            <w:tcBorders>
              <w:top w:val="nil"/>
              <w:left w:val="nil"/>
              <w:bottom w:val="single" w:sz="4" w:space="0" w:color="000000"/>
              <w:right w:val="single" w:sz="4" w:space="0" w:color="auto"/>
            </w:tcBorders>
            <w:vAlign w:val="center"/>
          </w:tcPr>
          <w:p w14:paraId="4FAEA32A"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single" w:sz="4" w:space="0" w:color="auto"/>
              <w:right w:val="nil"/>
            </w:tcBorders>
            <w:shd w:val="clear" w:color="auto" w:fill="auto"/>
            <w:noWrap/>
            <w:vAlign w:val="center"/>
          </w:tcPr>
          <w:p w14:paraId="79B6695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96.6</w:t>
            </w:r>
          </w:p>
        </w:tc>
        <w:tc>
          <w:tcPr>
            <w:tcW w:w="1400" w:type="dxa"/>
            <w:vMerge/>
            <w:tcBorders>
              <w:top w:val="nil"/>
              <w:left w:val="nil"/>
              <w:bottom w:val="single" w:sz="4" w:space="0" w:color="000000"/>
              <w:right w:val="nil"/>
            </w:tcBorders>
            <w:vAlign w:val="center"/>
          </w:tcPr>
          <w:p w14:paraId="65F4C5DC" w14:textId="77777777" w:rsidR="00CF1BEF" w:rsidRPr="00D0161E" w:rsidRDefault="00CF1BEF" w:rsidP="00D0161E">
            <w:pPr>
              <w:spacing w:line="480" w:lineRule="auto"/>
              <w:rPr>
                <w:rFonts w:cs="Calibri"/>
                <w:color w:val="000000" w:themeColor="text1"/>
                <w:szCs w:val="18"/>
              </w:rPr>
            </w:pPr>
          </w:p>
        </w:tc>
      </w:tr>
      <w:tr w:rsidR="00CF1BEF" w:rsidRPr="00D0161E" w14:paraId="3581B059" w14:textId="77777777">
        <w:trPr>
          <w:trHeight w:val="266"/>
        </w:trPr>
        <w:tc>
          <w:tcPr>
            <w:tcW w:w="993" w:type="dxa"/>
            <w:vMerge/>
            <w:tcBorders>
              <w:top w:val="nil"/>
              <w:left w:val="nil"/>
              <w:bottom w:val="single" w:sz="4" w:space="0" w:color="000000"/>
              <w:right w:val="nil"/>
            </w:tcBorders>
            <w:vAlign w:val="center"/>
          </w:tcPr>
          <w:p w14:paraId="0B11E3DA" w14:textId="77777777" w:rsidR="00CF1BEF" w:rsidRPr="00D0161E" w:rsidRDefault="00CF1BEF" w:rsidP="00D0161E">
            <w:pPr>
              <w:spacing w:line="480" w:lineRule="auto"/>
              <w:rPr>
                <w:rFonts w:cs="Calibri"/>
                <w:b/>
                <w:bCs/>
                <w:color w:val="000000" w:themeColor="text1"/>
                <w:szCs w:val="18"/>
              </w:rPr>
            </w:pPr>
          </w:p>
        </w:tc>
        <w:tc>
          <w:tcPr>
            <w:tcW w:w="1417" w:type="dxa"/>
            <w:vMerge w:val="restart"/>
            <w:tcBorders>
              <w:top w:val="nil"/>
              <w:left w:val="nil"/>
              <w:bottom w:val="single" w:sz="4" w:space="0" w:color="000000"/>
              <w:right w:val="nil"/>
            </w:tcBorders>
            <w:shd w:val="clear" w:color="auto" w:fill="auto"/>
            <w:noWrap/>
            <w:vAlign w:val="center"/>
          </w:tcPr>
          <w:p w14:paraId="485EE076"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Etofenprox</w:t>
            </w:r>
          </w:p>
        </w:tc>
        <w:tc>
          <w:tcPr>
            <w:tcW w:w="1418" w:type="dxa"/>
            <w:tcBorders>
              <w:top w:val="nil"/>
              <w:left w:val="nil"/>
              <w:bottom w:val="nil"/>
              <w:right w:val="single" w:sz="4" w:space="0" w:color="auto"/>
            </w:tcBorders>
            <w:shd w:val="clear" w:color="auto" w:fill="auto"/>
            <w:noWrap/>
            <w:vAlign w:val="bottom"/>
          </w:tcPr>
          <w:p w14:paraId="7AD5E68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0.0001%</w:t>
            </w:r>
          </w:p>
        </w:tc>
        <w:tc>
          <w:tcPr>
            <w:tcW w:w="708" w:type="dxa"/>
            <w:tcBorders>
              <w:top w:val="nil"/>
              <w:left w:val="single" w:sz="4" w:space="0" w:color="auto"/>
              <w:bottom w:val="nil"/>
              <w:right w:val="nil"/>
            </w:tcBorders>
            <w:shd w:val="clear" w:color="auto" w:fill="auto"/>
            <w:noWrap/>
            <w:vAlign w:val="center"/>
          </w:tcPr>
          <w:p w14:paraId="7AF9DD2C"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87.1</w:t>
            </w:r>
          </w:p>
        </w:tc>
        <w:tc>
          <w:tcPr>
            <w:tcW w:w="1560" w:type="dxa"/>
            <w:vMerge w:val="restart"/>
            <w:tcBorders>
              <w:top w:val="nil"/>
              <w:left w:val="nil"/>
              <w:bottom w:val="single" w:sz="4" w:space="0" w:color="000000"/>
              <w:right w:val="single" w:sz="4" w:space="0" w:color="auto"/>
            </w:tcBorders>
            <w:shd w:val="clear" w:color="auto" w:fill="auto"/>
            <w:noWrap/>
            <w:vAlign w:val="center"/>
          </w:tcPr>
          <w:p w14:paraId="5EA6E53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&lt;0.0001%</w:t>
            </w:r>
          </w:p>
        </w:tc>
        <w:tc>
          <w:tcPr>
            <w:tcW w:w="1080" w:type="dxa"/>
            <w:tcBorders>
              <w:top w:val="nil"/>
              <w:left w:val="single" w:sz="4" w:space="0" w:color="auto"/>
              <w:bottom w:val="nil"/>
              <w:right w:val="nil"/>
            </w:tcBorders>
            <w:shd w:val="clear" w:color="auto" w:fill="auto"/>
            <w:noWrap/>
            <w:vAlign w:val="center"/>
          </w:tcPr>
          <w:p w14:paraId="43B4F933"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50.0</w:t>
            </w:r>
          </w:p>
        </w:tc>
        <w:tc>
          <w:tcPr>
            <w:tcW w:w="1400" w:type="dxa"/>
            <w:vMerge w:val="restart"/>
            <w:tcBorders>
              <w:top w:val="nil"/>
              <w:left w:val="nil"/>
              <w:bottom w:val="single" w:sz="4" w:space="0" w:color="000000"/>
              <w:right w:val="single" w:sz="4" w:space="0" w:color="auto"/>
            </w:tcBorders>
            <w:shd w:val="clear" w:color="auto" w:fill="auto"/>
            <w:noWrap/>
            <w:vAlign w:val="center"/>
          </w:tcPr>
          <w:p w14:paraId="10C9018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0.001%</w:t>
            </w:r>
          </w:p>
        </w:tc>
        <w:tc>
          <w:tcPr>
            <w:tcW w:w="1291" w:type="dxa"/>
            <w:tcBorders>
              <w:top w:val="nil"/>
              <w:left w:val="single" w:sz="4" w:space="0" w:color="auto"/>
              <w:bottom w:val="nil"/>
              <w:right w:val="nil"/>
            </w:tcBorders>
            <w:shd w:val="clear" w:color="auto" w:fill="auto"/>
            <w:noWrap/>
            <w:vAlign w:val="center"/>
          </w:tcPr>
          <w:p w14:paraId="0A4C7662"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53.6</w:t>
            </w:r>
          </w:p>
        </w:tc>
        <w:tc>
          <w:tcPr>
            <w:tcW w:w="1400" w:type="dxa"/>
            <w:vMerge w:val="restart"/>
            <w:tcBorders>
              <w:top w:val="nil"/>
              <w:left w:val="nil"/>
              <w:bottom w:val="single" w:sz="4" w:space="0" w:color="000000"/>
              <w:right w:val="single" w:sz="4" w:space="0" w:color="auto"/>
            </w:tcBorders>
            <w:shd w:val="clear" w:color="auto" w:fill="auto"/>
            <w:noWrap/>
            <w:vAlign w:val="center"/>
          </w:tcPr>
          <w:p w14:paraId="32663504"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0.001%</w:t>
            </w:r>
          </w:p>
        </w:tc>
        <w:tc>
          <w:tcPr>
            <w:tcW w:w="1291" w:type="dxa"/>
            <w:tcBorders>
              <w:top w:val="nil"/>
              <w:left w:val="single" w:sz="4" w:space="0" w:color="auto"/>
              <w:bottom w:val="nil"/>
              <w:right w:val="nil"/>
            </w:tcBorders>
            <w:shd w:val="clear" w:color="auto" w:fill="auto"/>
            <w:noWrap/>
            <w:vAlign w:val="center"/>
          </w:tcPr>
          <w:p w14:paraId="160CA2C3"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53.6</w:t>
            </w:r>
          </w:p>
        </w:tc>
        <w:tc>
          <w:tcPr>
            <w:tcW w:w="1400" w:type="dxa"/>
            <w:vMerge w:val="restart"/>
            <w:tcBorders>
              <w:top w:val="nil"/>
              <w:left w:val="nil"/>
              <w:bottom w:val="single" w:sz="4" w:space="0" w:color="000000"/>
              <w:right w:val="nil"/>
            </w:tcBorders>
            <w:shd w:val="clear" w:color="auto" w:fill="auto"/>
            <w:noWrap/>
            <w:vAlign w:val="center"/>
          </w:tcPr>
          <w:p w14:paraId="7DCCD12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0.001%</w:t>
            </w:r>
          </w:p>
        </w:tc>
      </w:tr>
      <w:tr w:rsidR="00CF1BEF" w:rsidRPr="00D0161E" w14:paraId="7B64B29A" w14:textId="77777777">
        <w:trPr>
          <w:trHeight w:val="266"/>
        </w:trPr>
        <w:tc>
          <w:tcPr>
            <w:tcW w:w="993" w:type="dxa"/>
            <w:vMerge/>
            <w:tcBorders>
              <w:top w:val="nil"/>
              <w:left w:val="nil"/>
              <w:bottom w:val="single" w:sz="4" w:space="0" w:color="000000"/>
              <w:right w:val="nil"/>
            </w:tcBorders>
            <w:vAlign w:val="center"/>
          </w:tcPr>
          <w:p w14:paraId="4B5709B1"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651BB074"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724D343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0.001%</w:t>
            </w:r>
          </w:p>
        </w:tc>
        <w:tc>
          <w:tcPr>
            <w:tcW w:w="708" w:type="dxa"/>
            <w:tcBorders>
              <w:top w:val="nil"/>
              <w:left w:val="single" w:sz="4" w:space="0" w:color="auto"/>
              <w:bottom w:val="nil"/>
              <w:right w:val="nil"/>
            </w:tcBorders>
            <w:shd w:val="clear" w:color="auto" w:fill="auto"/>
            <w:noWrap/>
            <w:vAlign w:val="center"/>
          </w:tcPr>
          <w:p w14:paraId="16D93FA2"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95.9</w:t>
            </w:r>
          </w:p>
        </w:tc>
        <w:tc>
          <w:tcPr>
            <w:tcW w:w="1560" w:type="dxa"/>
            <w:vMerge/>
            <w:tcBorders>
              <w:top w:val="nil"/>
              <w:left w:val="nil"/>
              <w:bottom w:val="single" w:sz="4" w:space="0" w:color="000000"/>
              <w:right w:val="single" w:sz="4" w:space="0" w:color="auto"/>
            </w:tcBorders>
            <w:vAlign w:val="center"/>
          </w:tcPr>
          <w:p w14:paraId="276AE3EC"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center"/>
          </w:tcPr>
          <w:p w14:paraId="4AB6A5CE"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82.8</w:t>
            </w:r>
          </w:p>
        </w:tc>
        <w:tc>
          <w:tcPr>
            <w:tcW w:w="1400" w:type="dxa"/>
            <w:vMerge/>
            <w:tcBorders>
              <w:top w:val="nil"/>
              <w:left w:val="nil"/>
              <w:bottom w:val="single" w:sz="4" w:space="0" w:color="000000"/>
              <w:right w:val="single" w:sz="4" w:space="0" w:color="auto"/>
            </w:tcBorders>
            <w:vAlign w:val="center"/>
          </w:tcPr>
          <w:p w14:paraId="5C03BE34"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16A4C016"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89.7</w:t>
            </w:r>
          </w:p>
        </w:tc>
        <w:tc>
          <w:tcPr>
            <w:tcW w:w="1400" w:type="dxa"/>
            <w:vMerge/>
            <w:tcBorders>
              <w:top w:val="nil"/>
              <w:left w:val="nil"/>
              <w:bottom w:val="single" w:sz="4" w:space="0" w:color="000000"/>
              <w:right w:val="single" w:sz="4" w:space="0" w:color="auto"/>
            </w:tcBorders>
            <w:vAlign w:val="center"/>
          </w:tcPr>
          <w:p w14:paraId="4969D4BF"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7C138B89"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86.2</w:t>
            </w:r>
          </w:p>
        </w:tc>
        <w:tc>
          <w:tcPr>
            <w:tcW w:w="1400" w:type="dxa"/>
            <w:vMerge/>
            <w:tcBorders>
              <w:top w:val="nil"/>
              <w:left w:val="nil"/>
              <w:bottom w:val="single" w:sz="4" w:space="0" w:color="000000"/>
              <w:right w:val="nil"/>
            </w:tcBorders>
            <w:vAlign w:val="center"/>
          </w:tcPr>
          <w:p w14:paraId="14DCF30B" w14:textId="77777777" w:rsidR="00CF1BEF" w:rsidRPr="00D0161E" w:rsidRDefault="00CF1BEF" w:rsidP="00D0161E">
            <w:pPr>
              <w:spacing w:line="480" w:lineRule="auto"/>
              <w:rPr>
                <w:rFonts w:cs="Calibri"/>
                <w:color w:val="000000" w:themeColor="text1"/>
                <w:szCs w:val="18"/>
              </w:rPr>
            </w:pPr>
          </w:p>
        </w:tc>
      </w:tr>
      <w:tr w:rsidR="00CF1BEF" w:rsidRPr="00D0161E" w14:paraId="4D0F6448" w14:textId="77777777">
        <w:trPr>
          <w:trHeight w:val="266"/>
        </w:trPr>
        <w:tc>
          <w:tcPr>
            <w:tcW w:w="993" w:type="dxa"/>
            <w:vMerge/>
            <w:tcBorders>
              <w:top w:val="nil"/>
              <w:left w:val="nil"/>
              <w:bottom w:val="single" w:sz="4" w:space="0" w:color="000000"/>
              <w:right w:val="nil"/>
            </w:tcBorders>
            <w:vAlign w:val="center"/>
          </w:tcPr>
          <w:p w14:paraId="6124B455"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5826FA6B"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6A61B70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0.01%</w:t>
            </w:r>
          </w:p>
        </w:tc>
        <w:tc>
          <w:tcPr>
            <w:tcW w:w="708" w:type="dxa"/>
            <w:tcBorders>
              <w:top w:val="nil"/>
              <w:left w:val="single" w:sz="4" w:space="0" w:color="auto"/>
              <w:bottom w:val="nil"/>
              <w:right w:val="nil"/>
            </w:tcBorders>
            <w:shd w:val="clear" w:color="auto" w:fill="auto"/>
            <w:noWrap/>
            <w:vAlign w:val="center"/>
          </w:tcPr>
          <w:p w14:paraId="41B797C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96.0</w:t>
            </w:r>
          </w:p>
        </w:tc>
        <w:tc>
          <w:tcPr>
            <w:tcW w:w="1560" w:type="dxa"/>
            <w:vMerge/>
            <w:tcBorders>
              <w:top w:val="nil"/>
              <w:left w:val="nil"/>
              <w:bottom w:val="single" w:sz="4" w:space="0" w:color="000000"/>
              <w:right w:val="single" w:sz="4" w:space="0" w:color="auto"/>
            </w:tcBorders>
            <w:vAlign w:val="center"/>
          </w:tcPr>
          <w:p w14:paraId="3B46A062"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center"/>
          </w:tcPr>
          <w:p w14:paraId="1F83A97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93.3</w:t>
            </w:r>
          </w:p>
        </w:tc>
        <w:tc>
          <w:tcPr>
            <w:tcW w:w="1400" w:type="dxa"/>
            <w:vMerge/>
            <w:tcBorders>
              <w:top w:val="nil"/>
              <w:left w:val="nil"/>
              <w:bottom w:val="single" w:sz="4" w:space="0" w:color="000000"/>
              <w:right w:val="single" w:sz="4" w:space="0" w:color="auto"/>
            </w:tcBorders>
            <w:vAlign w:val="center"/>
          </w:tcPr>
          <w:p w14:paraId="190825BA"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689C039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96.7</w:t>
            </w:r>
          </w:p>
        </w:tc>
        <w:tc>
          <w:tcPr>
            <w:tcW w:w="1400" w:type="dxa"/>
            <w:vMerge/>
            <w:tcBorders>
              <w:top w:val="nil"/>
              <w:left w:val="nil"/>
              <w:bottom w:val="single" w:sz="4" w:space="0" w:color="000000"/>
              <w:right w:val="single" w:sz="4" w:space="0" w:color="auto"/>
            </w:tcBorders>
            <w:vAlign w:val="center"/>
          </w:tcPr>
          <w:p w14:paraId="4442D2CF"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529E1AF3"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96.7</w:t>
            </w:r>
          </w:p>
        </w:tc>
        <w:tc>
          <w:tcPr>
            <w:tcW w:w="1400" w:type="dxa"/>
            <w:vMerge/>
            <w:tcBorders>
              <w:top w:val="nil"/>
              <w:left w:val="nil"/>
              <w:bottom w:val="single" w:sz="4" w:space="0" w:color="000000"/>
              <w:right w:val="nil"/>
            </w:tcBorders>
            <w:vAlign w:val="center"/>
          </w:tcPr>
          <w:p w14:paraId="167CCE9F" w14:textId="77777777" w:rsidR="00CF1BEF" w:rsidRPr="00D0161E" w:rsidRDefault="00CF1BEF" w:rsidP="00D0161E">
            <w:pPr>
              <w:spacing w:line="480" w:lineRule="auto"/>
              <w:rPr>
                <w:rFonts w:cs="Calibri"/>
                <w:color w:val="000000" w:themeColor="text1"/>
                <w:szCs w:val="18"/>
              </w:rPr>
            </w:pPr>
          </w:p>
        </w:tc>
      </w:tr>
      <w:tr w:rsidR="00CF1BEF" w:rsidRPr="00D0161E" w14:paraId="12DF692F" w14:textId="77777777">
        <w:trPr>
          <w:trHeight w:val="266"/>
        </w:trPr>
        <w:tc>
          <w:tcPr>
            <w:tcW w:w="993" w:type="dxa"/>
            <w:vMerge/>
            <w:tcBorders>
              <w:top w:val="nil"/>
              <w:left w:val="nil"/>
              <w:bottom w:val="single" w:sz="4" w:space="0" w:color="000000"/>
              <w:right w:val="nil"/>
            </w:tcBorders>
            <w:vAlign w:val="center"/>
          </w:tcPr>
          <w:p w14:paraId="6286F2AC"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6E18AC7D"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439E28DA"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0.10%</w:t>
            </w:r>
          </w:p>
        </w:tc>
        <w:tc>
          <w:tcPr>
            <w:tcW w:w="708" w:type="dxa"/>
            <w:tcBorders>
              <w:top w:val="nil"/>
              <w:left w:val="single" w:sz="4" w:space="0" w:color="auto"/>
              <w:bottom w:val="nil"/>
              <w:right w:val="nil"/>
            </w:tcBorders>
            <w:shd w:val="clear" w:color="auto" w:fill="auto"/>
            <w:noWrap/>
            <w:vAlign w:val="center"/>
          </w:tcPr>
          <w:p w14:paraId="25920D56"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560" w:type="dxa"/>
            <w:vMerge/>
            <w:tcBorders>
              <w:top w:val="nil"/>
              <w:left w:val="nil"/>
              <w:bottom w:val="single" w:sz="4" w:space="0" w:color="000000"/>
              <w:right w:val="single" w:sz="4" w:space="0" w:color="auto"/>
            </w:tcBorders>
            <w:vAlign w:val="center"/>
          </w:tcPr>
          <w:p w14:paraId="6F16636C"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center"/>
          </w:tcPr>
          <w:p w14:paraId="48F1158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63D2C5A9"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27F5CF65"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1C2217DB"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62F9EEF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nil"/>
            </w:tcBorders>
            <w:vAlign w:val="center"/>
          </w:tcPr>
          <w:p w14:paraId="29509135" w14:textId="77777777" w:rsidR="00CF1BEF" w:rsidRPr="00D0161E" w:rsidRDefault="00CF1BEF" w:rsidP="00D0161E">
            <w:pPr>
              <w:spacing w:line="480" w:lineRule="auto"/>
              <w:rPr>
                <w:rFonts w:cs="Calibri"/>
                <w:color w:val="000000" w:themeColor="text1"/>
                <w:szCs w:val="18"/>
              </w:rPr>
            </w:pPr>
          </w:p>
        </w:tc>
      </w:tr>
      <w:tr w:rsidR="00CF1BEF" w:rsidRPr="00D0161E" w14:paraId="0BE97398" w14:textId="77777777">
        <w:trPr>
          <w:trHeight w:val="266"/>
        </w:trPr>
        <w:tc>
          <w:tcPr>
            <w:tcW w:w="993" w:type="dxa"/>
            <w:vMerge/>
            <w:tcBorders>
              <w:top w:val="nil"/>
              <w:left w:val="nil"/>
              <w:bottom w:val="single" w:sz="4" w:space="0" w:color="000000"/>
              <w:right w:val="nil"/>
            </w:tcBorders>
            <w:vAlign w:val="center"/>
          </w:tcPr>
          <w:p w14:paraId="1FD2FC21"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7C1F3F79"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single" w:sz="4" w:space="0" w:color="auto"/>
              <w:right w:val="single" w:sz="4" w:space="0" w:color="auto"/>
            </w:tcBorders>
            <w:shd w:val="clear" w:color="auto" w:fill="auto"/>
            <w:noWrap/>
            <w:vAlign w:val="bottom"/>
          </w:tcPr>
          <w:p w14:paraId="55D2FBB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w:t>
            </w:r>
          </w:p>
        </w:tc>
        <w:tc>
          <w:tcPr>
            <w:tcW w:w="708" w:type="dxa"/>
            <w:tcBorders>
              <w:top w:val="nil"/>
              <w:left w:val="single" w:sz="4" w:space="0" w:color="auto"/>
              <w:bottom w:val="single" w:sz="4" w:space="0" w:color="auto"/>
              <w:right w:val="nil"/>
            </w:tcBorders>
            <w:shd w:val="clear" w:color="auto" w:fill="auto"/>
            <w:noWrap/>
            <w:vAlign w:val="center"/>
          </w:tcPr>
          <w:p w14:paraId="1A0F97F0"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560" w:type="dxa"/>
            <w:vMerge/>
            <w:tcBorders>
              <w:top w:val="nil"/>
              <w:left w:val="nil"/>
              <w:bottom w:val="single" w:sz="4" w:space="0" w:color="000000"/>
              <w:right w:val="single" w:sz="4" w:space="0" w:color="auto"/>
            </w:tcBorders>
            <w:vAlign w:val="center"/>
          </w:tcPr>
          <w:p w14:paraId="6344A0B6"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single" w:sz="4" w:space="0" w:color="auto"/>
              <w:right w:val="nil"/>
            </w:tcBorders>
            <w:shd w:val="clear" w:color="auto" w:fill="auto"/>
            <w:noWrap/>
            <w:vAlign w:val="center"/>
          </w:tcPr>
          <w:p w14:paraId="5AD64DBE"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6A7153E1"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single" w:sz="4" w:space="0" w:color="auto"/>
              <w:right w:val="nil"/>
            </w:tcBorders>
            <w:shd w:val="clear" w:color="auto" w:fill="auto"/>
            <w:noWrap/>
            <w:vAlign w:val="center"/>
          </w:tcPr>
          <w:p w14:paraId="18ABC11F"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96.7</w:t>
            </w:r>
          </w:p>
        </w:tc>
        <w:tc>
          <w:tcPr>
            <w:tcW w:w="1400" w:type="dxa"/>
            <w:vMerge/>
            <w:tcBorders>
              <w:top w:val="nil"/>
              <w:left w:val="nil"/>
              <w:bottom w:val="single" w:sz="4" w:space="0" w:color="000000"/>
              <w:right w:val="single" w:sz="4" w:space="0" w:color="auto"/>
            </w:tcBorders>
            <w:vAlign w:val="center"/>
          </w:tcPr>
          <w:p w14:paraId="101C88B3"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single" w:sz="4" w:space="0" w:color="auto"/>
              <w:right w:val="nil"/>
            </w:tcBorders>
            <w:shd w:val="clear" w:color="auto" w:fill="auto"/>
            <w:noWrap/>
            <w:vAlign w:val="center"/>
          </w:tcPr>
          <w:p w14:paraId="31B4E49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96.7</w:t>
            </w:r>
          </w:p>
        </w:tc>
        <w:tc>
          <w:tcPr>
            <w:tcW w:w="1400" w:type="dxa"/>
            <w:vMerge/>
            <w:tcBorders>
              <w:top w:val="nil"/>
              <w:left w:val="nil"/>
              <w:bottom w:val="single" w:sz="4" w:space="0" w:color="000000"/>
              <w:right w:val="nil"/>
            </w:tcBorders>
            <w:vAlign w:val="center"/>
          </w:tcPr>
          <w:p w14:paraId="03B32D9C" w14:textId="77777777" w:rsidR="00CF1BEF" w:rsidRPr="00D0161E" w:rsidRDefault="00CF1BEF" w:rsidP="00D0161E">
            <w:pPr>
              <w:spacing w:line="480" w:lineRule="auto"/>
              <w:rPr>
                <w:rFonts w:cs="Calibri"/>
                <w:color w:val="000000" w:themeColor="text1"/>
                <w:szCs w:val="18"/>
              </w:rPr>
            </w:pPr>
          </w:p>
        </w:tc>
      </w:tr>
      <w:tr w:rsidR="00CF1BEF" w:rsidRPr="00D0161E" w14:paraId="6DEB4E5D" w14:textId="77777777">
        <w:trPr>
          <w:trHeight w:val="266"/>
        </w:trPr>
        <w:tc>
          <w:tcPr>
            <w:tcW w:w="993" w:type="dxa"/>
            <w:vMerge/>
            <w:tcBorders>
              <w:top w:val="nil"/>
              <w:left w:val="nil"/>
              <w:bottom w:val="single" w:sz="4" w:space="0" w:color="000000"/>
              <w:right w:val="nil"/>
            </w:tcBorders>
            <w:vAlign w:val="center"/>
          </w:tcPr>
          <w:p w14:paraId="1604515B" w14:textId="77777777" w:rsidR="00CF1BEF" w:rsidRPr="00D0161E" w:rsidRDefault="00CF1BEF" w:rsidP="00D0161E">
            <w:pPr>
              <w:spacing w:line="480" w:lineRule="auto"/>
              <w:rPr>
                <w:rFonts w:cs="Calibri"/>
                <w:b/>
                <w:bCs/>
                <w:color w:val="000000" w:themeColor="text1"/>
                <w:szCs w:val="18"/>
              </w:rPr>
            </w:pPr>
          </w:p>
        </w:tc>
        <w:tc>
          <w:tcPr>
            <w:tcW w:w="1417" w:type="dxa"/>
            <w:vMerge w:val="restart"/>
            <w:tcBorders>
              <w:top w:val="nil"/>
              <w:left w:val="nil"/>
              <w:bottom w:val="single" w:sz="4" w:space="0" w:color="000000"/>
              <w:right w:val="nil"/>
            </w:tcBorders>
            <w:shd w:val="clear" w:color="auto" w:fill="auto"/>
            <w:noWrap/>
            <w:vAlign w:val="center"/>
          </w:tcPr>
          <w:p w14:paraId="3EB1E04F"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Deltamethrin</w:t>
            </w:r>
          </w:p>
        </w:tc>
        <w:tc>
          <w:tcPr>
            <w:tcW w:w="1418" w:type="dxa"/>
            <w:tcBorders>
              <w:top w:val="nil"/>
              <w:left w:val="nil"/>
              <w:bottom w:val="nil"/>
              <w:right w:val="single" w:sz="4" w:space="0" w:color="auto"/>
            </w:tcBorders>
            <w:shd w:val="clear" w:color="auto" w:fill="auto"/>
            <w:noWrap/>
            <w:vAlign w:val="bottom"/>
          </w:tcPr>
          <w:p w14:paraId="48F6FEC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0.0001%</w:t>
            </w:r>
          </w:p>
        </w:tc>
        <w:tc>
          <w:tcPr>
            <w:tcW w:w="708" w:type="dxa"/>
            <w:tcBorders>
              <w:top w:val="nil"/>
              <w:left w:val="single" w:sz="4" w:space="0" w:color="auto"/>
              <w:bottom w:val="nil"/>
              <w:right w:val="nil"/>
            </w:tcBorders>
            <w:shd w:val="clear" w:color="auto" w:fill="auto"/>
            <w:noWrap/>
            <w:vAlign w:val="center"/>
          </w:tcPr>
          <w:p w14:paraId="46990E74"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560" w:type="dxa"/>
            <w:vMerge w:val="restart"/>
            <w:tcBorders>
              <w:top w:val="nil"/>
              <w:left w:val="nil"/>
              <w:bottom w:val="single" w:sz="4" w:space="0" w:color="000000"/>
              <w:right w:val="single" w:sz="4" w:space="0" w:color="auto"/>
            </w:tcBorders>
            <w:shd w:val="clear" w:color="auto" w:fill="auto"/>
            <w:noWrap/>
            <w:vAlign w:val="center"/>
          </w:tcPr>
          <w:p w14:paraId="78CC6323"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&lt;0.0001%</w:t>
            </w:r>
          </w:p>
        </w:tc>
        <w:tc>
          <w:tcPr>
            <w:tcW w:w="1080" w:type="dxa"/>
            <w:tcBorders>
              <w:top w:val="nil"/>
              <w:left w:val="single" w:sz="4" w:space="0" w:color="auto"/>
              <w:bottom w:val="nil"/>
              <w:right w:val="nil"/>
            </w:tcBorders>
            <w:shd w:val="clear" w:color="auto" w:fill="auto"/>
            <w:noWrap/>
            <w:vAlign w:val="center"/>
          </w:tcPr>
          <w:p w14:paraId="54041E3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val="restart"/>
            <w:tcBorders>
              <w:top w:val="nil"/>
              <w:left w:val="nil"/>
              <w:bottom w:val="single" w:sz="4" w:space="0" w:color="000000"/>
              <w:right w:val="single" w:sz="4" w:space="0" w:color="auto"/>
            </w:tcBorders>
            <w:shd w:val="clear" w:color="auto" w:fill="auto"/>
            <w:noWrap/>
            <w:vAlign w:val="center"/>
          </w:tcPr>
          <w:p w14:paraId="3D08F2FC"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&lt;0.0001%</w:t>
            </w:r>
          </w:p>
        </w:tc>
        <w:tc>
          <w:tcPr>
            <w:tcW w:w="1291" w:type="dxa"/>
            <w:tcBorders>
              <w:top w:val="nil"/>
              <w:left w:val="single" w:sz="4" w:space="0" w:color="auto"/>
              <w:bottom w:val="nil"/>
              <w:right w:val="nil"/>
            </w:tcBorders>
            <w:shd w:val="clear" w:color="auto" w:fill="auto"/>
            <w:noWrap/>
            <w:vAlign w:val="center"/>
          </w:tcPr>
          <w:p w14:paraId="1B5E8BCF"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val="restart"/>
            <w:tcBorders>
              <w:top w:val="nil"/>
              <w:left w:val="nil"/>
              <w:bottom w:val="single" w:sz="4" w:space="0" w:color="000000"/>
              <w:right w:val="single" w:sz="4" w:space="0" w:color="auto"/>
            </w:tcBorders>
            <w:shd w:val="clear" w:color="auto" w:fill="auto"/>
            <w:noWrap/>
            <w:vAlign w:val="center"/>
          </w:tcPr>
          <w:p w14:paraId="15264B02"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&lt;0.0001%</w:t>
            </w:r>
          </w:p>
        </w:tc>
        <w:tc>
          <w:tcPr>
            <w:tcW w:w="1291" w:type="dxa"/>
            <w:tcBorders>
              <w:top w:val="nil"/>
              <w:left w:val="single" w:sz="4" w:space="0" w:color="auto"/>
              <w:bottom w:val="nil"/>
              <w:right w:val="nil"/>
            </w:tcBorders>
            <w:shd w:val="clear" w:color="auto" w:fill="auto"/>
            <w:noWrap/>
            <w:vAlign w:val="center"/>
          </w:tcPr>
          <w:p w14:paraId="79185826"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val="restart"/>
            <w:tcBorders>
              <w:top w:val="nil"/>
              <w:left w:val="nil"/>
              <w:bottom w:val="single" w:sz="4" w:space="0" w:color="000000"/>
              <w:right w:val="nil"/>
            </w:tcBorders>
            <w:shd w:val="clear" w:color="auto" w:fill="auto"/>
            <w:noWrap/>
            <w:vAlign w:val="center"/>
          </w:tcPr>
          <w:p w14:paraId="35FAB47F"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&lt;0.0001%</w:t>
            </w:r>
          </w:p>
        </w:tc>
      </w:tr>
      <w:tr w:rsidR="00CF1BEF" w:rsidRPr="00D0161E" w14:paraId="6FAE2B1A" w14:textId="77777777">
        <w:trPr>
          <w:trHeight w:val="266"/>
        </w:trPr>
        <w:tc>
          <w:tcPr>
            <w:tcW w:w="993" w:type="dxa"/>
            <w:vMerge/>
            <w:tcBorders>
              <w:top w:val="nil"/>
              <w:left w:val="nil"/>
              <w:bottom w:val="single" w:sz="4" w:space="0" w:color="000000"/>
              <w:right w:val="nil"/>
            </w:tcBorders>
            <w:vAlign w:val="center"/>
          </w:tcPr>
          <w:p w14:paraId="772A4B01"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2C8C6412"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20E7C003"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0.001%</w:t>
            </w:r>
          </w:p>
        </w:tc>
        <w:tc>
          <w:tcPr>
            <w:tcW w:w="708" w:type="dxa"/>
            <w:tcBorders>
              <w:top w:val="nil"/>
              <w:left w:val="single" w:sz="4" w:space="0" w:color="auto"/>
              <w:bottom w:val="nil"/>
              <w:right w:val="nil"/>
            </w:tcBorders>
            <w:shd w:val="clear" w:color="auto" w:fill="auto"/>
            <w:noWrap/>
            <w:vAlign w:val="center"/>
          </w:tcPr>
          <w:p w14:paraId="75BDF2C7"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560" w:type="dxa"/>
            <w:vMerge/>
            <w:tcBorders>
              <w:top w:val="nil"/>
              <w:left w:val="nil"/>
              <w:bottom w:val="single" w:sz="4" w:space="0" w:color="000000"/>
              <w:right w:val="single" w:sz="4" w:space="0" w:color="auto"/>
            </w:tcBorders>
            <w:vAlign w:val="center"/>
          </w:tcPr>
          <w:p w14:paraId="1317A545"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center"/>
          </w:tcPr>
          <w:p w14:paraId="0D2C0DFA"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6E20F55A"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01716D1E"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7773CF44"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30E36CD3"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nil"/>
            </w:tcBorders>
            <w:vAlign w:val="center"/>
          </w:tcPr>
          <w:p w14:paraId="1FD2A91B" w14:textId="77777777" w:rsidR="00CF1BEF" w:rsidRPr="00D0161E" w:rsidRDefault="00CF1BEF" w:rsidP="00D0161E">
            <w:pPr>
              <w:spacing w:line="480" w:lineRule="auto"/>
              <w:rPr>
                <w:rFonts w:cs="Calibri"/>
                <w:color w:val="000000" w:themeColor="text1"/>
                <w:szCs w:val="18"/>
              </w:rPr>
            </w:pPr>
          </w:p>
        </w:tc>
      </w:tr>
      <w:tr w:rsidR="00CF1BEF" w:rsidRPr="00D0161E" w14:paraId="56669D4E" w14:textId="77777777">
        <w:trPr>
          <w:trHeight w:val="266"/>
        </w:trPr>
        <w:tc>
          <w:tcPr>
            <w:tcW w:w="993" w:type="dxa"/>
            <w:vMerge/>
            <w:tcBorders>
              <w:top w:val="nil"/>
              <w:left w:val="nil"/>
              <w:bottom w:val="single" w:sz="4" w:space="0" w:color="000000"/>
              <w:right w:val="nil"/>
            </w:tcBorders>
            <w:vAlign w:val="center"/>
          </w:tcPr>
          <w:p w14:paraId="07B86A6D"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48D79351"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113B5B5A"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0.01%</w:t>
            </w:r>
          </w:p>
        </w:tc>
        <w:tc>
          <w:tcPr>
            <w:tcW w:w="708" w:type="dxa"/>
            <w:tcBorders>
              <w:top w:val="nil"/>
              <w:left w:val="single" w:sz="4" w:space="0" w:color="auto"/>
              <w:bottom w:val="nil"/>
              <w:right w:val="nil"/>
            </w:tcBorders>
            <w:shd w:val="clear" w:color="auto" w:fill="auto"/>
            <w:noWrap/>
            <w:vAlign w:val="center"/>
          </w:tcPr>
          <w:p w14:paraId="2D2C45C4"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560" w:type="dxa"/>
            <w:vMerge/>
            <w:tcBorders>
              <w:top w:val="nil"/>
              <w:left w:val="nil"/>
              <w:bottom w:val="single" w:sz="4" w:space="0" w:color="000000"/>
              <w:right w:val="single" w:sz="4" w:space="0" w:color="auto"/>
            </w:tcBorders>
            <w:vAlign w:val="center"/>
          </w:tcPr>
          <w:p w14:paraId="167D4147"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center"/>
          </w:tcPr>
          <w:p w14:paraId="5E3E08CC"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0CE4694E"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31A89E1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2CC5C082"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39770123"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nil"/>
            </w:tcBorders>
            <w:vAlign w:val="center"/>
          </w:tcPr>
          <w:p w14:paraId="25736140" w14:textId="77777777" w:rsidR="00CF1BEF" w:rsidRPr="00D0161E" w:rsidRDefault="00CF1BEF" w:rsidP="00D0161E">
            <w:pPr>
              <w:spacing w:line="480" w:lineRule="auto"/>
              <w:rPr>
                <w:rFonts w:cs="Calibri"/>
                <w:color w:val="000000" w:themeColor="text1"/>
                <w:szCs w:val="18"/>
              </w:rPr>
            </w:pPr>
          </w:p>
        </w:tc>
      </w:tr>
      <w:tr w:rsidR="00CF1BEF" w:rsidRPr="00D0161E" w14:paraId="6CC83FF5" w14:textId="77777777">
        <w:trPr>
          <w:trHeight w:val="266"/>
        </w:trPr>
        <w:tc>
          <w:tcPr>
            <w:tcW w:w="993" w:type="dxa"/>
            <w:vMerge/>
            <w:tcBorders>
              <w:top w:val="nil"/>
              <w:left w:val="nil"/>
              <w:bottom w:val="single" w:sz="4" w:space="0" w:color="000000"/>
              <w:right w:val="nil"/>
            </w:tcBorders>
            <w:vAlign w:val="center"/>
          </w:tcPr>
          <w:p w14:paraId="39AD96FF"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5386906C"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6C5F6CA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0.10%</w:t>
            </w:r>
          </w:p>
        </w:tc>
        <w:tc>
          <w:tcPr>
            <w:tcW w:w="708" w:type="dxa"/>
            <w:tcBorders>
              <w:top w:val="nil"/>
              <w:left w:val="single" w:sz="4" w:space="0" w:color="auto"/>
              <w:bottom w:val="nil"/>
              <w:right w:val="nil"/>
            </w:tcBorders>
            <w:shd w:val="clear" w:color="auto" w:fill="auto"/>
            <w:noWrap/>
            <w:vAlign w:val="center"/>
          </w:tcPr>
          <w:p w14:paraId="23D73DD2"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560" w:type="dxa"/>
            <w:vMerge/>
            <w:tcBorders>
              <w:top w:val="nil"/>
              <w:left w:val="nil"/>
              <w:bottom w:val="single" w:sz="4" w:space="0" w:color="000000"/>
              <w:right w:val="single" w:sz="4" w:space="0" w:color="auto"/>
            </w:tcBorders>
            <w:vAlign w:val="center"/>
          </w:tcPr>
          <w:p w14:paraId="136B7955"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center"/>
          </w:tcPr>
          <w:p w14:paraId="1D1A75C4"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1B24A969"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6883E660"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96.6</w:t>
            </w:r>
          </w:p>
        </w:tc>
        <w:tc>
          <w:tcPr>
            <w:tcW w:w="1400" w:type="dxa"/>
            <w:vMerge/>
            <w:tcBorders>
              <w:top w:val="nil"/>
              <w:left w:val="nil"/>
              <w:bottom w:val="single" w:sz="4" w:space="0" w:color="000000"/>
              <w:right w:val="single" w:sz="4" w:space="0" w:color="auto"/>
            </w:tcBorders>
            <w:vAlign w:val="center"/>
          </w:tcPr>
          <w:p w14:paraId="2729EAC9"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center"/>
          </w:tcPr>
          <w:p w14:paraId="0E20E8CE"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nil"/>
            </w:tcBorders>
            <w:vAlign w:val="center"/>
          </w:tcPr>
          <w:p w14:paraId="1F8FDAC3" w14:textId="77777777" w:rsidR="00CF1BEF" w:rsidRPr="00D0161E" w:rsidRDefault="00CF1BEF" w:rsidP="00D0161E">
            <w:pPr>
              <w:spacing w:line="480" w:lineRule="auto"/>
              <w:rPr>
                <w:rFonts w:cs="Calibri"/>
                <w:color w:val="000000" w:themeColor="text1"/>
                <w:szCs w:val="18"/>
              </w:rPr>
            </w:pPr>
          </w:p>
        </w:tc>
      </w:tr>
      <w:tr w:rsidR="00CF1BEF" w:rsidRPr="00D0161E" w14:paraId="62505A6A" w14:textId="77777777">
        <w:trPr>
          <w:trHeight w:val="266"/>
        </w:trPr>
        <w:tc>
          <w:tcPr>
            <w:tcW w:w="993" w:type="dxa"/>
            <w:vMerge/>
            <w:tcBorders>
              <w:top w:val="nil"/>
              <w:left w:val="nil"/>
              <w:bottom w:val="single" w:sz="4" w:space="0" w:color="000000"/>
              <w:right w:val="nil"/>
            </w:tcBorders>
            <w:vAlign w:val="center"/>
          </w:tcPr>
          <w:p w14:paraId="594A8107"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1A44E075"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single" w:sz="4" w:space="0" w:color="auto"/>
              <w:right w:val="single" w:sz="4" w:space="0" w:color="auto"/>
            </w:tcBorders>
            <w:shd w:val="clear" w:color="auto" w:fill="auto"/>
            <w:noWrap/>
            <w:vAlign w:val="bottom"/>
          </w:tcPr>
          <w:p w14:paraId="5F63A61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w:t>
            </w:r>
          </w:p>
        </w:tc>
        <w:tc>
          <w:tcPr>
            <w:tcW w:w="708" w:type="dxa"/>
            <w:tcBorders>
              <w:top w:val="nil"/>
              <w:left w:val="single" w:sz="4" w:space="0" w:color="auto"/>
              <w:bottom w:val="single" w:sz="4" w:space="0" w:color="auto"/>
              <w:right w:val="nil"/>
            </w:tcBorders>
            <w:shd w:val="clear" w:color="auto" w:fill="auto"/>
            <w:noWrap/>
            <w:vAlign w:val="center"/>
          </w:tcPr>
          <w:p w14:paraId="0CE7CC66"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560" w:type="dxa"/>
            <w:vMerge/>
            <w:tcBorders>
              <w:top w:val="nil"/>
              <w:left w:val="nil"/>
              <w:bottom w:val="single" w:sz="4" w:space="0" w:color="000000"/>
              <w:right w:val="single" w:sz="4" w:space="0" w:color="auto"/>
            </w:tcBorders>
            <w:vAlign w:val="center"/>
          </w:tcPr>
          <w:p w14:paraId="33992B30"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single" w:sz="4" w:space="0" w:color="auto"/>
              <w:right w:val="nil"/>
            </w:tcBorders>
            <w:shd w:val="clear" w:color="auto" w:fill="auto"/>
            <w:noWrap/>
            <w:vAlign w:val="center"/>
          </w:tcPr>
          <w:p w14:paraId="161AAAE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181A366F"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single" w:sz="4" w:space="0" w:color="auto"/>
              <w:right w:val="nil"/>
            </w:tcBorders>
            <w:shd w:val="clear" w:color="auto" w:fill="auto"/>
            <w:noWrap/>
            <w:vAlign w:val="center"/>
          </w:tcPr>
          <w:p w14:paraId="40A6F8BF"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60A1889B"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single" w:sz="4" w:space="0" w:color="auto"/>
              <w:right w:val="nil"/>
            </w:tcBorders>
            <w:shd w:val="clear" w:color="auto" w:fill="auto"/>
            <w:noWrap/>
            <w:vAlign w:val="center"/>
          </w:tcPr>
          <w:p w14:paraId="30029E9E"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nil"/>
            </w:tcBorders>
            <w:vAlign w:val="center"/>
          </w:tcPr>
          <w:p w14:paraId="6F8BD3FC" w14:textId="77777777" w:rsidR="00CF1BEF" w:rsidRPr="00D0161E" w:rsidRDefault="00CF1BEF" w:rsidP="00D0161E">
            <w:pPr>
              <w:spacing w:line="480" w:lineRule="auto"/>
              <w:rPr>
                <w:rFonts w:cs="Calibri"/>
                <w:color w:val="000000" w:themeColor="text1"/>
                <w:szCs w:val="18"/>
              </w:rPr>
            </w:pPr>
          </w:p>
        </w:tc>
      </w:tr>
      <w:tr w:rsidR="00CF1BEF" w:rsidRPr="00D0161E" w14:paraId="728F12B6" w14:textId="77777777">
        <w:trPr>
          <w:trHeight w:val="266"/>
        </w:trPr>
        <w:tc>
          <w:tcPr>
            <w:tcW w:w="993" w:type="dxa"/>
            <w:vMerge w:val="restart"/>
            <w:tcBorders>
              <w:top w:val="nil"/>
              <w:left w:val="nil"/>
              <w:bottom w:val="single" w:sz="4" w:space="0" w:color="000000"/>
              <w:right w:val="nil"/>
            </w:tcBorders>
            <w:shd w:val="clear" w:color="auto" w:fill="auto"/>
            <w:noWrap/>
            <w:vAlign w:val="center"/>
          </w:tcPr>
          <w:p w14:paraId="3FA975B1"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Tiassalé 2</w:t>
            </w:r>
          </w:p>
        </w:tc>
        <w:tc>
          <w:tcPr>
            <w:tcW w:w="1417" w:type="dxa"/>
            <w:vMerge w:val="restart"/>
            <w:tcBorders>
              <w:top w:val="nil"/>
              <w:left w:val="nil"/>
              <w:bottom w:val="single" w:sz="4" w:space="0" w:color="000000"/>
              <w:right w:val="nil"/>
            </w:tcBorders>
            <w:shd w:val="clear" w:color="auto" w:fill="auto"/>
            <w:noWrap/>
            <w:vAlign w:val="center"/>
          </w:tcPr>
          <w:p w14:paraId="6314D154" w14:textId="67A13031" w:rsidR="00CF1BEF" w:rsidRPr="00D0161E" w:rsidRDefault="00D54567" w:rsidP="00D0161E">
            <w:pPr>
              <w:spacing w:line="480" w:lineRule="auto"/>
              <w:rPr>
                <w:rFonts w:cs="Calibri"/>
                <w:b/>
                <w:bCs/>
                <w:color w:val="000000" w:themeColor="text1"/>
                <w:szCs w:val="18"/>
              </w:rPr>
            </w:pPr>
            <w:proofErr w:type="spellStart"/>
            <w:r w:rsidRPr="00D54567">
              <w:rPr>
                <w:rFonts w:cs="Calibri"/>
                <w:b/>
                <w:bCs/>
                <w:color w:val="000000" w:themeColor="text1"/>
                <w:szCs w:val="18"/>
              </w:rPr>
              <w:t>Tenebenal</w:t>
            </w:r>
            <w:r w:rsidR="00CF1BEF" w:rsidRPr="00D0161E">
              <w:rPr>
                <w:b/>
                <w:bCs/>
                <w:color w:val="000000" w:themeColor="text1"/>
                <w:szCs w:val="18"/>
                <w:vertAlign w:val="superscript"/>
              </w:rPr>
              <w:t>TM</w:t>
            </w:r>
            <w:proofErr w:type="spellEnd"/>
          </w:p>
        </w:tc>
        <w:tc>
          <w:tcPr>
            <w:tcW w:w="1418" w:type="dxa"/>
            <w:tcBorders>
              <w:top w:val="nil"/>
              <w:left w:val="nil"/>
              <w:bottom w:val="nil"/>
              <w:right w:val="single" w:sz="4" w:space="0" w:color="auto"/>
            </w:tcBorders>
            <w:shd w:val="clear" w:color="auto" w:fill="auto"/>
            <w:noWrap/>
            <w:vAlign w:val="bottom"/>
          </w:tcPr>
          <w:p w14:paraId="30AF6F0A"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0.00000625%</w:t>
            </w:r>
          </w:p>
        </w:tc>
        <w:tc>
          <w:tcPr>
            <w:tcW w:w="708" w:type="dxa"/>
            <w:tcBorders>
              <w:top w:val="nil"/>
              <w:left w:val="single" w:sz="4" w:space="0" w:color="auto"/>
              <w:bottom w:val="nil"/>
              <w:right w:val="nil"/>
            </w:tcBorders>
            <w:shd w:val="clear" w:color="auto" w:fill="auto"/>
            <w:noWrap/>
            <w:vAlign w:val="center"/>
          </w:tcPr>
          <w:p w14:paraId="55439F35"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6.7</w:t>
            </w:r>
          </w:p>
        </w:tc>
        <w:tc>
          <w:tcPr>
            <w:tcW w:w="1560" w:type="dxa"/>
            <w:vMerge w:val="restart"/>
            <w:tcBorders>
              <w:top w:val="nil"/>
              <w:left w:val="nil"/>
              <w:bottom w:val="single" w:sz="4" w:space="0" w:color="000000"/>
              <w:right w:val="single" w:sz="4" w:space="0" w:color="auto"/>
            </w:tcBorders>
            <w:shd w:val="clear" w:color="auto" w:fill="auto"/>
            <w:noWrap/>
            <w:vAlign w:val="center"/>
          </w:tcPr>
          <w:p w14:paraId="1E3FA686"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&gt;0.0001%</w:t>
            </w:r>
          </w:p>
        </w:tc>
        <w:tc>
          <w:tcPr>
            <w:tcW w:w="1080" w:type="dxa"/>
            <w:tcBorders>
              <w:top w:val="nil"/>
              <w:left w:val="single" w:sz="4" w:space="0" w:color="auto"/>
              <w:bottom w:val="nil"/>
              <w:right w:val="nil"/>
            </w:tcBorders>
            <w:shd w:val="clear" w:color="auto" w:fill="auto"/>
            <w:noWrap/>
            <w:vAlign w:val="bottom"/>
          </w:tcPr>
          <w:p w14:paraId="0AE4163C"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96.7</w:t>
            </w:r>
          </w:p>
        </w:tc>
        <w:tc>
          <w:tcPr>
            <w:tcW w:w="1400" w:type="dxa"/>
            <w:vMerge w:val="restart"/>
            <w:tcBorders>
              <w:top w:val="nil"/>
              <w:left w:val="nil"/>
              <w:bottom w:val="single" w:sz="4" w:space="0" w:color="000000"/>
              <w:right w:val="single" w:sz="4" w:space="0" w:color="auto"/>
            </w:tcBorders>
            <w:shd w:val="clear" w:color="auto" w:fill="auto"/>
            <w:noWrap/>
            <w:vAlign w:val="center"/>
          </w:tcPr>
          <w:p w14:paraId="6B35AE12"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&lt;0.00000625%</w:t>
            </w:r>
          </w:p>
        </w:tc>
        <w:tc>
          <w:tcPr>
            <w:tcW w:w="1291" w:type="dxa"/>
            <w:tcBorders>
              <w:top w:val="nil"/>
              <w:left w:val="single" w:sz="4" w:space="0" w:color="auto"/>
              <w:bottom w:val="nil"/>
              <w:right w:val="nil"/>
            </w:tcBorders>
            <w:shd w:val="clear" w:color="auto" w:fill="auto"/>
            <w:noWrap/>
            <w:vAlign w:val="bottom"/>
          </w:tcPr>
          <w:p w14:paraId="0563E42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96.7</w:t>
            </w:r>
          </w:p>
        </w:tc>
        <w:tc>
          <w:tcPr>
            <w:tcW w:w="1400" w:type="dxa"/>
            <w:vMerge w:val="restart"/>
            <w:tcBorders>
              <w:top w:val="nil"/>
              <w:left w:val="nil"/>
              <w:bottom w:val="single" w:sz="4" w:space="0" w:color="000000"/>
              <w:right w:val="single" w:sz="4" w:space="0" w:color="auto"/>
            </w:tcBorders>
            <w:shd w:val="clear" w:color="auto" w:fill="auto"/>
            <w:noWrap/>
            <w:vAlign w:val="center"/>
          </w:tcPr>
          <w:p w14:paraId="64353AB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&lt;0.00000625%</w:t>
            </w:r>
          </w:p>
        </w:tc>
        <w:tc>
          <w:tcPr>
            <w:tcW w:w="1291" w:type="dxa"/>
            <w:tcBorders>
              <w:top w:val="nil"/>
              <w:left w:val="single" w:sz="4" w:space="0" w:color="auto"/>
              <w:bottom w:val="nil"/>
              <w:right w:val="nil"/>
            </w:tcBorders>
            <w:shd w:val="clear" w:color="auto" w:fill="auto"/>
            <w:noWrap/>
            <w:vAlign w:val="bottom"/>
          </w:tcPr>
          <w:p w14:paraId="691B1476"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96.7</w:t>
            </w:r>
          </w:p>
        </w:tc>
        <w:tc>
          <w:tcPr>
            <w:tcW w:w="1400" w:type="dxa"/>
            <w:vMerge w:val="restart"/>
            <w:tcBorders>
              <w:top w:val="nil"/>
              <w:left w:val="nil"/>
              <w:bottom w:val="single" w:sz="4" w:space="0" w:color="000000"/>
              <w:right w:val="nil"/>
            </w:tcBorders>
            <w:shd w:val="clear" w:color="auto" w:fill="auto"/>
            <w:noWrap/>
            <w:vAlign w:val="center"/>
          </w:tcPr>
          <w:p w14:paraId="4EECEEB9"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&lt;0.00000625%</w:t>
            </w:r>
          </w:p>
        </w:tc>
      </w:tr>
      <w:tr w:rsidR="00CF1BEF" w:rsidRPr="00D0161E" w14:paraId="10CA0F2D" w14:textId="77777777">
        <w:trPr>
          <w:trHeight w:val="266"/>
        </w:trPr>
        <w:tc>
          <w:tcPr>
            <w:tcW w:w="993" w:type="dxa"/>
            <w:vMerge/>
            <w:tcBorders>
              <w:top w:val="nil"/>
              <w:left w:val="nil"/>
              <w:bottom w:val="single" w:sz="4" w:space="0" w:color="000000"/>
              <w:right w:val="nil"/>
            </w:tcBorders>
            <w:vAlign w:val="center"/>
          </w:tcPr>
          <w:p w14:paraId="75CDB258"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6F3FDF43"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006512F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0.00000125%</w:t>
            </w:r>
          </w:p>
        </w:tc>
        <w:tc>
          <w:tcPr>
            <w:tcW w:w="708" w:type="dxa"/>
            <w:tcBorders>
              <w:top w:val="nil"/>
              <w:left w:val="single" w:sz="4" w:space="0" w:color="auto"/>
              <w:bottom w:val="nil"/>
              <w:right w:val="nil"/>
            </w:tcBorders>
            <w:shd w:val="clear" w:color="auto" w:fill="auto"/>
            <w:noWrap/>
            <w:vAlign w:val="center"/>
          </w:tcPr>
          <w:p w14:paraId="409455EF"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36.7</w:t>
            </w:r>
          </w:p>
        </w:tc>
        <w:tc>
          <w:tcPr>
            <w:tcW w:w="1560" w:type="dxa"/>
            <w:vMerge/>
            <w:tcBorders>
              <w:top w:val="nil"/>
              <w:left w:val="nil"/>
              <w:bottom w:val="single" w:sz="4" w:space="0" w:color="000000"/>
              <w:right w:val="single" w:sz="4" w:space="0" w:color="auto"/>
            </w:tcBorders>
            <w:vAlign w:val="center"/>
          </w:tcPr>
          <w:p w14:paraId="15B17603"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bottom"/>
          </w:tcPr>
          <w:p w14:paraId="54091E3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96.7</w:t>
            </w:r>
          </w:p>
        </w:tc>
        <w:tc>
          <w:tcPr>
            <w:tcW w:w="1400" w:type="dxa"/>
            <w:vMerge/>
            <w:tcBorders>
              <w:top w:val="nil"/>
              <w:left w:val="nil"/>
              <w:bottom w:val="single" w:sz="4" w:space="0" w:color="000000"/>
              <w:right w:val="single" w:sz="4" w:space="0" w:color="auto"/>
            </w:tcBorders>
            <w:vAlign w:val="center"/>
          </w:tcPr>
          <w:p w14:paraId="7CD8141D"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0888A655"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7D61BFDA"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2A09F825"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nil"/>
            </w:tcBorders>
            <w:vAlign w:val="center"/>
          </w:tcPr>
          <w:p w14:paraId="5B817749" w14:textId="77777777" w:rsidR="00CF1BEF" w:rsidRPr="00D0161E" w:rsidRDefault="00CF1BEF" w:rsidP="00D0161E">
            <w:pPr>
              <w:spacing w:line="480" w:lineRule="auto"/>
              <w:rPr>
                <w:rFonts w:cs="Calibri"/>
                <w:color w:val="000000" w:themeColor="text1"/>
                <w:szCs w:val="18"/>
              </w:rPr>
            </w:pPr>
          </w:p>
        </w:tc>
      </w:tr>
      <w:tr w:rsidR="00CF1BEF" w:rsidRPr="00D0161E" w14:paraId="3407276B" w14:textId="77777777">
        <w:trPr>
          <w:trHeight w:val="266"/>
        </w:trPr>
        <w:tc>
          <w:tcPr>
            <w:tcW w:w="993" w:type="dxa"/>
            <w:vMerge/>
            <w:tcBorders>
              <w:top w:val="nil"/>
              <w:left w:val="nil"/>
              <w:bottom w:val="single" w:sz="4" w:space="0" w:color="000000"/>
              <w:right w:val="nil"/>
            </w:tcBorders>
            <w:vAlign w:val="center"/>
          </w:tcPr>
          <w:p w14:paraId="32B4FB27"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6413DDC8"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693040F5"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0.000025%</w:t>
            </w:r>
          </w:p>
        </w:tc>
        <w:tc>
          <w:tcPr>
            <w:tcW w:w="708" w:type="dxa"/>
            <w:tcBorders>
              <w:top w:val="nil"/>
              <w:left w:val="single" w:sz="4" w:space="0" w:color="auto"/>
              <w:bottom w:val="nil"/>
              <w:right w:val="nil"/>
            </w:tcBorders>
            <w:shd w:val="clear" w:color="auto" w:fill="auto"/>
            <w:noWrap/>
            <w:vAlign w:val="center"/>
          </w:tcPr>
          <w:p w14:paraId="7B38E824"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17.4</w:t>
            </w:r>
          </w:p>
        </w:tc>
        <w:tc>
          <w:tcPr>
            <w:tcW w:w="1560" w:type="dxa"/>
            <w:vMerge/>
            <w:tcBorders>
              <w:top w:val="nil"/>
              <w:left w:val="nil"/>
              <w:bottom w:val="single" w:sz="4" w:space="0" w:color="000000"/>
              <w:right w:val="single" w:sz="4" w:space="0" w:color="auto"/>
            </w:tcBorders>
            <w:vAlign w:val="center"/>
          </w:tcPr>
          <w:p w14:paraId="512EB7EB"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bottom"/>
          </w:tcPr>
          <w:p w14:paraId="0852A28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90.0</w:t>
            </w:r>
          </w:p>
        </w:tc>
        <w:tc>
          <w:tcPr>
            <w:tcW w:w="1400" w:type="dxa"/>
            <w:vMerge/>
            <w:tcBorders>
              <w:top w:val="nil"/>
              <w:left w:val="nil"/>
              <w:bottom w:val="single" w:sz="4" w:space="0" w:color="000000"/>
              <w:right w:val="single" w:sz="4" w:space="0" w:color="auto"/>
            </w:tcBorders>
            <w:vAlign w:val="center"/>
          </w:tcPr>
          <w:p w14:paraId="65325EBF"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5869C4B0"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96.7</w:t>
            </w:r>
          </w:p>
        </w:tc>
        <w:tc>
          <w:tcPr>
            <w:tcW w:w="1400" w:type="dxa"/>
            <w:vMerge/>
            <w:tcBorders>
              <w:top w:val="nil"/>
              <w:left w:val="nil"/>
              <w:bottom w:val="single" w:sz="4" w:space="0" w:color="000000"/>
              <w:right w:val="single" w:sz="4" w:space="0" w:color="auto"/>
            </w:tcBorders>
            <w:vAlign w:val="center"/>
          </w:tcPr>
          <w:p w14:paraId="6CAB8514"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0B1D34BF"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96.7</w:t>
            </w:r>
          </w:p>
        </w:tc>
        <w:tc>
          <w:tcPr>
            <w:tcW w:w="1400" w:type="dxa"/>
            <w:vMerge/>
            <w:tcBorders>
              <w:top w:val="nil"/>
              <w:left w:val="nil"/>
              <w:bottom w:val="single" w:sz="4" w:space="0" w:color="000000"/>
              <w:right w:val="nil"/>
            </w:tcBorders>
            <w:vAlign w:val="center"/>
          </w:tcPr>
          <w:p w14:paraId="7A7D4D30" w14:textId="77777777" w:rsidR="00CF1BEF" w:rsidRPr="00D0161E" w:rsidRDefault="00CF1BEF" w:rsidP="00D0161E">
            <w:pPr>
              <w:spacing w:line="480" w:lineRule="auto"/>
              <w:rPr>
                <w:rFonts w:cs="Calibri"/>
                <w:color w:val="000000" w:themeColor="text1"/>
                <w:szCs w:val="18"/>
              </w:rPr>
            </w:pPr>
          </w:p>
        </w:tc>
      </w:tr>
      <w:tr w:rsidR="00CF1BEF" w:rsidRPr="00D0161E" w14:paraId="51AEE697" w14:textId="77777777">
        <w:trPr>
          <w:trHeight w:val="266"/>
        </w:trPr>
        <w:tc>
          <w:tcPr>
            <w:tcW w:w="993" w:type="dxa"/>
            <w:vMerge/>
            <w:tcBorders>
              <w:top w:val="nil"/>
              <w:left w:val="nil"/>
              <w:bottom w:val="single" w:sz="4" w:space="0" w:color="000000"/>
              <w:right w:val="nil"/>
            </w:tcBorders>
            <w:vAlign w:val="center"/>
          </w:tcPr>
          <w:p w14:paraId="11800CD0"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78785256"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3AFBB816"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0.00005%</w:t>
            </w:r>
          </w:p>
        </w:tc>
        <w:tc>
          <w:tcPr>
            <w:tcW w:w="708" w:type="dxa"/>
            <w:tcBorders>
              <w:top w:val="nil"/>
              <w:left w:val="single" w:sz="4" w:space="0" w:color="auto"/>
              <w:bottom w:val="nil"/>
              <w:right w:val="nil"/>
            </w:tcBorders>
            <w:shd w:val="clear" w:color="auto" w:fill="auto"/>
            <w:noWrap/>
            <w:vAlign w:val="center"/>
          </w:tcPr>
          <w:p w14:paraId="65D1EDC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18.5</w:t>
            </w:r>
          </w:p>
        </w:tc>
        <w:tc>
          <w:tcPr>
            <w:tcW w:w="1560" w:type="dxa"/>
            <w:vMerge/>
            <w:tcBorders>
              <w:top w:val="nil"/>
              <w:left w:val="nil"/>
              <w:bottom w:val="single" w:sz="4" w:space="0" w:color="000000"/>
              <w:right w:val="single" w:sz="4" w:space="0" w:color="auto"/>
            </w:tcBorders>
            <w:vAlign w:val="center"/>
          </w:tcPr>
          <w:p w14:paraId="419C81BA"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bottom"/>
          </w:tcPr>
          <w:p w14:paraId="2C299583"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97.0</w:t>
            </w:r>
          </w:p>
        </w:tc>
        <w:tc>
          <w:tcPr>
            <w:tcW w:w="1400" w:type="dxa"/>
            <w:vMerge/>
            <w:tcBorders>
              <w:top w:val="nil"/>
              <w:left w:val="nil"/>
              <w:bottom w:val="single" w:sz="4" w:space="0" w:color="000000"/>
              <w:right w:val="single" w:sz="4" w:space="0" w:color="auto"/>
            </w:tcBorders>
            <w:vAlign w:val="center"/>
          </w:tcPr>
          <w:p w14:paraId="52598D5E"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509133A0"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6D767137"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73E240F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nil"/>
            </w:tcBorders>
            <w:vAlign w:val="center"/>
          </w:tcPr>
          <w:p w14:paraId="49E42D69" w14:textId="77777777" w:rsidR="00CF1BEF" w:rsidRPr="00D0161E" w:rsidRDefault="00CF1BEF" w:rsidP="00D0161E">
            <w:pPr>
              <w:spacing w:line="480" w:lineRule="auto"/>
              <w:rPr>
                <w:rFonts w:cs="Calibri"/>
                <w:color w:val="000000" w:themeColor="text1"/>
                <w:szCs w:val="18"/>
              </w:rPr>
            </w:pPr>
          </w:p>
        </w:tc>
      </w:tr>
      <w:tr w:rsidR="00CF1BEF" w:rsidRPr="00D0161E" w14:paraId="7D16B304" w14:textId="77777777">
        <w:trPr>
          <w:trHeight w:val="266"/>
        </w:trPr>
        <w:tc>
          <w:tcPr>
            <w:tcW w:w="993" w:type="dxa"/>
            <w:vMerge/>
            <w:tcBorders>
              <w:top w:val="nil"/>
              <w:left w:val="nil"/>
              <w:bottom w:val="single" w:sz="4" w:space="0" w:color="000000"/>
              <w:right w:val="nil"/>
            </w:tcBorders>
            <w:vAlign w:val="center"/>
          </w:tcPr>
          <w:p w14:paraId="3DD119B4"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19D3E8FB"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single" w:sz="4" w:space="0" w:color="auto"/>
              <w:right w:val="single" w:sz="4" w:space="0" w:color="auto"/>
            </w:tcBorders>
            <w:shd w:val="clear" w:color="auto" w:fill="auto"/>
            <w:noWrap/>
            <w:vAlign w:val="bottom"/>
          </w:tcPr>
          <w:p w14:paraId="719DAFCF"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0.0001%</w:t>
            </w:r>
          </w:p>
        </w:tc>
        <w:tc>
          <w:tcPr>
            <w:tcW w:w="708" w:type="dxa"/>
            <w:tcBorders>
              <w:top w:val="nil"/>
              <w:left w:val="single" w:sz="4" w:space="0" w:color="auto"/>
              <w:bottom w:val="single" w:sz="4" w:space="0" w:color="auto"/>
              <w:right w:val="nil"/>
            </w:tcBorders>
            <w:shd w:val="clear" w:color="auto" w:fill="auto"/>
            <w:noWrap/>
            <w:vAlign w:val="center"/>
          </w:tcPr>
          <w:p w14:paraId="496E951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23.3</w:t>
            </w:r>
          </w:p>
        </w:tc>
        <w:tc>
          <w:tcPr>
            <w:tcW w:w="1560" w:type="dxa"/>
            <w:vMerge/>
            <w:tcBorders>
              <w:top w:val="nil"/>
              <w:left w:val="nil"/>
              <w:bottom w:val="single" w:sz="4" w:space="0" w:color="000000"/>
              <w:right w:val="single" w:sz="4" w:space="0" w:color="auto"/>
            </w:tcBorders>
            <w:vAlign w:val="center"/>
          </w:tcPr>
          <w:p w14:paraId="325AFEDB"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single" w:sz="4" w:space="0" w:color="auto"/>
              <w:right w:val="nil"/>
            </w:tcBorders>
            <w:shd w:val="clear" w:color="auto" w:fill="auto"/>
            <w:noWrap/>
            <w:vAlign w:val="bottom"/>
          </w:tcPr>
          <w:p w14:paraId="67EFED6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86.7</w:t>
            </w:r>
          </w:p>
        </w:tc>
        <w:tc>
          <w:tcPr>
            <w:tcW w:w="1400" w:type="dxa"/>
            <w:vMerge/>
            <w:tcBorders>
              <w:top w:val="nil"/>
              <w:left w:val="nil"/>
              <w:bottom w:val="single" w:sz="4" w:space="0" w:color="000000"/>
              <w:right w:val="single" w:sz="4" w:space="0" w:color="auto"/>
            </w:tcBorders>
            <w:vAlign w:val="center"/>
          </w:tcPr>
          <w:p w14:paraId="7A744E94"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single" w:sz="4" w:space="0" w:color="auto"/>
              <w:right w:val="nil"/>
            </w:tcBorders>
            <w:shd w:val="clear" w:color="auto" w:fill="auto"/>
            <w:noWrap/>
            <w:vAlign w:val="bottom"/>
          </w:tcPr>
          <w:p w14:paraId="5AF777C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62BA07D8"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single" w:sz="4" w:space="0" w:color="auto"/>
              <w:right w:val="nil"/>
            </w:tcBorders>
            <w:shd w:val="clear" w:color="auto" w:fill="auto"/>
            <w:noWrap/>
            <w:vAlign w:val="bottom"/>
          </w:tcPr>
          <w:p w14:paraId="15CBD66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nil"/>
            </w:tcBorders>
            <w:vAlign w:val="center"/>
          </w:tcPr>
          <w:p w14:paraId="47ED7E65" w14:textId="77777777" w:rsidR="00CF1BEF" w:rsidRPr="00D0161E" w:rsidRDefault="00CF1BEF" w:rsidP="00D0161E">
            <w:pPr>
              <w:spacing w:line="480" w:lineRule="auto"/>
              <w:rPr>
                <w:rFonts w:cs="Calibri"/>
                <w:color w:val="000000" w:themeColor="text1"/>
                <w:szCs w:val="18"/>
              </w:rPr>
            </w:pPr>
          </w:p>
        </w:tc>
      </w:tr>
      <w:tr w:rsidR="00CF1BEF" w:rsidRPr="00D0161E" w14:paraId="45696127" w14:textId="77777777">
        <w:trPr>
          <w:trHeight w:val="266"/>
        </w:trPr>
        <w:tc>
          <w:tcPr>
            <w:tcW w:w="993" w:type="dxa"/>
            <w:vMerge/>
            <w:tcBorders>
              <w:top w:val="nil"/>
              <w:left w:val="nil"/>
              <w:bottom w:val="single" w:sz="4" w:space="0" w:color="000000"/>
              <w:right w:val="nil"/>
            </w:tcBorders>
            <w:vAlign w:val="center"/>
          </w:tcPr>
          <w:p w14:paraId="6ADEA7D9" w14:textId="77777777" w:rsidR="00CF1BEF" w:rsidRPr="00D0161E" w:rsidRDefault="00CF1BEF" w:rsidP="00D0161E">
            <w:pPr>
              <w:spacing w:line="480" w:lineRule="auto"/>
              <w:rPr>
                <w:rFonts w:cs="Calibri"/>
                <w:b/>
                <w:bCs/>
                <w:color w:val="000000" w:themeColor="text1"/>
                <w:szCs w:val="18"/>
              </w:rPr>
            </w:pPr>
          </w:p>
        </w:tc>
        <w:tc>
          <w:tcPr>
            <w:tcW w:w="1417" w:type="dxa"/>
            <w:vMerge w:val="restart"/>
            <w:tcBorders>
              <w:top w:val="nil"/>
              <w:left w:val="nil"/>
              <w:bottom w:val="single" w:sz="4" w:space="0" w:color="000000"/>
              <w:right w:val="nil"/>
            </w:tcBorders>
            <w:shd w:val="clear" w:color="auto" w:fill="auto"/>
            <w:noWrap/>
            <w:vAlign w:val="center"/>
          </w:tcPr>
          <w:p w14:paraId="7ADA125C"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Etofenprox</w:t>
            </w:r>
          </w:p>
        </w:tc>
        <w:tc>
          <w:tcPr>
            <w:tcW w:w="1418" w:type="dxa"/>
            <w:tcBorders>
              <w:top w:val="nil"/>
              <w:left w:val="nil"/>
              <w:bottom w:val="nil"/>
              <w:right w:val="single" w:sz="4" w:space="0" w:color="auto"/>
            </w:tcBorders>
            <w:shd w:val="clear" w:color="auto" w:fill="auto"/>
            <w:noWrap/>
            <w:vAlign w:val="bottom"/>
          </w:tcPr>
          <w:p w14:paraId="1AFF4E3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0.0001%</w:t>
            </w:r>
          </w:p>
        </w:tc>
        <w:tc>
          <w:tcPr>
            <w:tcW w:w="708" w:type="dxa"/>
            <w:tcBorders>
              <w:top w:val="nil"/>
              <w:left w:val="single" w:sz="4" w:space="0" w:color="auto"/>
              <w:bottom w:val="nil"/>
              <w:right w:val="nil"/>
            </w:tcBorders>
            <w:shd w:val="clear" w:color="auto" w:fill="auto"/>
            <w:noWrap/>
            <w:vAlign w:val="center"/>
          </w:tcPr>
          <w:p w14:paraId="4F68FC2F"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11.1</w:t>
            </w:r>
          </w:p>
        </w:tc>
        <w:tc>
          <w:tcPr>
            <w:tcW w:w="1560" w:type="dxa"/>
            <w:vMerge w:val="restart"/>
            <w:tcBorders>
              <w:top w:val="nil"/>
              <w:left w:val="nil"/>
              <w:bottom w:val="single" w:sz="4" w:space="0" w:color="000000"/>
              <w:right w:val="single" w:sz="4" w:space="0" w:color="auto"/>
            </w:tcBorders>
            <w:shd w:val="clear" w:color="auto" w:fill="auto"/>
            <w:noWrap/>
            <w:vAlign w:val="center"/>
          </w:tcPr>
          <w:p w14:paraId="099F6D3F"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w:t>
            </w:r>
          </w:p>
        </w:tc>
        <w:tc>
          <w:tcPr>
            <w:tcW w:w="1080" w:type="dxa"/>
            <w:tcBorders>
              <w:top w:val="nil"/>
              <w:left w:val="single" w:sz="4" w:space="0" w:color="auto"/>
              <w:bottom w:val="nil"/>
              <w:right w:val="nil"/>
            </w:tcBorders>
            <w:shd w:val="clear" w:color="auto" w:fill="auto"/>
            <w:noWrap/>
            <w:vAlign w:val="bottom"/>
          </w:tcPr>
          <w:p w14:paraId="442EB904"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14.4</w:t>
            </w:r>
          </w:p>
        </w:tc>
        <w:tc>
          <w:tcPr>
            <w:tcW w:w="1400" w:type="dxa"/>
            <w:vMerge w:val="restart"/>
            <w:tcBorders>
              <w:top w:val="nil"/>
              <w:left w:val="nil"/>
              <w:bottom w:val="single" w:sz="4" w:space="0" w:color="000000"/>
              <w:right w:val="single" w:sz="4" w:space="0" w:color="auto"/>
            </w:tcBorders>
            <w:shd w:val="clear" w:color="auto" w:fill="auto"/>
            <w:noWrap/>
            <w:vAlign w:val="center"/>
          </w:tcPr>
          <w:p w14:paraId="4F7CB1F5"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w:t>
            </w:r>
          </w:p>
        </w:tc>
        <w:tc>
          <w:tcPr>
            <w:tcW w:w="1291" w:type="dxa"/>
            <w:tcBorders>
              <w:top w:val="nil"/>
              <w:left w:val="single" w:sz="4" w:space="0" w:color="auto"/>
              <w:bottom w:val="nil"/>
              <w:right w:val="nil"/>
            </w:tcBorders>
            <w:shd w:val="clear" w:color="auto" w:fill="auto"/>
            <w:noWrap/>
            <w:vAlign w:val="bottom"/>
          </w:tcPr>
          <w:p w14:paraId="7DC3E63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14.4</w:t>
            </w:r>
          </w:p>
        </w:tc>
        <w:tc>
          <w:tcPr>
            <w:tcW w:w="1400" w:type="dxa"/>
            <w:vMerge w:val="restart"/>
            <w:tcBorders>
              <w:top w:val="nil"/>
              <w:left w:val="nil"/>
              <w:bottom w:val="single" w:sz="4" w:space="0" w:color="000000"/>
              <w:right w:val="single" w:sz="4" w:space="0" w:color="auto"/>
            </w:tcBorders>
            <w:shd w:val="clear" w:color="auto" w:fill="auto"/>
            <w:noWrap/>
            <w:vAlign w:val="center"/>
          </w:tcPr>
          <w:p w14:paraId="5F646AA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0.1%</w:t>
            </w:r>
          </w:p>
        </w:tc>
        <w:tc>
          <w:tcPr>
            <w:tcW w:w="1291" w:type="dxa"/>
            <w:tcBorders>
              <w:top w:val="nil"/>
              <w:left w:val="single" w:sz="4" w:space="0" w:color="auto"/>
              <w:bottom w:val="nil"/>
              <w:right w:val="nil"/>
            </w:tcBorders>
            <w:shd w:val="clear" w:color="auto" w:fill="auto"/>
            <w:noWrap/>
            <w:vAlign w:val="bottom"/>
          </w:tcPr>
          <w:p w14:paraId="2A5C8760"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14.4</w:t>
            </w:r>
          </w:p>
        </w:tc>
        <w:tc>
          <w:tcPr>
            <w:tcW w:w="1400" w:type="dxa"/>
            <w:vMerge w:val="restart"/>
            <w:tcBorders>
              <w:top w:val="nil"/>
              <w:left w:val="nil"/>
              <w:bottom w:val="single" w:sz="4" w:space="0" w:color="000000"/>
              <w:right w:val="nil"/>
            </w:tcBorders>
            <w:shd w:val="clear" w:color="auto" w:fill="auto"/>
            <w:noWrap/>
            <w:vAlign w:val="center"/>
          </w:tcPr>
          <w:p w14:paraId="3AC22745"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0.1%</w:t>
            </w:r>
          </w:p>
        </w:tc>
      </w:tr>
      <w:tr w:rsidR="00CF1BEF" w:rsidRPr="00D0161E" w14:paraId="78FFBAF8" w14:textId="77777777">
        <w:trPr>
          <w:trHeight w:val="266"/>
        </w:trPr>
        <w:tc>
          <w:tcPr>
            <w:tcW w:w="993" w:type="dxa"/>
            <w:vMerge/>
            <w:tcBorders>
              <w:top w:val="nil"/>
              <w:left w:val="nil"/>
              <w:bottom w:val="single" w:sz="4" w:space="0" w:color="000000"/>
              <w:right w:val="nil"/>
            </w:tcBorders>
            <w:vAlign w:val="center"/>
          </w:tcPr>
          <w:p w14:paraId="76C0DBE6"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5FC0F260"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081F3567"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0.001%</w:t>
            </w:r>
          </w:p>
        </w:tc>
        <w:tc>
          <w:tcPr>
            <w:tcW w:w="708" w:type="dxa"/>
            <w:tcBorders>
              <w:top w:val="nil"/>
              <w:left w:val="single" w:sz="4" w:space="0" w:color="auto"/>
              <w:bottom w:val="nil"/>
              <w:right w:val="nil"/>
            </w:tcBorders>
            <w:shd w:val="clear" w:color="auto" w:fill="auto"/>
            <w:noWrap/>
            <w:vAlign w:val="center"/>
          </w:tcPr>
          <w:p w14:paraId="305072CE"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56.7</w:t>
            </w:r>
          </w:p>
        </w:tc>
        <w:tc>
          <w:tcPr>
            <w:tcW w:w="1560" w:type="dxa"/>
            <w:vMerge/>
            <w:tcBorders>
              <w:top w:val="nil"/>
              <w:left w:val="nil"/>
              <w:bottom w:val="single" w:sz="4" w:space="0" w:color="000000"/>
              <w:right w:val="single" w:sz="4" w:space="0" w:color="auto"/>
            </w:tcBorders>
            <w:vAlign w:val="center"/>
          </w:tcPr>
          <w:p w14:paraId="19512021"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bottom"/>
          </w:tcPr>
          <w:p w14:paraId="584A5CEA"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13.3</w:t>
            </w:r>
          </w:p>
        </w:tc>
        <w:tc>
          <w:tcPr>
            <w:tcW w:w="1400" w:type="dxa"/>
            <w:vMerge/>
            <w:tcBorders>
              <w:top w:val="nil"/>
              <w:left w:val="nil"/>
              <w:bottom w:val="single" w:sz="4" w:space="0" w:color="000000"/>
              <w:right w:val="single" w:sz="4" w:space="0" w:color="auto"/>
            </w:tcBorders>
            <w:vAlign w:val="center"/>
          </w:tcPr>
          <w:p w14:paraId="37DB6F6D"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784E6A15"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26.7</w:t>
            </w:r>
          </w:p>
        </w:tc>
        <w:tc>
          <w:tcPr>
            <w:tcW w:w="1400" w:type="dxa"/>
            <w:vMerge/>
            <w:tcBorders>
              <w:top w:val="nil"/>
              <w:left w:val="nil"/>
              <w:bottom w:val="single" w:sz="4" w:space="0" w:color="000000"/>
              <w:right w:val="single" w:sz="4" w:space="0" w:color="auto"/>
            </w:tcBorders>
            <w:vAlign w:val="center"/>
          </w:tcPr>
          <w:p w14:paraId="73489E63"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43F1386C"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23.3</w:t>
            </w:r>
          </w:p>
        </w:tc>
        <w:tc>
          <w:tcPr>
            <w:tcW w:w="1400" w:type="dxa"/>
            <w:vMerge/>
            <w:tcBorders>
              <w:top w:val="nil"/>
              <w:left w:val="nil"/>
              <w:bottom w:val="single" w:sz="4" w:space="0" w:color="000000"/>
              <w:right w:val="nil"/>
            </w:tcBorders>
            <w:vAlign w:val="center"/>
          </w:tcPr>
          <w:p w14:paraId="180E55D6" w14:textId="77777777" w:rsidR="00CF1BEF" w:rsidRPr="00D0161E" w:rsidRDefault="00CF1BEF" w:rsidP="00D0161E">
            <w:pPr>
              <w:spacing w:line="480" w:lineRule="auto"/>
              <w:rPr>
                <w:rFonts w:cs="Calibri"/>
                <w:color w:val="000000" w:themeColor="text1"/>
                <w:szCs w:val="18"/>
              </w:rPr>
            </w:pPr>
          </w:p>
        </w:tc>
      </w:tr>
      <w:tr w:rsidR="00CF1BEF" w:rsidRPr="00D0161E" w14:paraId="0396B7B7" w14:textId="77777777">
        <w:trPr>
          <w:trHeight w:val="266"/>
        </w:trPr>
        <w:tc>
          <w:tcPr>
            <w:tcW w:w="993" w:type="dxa"/>
            <w:vMerge/>
            <w:tcBorders>
              <w:top w:val="nil"/>
              <w:left w:val="nil"/>
              <w:bottom w:val="single" w:sz="4" w:space="0" w:color="000000"/>
              <w:right w:val="nil"/>
            </w:tcBorders>
            <w:vAlign w:val="center"/>
          </w:tcPr>
          <w:p w14:paraId="05B4C032"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023DFAA3"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1EC4E2BC"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0.01%</w:t>
            </w:r>
          </w:p>
        </w:tc>
        <w:tc>
          <w:tcPr>
            <w:tcW w:w="708" w:type="dxa"/>
            <w:tcBorders>
              <w:top w:val="nil"/>
              <w:left w:val="single" w:sz="4" w:space="0" w:color="auto"/>
              <w:bottom w:val="nil"/>
              <w:right w:val="nil"/>
            </w:tcBorders>
            <w:shd w:val="clear" w:color="auto" w:fill="auto"/>
            <w:noWrap/>
            <w:vAlign w:val="center"/>
          </w:tcPr>
          <w:p w14:paraId="023AFD87"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71.9</w:t>
            </w:r>
          </w:p>
        </w:tc>
        <w:tc>
          <w:tcPr>
            <w:tcW w:w="1560" w:type="dxa"/>
            <w:vMerge/>
            <w:tcBorders>
              <w:top w:val="nil"/>
              <w:left w:val="nil"/>
              <w:bottom w:val="single" w:sz="4" w:space="0" w:color="000000"/>
              <w:right w:val="single" w:sz="4" w:space="0" w:color="auto"/>
            </w:tcBorders>
            <w:vAlign w:val="center"/>
          </w:tcPr>
          <w:p w14:paraId="2C1CC324"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bottom"/>
          </w:tcPr>
          <w:p w14:paraId="6676FE2A"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51.9</w:t>
            </w:r>
          </w:p>
        </w:tc>
        <w:tc>
          <w:tcPr>
            <w:tcW w:w="1400" w:type="dxa"/>
            <w:vMerge/>
            <w:tcBorders>
              <w:top w:val="nil"/>
              <w:left w:val="nil"/>
              <w:bottom w:val="single" w:sz="4" w:space="0" w:color="000000"/>
              <w:right w:val="single" w:sz="4" w:space="0" w:color="auto"/>
            </w:tcBorders>
            <w:vAlign w:val="center"/>
          </w:tcPr>
          <w:p w14:paraId="7E018A0A"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1C199A5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62.2</w:t>
            </w:r>
          </w:p>
        </w:tc>
        <w:tc>
          <w:tcPr>
            <w:tcW w:w="1400" w:type="dxa"/>
            <w:vMerge/>
            <w:tcBorders>
              <w:top w:val="nil"/>
              <w:left w:val="nil"/>
              <w:bottom w:val="single" w:sz="4" w:space="0" w:color="000000"/>
              <w:right w:val="single" w:sz="4" w:space="0" w:color="auto"/>
            </w:tcBorders>
            <w:vAlign w:val="center"/>
          </w:tcPr>
          <w:p w14:paraId="1D42ED6D"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2B9B1EB4"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58.5</w:t>
            </w:r>
          </w:p>
        </w:tc>
        <w:tc>
          <w:tcPr>
            <w:tcW w:w="1400" w:type="dxa"/>
            <w:vMerge/>
            <w:tcBorders>
              <w:top w:val="nil"/>
              <w:left w:val="nil"/>
              <w:bottom w:val="single" w:sz="4" w:space="0" w:color="000000"/>
              <w:right w:val="nil"/>
            </w:tcBorders>
            <w:vAlign w:val="center"/>
          </w:tcPr>
          <w:p w14:paraId="78F5AA64" w14:textId="77777777" w:rsidR="00CF1BEF" w:rsidRPr="00D0161E" w:rsidRDefault="00CF1BEF" w:rsidP="00D0161E">
            <w:pPr>
              <w:spacing w:line="480" w:lineRule="auto"/>
              <w:rPr>
                <w:rFonts w:cs="Calibri"/>
                <w:color w:val="000000" w:themeColor="text1"/>
                <w:szCs w:val="18"/>
              </w:rPr>
            </w:pPr>
          </w:p>
        </w:tc>
      </w:tr>
      <w:tr w:rsidR="00CF1BEF" w:rsidRPr="00D0161E" w14:paraId="4EDB6F88" w14:textId="77777777">
        <w:trPr>
          <w:trHeight w:val="266"/>
        </w:trPr>
        <w:tc>
          <w:tcPr>
            <w:tcW w:w="993" w:type="dxa"/>
            <w:vMerge/>
            <w:tcBorders>
              <w:top w:val="nil"/>
              <w:left w:val="nil"/>
              <w:bottom w:val="single" w:sz="4" w:space="0" w:color="000000"/>
              <w:right w:val="nil"/>
            </w:tcBorders>
            <w:vAlign w:val="center"/>
          </w:tcPr>
          <w:p w14:paraId="4812A4D9"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0E4AE99C"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6AF0B1C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0.1%</w:t>
            </w:r>
          </w:p>
        </w:tc>
        <w:tc>
          <w:tcPr>
            <w:tcW w:w="708" w:type="dxa"/>
            <w:tcBorders>
              <w:top w:val="nil"/>
              <w:left w:val="single" w:sz="4" w:space="0" w:color="auto"/>
              <w:bottom w:val="nil"/>
              <w:right w:val="nil"/>
            </w:tcBorders>
            <w:shd w:val="clear" w:color="auto" w:fill="auto"/>
            <w:noWrap/>
            <w:vAlign w:val="center"/>
          </w:tcPr>
          <w:p w14:paraId="2EE20527"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66.7</w:t>
            </w:r>
          </w:p>
        </w:tc>
        <w:tc>
          <w:tcPr>
            <w:tcW w:w="1560" w:type="dxa"/>
            <w:vMerge/>
            <w:tcBorders>
              <w:top w:val="nil"/>
              <w:left w:val="nil"/>
              <w:bottom w:val="single" w:sz="4" w:space="0" w:color="000000"/>
              <w:right w:val="single" w:sz="4" w:space="0" w:color="auto"/>
            </w:tcBorders>
            <w:vAlign w:val="center"/>
          </w:tcPr>
          <w:p w14:paraId="2FEC706D"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bottom"/>
          </w:tcPr>
          <w:p w14:paraId="1CA1D579"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70.0</w:t>
            </w:r>
          </w:p>
        </w:tc>
        <w:tc>
          <w:tcPr>
            <w:tcW w:w="1400" w:type="dxa"/>
            <w:vMerge/>
            <w:tcBorders>
              <w:top w:val="nil"/>
              <w:left w:val="nil"/>
              <w:bottom w:val="single" w:sz="4" w:space="0" w:color="000000"/>
              <w:right w:val="single" w:sz="4" w:space="0" w:color="auto"/>
            </w:tcBorders>
            <w:vAlign w:val="center"/>
          </w:tcPr>
          <w:p w14:paraId="07874E90"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6CDDA85A"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80.0</w:t>
            </w:r>
          </w:p>
        </w:tc>
        <w:tc>
          <w:tcPr>
            <w:tcW w:w="1400" w:type="dxa"/>
            <w:vMerge/>
            <w:tcBorders>
              <w:top w:val="nil"/>
              <w:left w:val="nil"/>
              <w:bottom w:val="single" w:sz="4" w:space="0" w:color="000000"/>
              <w:right w:val="single" w:sz="4" w:space="0" w:color="auto"/>
            </w:tcBorders>
            <w:vAlign w:val="center"/>
          </w:tcPr>
          <w:p w14:paraId="0E906DD3"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55D1E522"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80.0</w:t>
            </w:r>
          </w:p>
        </w:tc>
        <w:tc>
          <w:tcPr>
            <w:tcW w:w="1400" w:type="dxa"/>
            <w:vMerge/>
            <w:tcBorders>
              <w:top w:val="nil"/>
              <w:left w:val="nil"/>
              <w:bottom w:val="single" w:sz="4" w:space="0" w:color="000000"/>
              <w:right w:val="nil"/>
            </w:tcBorders>
            <w:vAlign w:val="center"/>
          </w:tcPr>
          <w:p w14:paraId="70502D01" w14:textId="77777777" w:rsidR="00CF1BEF" w:rsidRPr="00D0161E" w:rsidRDefault="00CF1BEF" w:rsidP="00D0161E">
            <w:pPr>
              <w:spacing w:line="480" w:lineRule="auto"/>
              <w:rPr>
                <w:rFonts w:cs="Calibri"/>
                <w:color w:val="000000" w:themeColor="text1"/>
                <w:szCs w:val="18"/>
              </w:rPr>
            </w:pPr>
          </w:p>
        </w:tc>
      </w:tr>
      <w:tr w:rsidR="00CF1BEF" w:rsidRPr="00D0161E" w14:paraId="64487958" w14:textId="77777777">
        <w:trPr>
          <w:trHeight w:val="266"/>
        </w:trPr>
        <w:tc>
          <w:tcPr>
            <w:tcW w:w="993" w:type="dxa"/>
            <w:vMerge/>
            <w:tcBorders>
              <w:top w:val="nil"/>
              <w:left w:val="nil"/>
              <w:bottom w:val="single" w:sz="4" w:space="0" w:color="000000"/>
              <w:right w:val="nil"/>
            </w:tcBorders>
            <w:vAlign w:val="center"/>
          </w:tcPr>
          <w:p w14:paraId="53528B19"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20AF1DFE"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single" w:sz="4" w:space="0" w:color="auto"/>
              <w:right w:val="single" w:sz="4" w:space="0" w:color="auto"/>
            </w:tcBorders>
            <w:shd w:val="clear" w:color="auto" w:fill="auto"/>
            <w:noWrap/>
            <w:vAlign w:val="bottom"/>
          </w:tcPr>
          <w:p w14:paraId="791E5FE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w:t>
            </w:r>
          </w:p>
        </w:tc>
        <w:tc>
          <w:tcPr>
            <w:tcW w:w="708" w:type="dxa"/>
            <w:tcBorders>
              <w:top w:val="nil"/>
              <w:left w:val="single" w:sz="4" w:space="0" w:color="auto"/>
              <w:bottom w:val="nil"/>
              <w:right w:val="nil"/>
            </w:tcBorders>
            <w:shd w:val="clear" w:color="auto" w:fill="auto"/>
            <w:noWrap/>
            <w:vAlign w:val="center"/>
          </w:tcPr>
          <w:p w14:paraId="1D53125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89.3</w:t>
            </w:r>
          </w:p>
        </w:tc>
        <w:tc>
          <w:tcPr>
            <w:tcW w:w="1560" w:type="dxa"/>
            <w:vMerge/>
            <w:tcBorders>
              <w:top w:val="nil"/>
              <w:left w:val="nil"/>
              <w:bottom w:val="single" w:sz="4" w:space="0" w:color="000000"/>
              <w:right w:val="single" w:sz="4" w:space="0" w:color="auto"/>
            </w:tcBorders>
            <w:vAlign w:val="center"/>
          </w:tcPr>
          <w:p w14:paraId="16F273C9"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bottom"/>
          </w:tcPr>
          <w:p w14:paraId="6E50AEFF"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92.6</w:t>
            </w:r>
          </w:p>
        </w:tc>
        <w:tc>
          <w:tcPr>
            <w:tcW w:w="1400" w:type="dxa"/>
            <w:vMerge/>
            <w:tcBorders>
              <w:top w:val="nil"/>
              <w:left w:val="nil"/>
              <w:bottom w:val="single" w:sz="4" w:space="0" w:color="000000"/>
              <w:right w:val="single" w:sz="4" w:space="0" w:color="auto"/>
            </w:tcBorders>
            <w:vAlign w:val="center"/>
          </w:tcPr>
          <w:p w14:paraId="285669B2"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16218B49"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92.6</w:t>
            </w:r>
          </w:p>
        </w:tc>
        <w:tc>
          <w:tcPr>
            <w:tcW w:w="1400" w:type="dxa"/>
            <w:vMerge/>
            <w:tcBorders>
              <w:top w:val="nil"/>
              <w:left w:val="nil"/>
              <w:bottom w:val="single" w:sz="4" w:space="0" w:color="000000"/>
              <w:right w:val="single" w:sz="4" w:space="0" w:color="auto"/>
            </w:tcBorders>
            <w:vAlign w:val="center"/>
          </w:tcPr>
          <w:p w14:paraId="1FE93D26"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51DB952C"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92.6</w:t>
            </w:r>
          </w:p>
        </w:tc>
        <w:tc>
          <w:tcPr>
            <w:tcW w:w="1400" w:type="dxa"/>
            <w:vMerge/>
            <w:tcBorders>
              <w:top w:val="nil"/>
              <w:left w:val="nil"/>
              <w:bottom w:val="single" w:sz="4" w:space="0" w:color="000000"/>
              <w:right w:val="nil"/>
            </w:tcBorders>
            <w:vAlign w:val="center"/>
          </w:tcPr>
          <w:p w14:paraId="6FF6A5ED" w14:textId="77777777" w:rsidR="00CF1BEF" w:rsidRPr="00D0161E" w:rsidRDefault="00CF1BEF" w:rsidP="00D0161E">
            <w:pPr>
              <w:spacing w:line="480" w:lineRule="auto"/>
              <w:rPr>
                <w:rFonts w:cs="Calibri"/>
                <w:color w:val="000000" w:themeColor="text1"/>
                <w:szCs w:val="18"/>
              </w:rPr>
            </w:pPr>
          </w:p>
        </w:tc>
      </w:tr>
      <w:tr w:rsidR="00CF1BEF" w:rsidRPr="00D0161E" w14:paraId="37B0C75B" w14:textId="77777777">
        <w:trPr>
          <w:trHeight w:val="266"/>
        </w:trPr>
        <w:tc>
          <w:tcPr>
            <w:tcW w:w="993" w:type="dxa"/>
            <w:vMerge/>
            <w:tcBorders>
              <w:top w:val="nil"/>
              <w:left w:val="nil"/>
              <w:bottom w:val="single" w:sz="4" w:space="0" w:color="000000"/>
              <w:right w:val="nil"/>
            </w:tcBorders>
            <w:vAlign w:val="center"/>
          </w:tcPr>
          <w:p w14:paraId="4B6415BC" w14:textId="77777777" w:rsidR="00CF1BEF" w:rsidRPr="00D0161E" w:rsidRDefault="00CF1BEF" w:rsidP="00D0161E">
            <w:pPr>
              <w:spacing w:line="480" w:lineRule="auto"/>
              <w:rPr>
                <w:rFonts w:cs="Calibri"/>
                <w:b/>
                <w:bCs/>
                <w:color w:val="000000" w:themeColor="text1"/>
                <w:szCs w:val="18"/>
              </w:rPr>
            </w:pPr>
          </w:p>
        </w:tc>
        <w:tc>
          <w:tcPr>
            <w:tcW w:w="1417" w:type="dxa"/>
            <w:vMerge w:val="restart"/>
            <w:tcBorders>
              <w:top w:val="nil"/>
              <w:left w:val="nil"/>
              <w:bottom w:val="single" w:sz="4" w:space="0" w:color="000000"/>
              <w:right w:val="nil"/>
            </w:tcBorders>
            <w:shd w:val="clear" w:color="auto" w:fill="auto"/>
            <w:noWrap/>
            <w:vAlign w:val="center"/>
          </w:tcPr>
          <w:p w14:paraId="59A2B54C" w14:textId="77777777" w:rsidR="00CF1BEF" w:rsidRPr="00D0161E" w:rsidRDefault="00CF1BEF" w:rsidP="00D0161E">
            <w:pPr>
              <w:spacing w:line="480" w:lineRule="auto"/>
              <w:rPr>
                <w:rFonts w:cs="Calibri"/>
                <w:b/>
                <w:bCs/>
                <w:color w:val="000000" w:themeColor="text1"/>
                <w:szCs w:val="18"/>
              </w:rPr>
            </w:pPr>
            <w:r w:rsidRPr="00D0161E">
              <w:rPr>
                <w:rFonts w:cs="Calibri"/>
                <w:b/>
                <w:bCs/>
                <w:color w:val="000000" w:themeColor="text1"/>
                <w:szCs w:val="18"/>
              </w:rPr>
              <w:t>Deltamethrin</w:t>
            </w:r>
          </w:p>
        </w:tc>
        <w:tc>
          <w:tcPr>
            <w:tcW w:w="1418" w:type="dxa"/>
            <w:tcBorders>
              <w:top w:val="nil"/>
              <w:left w:val="nil"/>
              <w:bottom w:val="nil"/>
              <w:right w:val="single" w:sz="4" w:space="0" w:color="auto"/>
            </w:tcBorders>
            <w:shd w:val="clear" w:color="auto" w:fill="auto"/>
            <w:noWrap/>
            <w:vAlign w:val="bottom"/>
          </w:tcPr>
          <w:p w14:paraId="521202F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0.0001%</w:t>
            </w:r>
          </w:p>
        </w:tc>
        <w:tc>
          <w:tcPr>
            <w:tcW w:w="708" w:type="dxa"/>
            <w:tcBorders>
              <w:top w:val="single" w:sz="4" w:space="0" w:color="auto"/>
              <w:left w:val="single" w:sz="4" w:space="0" w:color="auto"/>
              <w:bottom w:val="nil"/>
              <w:right w:val="nil"/>
            </w:tcBorders>
            <w:shd w:val="clear" w:color="auto" w:fill="auto"/>
            <w:noWrap/>
            <w:vAlign w:val="center"/>
          </w:tcPr>
          <w:p w14:paraId="1807CBB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65.9</w:t>
            </w:r>
          </w:p>
        </w:tc>
        <w:tc>
          <w:tcPr>
            <w:tcW w:w="1560" w:type="dxa"/>
            <w:vMerge w:val="restart"/>
            <w:tcBorders>
              <w:top w:val="nil"/>
              <w:left w:val="nil"/>
              <w:bottom w:val="single" w:sz="4" w:space="0" w:color="000000"/>
              <w:right w:val="single" w:sz="4" w:space="0" w:color="auto"/>
            </w:tcBorders>
            <w:shd w:val="clear" w:color="auto" w:fill="auto"/>
            <w:noWrap/>
            <w:vAlign w:val="center"/>
          </w:tcPr>
          <w:p w14:paraId="7E1E0D9A"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0.001%</w:t>
            </w:r>
          </w:p>
        </w:tc>
        <w:tc>
          <w:tcPr>
            <w:tcW w:w="1080" w:type="dxa"/>
            <w:tcBorders>
              <w:top w:val="single" w:sz="4" w:space="0" w:color="auto"/>
              <w:left w:val="single" w:sz="4" w:space="0" w:color="auto"/>
              <w:bottom w:val="nil"/>
              <w:right w:val="nil"/>
            </w:tcBorders>
            <w:shd w:val="clear" w:color="auto" w:fill="auto"/>
            <w:noWrap/>
            <w:vAlign w:val="bottom"/>
          </w:tcPr>
          <w:p w14:paraId="61FCD803"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13.7</w:t>
            </w:r>
          </w:p>
        </w:tc>
        <w:tc>
          <w:tcPr>
            <w:tcW w:w="1400" w:type="dxa"/>
            <w:vMerge w:val="restart"/>
            <w:tcBorders>
              <w:top w:val="nil"/>
              <w:left w:val="nil"/>
              <w:bottom w:val="single" w:sz="4" w:space="0" w:color="000000"/>
              <w:right w:val="single" w:sz="4" w:space="0" w:color="auto"/>
            </w:tcBorders>
            <w:shd w:val="clear" w:color="auto" w:fill="auto"/>
            <w:noWrap/>
            <w:vAlign w:val="center"/>
          </w:tcPr>
          <w:p w14:paraId="3BF7C9BA"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0.1%</w:t>
            </w:r>
          </w:p>
        </w:tc>
        <w:tc>
          <w:tcPr>
            <w:tcW w:w="1291" w:type="dxa"/>
            <w:tcBorders>
              <w:top w:val="single" w:sz="4" w:space="0" w:color="auto"/>
              <w:left w:val="single" w:sz="4" w:space="0" w:color="auto"/>
              <w:bottom w:val="nil"/>
              <w:right w:val="nil"/>
            </w:tcBorders>
            <w:shd w:val="clear" w:color="auto" w:fill="auto"/>
            <w:noWrap/>
            <w:vAlign w:val="bottom"/>
          </w:tcPr>
          <w:p w14:paraId="2C02A7DC"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16.7</w:t>
            </w:r>
          </w:p>
        </w:tc>
        <w:tc>
          <w:tcPr>
            <w:tcW w:w="1400" w:type="dxa"/>
            <w:vMerge w:val="restart"/>
            <w:tcBorders>
              <w:top w:val="nil"/>
              <w:left w:val="nil"/>
              <w:bottom w:val="single" w:sz="4" w:space="0" w:color="000000"/>
              <w:right w:val="single" w:sz="4" w:space="0" w:color="auto"/>
            </w:tcBorders>
            <w:shd w:val="clear" w:color="auto" w:fill="auto"/>
            <w:noWrap/>
            <w:vAlign w:val="center"/>
          </w:tcPr>
          <w:p w14:paraId="7CEE5AB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0.01%</w:t>
            </w:r>
          </w:p>
        </w:tc>
        <w:tc>
          <w:tcPr>
            <w:tcW w:w="1291" w:type="dxa"/>
            <w:tcBorders>
              <w:top w:val="single" w:sz="4" w:space="0" w:color="auto"/>
              <w:left w:val="single" w:sz="4" w:space="0" w:color="auto"/>
              <w:bottom w:val="nil"/>
              <w:right w:val="nil"/>
            </w:tcBorders>
            <w:shd w:val="clear" w:color="auto" w:fill="auto"/>
            <w:noWrap/>
            <w:vAlign w:val="bottom"/>
          </w:tcPr>
          <w:p w14:paraId="5F1C1139"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20.0</w:t>
            </w:r>
          </w:p>
        </w:tc>
        <w:tc>
          <w:tcPr>
            <w:tcW w:w="1400" w:type="dxa"/>
            <w:vMerge w:val="restart"/>
            <w:tcBorders>
              <w:top w:val="nil"/>
              <w:left w:val="nil"/>
              <w:bottom w:val="single" w:sz="4" w:space="0" w:color="000000"/>
              <w:right w:val="nil"/>
            </w:tcBorders>
            <w:shd w:val="clear" w:color="auto" w:fill="auto"/>
            <w:noWrap/>
            <w:vAlign w:val="center"/>
          </w:tcPr>
          <w:p w14:paraId="52CDAE9E"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0.01%</w:t>
            </w:r>
          </w:p>
        </w:tc>
      </w:tr>
      <w:tr w:rsidR="00CF1BEF" w:rsidRPr="00D0161E" w14:paraId="675BC285" w14:textId="77777777">
        <w:trPr>
          <w:trHeight w:val="266"/>
        </w:trPr>
        <w:tc>
          <w:tcPr>
            <w:tcW w:w="993" w:type="dxa"/>
            <w:vMerge/>
            <w:tcBorders>
              <w:top w:val="nil"/>
              <w:left w:val="nil"/>
              <w:bottom w:val="single" w:sz="4" w:space="0" w:color="000000"/>
              <w:right w:val="nil"/>
            </w:tcBorders>
            <w:vAlign w:val="center"/>
          </w:tcPr>
          <w:p w14:paraId="13DCAD60"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13F40203"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12FDE12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0.001%</w:t>
            </w:r>
          </w:p>
        </w:tc>
        <w:tc>
          <w:tcPr>
            <w:tcW w:w="708" w:type="dxa"/>
            <w:tcBorders>
              <w:top w:val="nil"/>
              <w:left w:val="single" w:sz="4" w:space="0" w:color="auto"/>
              <w:bottom w:val="nil"/>
              <w:right w:val="nil"/>
            </w:tcBorders>
            <w:shd w:val="clear" w:color="auto" w:fill="auto"/>
            <w:noWrap/>
            <w:vAlign w:val="center"/>
          </w:tcPr>
          <w:p w14:paraId="30B3EB50"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85.6</w:t>
            </w:r>
          </w:p>
        </w:tc>
        <w:tc>
          <w:tcPr>
            <w:tcW w:w="1560" w:type="dxa"/>
            <w:vMerge/>
            <w:tcBorders>
              <w:top w:val="nil"/>
              <w:left w:val="nil"/>
              <w:bottom w:val="single" w:sz="4" w:space="0" w:color="000000"/>
              <w:right w:val="single" w:sz="4" w:space="0" w:color="auto"/>
            </w:tcBorders>
            <w:vAlign w:val="center"/>
          </w:tcPr>
          <w:p w14:paraId="01573ADA"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bottom"/>
          </w:tcPr>
          <w:p w14:paraId="0A79680F"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57.4</w:t>
            </w:r>
          </w:p>
        </w:tc>
        <w:tc>
          <w:tcPr>
            <w:tcW w:w="1400" w:type="dxa"/>
            <w:vMerge/>
            <w:tcBorders>
              <w:top w:val="nil"/>
              <w:left w:val="nil"/>
              <w:bottom w:val="single" w:sz="4" w:space="0" w:color="000000"/>
              <w:right w:val="single" w:sz="4" w:space="0" w:color="auto"/>
            </w:tcBorders>
            <w:vAlign w:val="center"/>
          </w:tcPr>
          <w:p w14:paraId="6E99B707"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1A0F7A00"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46.7</w:t>
            </w:r>
          </w:p>
        </w:tc>
        <w:tc>
          <w:tcPr>
            <w:tcW w:w="1400" w:type="dxa"/>
            <w:vMerge/>
            <w:tcBorders>
              <w:top w:val="nil"/>
              <w:left w:val="nil"/>
              <w:bottom w:val="single" w:sz="4" w:space="0" w:color="000000"/>
              <w:right w:val="single" w:sz="4" w:space="0" w:color="auto"/>
            </w:tcBorders>
            <w:vAlign w:val="center"/>
          </w:tcPr>
          <w:p w14:paraId="5EC803D3"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3A47ADD7"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46.7</w:t>
            </w:r>
          </w:p>
        </w:tc>
        <w:tc>
          <w:tcPr>
            <w:tcW w:w="1400" w:type="dxa"/>
            <w:vMerge/>
            <w:tcBorders>
              <w:top w:val="nil"/>
              <w:left w:val="nil"/>
              <w:bottom w:val="single" w:sz="4" w:space="0" w:color="000000"/>
              <w:right w:val="nil"/>
            </w:tcBorders>
            <w:vAlign w:val="center"/>
          </w:tcPr>
          <w:p w14:paraId="6AE4D211" w14:textId="77777777" w:rsidR="00CF1BEF" w:rsidRPr="00D0161E" w:rsidRDefault="00CF1BEF" w:rsidP="00D0161E">
            <w:pPr>
              <w:spacing w:line="480" w:lineRule="auto"/>
              <w:rPr>
                <w:rFonts w:cs="Calibri"/>
                <w:b/>
                <w:bCs/>
                <w:color w:val="000000" w:themeColor="text1"/>
                <w:szCs w:val="18"/>
              </w:rPr>
            </w:pPr>
          </w:p>
        </w:tc>
      </w:tr>
      <w:tr w:rsidR="00CF1BEF" w:rsidRPr="00D0161E" w14:paraId="2136BE71" w14:textId="77777777">
        <w:trPr>
          <w:trHeight w:val="266"/>
        </w:trPr>
        <w:tc>
          <w:tcPr>
            <w:tcW w:w="993" w:type="dxa"/>
            <w:vMerge/>
            <w:tcBorders>
              <w:top w:val="nil"/>
              <w:left w:val="nil"/>
              <w:bottom w:val="single" w:sz="4" w:space="0" w:color="000000"/>
              <w:right w:val="nil"/>
            </w:tcBorders>
            <w:vAlign w:val="center"/>
          </w:tcPr>
          <w:p w14:paraId="46425B55"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7AB69EBF"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4AF5018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0.01%</w:t>
            </w:r>
          </w:p>
        </w:tc>
        <w:tc>
          <w:tcPr>
            <w:tcW w:w="708" w:type="dxa"/>
            <w:tcBorders>
              <w:top w:val="nil"/>
              <w:left w:val="single" w:sz="4" w:space="0" w:color="auto"/>
              <w:bottom w:val="nil"/>
              <w:right w:val="nil"/>
            </w:tcBorders>
            <w:shd w:val="clear" w:color="auto" w:fill="auto"/>
            <w:noWrap/>
            <w:vAlign w:val="center"/>
          </w:tcPr>
          <w:p w14:paraId="34490A96"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74.1</w:t>
            </w:r>
          </w:p>
        </w:tc>
        <w:tc>
          <w:tcPr>
            <w:tcW w:w="1560" w:type="dxa"/>
            <w:vMerge/>
            <w:tcBorders>
              <w:top w:val="nil"/>
              <w:left w:val="nil"/>
              <w:bottom w:val="single" w:sz="4" w:space="0" w:color="000000"/>
              <w:right w:val="single" w:sz="4" w:space="0" w:color="auto"/>
            </w:tcBorders>
            <w:vAlign w:val="center"/>
          </w:tcPr>
          <w:p w14:paraId="7127F534"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bottom"/>
          </w:tcPr>
          <w:p w14:paraId="24F6CE7E"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74.1</w:t>
            </w:r>
          </w:p>
        </w:tc>
        <w:tc>
          <w:tcPr>
            <w:tcW w:w="1400" w:type="dxa"/>
            <w:vMerge/>
            <w:tcBorders>
              <w:top w:val="nil"/>
              <w:left w:val="nil"/>
              <w:bottom w:val="single" w:sz="4" w:space="0" w:color="000000"/>
              <w:right w:val="single" w:sz="4" w:space="0" w:color="auto"/>
            </w:tcBorders>
            <w:vAlign w:val="center"/>
          </w:tcPr>
          <w:p w14:paraId="2B5C8254"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1700A018"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85.2</w:t>
            </w:r>
          </w:p>
        </w:tc>
        <w:tc>
          <w:tcPr>
            <w:tcW w:w="1400" w:type="dxa"/>
            <w:vMerge/>
            <w:tcBorders>
              <w:top w:val="nil"/>
              <w:left w:val="nil"/>
              <w:bottom w:val="single" w:sz="4" w:space="0" w:color="000000"/>
              <w:right w:val="single" w:sz="4" w:space="0" w:color="auto"/>
            </w:tcBorders>
            <w:vAlign w:val="center"/>
          </w:tcPr>
          <w:p w14:paraId="0E0A6874"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4055D24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96.3</w:t>
            </w:r>
          </w:p>
        </w:tc>
        <w:tc>
          <w:tcPr>
            <w:tcW w:w="1400" w:type="dxa"/>
            <w:vMerge/>
            <w:tcBorders>
              <w:top w:val="nil"/>
              <w:left w:val="nil"/>
              <w:bottom w:val="single" w:sz="4" w:space="0" w:color="000000"/>
              <w:right w:val="nil"/>
            </w:tcBorders>
            <w:vAlign w:val="center"/>
          </w:tcPr>
          <w:p w14:paraId="3771BB99" w14:textId="77777777" w:rsidR="00CF1BEF" w:rsidRPr="00D0161E" w:rsidRDefault="00CF1BEF" w:rsidP="00D0161E">
            <w:pPr>
              <w:spacing w:line="480" w:lineRule="auto"/>
              <w:rPr>
                <w:rFonts w:cs="Calibri"/>
                <w:b/>
                <w:bCs/>
                <w:color w:val="000000" w:themeColor="text1"/>
                <w:szCs w:val="18"/>
              </w:rPr>
            </w:pPr>
          </w:p>
        </w:tc>
      </w:tr>
      <w:tr w:rsidR="00CF1BEF" w:rsidRPr="00D0161E" w14:paraId="73997A07" w14:textId="77777777">
        <w:trPr>
          <w:trHeight w:val="266"/>
        </w:trPr>
        <w:tc>
          <w:tcPr>
            <w:tcW w:w="993" w:type="dxa"/>
            <w:vMerge/>
            <w:tcBorders>
              <w:top w:val="nil"/>
              <w:left w:val="nil"/>
              <w:bottom w:val="single" w:sz="4" w:space="0" w:color="000000"/>
              <w:right w:val="nil"/>
            </w:tcBorders>
            <w:vAlign w:val="center"/>
          </w:tcPr>
          <w:p w14:paraId="4C34B111"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1C79C5F9"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nil"/>
              <w:right w:val="single" w:sz="4" w:space="0" w:color="auto"/>
            </w:tcBorders>
            <w:shd w:val="clear" w:color="auto" w:fill="auto"/>
            <w:noWrap/>
            <w:vAlign w:val="bottom"/>
          </w:tcPr>
          <w:p w14:paraId="06ACB169"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0.1%</w:t>
            </w:r>
          </w:p>
        </w:tc>
        <w:tc>
          <w:tcPr>
            <w:tcW w:w="708" w:type="dxa"/>
            <w:tcBorders>
              <w:top w:val="nil"/>
              <w:left w:val="single" w:sz="4" w:space="0" w:color="auto"/>
              <w:bottom w:val="nil"/>
              <w:right w:val="nil"/>
            </w:tcBorders>
            <w:shd w:val="clear" w:color="auto" w:fill="auto"/>
            <w:noWrap/>
            <w:vAlign w:val="center"/>
          </w:tcPr>
          <w:p w14:paraId="2A1EB55B"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90.0</w:t>
            </w:r>
          </w:p>
        </w:tc>
        <w:tc>
          <w:tcPr>
            <w:tcW w:w="1560" w:type="dxa"/>
            <w:vMerge/>
            <w:tcBorders>
              <w:top w:val="nil"/>
              <w:left w:val="nil"/>
              <w:bottom w:val="single" w:sz="4" w:space="0" w:color="000000"/>
              <w:right w:val="single" w:sz="4" w:space="0" w:color="auto"/>
            </w:tcBorders>
            <w:vAlign w:val="center"/>
          </w:tcPr>
          <w:p w14:paraId="77201DFA"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nil"/>
              <w:right w:val="nil"/>
            </w:tcBorders>
            <w:shd w:val="clear" w:color="auto" w:fill="auto"/>
            <w:noWrap/>
            <w:vAlign w:val="bottom"/>
          </w:tcPr>
          <w:p w14:paraId="262AE952"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5745BF09"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29BEAAB7"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12A7FE48"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nil"/>
              <w:right w:val="nil"/>
            </w:tcBorders>
            <w:shd w:val="clear" w:color="auto" w:fill="auto"/>
            <w:noWrap/>
            <w:vAlign w:val="bottom"/>
          </w:tcPr>
          <w:p w14:paraId="51D2D4CA"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nil"/>
            </w:tcBorders>
            <w:vAlign w:val="center"/>
          </w:tcPr>
          <w:p w14:paraId="203A31E9" w14:textId="77777777" w:rsidR="00CF1BEF" w:rsidRPr="00D0161E" w:rsidRDefault="00CF1BEF" w:rsidP="00D0161E">
            <w:pPr>
              <w:spacing w:line="480" w:lineRule="auto"/>
              <w:rPr>
                <w:rFonts w:cs="Calibri"/>
                <w:b/>
                <w:bCs/>
                <w:color w:val="000000" w:themeColor="text1"/>
                <w:szCs w:val="18"/>
              </w:rPr>
            </w:pPr>
          </w:p>
        </w:tc>
      </w:tr>
      <w:tr w:rsidR="00CF1BEF" w:rsidRPr="00D0161E" w14:paraId="11BCA1F6" w14:textId="77777777">
        <w:trPr>
          <w:trHeight w:val="266"/>
        </w:trPr>
        <w:tc>
          <w:tcPr>
            <w:tcW w:w="993" w:type="dxa"/>
            <w:vMerge/>
            <w:tcBorders>
              <w:top w:val="nil"/>
              <w:left w:val="nil"/>
              <w:bottom w:val="single" w:sz="4" w:space="0" w:color="000000"/>
              <w:right w:val="nil"/>
            </w:tcBorders>
            <w:vAlign w:val="center"/>
          </w:tcPr>
          <w:p w14:paraId="61EB5C32" w14:textId="77777777" w:rsidR="00CF1BEF" w:rsidRPr="00D0161E" w:rsidRDefault="00CF1BEF" w:rsidP="00D0161E">
            <w:pPr>
              <w:spacing w:line="480" w:lineRule="auto"/>
              <w:rPr>
                <w:rFonts w:cs="Calibri"/>
                <w:b/>
                <w:bCs/>
                <w:color w:val="000000" w:themeColor="text1"/>
                <w:szCs w:val="18"/>
              </w:rPr>
            </w:pPr>
          </w:p>
        </w:tc>
        <w:tc>
          <w:tcPr>
            <w:tcW w:w="1417" w:type="dxa"/>
            <w:vMerge/>
            <w:tcBorders>
              <w:top w:val="nil"/>
              <w:left w:val="nil"/>
              <w:bottom w:val="single" w:sz="4" w:space="0" w:color="000000"/>
              <w:right w:val="nil"/>
            </w:tcBorders>
            <w:vAlign w:val="center"/>
          </w:tcPr>
          <w:p w14:paraId="1D3CDB88" w14:textId="77777777" w:rsidR="00CF1BEF" w:rsidRPr="00D0161E" w:rsidRDefault="00CF1BEF" w:rsidP="00D0161E">
            <w:pPr>
              <w:spacing w:line="480" w:lineRule="auto"/>
              <w:rPr>
                <w:rFonts w:cs="Calibri"/>
                <w:b/>
                <w:bCs/>
                <w:color w:val="000000" w:themeColor="text1"/>
                <w:szCs w:val="18"/>
              </w:rPr>
            </w:pPr>
          </w:p>
        </w:tc>
        <w:tc>
          <w:tcPr>
            <w:tcW w:w="1418" w:type="dxa"/>
            <w:tcBorders>
              <w:top w:val="nil"/>
              <w:left w:val="nil"/>
              <w:bottom w:val="single" w:sz="4" w:space="0" w:color="auto"/>
              <w:right w:val="single" w:sz="4" w:space="0" w:color="auto"/>
            </w:tcBorders>
            <w:shd w:val="clear" w:color="auto" w:fill="auto"/>
            <w:noWrap/>
            <w:vAlign w:val="bottom"/>
          </w:tcPr>
          <w:p w14:paraId="42BEC36D"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w:t>
            </w:r>
          </w:p>
        </w:tc>
        <w:tc>
          <w:tcPr>
            <w:tcW w:w="708" w:type="dxa"/>
            <w:tcBorders>
              <w:top w:val="nil"/>
              <w:left w:val="single" w:sz="4" w:space="0" w:color="auto"/>
              <w:bottom w:val="single" w:sz="4" w:space="0" w:color="auto"/>
              <w:right w:val="nil"/>
            </w:tcBorders>
            <w:shd w:val="clear" w:color="auto" w:fill="auto"/>
            <w:noWrap/>
            <w:vAlign w:val="center"/>
          </w:tcPr>
          <w:p w14:paraId="2B5C1054"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96.7</w:t>
            </w:r>
          </w:p>
        </w:tc>
        <w:tc>
          <w:tcPr>
            <w:tcW w:w="1560" w:type="dxa"/>
            <w:vMerge/>
            <w:tcBorders>
              <w:top w:val="nil"/>
              <w:left w:val="nil"/>
              <w:bottom w:val="single" w:sz="4" w:space="0" w:color="000000"/>
              <w:right w:val="single" w:sz="4" w:space="0" w:color="auto"/>
            </w:tcBorders>
            <w:vAlign w:val="center"/>
          </w:tcPr>
          <w:p w14:paraId="05EB374B" w14:textId="77777777" w:rsidR="00CF1BEF" w:rsidRPr="00D0161E" w:rsidRDefault="00CF1BEF" w:rsidP="00D0161E">
            <w:pPr>
              <w:spacing w:line="480" w:lineRule="auto"/>
              <w:rPr>
                <w:rFonts w:cs="Calibri"/>
                <w:color w:val="000000" w:themeColor="text1"/>
                <w:szCs w:val="18"/>
              </w:rPr>
            </w:pPr>
          </w:p>
        </w:tc>
        <w:tc>
          <w:tcPr>
            <w:tcW w:w="1080" w:type="dxa"/>
            <w:tcBorders>
              <w:top w:val="nil"/>
              <w:left w:val="single" w:sz="4" w:space="0" w:color="auto"/>
              <w:bottom w:val="single" w:sz="4" w:space="0" w:color="auto"/>
              <w:right w:val="nil"/>
            </w:tcBorders>
            <w:shd w:val="clear" w:color="auto" w:fill="auto"/>
            <w:noWrap/>
            <w:vAlign w:val="bottom"/>
          </w:tcPr>
          <w:p w14:paraId="2BB4E461"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55AA368D"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single" w:sz="4" w:space="0" w:color="auto"/>
              <w:right w:val="nil"/>
            </w:tcBorders>
            <w:shd w:val="clear" w:color="auto" w:fill="auto"/>
            <w:noWrap/>
            <w:vAlign w:val="bottom"/>
          </w:tcPr>
          <w:p w14:paraId="7DFBACD7"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single" w:sz="4" w:space="0" w:color="auto"/>
            </w:tcBorders>
            <w:vAlign w:val="center"/>
          </w:tcPr>
          <w:p w14:paraId="3B22AA58" w14:textId="77777777" w:rsidR="00CF1BEF" w:rsidRPr="00D0161E" w:rsidRDefault="00CF1BEF" w:rsidP="00D0161E">
            <w:pPr>
              <w:spacing w:line="480" w:lineRule="auto"/>
              <w:rPr>
                <w:rFonts w:cs="Calibri"/>
                <w:color w:val="000000" w:themeColor="text1"/>
                <w:szCs w:val="18"/>
              </w:rPr>
            </w:pPr>
          </w:p>
        </w:tc>
        <w:tc>
          <w:tcPr>
            <w:tcW w:w="1291" w:type="dxa"/>
            <w:tcBorders>
              <w:top w:val="nil"/>
              <w:left w:val="single" w:sz="4" w:space="0" w:color="auto"/>
              <w:bottom w:val="single" w:sz="4" w:space="0" w:color="auto"/>
              <w:right w:val="nil"/>
            </w:tcBorders>
            <w:shd w:val="clear" w:color="auto" w:fill="auto"/>
            <w:noWrap/>
            <w:vAlign w:val="bottom"/>
          </w:tcPr>
          <w:p w14:paraId="3BEDBDB9" w14:textId="77777777" w:rsidR="00CF1BEF" w:rsidRPr="00D0161E" w:rsidRDefault="00CF1BEF" w:rsidP="00D0161E">
            <w:pPr>
              <w:spacing w:line="480" w:lineRule="auto"/>
              <w:rPr>
                <w:rFonts w:cs="Calibri"/>
                <w:color w:val="000000" w:themeColor="text1"/>
                <w:szCs w:val="18"/>
              </w:rPr>
            </w:pPr>
            <w:r w:rsidRPr="00D0161E">
              <w:rPr>
                <w:rFonts w:cs="Calibri"/>
                <w:color w:val="000000" w:themeColor="text1"/>
                <w:szCs w:val="18"/>
              </w:rPr>
              <w:t>100.0</w:t>
            </w:r>
          </w:p>
        </w:tc>
        <w:tc>
          <w:tcPr>
            <w:tcW w:w="1400" w:type="dxa"/>
            <w:vMerge/>
            <w:tcBorders>
              <w:top w:val="nil"/>
              <w:left w:val="nil"/>
              <w:bottom w:val="single" w:sz="4" w:space="0" w:color="000000"/>
              <w:right w:val="nil"/>
            </w:tcBorders>
            <w:vAlign w:val="center"/>
          </w:tcPr>
          <w:p w14:paraId="2A942E30" w14:textId="77777777" w:rsidR="00CF1BEF" w:rsidRPr="00D0161E" w:rsidRDefault="00CF1BEF" w:rsidP="00D0161E">
            <w:pPr>
              <w:spacing w:line="480" w:lineRule="auto"/>
              <w:rPr>
                <w:rFonts w:cs="Calibri"/>
                <w:b/>
                <w:bCs/>
                <w:color w:val="000000" w:themeColor="text1"/>
                <w:szCs w:val="18"/>
              </w:rPr>
            </w:pPr>
          </w:p>
        </w:tc>
      </w:tr>
    </w:tbl>
    <w:p w14:paraId="0C9E0887" w14:textId="77777777" w:rsidR="0095004D" w:rsidRPr="00D0161E" w:rsidRDefault="0095004D" w:rsidP="00D0161E">
      <w:pPr>
        <w:spacing w:line="480" w:lineRule="auto"/>
        <w:rPr>
          <w:b/>
          <w:bCs/>
          <w:color w:val="000000" w:themeColor="text1"/>
        </w:rPr>
      </w:pPr>
    </w:p>
    <w:p w14:paraId="25B9D253" w14:textId="77777777" w:rsidR="0095004D" w:rsidRPr="00D0161E" w:rsidRDefault="0095004D" w:rsidP="00D0161E">
      <w:pPr>
        <w:spacing w:line="480" w:lineRule="auto"/>
        <w:rPr>
          <w:b/>
          <w:bCs/>
          <w:color w:val="000000" w:themeColor="text1"/>
        </w:rPr>
      </w:pPr>
      <w:r w:rsidRPr="00D0161E">
        <w:rPr>
          <w:b/>
          <w:bCs/>
          <w:color w:val="000000" w:themeColor="text1"/>
        </w:rPr>
        <w:br w:type="page"/>
      </w:r>
    </w:p>
    <w:p w14:paraId="64C6853B" w14:textId="35F54967" w:rsidR="002F35EB" w:rsidRPr="00D0161E" w:rsidRDefault="002F35EB" w:rsidP="00D0161E">
      <w:pPr>
        <w:spacing w:line="480" w:lineRule="auto"/>
        <w:rPr>
          <w:color w:val="000000" w:themeColor="text1"/>
        </w:rPr>
      </w:pPr>
      <w:r w:rsidRPr="00D0161E">
        <w:rPr>
          <w:rFonts w:cs="Calibri"/>
          <w:b/>
          <w:bCs/>
          <w:color w:val="000000" w:themeColor="text1"/>
        </w:rPr>
        <w:t>T</w:t>
      </w:r>
      <w:r w:rsidRPr="00D0161E">
        <w:rPr>
          <w:b/>
          <w:bCs/>
          <w:color w:val="000000" w:themeColor="text1"/>
        </w:rPr>
        <w:t xml:space="preserve">able </w:t>
      </w:r>
      <w:proofErr w:type="gramStart"/>
      <w:r w:rsidRPr="00D0161E">
        <w:rPr>
          <w:b/>
          <w:bCs/>
          <w:color w:val="000000" w:themeColor="text1"/>
        </w:rPr>
        <w:t>2</w:t>
      </w:r>
      <w:r w:rsidR="006C52A4">
        <w:rPr>
          <w:b/>
          <w:bCs/>
          <w:color w:val="000000" w:themeColor="text1"/>
        </w:rPr>
        <w:t xml:space="preserve"> </w:t>
      </w:r>
      <w:r w:rsidRPr="00D0161E">
        <w:rPr>
          <w:b/>
          <w:bCs/>
          <w:color w:val="000000" w:themeColor="text1"/>
        </w:rPr>
        <w:t xml:space="preserve"> Effect</w:t>
      </w:r>
      <w:proofErr w:type="gramEnd"/>
      <w:r w:rsidRPr="00D0161E">
        <w:rPr>
          <w:b/>
          <w:bCs/>
          <w:color w:val="000000" w:themeColor="text1"/>
        </w:rPr>
        <w:t xml:space="preserve"> of exposure to </w:t>
      </w:r>
      <w:proofErr w:type="spellStart"/>
      <w:r w:rsidR="00D54567" w:rsidRPr="00D54567">
        <w:rPr>
          <w:b/>
          <w:bCs/>
          <w:color w:val="000000" w:themeColor="text1"/>
        </w:rPr>
        <w:t>Tenebenal</w:t>
      </w:r>
      <w:r w:rsidRPr="00D0161E">
        <w:rPr>
          <w:b/>
          <w:bCs/>
          <w:color w:val="000000" w:themeColor="text1"/>
          <w:vertAlign w:val="superscript"/>
        </w:rPr>
        <w:t>TM</w:t>
      </w:r>
      <w:proofErr w:type="spellEnd"/>
      <w:r w:rsidRPr="00D0161E">
        <w:rPr>
          <w:b/>
          <w:bCs/>
          <w:color w:val="000000" w:themeColor="text1"/>
        </w:rPr>
        <w:t xml:space="preserve"> applied to a filter paper in a WHO tube bioassay on adult female </w:t>
      </w:r>
      <w:r w:rsidR="00C3399B" w:rsidRPr="00D0161E">
        <w:rPr>
          <w:b/>
          <w:bCs/>
          <w:iCs/>
          <w:color w:val="000000" w:themeColor="text1"/>
        </w:rPr>
        <w:t>mosquitoes</w:t>
      </w:r>
    </w:p>
    <w:tbl>
      <w:tblPr>
        <w:tblW w:w="12158" w:type="dxa"/>
        <w:tblLayout w:type="fixed"/>
        <w:tblLook w:val="04A0" w:firstRow="1" w:lastRow="0" w:firstColumn="1" w:lastColumn="0" w:noHBand="0" w:noVBand="1"/>
      </w:tblPr>
      <w:tblGrid>
        <w:gridCol w:w="2268"/>
        <w:gridCol w:w="1638"/>
        <w:gridCol w:w="1173"/>
        <w:gridCol w:w="993"/>
        <w:gridCol w:w="1275"/>
        <w:gridCol w:w="851"/>
        <w:gridCol w:w="1320"/>
        <w:gridCol w:w="1320"/>
        <w:gridCol w:w="1320"/>
      </w:tblGrid>
      <w:tr w:rsidR="002F35EB" w:rsidRPr="00D0161E" w14:paraId="4FD5ACDB" w14:textId="77777777">
        <w:trPr>
          <w:trHeight w:val="300"/>
        </w:trPr>
        <w:tc>
          <w:tcPr>
            <w:tcW w:w="2268" w:type="dxa"/>
            <w:vMerge w:val="restart"/>
            <w:tcBorders>
              <w:top w:val="single" w:sz="4" w:space="0" w:color="auto"/>
              <w:left w:val="nil"/>
              <w:bottom w:val="single" w:sz="4" w:space="0" w:color="000000"/>
              <w:right w:val="nil"/>
            </w:tcBorders>
            <w:shd w:val="clear" w:color="auto" w:fill="auto"/>
            <w:noWrap/>
            <w:vAlign w:val="center"/>
          </w:tcPr>
          <w:p w14:paraId="2EF2026D" w14:textId="77777777" w:rsidR="002F35EB" w:rsidRPr="00D0161E" w:rsidRDefault="00994C95" w:rsidP="00D0161E">
            <w:pPr>
              <w:spacing w:line="480" w:lineRule="auto"/>
              <w:rPr>
                <w:rFonts w:cs="Calibri"/>
                <w:b/>
                <w:bCs/>
                <w:color w:val="000000" w:themeColor="text1"/>
              </w:rPr>
            </w:pPr>
            <w:r w:rsidRPr="00D0161E">
              <w:rPr>
                <w:rFonts w:cs="Calibri"/>
                <w:b/>
                <w:bCs/>
                <w:color w:val="000000" w:themeColor="text1"/>
              </w:rPr>
              <w:t>Strain</w:t>
            </w:r>
          </w:p>
        </w:tc>
        <w:tc>
          <w:tcPr>
            <w:tcW w:w="1638" w:type="dxa"/>
            <w:vMerge w:val="restart"/>
            <w:tcBorders>
              <w:top w:val="single" w:sz="4" w:space="0" w:color="auto"/>
              <w:left w:val="nil"/>
              <w:bottom w:val="single" w:sz="4" w:space="0" w:color="000000"/>
              <w:right w:val="nil"/>
            </w:tcBorders>
            <w:shd w:val="clear" w:color="auto" w:fill="auto"/>
            <w:vAlign w:val="center"/>
          </w:tcPr>
          <w:p w14:paraId="1553C8D9" w14:textId="77777777" w:rsidR="002F35EB" w:rsidRPr="00D0161E" w:rsidRDefault="002F35EB" w:rsidP="00D0161E">
            <w:pPr>
              <w:spacing w:line="480" w:lineRule="auto"/>
              <w:rPr>
                <w:rFonts w:cs="Calibri"/>
                <w:b/>
                <w:bCs/>
                <w:color w:val="000000" w:themeColor="text1"/>
              </w:rPr>
            </w:pPr>
            <w:r w:rsidRPr="00D0161E">
              <w:rPr>
                <w:rFonts w:cs="Calibri"/>
                <w:b/>
                <w:bCs/>
                <w:color w:val="000000" w:themeColor="text1"/>
              </w:rPr>
              <w:t>Concentration (%)</w:t>
            </w:r>
          </w:p>
        </w:tc>
        <w:tc>
          <w:tcPr>
            <w:tcW w:w="4292" w:type="dxa"/>
            <w:gridSpan w:val="4"/>
            <w:tcBorders>
              <w:top w:val="single" w:sz="4" w:space="0" w:color="auto"/>
              <w:left w:val="nil"/>
              <w:bottom w:val="nil"/>
              <w:right w:val="nil"/>
            </w:tcBorders>
            <w:shd w:val="clear" w:color="auto" w:fill="auto"/>
            <w:noWrap/>
            <w:vAlign w:val="center"/>
          </w:tcPr>
          <w:p w14:paraId="4A4CD79E" w14:textId="77777777" w:rsidR="002F35EB" w:rsidRPr="00D0161E" w:rsidRDefault="002F35EB" w:rsidP="00D0161E">
            <w:pPr>
              <w:spacing w:line="480" w:lineRule="auto"/>
              <w:rPr>
                <w:rFonts w:cs="Calibri"/>
                <w:b/>
                <w:bCs/>
                <w:color w:val="000000" w:themeColor="text1"/>
              </w:rPr>
            </w:pPr>
            <w:r w:rsidRPr="00D0161E">
              <w:rPr>
                <w:rFonts w:cs="Calibri"/>
                <w:b/>
                <w:bCs/>
                <w:color w:val="000000" w:themeColor="text1"/>
              </w:rPr>
              <w:t>% Knock down or Mortality</w:t>
            </w:r>
          </w:p>
        </w:tc>
        <w:tc>
          <w:tcPr>
            <w:tcW w:w="1320" w:type="dxa"/>
            <w:tcBorders>
              <w:top w:val="single" w:sz="4" w:space="0" w:color="auto"/>
              <w:left w:val="nil"/>
              <w:right w:val="nil"/>
            </w:tcBorders>
            <w:shd w:val="clear" w:color="auto" w:fill="auto"/>
            <w:noWrap/>
            <w:vAlign w:val="center"/>
          </w:tcPr>
          <w:p w14:paraId="00F89761" w14:textId="77777777" w:rsidR="002F35EB" w:rsidRPr="00D0161E" w:rsidRDefault="002F35EB" w:rsidP="00D0161E">
            <w:pPr>
              <w:spacing w:line="480" w:lineRule="auto"/>
              <w:rPr>
                <w:rFonts w:cs="Calibri"/>
                <w:b/>
                <w:bCs/>
                <w:color w:val="000000" w:themeColor="text1"/>
              </w:rPr>
            </w:pPr>
            <w:r w:rsidRPr="00D0161E">
              <w:rPr>
                <w:rFonts w:cs="Calibri"/>
                <w:b/>
                <w:bCs/>
                <w:color w:val="000000" w:themeColor="text1"/>
              </w:rPr>
              <w:t>Breakpoint 24h</w:t>
            </w:r>
          </w:p>
        </w:tc>
        <w:tc>
          <w:tcPr>
            <w:tcW w:w="1320" w:type="dxa"/>
            <w:tcBorders>
              <w:top w:val="single" w:sz="4" w:space="0" w:color="auto"/>
              <w:left w:val="nil"/>
              <w:right w:val="nil"/>
            </w:tcBorders>
            <w:shd w:val="clear" w:color="auto" w:fill="auto"/>
            <w:noWrap/>
            <w:vAlign w:val="center"/>
          </w:tcPr>
          <w:p w14:paraId="5BD40295" w14:textId="77777777" w:rsidR="002F35EB" w:rsidRPr="00D0161E" w:rsidRDefault="002F35EB" w:rsidP="00D0161E">
            <w:pPr>
              <w:spacing w:line="480" w:lineRule="auto"/>
              <w:rPr>
                <w:rFonts w:cs="Calibri"/>
                <w:b/>
                <w:bCs/>
                <w:color w:val="000000" w:themeColor="text1"/>
              </w:rPr>
            </w:pPr>
            <w:r w:rsidRPr="00D0161E">
              <w:rPr>
                <w:rFonts w:cs="Calibri"/>
                <w:b/>
                <w:bCs/>
                <w:color w:val="000000" w:themeColor="text1"/>
              </w:rPr>
              <w:t>Breakpoint 48h</w:t>
            </w:r>
          </w:p>
        </w:tc>
        <w:tc>
          <w:tcPr>
            <w:tcW w:w="1320" w:type="dxa"/>
            <w:tcBorders>
              <w:top w:val="single" w:sz="4" w:space="0" w:color="auto"/>
              <w:left w:val="nil"/>
              <w:right w:val="nil"/>
            </w:tcBorders>
            <w:shd w:val="clear" w:color="auto" w:fill="auto"/>
            <w:noWrap/>
            <w:vAlign w:val="center"/>
          </w:tcPr>
          <w:p w14:paraId="6F73FD9F" w14:textId="77777777" w:rsidR="002F35EB" w:rsidRPr="00D0161E" w:rsidRDefault="002F35EB" w:rsidP="00D0161E">
            <w:pPr>
              <w:spacing w:line="480" w:lineRule="auto"/>
              <w:rPr>
                <w:rFonts w:cs="Calibri"/>
                <w:b/>
                <w:bCs/>
                <w:color w:val="000000" w:themeColor="text1"/>
              </w:rPr>
            </w:pPr>
            <w:r w:rsidRPr="00D0161E">
              <w:rPr>
                <w:rFonts w:cs="Calibri"/>
                <w:b/>
                <w:bCs/>
                <w:color w:val="000000" w:themeColor="text1"/>
              </w:rPr>
              <w:t>Breakpoint 72h</w:t>
            </w:r>
          </w:p>
        </w:tc>
      </w:tr>
      <w:tr w:rsidR="002F35EB" w:rsidRPr="00D0161E" w14:paraId="76DDD760" w14:textId="77777777">
        <w:trPr>
          <w:trHeight w:val="300"/>
        </w:trPr>
        <w:tc>
          <w:tcPr>
            <w:tcW w:w="2268" w:type="dxa"/>
            <w:vMerge/>
            <w:tcBorders>
              <w:top w:val="nil"/>
              <w:left w:val="nil"/>
              <w:bottom w:val="single" w:sz="4" w:space="0" w:color="000000"/>
              <w:right w:val="nil"/>
            </w:tcBorders>
            <w:vAlign w:val="center"/>
          </w:tcPr>
          <w:p w14:paraId="53551D35" w14:textId="77777777" w:rsidR="002F35EB" w:rsidRPr="00D0161E" w:rsidRDefault="002F35EB" w:rsidP="00D0161E">
            <w:pPr>
              <w:spacing w:line="480" w:lineRule="auto"/>
              <w:rPr>
                <w:rFonts w:cs="Calibri"/>
                <w:b/>
                <w:bCs/>
                <w:color w:val="000000" w:themeColor="text1"/>
              </w:rPr>
            </w:pPr>
          </w:p>
        </w:tc>
        <w:tc>
          <w:tcPr>
            <w:tcW w:w="1638" w:type="dxa"/>
            <w:vMerge/>
            <w:tcBorders>
              <w:top w:val="nil"/>
              <w:left w:val="nil"/>
              <w:bottom w:val="single" w:sz="4" w:space="0" w:color="000000"/>
              <w:right w:val="nil"/>
            </w:tcBorders>
            <w:vAlign w:val="center"/>
          </w:tcPr>
          <w:p w14:paraId="034E5752" w14:textId="77777777" w:rsidR="002F35EB" w:rsidRPr="00D0161E" w:rsidRDefault="002F35EB" w:rsidP="00D0161E">
            <w:pPr>
              <w:spacing w:line="480" w:lineRule="auto"/>
              <w:rPr>
                <w:rFonts w:cs="Calibri"/>
                <w:b/>
                <w:bCs/>
                <w:color w:val="000000" w:themeColor="text1"/>
              </w:rPr>
            </w:pPr>
          </w:p>
        </w:tc>
        <w:tc>
          <w:tcPr>
            <w:tcW w:w="1173" w:type="dxa"/>
            <w:tcBorders>
              <w:top w:val="nil"/>
              <w:left w:val="nil"/>
              <w:bottom w:val="single" w:sz="4" w:space="0" w:color="auto"/>
              <w:right w:val="nil"/>
            </w:tcBorders>
            <w:shd w:val="clear" w:color="auto" w:fill="auto"/>
            <w:noWrap/>
            <w:vAlign w:val="center"/>
          </w:tcPr>
          <w:p w14:paraId="6F7888D4" w14:textId="77777777" w:rsidR="002F35EB" w:rsidRPr="00D0161E" w:rsidRDefault="002F35EB" w:rsidP="00D0161E">
            <w:pPr>
              <w:spacing w:line="480" w:lineRule="auto"/>
              <w:rPr>
                <w:rFonts w:cs="Calibri"/>
                <w:b/>
                <w:bCs/>
                <w:color w:val="000000" w:themeColor="text1"/>
              </w:rPr>
            </w:pPr>
            <w:r w:rsidRPr="00D0161E">
              <w:rPr>
                <w:rFonts w:cs="Calibri"/>
                <w:b/>
                <w:bCs/>
                <w:color w:val="000000" w:themeColor="text1"/>
              </w:rPr>
              <w:t>1h</w:t>
            </w:r>
          </w:p>
        </w:tc>
        <w:tc>
          <w:tcPr>
            <w:tcW w:w="993" w:type="dxa"/>
            <w:tcBorders>
              <w:top w:val="nil"/>
              <w:left w:val="nil"/>
              <w:bottom w:val="single" w:sz="4" w:space="0" w:color="auto"/>
              <w:right w:val="nil"/>
            </w:tcBorders>
            <w:shd w:val="clear" w:color="auto" w:fill="auto"/>
            <w:noWrap/>
            <w:vAlign w:val="center"/>
          </w:tcPr>
          <w:p w14:paraId="7E261504" w14:textId="77777777" w:rsidR="002F35EB" w:rsidRPr="00D0161E" w:rsidRDefault="002F35EB" w:rsidP="00D0161E">
            <w:pPr>
              <w:spacing w:line="480" w:lineRule="auto"/>
              <w:rPr>
                <w:rFonts w:cs="Calibri"/>
                <w:b/>
                <w:bCs/>
                <w:color w:val="000000" w:themeColor="text1"/>
              </w:rPr>
            </w:pPr>
            <w:r w:rsidRPr="00D0161E">
              <w:rPr>
                <w:rFonts w:cs="Calibri"/>
                <w:b/>
                <w:bCs/>
                <w:color w:val="000000" w:themeColor="text1"/>
              </w:rPr>
              <w:t>24h</w:t>
            </w:r>
          </w:p>
        </w:tc>
        <w:tc>
          <w:tcPr>
            <w:tcW w:w="1275" w:type="dxa"/>
            <w:tcBorders>
              <w:top w:val="nil"/>
              <w:left w:val="nil"/>
              <w:bottom w:val="single" w:sz="4" w:space="0" w:color="auto"/>
              <w:right w:val="nil"/>
            </w:tcBorders>
            <w:shd w:val="clear" w:color="auto" w:fill="auto"/>
            <w:noWrap/>
            <w:vAlign w:val="center"/>
          </w:tcPr>
          <w:p w14:paraId="16012FDE" w14:textId="77777777" w:rsidR="002F35EB" w:rsidRPr="00D0161E" w:rsidRDefault="002F35EB" w:rsidP="00D0161E">
            <w:pPr>
              <w:spacing w:line="480" w:lineRule="auto"/>
              <w:rPr>
                <w:rFonts w:cs="Calibri"/>
                <w:b/>
                <w:bCs/>
                <w:color w:val="000000" w:themeColor="text1"/>
              </w:rPr>
            </w:pPr>
            <w:r w:rsidRPr="00D0161E">
              <w:rPr>
                <w:rFonts w:cs="Calibri"/>
                <w:b/>
                <w:bCs/>
                <w:color w:val="000000" w:themeColor="text1"/>
              </w:rPr>
              <w:t>48h</w:t>
            </w:r>
          </w:p>
        </w:tc>
        <w:tc>
          <w:tcPr>
            <w:tcW w:w="851" w:type="dxa"/>
            <w:tcBorders>
              <w:top w:val="nil"/>
              <w:left w:val="nil"/>
              <w:bottom w:val="single" w:sz="4" w:space="0" w:color="auto"/>
              <w:right w:val="nil"/>
            </w:tcBorders>
            <w:shd w:val="clear" w:color="auto" w:fill="auto"/>
            <w:noWrap/>
            <w:vAlign w:val="center"/>
          </w:tcPr>
          <w:p w14:paraId="46962367" w14:textId="77777777" w:rsidR="002F35EB" w:rsidRPr="00D0161E" w:rsidRDefault="002F35EB" w:rsidP="00D0161E">
            <w:pPr>
              <w:spacing w:line="480" w:lineRule="auto"/>
              <w:rPr>
                <w:rFonts w:cs="Calibri"/>
                <w:b/>
                <w:bCs/>
                <w:color w:val="000000" w:themeColor="text1"/>
              </w:rPr>
            </w:pPr>
            <w:r w:rsidRPr="00D0161E">
              <w:rPr>
                <w:rFonts w:cs="Calibri"/>
                <w:b/>
                <w:bCs/>
                <w:color w:val="000000" w:themeColor="text1"/>
              </w:rPr>
              <w:t>72h</w:t>
            </w:r>
          </w:p>
        </w:tc>
        <w:tc>
          <w:tcPr>
            <w:tcW w:w="1320" w:type="dxa"/>
            <w:tcBorders>
              <w:top w:val="nil"/>
              <w:left w:val="nil"/>
              <w:bottom w:val="single" w:sz="4" w:space="0" w:color="auto"/>
              <w:right w:val="nil"/>
            </w:tcBorders>
            <w:vAlign w:val="center"/>
          </w:tcPr>
          <w:p w14:paraId="08D8F266" w14:textId="77777777" w:rsidR="002F35EB" w:rsidRPr="00D0161E" w:rsidRDefault="002F35EB" w:rsidP="00D0161E">
            <w:pPr>
              <w:spacing w:line="480" w:lineRule="auto"/>
              <w:rPr>
                <w:rFonts w:cs="Calibri"/>
                <w:b/>
                <w:bCs/>
                <w:color w:val="000000" w:themeColor="text1"/>
              </w:rPr>
            </w:pPr>
          </w:p>
        </w:tc>
        <w:tc>
          <w:tcPr>
            <w:tcW w:w="1320" w:type="dxa"/>
            <w:tcBorders>
              <w:top w:val="nil"/>
              <w:left w:val="nil"/>
              <w:bottom w:val="single" w:sz="4" w:space="0" w:color="auto"/>
              <w:right w:val="nil"/>
            </w:tcBorders>
            <w:vAlign w:val="center"/>
          </w:tcPr>
          <w:p w14:paraId="05D7ED94" w14:textId="77777777" w:rsidR="002F35EB" w:rsidRPr="00D0161E" w:rsidRDefault="002F35EB" w:rsidP="00D0161E">
            <w:pPr>
              <w:spacing w:line="480" w:lineRule="auto"/>
              <w:rPr>
                <w:rFonts w:cs="Calibri"/>
                <w:b/>
                <w:bCs/>
                <w:color w:val="000000" w:themeColor="text1"/>
              </w:rPr>
            </w:pPr>
          </w:p>
        </w:tc>
        <w:tc>
          <w:tcPr>
            <w:tcW w:w="1320" w:type="dxa"/>
            <w:tcBorders>
              <w:top w:val="nil"/>
              <w:left w:val="nil"/>
              <w:bottom w:val="single" w:sz="4" w:space="0" w:color="auto"/>
              <w:right w:val="nil"/>
            </w:tcBorders>
            <w:vAlign w:val="center"/>
          </w:tcPr>
          <w:p w14:paraId="47C1F4EC" w14:textId="77777777" w:rsidR="002F35EB" w:rsidRPr="00D0161E" w:rsidRDefault="002F35EB" w:rsidP="00D0161E">
            <w:pPr>
              <w:spacing w:line="480" w:lineRule="auto"/>
              <w:rPr>
                <w:rFonts w:cs="Calibri"/>
                <w:b/>
                <w:bCs/>
                <w:color w:val="000000" w:themeColor="text1"/>
              </w:rPr>
            </w:pPr>
          </w:p>
        </w:tc>
      </w:tr>
      <w:tr w:rsidR="002F35EB" w:rsidRPr="00D0161E" w14:paraId="7C9417C7" w14:textId="77777777">
        <w:trPr>
          <w:trHeight w:val="300"/>
        </w:trPr>
        <w:tc>
          <w:tcPr>
            <w:tcW w:w="2268" w:type="dxa"/>
            <w:vMerge w:val="restart"/>
            <w:tcBorders>
              <w:top w:val="nil"/>
              <w:left w:val="nil"/>
              <w:bottom w:val="single" w:sz="4" w:space="0" w:color="000000"/>
              <w:right w:val="nil"/>
            </w:tcBorders>
            <w:shd w:val="clear" w:color="auto" w:fill="auto"/>
            <w:noWrap/>
            <w:vAlign w:val="center"/>
          </w:tcPr>
          <w:p w14:paraId="379C6F51"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Kisumu</w:t>
            </w:r>
          </w:p>
          <w:p w14:paraId="07675091"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w:t>
            </w:r>
            <w:r w:rsidRPr="00D0161E">
              <w:rPr>
                <w:rFonts w:cs="Calibri"/>
                <w:i/>
                <w:iCs/>
                <w:color w:val="000000" w:themeColor="text1"/>
              </w:rPr>
              <w:t>An. gambiae</w:t>
            </w:r>
            <w:r w:rsidRPr="00D0161E">
              <w:rPr>
                <w:rFonts w:cs="Calibri"/>
                <w:color w:val="000000" w:themeColor="text1"/>
              </w:rPr>
              <w:t>)</w:t>
            </w:r>
          </w:p>
        </w:tc>
        <w:tc>
          <w:tcPr>
            <w:tcW w:w="1638" w:type="dxa"/>
            <w:tcBorders>
              <w:top w:val="nil"/>
              <w:left w:val="nil"/>
              <w:bottom w:val="nil"/>
              <w:right w:val="nil"/>
            </w:tcBorders>
            <w:shd w:val="clear" w:color="auto" w:fill="auto"/>
            <w:noWrap/>
            <w:vAlign w:val="bottom"/>
          </w:tcPr>
          <w:p w14:paraId="218A91DC"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w:t>
            </w:r>
          </w:p>
        </w:tc>
        <w:tc>
          <w:tcPr>
            <w:tcW w:w="1173" w:type="dxa"/>
            <w:tcBorders>
              <w:top w:val="nil"/>
              <w:left w:val="nil"/>
              <w:bottom w:val="nil"/>
              <w:right w:val="nil"/>
            </w:tcBorders>
            <w:shd w:val="clear" w:color="auto" w:fill="auto"/>
            <w:noWrap/>
            <w:vAlign w:val="bottom"/>
          </w:tcPr>
          <w:p w14:paraId="5C0A6DD3"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17242DBE"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61FB8FB0"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0AC43F96"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val="restart"/>
            <w:tcBorders>
              <w:top w:val="single" w:sz="4" w:space="0" w:color="auto"/>
              <w:left w:val="nil"/>
              <w:bottom w:val="single" w:sz="4" w:space="0" w:color="000000"/>
              <w:right w:val="nil"/>
            </w:tcBorders>
            <w:shd w:val="clear" w:color="auto" w:fill="auto"/>
            <w:noWrap/>
            <w:vAlign w:val="center"/>
          </w:tcPr>
          <w:p w14:paraId="25C81F82"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320" w:type="dxa"/>
            <w:vMerge w:val="restart"/>
            <w:tcBorders>
              <w:top w:val="single" w:sz="4" w:space="0" w:color="auto"/>
              <w:left w:val="nil"/>
              <w:bottom w:val="single" w:sz="4" w:space="0" w:color="000000"/>
              <w:right w:val="nil"/>
            </w:tcBorders>
            <w:shd w:val="clear" w:color="auto" w:fill="auto"/>
            <w:noWrap/>
            <w:vAlign w:val="center"/>
          </w:tcPr>
          <w:p w14:paraId="096D72AE"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0.0001</w:t>
            </w:r>
          </w:p>
        </w:tc>
        <w:tc>
          <w:tcPr>
            <w:tcW w:w="1320" w:type="dxa"/>
            <w:vMerge w:val="restart"/>
            <w:tcBorders>
              <w:top w:val="single" w:sz="4" w:space="0" w:color="auto"/>
              <w:left w:val="nil"/>
              <w:bottom w:val="single" w:sz="4" w:space="0" w:color="000000"/>
              <w:right w:val="nil"/>
            </w:tcBorders>
            <w:shd w:val="clear" w:color="auto" w:fill="auto"/>
            <w:noWrap/>
            <w:vAlign w:val="center"/>
          </w:tcPr>
          <w:p w14:paraId="46D53662"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&lt;0.00001</w:t>
            </w:r>
          </w:p>
        </w:tc>
      </w:tr>
      <w:tr w:rsidR="002F35EB" w:rsidRPr="00D0161E" w14:paraId="6060F6B2" w14:textId="77777777">
        <w:trPr>
          <w:trHeight w:val="300"/>
        </w:trPr>
        <w:tc>
          <w:tcPr>
            <w:tcW w:w="2268" w:type="dxa"/>
            <w:vMerge/>
            <w:tcBorders>
              <w:top w:val="nil"/>
              <w:left w:val="nil"/>
              <w:bottom w:val="single" w:sz="4" w:space="0" w:color="000000"/>
              <w:right w:val="nil"/>
            </w:tcBorders>
            <w:vAlign w:val="center"/>
          </w:tcPr>
          <w:p w14:paraId="586126C0"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22187E86"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0.1</w:t>
            </w:r>
          </w:p>
        </w:tc>
        <w:tc>
          <w:tcPr>
            <w:tcW w:w="1173" w:type="dxa"/>
            <w:tcBorders>
              <w:top w:val="nil"/>
              <w:left w:val="nil"/>
              <w:bottom w:val="nil"/>
              <w:right w:val="nil"/>
            </w:tcBorders>
            <w:shd w:val="clear" w:color="auto" w:fill="auto"/>
            <w:noWrap/>
            <w:vAlign w:val="bottom"/>
          </w:tcPr>
          <w:p w14:paraId="20BAAE4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4.0</w:t>
            </w:r>
          </w:p>
        </w:tc>
        <w:tc>
          <w:tcPr>
            <w:tcW w:w="993" w:type="dxa"/>
            <w:tcBorders>
              <w:top w:val="nil"/>
              <w:left w:val="nil"/>
              <w:bottom w:val="nil"/>
              <w:right w:val="nil"/>
            </w:tcBorders>
            <w:shd w:val="clear" w:color="auto" w:fill="auto"/>
            <w:noWrap/>
            <w:vAlign w:val="bottom"/>
          </w:tcPr>
          <w:p w14:paraId="34BD8EB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6719255F"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4ABBA95E"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1C5D5EA8"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45050EE6"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6E196C69" w14:textId="77777777" w:rsidR="002F35EB" w:rsidRPr="00D0161E" w:rsidRDefault="002F35EB" w:rsidP="00D0161E">
            <w:pPr>
              <w:spacing w:line="480" w:lineRule="auto"/>
              <w:rPr>
                <w:rFonts w:cs="Calibri"/>
                <w:color w:val="000000" w:themeColor="text1"/>
              </w:rPr>
            </w:pPr>
          </w:p>
        </w:tc>
      </w:tr>
      <w:tr w:rsidR="002F35EB" w:rsidRPr="00D0161E" w14:paraId="2BB87B02" w14:textId="77777777">
        <w:trPr>
          <w:trHeight w:val="300"/>
        </w:trPr>
        <w:tc>
          <w:tcPr>
            <w:tcW w:w="2268" w:type="dxa"/>
            <w:vMerge/>
            <w:tcBorders>
              <w:top w:val="nil"/>
              <w:left w:val="nil"/>
              <w:bottom w:val="single" w:sz="4" w:space="0" w:color="000000"/>
              <w:right w:val="nil"/>
            </w:tcBorders>
            <w:vAlign w:val="center"/>
          </w:tcPr>
          <w:p w14:paraId="02E502EE"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26AE060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0.01</w:t>
            </w:r>
          </w:p>
        </w:tc>
        <w:tc>
          <w:tcPr>
            <w:tcW w:w="1173" w:type="dxa"/>
            <w:tcBorders>
              <w:top w:val="nil"/>
              <w:left w:val="nil"/>
              <w:bottom w:val="nil"/>
              <w:right w:val="nil"/>
            </w:tcBorders>
            <w:shd w:val="clear" w:color="auto" w:fill="auto"/>
            <w:noWrap/>
            <w:vAlign w:val="bottom"/>
          </w:tcPr>
          <w:p w14:paraId="7D2A22C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5484C372"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044ACB3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446234C0"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068E7FB2"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23C59041"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6D3BD71E" w14:textId="77777777" w:rsidR="002F35EB" w:rsidRPr="00D0161E" w:rsidRDefault="002F35EB" w:rsidP="00D0161E">
            <w:pPr>
              <w:spacing w:line="480" w:lineRule="auto"/>
              <w:rPr>
                <w:rFonts w:cs="Calibri"/>
                <w:color w:val="000000" w:themeColor="text1"/>
              </w:rPr>
            </w:pPr>
          </w:p>
        </w:tc>
      </w:tr>
      <w:tr w:rsidR="002F35EB" w:rsidRPr="00D0161E" w14:paraId="0ED3E3F5" w14:textId="77777777">
        <w:trPr>
          <w:trHeight w:val="300"/>
        </w:trPr>
        <w:tc>
          <w:tcPr>
            <w:tcW w:w="2268" w:type="dxa"/>
            <w:vMerge/>
            <w:tcBorders>
              <w:top w:val="nil"/>
              <w:left w:val="nil"/>
              <w:bottom w:val="single" w:sz="4" w:space="0" w:color="000000"/>
              <w:right w:val="nil"/>
            </w:tcBorders>
            <w:vAlign w:val="center"/>
          </w:tcPr>
          <w:p w14:paraId="5F53BEC9"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2ACB14AA"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173" w:type="dxa"/>
            <w:tcBorders>
              <w:top w:val="nil"/>
              <w:left w:val="nil"/>
              <w:bottom w:val="nil"/>
              <w:right w:val="nil"/>
            </w:tcBorders>
            <w:shd w:val="clear" w:color="auto" w:fill="auto"/>
            <w:noWrap/>
            <w:vAlign w:val="bottom"/>
          </w:tcPr>
          <w:p w14:paraId="4BE489F6"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w:t>
            </w:r>
          </w:p>
        </w:tc>
        <w:tc>
          <w:tcPr>
            <w:tcW w:w="993" w:type="dxa"/>
            <w:tcBorders>
              <w:top w:val="nil"/>
              <w:left w:val="nil"/>
              <w:bottom w:val="nil"/>
              <w:right w:val="nil"/>
            </w:tcBorders>
            <w:shd w:val="clear" w:color="auto" w:fill="auto"/>
            <w:noWrap/>
            <w:vAlign w:val="bottom"/>
          </w:tcPr>
          <w:p w14:paraId="198D71CB"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625340E6"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2EEDB4B0"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70398473"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699B18AD"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7E0E8A13" w14:textId="77777777" w:rsidR="002F35EB" w:rsidRPr="00D0161E" w:rsidRDefault="002F35EB" w:rsidP="00D0161E">
            <w:pPr>
              <w:spacing w:line="480" w:lineRule="auto"/>
              <w:rPr>
                <w:rFonts w:cs="Calibri"/>
                <w:color w:val="000000" w:themeColor="text1"/>
              </w:rPr>
            </w:pPr>
          </w:p>
        </w:tc>
      </w:tr>
      <w:tr w:rsidR="002F35EB" w:rsidRPr="00D0161E" w14:paraId="1AD46DE3" w14:textId="77777777">
        <w:trPr>
          <w:trHeight w:val="300"/>
        </w:trPr>
        <w:tc>
          <w:tcPr>
            <w:tcW w:w="2268" w:type="dxa"/>
            <w:vMerge/>
            <w:tcBorders>
              <w:top w:val="nil"/>
              <w:left w:val="nil"/>
              <w:bottom w:val="single" w:sz="4" w:space="0" w:color="000000"/>
              <w:right w:val="nil"/>
            </w:tcBorders>
            <w:vAlign w:val="center"/>
          </w:tcPr>
          <w:p w14:paraId="71DCD497"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3FD4939A"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0.0001</w:t>
            </w:r>
          </w:p>
        </w:tc>
        <w:tc>
          <w:tcPr>
            <w:tcW w:w="1173" w:type="dxa"/>
            <w:tcBorders>
              <w:top w:val="nil"/>
              <w:left w:val="nil"/>
              <w:bottom w:val="nil"/>
              <w:right w:val="nil"/>
            </w:tcBorders>
            <w:shd w:val="clear" w:color="auto" w:fill="auto"/>
            <w:noWrap/>
            <w:vAlign w:val="bottom"/>
          </w:tcPr>
          <w:p w14:paraId="592F4067"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6.7</w:t>
            </w:r>
          </w:p>
        </w:tc>
        <w:tc>
          <w:tcPr>
            <w:tcW w:w="993" w:type="dxa"/>
            <w:tcBorders>
              <w:top w:val="nil"/>
              <w:left w:val="nil"/>
              <w:bottom w:val="nil"/>
              <w:right w:val="nil"/>
            </w:tcBorders>
            <w:shd w:val="clear" w:color="auto" w:fill="auto"/>
            <w:noWrap/>
            <w:vAlign w:val="bottom"/>
          </w:tcPr>
          <w:p w14:paraId="04C697DF"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76.0</w:t>
            </w:r>
          </w:p>
        </w:tc>
        <w:tc>
          <w:tcPr>
            <w:tcW w:w="1275" w:type="dxa"/>
            <w:tcBorders>
              <w:top w:val="nil"/>
              <w:left w:val="nil"/>
              <w:bottom w:val="nil"/>
              <w:right w:val="nil"/>
            </w:tcBorders>
            <w:shd w:val="clear" w:color="auto" w:fill="auto"/>
            <w:noWrap/>
            <w:vAlign w:val="bottom"/>
          </w:tcPr>
          <w:p w14:paraId="51BD016E"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88.0</w:t>
            </w:r>
          </w:p>
        </w:tc>
        <w:tc>
          <w:tcPr>
            <w:tcW w:w="851" w:type="dxa"/>
            <w:tcBorders>
              <w:top w:val="nil"/>
              <w:left w:val="nil"/>
              <w:bottom w:val="nil"/>
              <w:right w:val="nil"/>
            </w:tcBorders>
            <w:shd w:val="clear" w:color="auto" w:fill="auto"/>
            <w:noWrap/>
            <w:vAlign w:val="bottom"/>
          </w:tcPr>
          <w:p w14:paraId="5AECB45F"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92.0</w:t>
            </w:r>
          </w:p>
        </w:tc>
        <w:tc>
          <w:tcPr>
            <w:tcW w:w="1320" w:type="dxa"/>
            <w:vMerge/>
            <w:tcBorders>
              <w:top w:val="nil"/>
              <w:left w:val="nil"/>
              <w:bottom w:val="single" w:sz="4" w:space="0" w:color="000000"/>
              <w:right w:val="nil"/>
            </w:tcBorders>
            <w:vAlign w:val="center"/>
          </w:tcPr>
          <w:p w14:paraId="45D0916E"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6D67F888"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48B675DD" w14:textId="77777777" w:rsidR="002F35EB" w:rsidRPr="00D0161E" w:rsidRDefault="002F35EB" w:rsidP="00D0161E">
            <w:pPr>
              <w:spacing w:line="480" w:lineRule="auto"/>
              <w:rPr>
                <w:rFonts w:cs="Calibri"/>
                <w:color w:val="000000" w:themeColor="text1"/>
              </w:rPr>
            </w:pPr>
          </w:p>
        </w:tc>
      </w:tr>
      <w:tr w:rsidR="002F35EB" w:rsidRPr="00D0161E" w14:paraId="5FAC320A" w14:textId="77777777">
        <w:trPr>
          <w:trHeight w:val="300"/>
        </w:trPr>
        <w:tc>
          <w:tcPr>
            <w:tcW w:w="2268" w:type="dxa"/>
            <w:vMerge/>
            <w:tcBorders>
              <w:top w:val="nil"/>
              <w:left w:val="nil"/>
              <w:bottom w:val="single" w:sz="4" w:space="0" w:color="000000"/>
              <w:right w:val="nil"/>
            </w:tcBorders>
            <w:vAlign w:val="center"/>
          </w:tcPr>
          <w:p w14:paraId="628865B2"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single" w:sz="4" w:space="0" w:color="auto"/>
              <w:right w:val="nil"/>
            </w:tcBorders>
            <w:shd w:val="clear" w:color="auto" w:fill="auto"/>
            <w:noWrap/>
            <w:vAlign w:val="bottom"/>
          </w:tcPr>
          <w:p w14:paraId="25B23B67"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0.00001</w:t>
            </w:r>
          </w:p>
        </w:tc>
        <w:tc>
          <w:tcPr>
            <w:tcW w:w="1173" w:type="dxa"/>
            <w:tcBorders>
              <w:top w:val="nil"/>
              <w:left w:val="nil"/>
              <w:bottom w:val="single" w:sz="4" w:space="0" w:color="auto"/>
              <w:right w:val="nil"/>
            </w:tcBorders>
            <w:shd w:val="clear" w:color="auto" w:fill="auto"/>
            <w:noWrap/>
            <w:vAlign w:val="bottom"/>
          </w:tcPr>
          <w:p w14:paraId="419D9ACF"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single" w:sz="4" w:space="0" w:color="auto"/>
              <w:right w:val="nil"/>
            </w:tcBorders>
            <w:shd w:val="clear" w:color="auto" w:fill="auto"/>
            <w:noWrap/>
            <w:vAlign w:val="bottom"/>
          </w:tcPr>
          <w:p w14:paraId="5648E07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39.3</w:t>
            </w:r>
          </w:p>
        </w:tc>
        <w:tc>
          <w:tcPr>
            <w:tcW w:w="1275" w:type="dxa"/>
            <w:tcBorders>
              <w:top w:val="nil"/>
              <w:left w:val="nil"/>
              <w:bottom w:val="single" w:sz="4" w:space="0" w:color="auto"/>
              <w:right w:val="nil"/>
            </w:tcBorders>
            <w:shd w:val="clear" w:color="auto" w:fill="auto"/>
            <w:noWrap/>
            <w:vAlign w:val="bottom"/>
          </w:tcPr>
          <w:p w14:paraId="44D863AA"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67.9</w:t>
            </w:r>
          </w:p>
        </w:tc>
        <w:tc>
          <w:tcPr>
            <w:tcW w:w="851" w:type="dxa"/>
            <w:tcBorders>
              <w:top w:val="nil"/>
              <w:left w:val="nil"/>
              <w:bottom w:val="single" w:sz="4" w:space="0" w:color="auto"/>
              <w:right w:val="nil"/>
            </w:tcBorders>
            <w:shd w:val="clear" w:color="auto" w:fill="auto"/>
            <w:noWrap/>
            <w:vAlign w:val="bottom"/>
          </w:tcPr>
          <w:p w14:paraId="3C74453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82.1</w:t>
            </w:r>
          </w:p>
        </w:tc>
        <w:tc>
          <w:tcPr>
            <w:tcW w:w="1320" w:type="dxa"/>
            <w:vMerge/>
            <w:tcBorders>
              <w:top w:val="nil"/>
              <w:left w:val="nil"/>
              <w:bottom w:val="single" w:sz="4" w:space="0" w:color="000000"/>
              <w:right w:val="nil"/>
            </w:tcBorders>
            <w:vAlign w:val="center"/>
          </w:tcPr>
          <w:p w14:paraId="538FAA91"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498F4BE0"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195EA9FE" w14:textId="77777777" w:rsidR="002F35EB" w:rsidRPr="00D0161E" w:rsidRDefault="002F35EB" w:rsidP="00D0161E">
            <w:pPr>
              <w:spacing w:line="480" w:lineRule="auto"/>
              <w:rPr>
                <w:rFonts w:cs="Calibri"/>
                <w:color w:val="000000" w:themeColor="text1"/>
              </w:rPr>
            </w:pPr>
          </w:p>
        </w:tc>
      </w:tr>
      <w:tr w:rsidR="002F35EB" w:rsidRPr="00D0161E" w14:paraId="4106403D" w14:textId="77777777">
        <w:trPr>
          <w:trHeight w:val="300"/>
        </w:trPr>
        <w:tc>
          <w:tcPr>
            <w:tcW w:w="2268" w:type="dxa"/>
            <w:vMerge w:val="restart"/>
            <w:tcBorders>
              <w:top w:val="nil"/>
              <w:left w:val="nil"/>
              <w:bottom w:val="single" w:sz="4" w:space="0" w:color="000000"/>
              <w:right w:val="nil"/>
            </w:tcBorders>
            <w:shd w:val="clear" w:color="auto" w:fill="auto"/>
            <w:noWrap/>
            <w:vAlign w:val="center"/>
          </w:tcPr>
          <w:p w14:paraId="6C088F62"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Kisumu RDL</w:t>
            </w:r>
          </w:p>
          <w:p w14:paraId="1F719612"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w:t>
            </w:r>
            <w:r w:rsidRPr="00D0161E">
              <w:rPr>
                <w:rFonts w:cs="Calibri"/>
                <w:i/>
                <w:iCs/>
                <w:color w:val="000000" w:themeColor="text1"/>
              </w:rPr>
              <w:t>An. gambiae</w:t>
            </w:r>
            <w:r w:rsidRPr="00D0161E">
              <w:rPr>
                <w:rFonts w:cs="Calibri"/>
                <w:color w:val="000000" w:themeColor="text1"/>
              </w:rPr>
              <w:t>)</w:t>
            </w:r>
          </w:p>
        </w:tc>
        <w:tc>
          <w:tcPr>
            <w:tcW w:w="1638" w:type="dxa"/>
            <w:tcBorders>
              <w:top w:val="nil"/>
              <w:left w:val="nil"/>
              <w:bottom w:val="nil"/>
              <w:right w:val="nil"/>
            </w:tcBorders>
            <w:shd w:val="clear" w:color="auto" w:fill="auto"/>
            <w:noWrap/>
            <w:vAlign w:val="bottom"/>
          </w:tcPr>
          <w:p w14:paraId="6396E091"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w:t>
            </w:r>
          </w:p>
        </w:tc>
        <w:tc>
          <w:tcPr>
            <w:tcW w:w="1173" w:type="dxa"/>
            <w:tcBorders>
              <w:top w:val="nil"/>
              <w:left w:val="nil"/>
              <w:bottom w:val="nil"/>
              <w:right w:val="nil"/>
            </w:tcBorders>
            <w:shd w:val="clear" w:color="auto" w:fill="auto"/>
            <w:noWrap/>
            <w:vAlign w:val="bottom"/>
          </w:tcPr>
          <w:p w14:paraId="2E320513"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4FF9810B"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31D8665A"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55DB5EF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val="restart"/>
            <w:tcBorders>
              <w:top w:val="nil"/>
              <w:left w:val="nil"/>
              <w:bottom w:val="single" w:sz="4" w:space="0" w:color="000000"/>
              <w:right w:val="nil"/>
            </w:tcBorders>
            <w:shd w:val="clear" w:color="auto" w:fill="auto"/>
            <w:noWrap/>
            <w:vAlign w:val="center"/>
          </w:tcPr>
          <w:p w14:paraId="5BD7F703"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320" w:type="dxa"/>
            <w:vMerge w:val="restart"/>
            <w:tcBorders>
              <w:top w:val="nil"/>
              <w:left w:val="nil"/>
              <w:bottom w:val="single" w:sz="4" w:space="0" w:color="000000"/>
              <w:right w:val="nil"/>
            </w:tcBorders>
            <w:shd w:val="clear" w:color="auto" w:fill="auto"/>
            <w:noWrap/>
            <w:vAlign w:val="center"/>
          </w:tcPr>
          <w:p w14:paraId="072C058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320" w:type="dxa"/>
            <w:vMerge w:val="restart"/>
            <w:tcBorders>
              <w:top w:val="nil"/>
              <w:left w:val="nil"/>
              <w:bottom w:val="single" w:sz="4" w:space="0" w:color="000000"/>
              <w:right w:val="nil"/>
            </w:tcBorders>
            <w:shd w:val="clear" w:color="auto" w:fill="auto"/>
            <w:noWrap/>
            <w:vAlign w:val="center"/>
          </w:tcPr>
          <w:p w14:paraId="3EDD0B46"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r>
      <w:tr w:rsidR="002F35EB" w:rsidRPr="00D0161E" w14:paraId="131FF456" w14:textId="77777777">
        <w:trPr>
          <w:trHeight w:val="300"/>
        </w:trPr>
        <w:tc>
          <w:tcPr>
            <w:tcW w:w="2268" w:type="dxa"/>
            <w:vMerge/>
            <w:tcBorders>
              <w:top w:val="nil"/>
              <w:left w:val="nil"/>
              <w:bottom w:val="single" w:sz="4" w:space="0" w:color="000000"/>
              <w:right w:val="nil"/>
            </w:tcBorders>
            <w:vAlign w:val="center"/>
          </w:tcPr>
          <w:p w14:paraId="27DB4CC3"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231C9E32"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0.1</w:t>
            </w:r>
          </w:p>
        </w:tc>
        <w:tc>
          <w:tcPr>
            <w:tcW w:w="1173" w:type="dxa"/>
            <w:tcBorders>
              <w:top w:val="nil"/>
              <w:left w:val="nil"/>
              <w:bottom w:val="nil"/>
              <w:right w:val="nil"/>
            </w:tcBorders>
            <w:shd w:val="clear" w:color="auto" w:fill="auto"/>
            <w:noWrap/>
            <w:vAlign w:val="bottom"/>
          </w:tcPr>
          <w:p w14:paraId="1BEDB756"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3.2</w:t>
            </w:r>
          </w:p>
        </w:tc>
        <w:tc>
          <w:tcPr>
            <w:tcW w:w="993" w:type="dxa"/>
            <w:tcBorders>
              <w:top w:val="nil"/>
              <w:left w:val="nil"/>
              <w:bottom w:val="nil"/>
              <w:right w:val="nil"/>
            </w:tcBorders>
            <w:shd w:val="clear" w:color="auto" w:fill="auto"/>
            <w:noWrap/>
            <w:vAlign w:val="bottom"/>
          </w:tcPr>
          <w:p w14:paraId="099F298C"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3A09A86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1F8DD793"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1F93F4AD"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0A1E5543"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48B99899" w14:textId="77777777" w:rsidR="002F35EB" w:rsidRPr="00D0161E" w:rsidRDefault="002F35EB" w:rsidP="00D0161E">
            <w:pPr>
              <w:spacing w:line="480" w:lineRule="auto"/>
              <w:rPr>
                <w:rFonts w:cs="Calibri"/>
                <w:color w:val="000000" w:themeColor="text1"/>
              </w:rPr>
            </w:pPr>
          </w:p>
        </w:tc>
      </w:tr>
      <w:tr w:rsidR="002F35EB" w:rsidRPr="00D0161E" w14:paraId="46A71D39" w14:textId="77777777">
        <w:trPr>
          <w:trHeight w:val="300"/>
        </w:trPr>
        <w:tc>
          <w:tcPr>
            <w:tcW w:w="2268" w:type="dxa"/>
            <w:vMerge/>
            <w:tcBorders>
              <w:top w:val="nil"/>
              <w:left w:val="nil"/>
              <w:bottom w:val="single" w:sz="4" w:space="0" w:color="000000"/>
              <w:right w:val="nil"/>
            </w:tcBorders>
            <w:vAlign w:val="center"/>
          </w:tcPr>
          <w:p w14:paraId="4BED370C"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66659CDA"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0.01</w:t>
            </w:r>
          </w:p>
        </w:tc>
        <w:tc>
          <w:tcPr>
            <w:tcW w:w="1173" w:type="dxa"/>
            <w:tcBorders>
              <w:top w:val="nil"/>
              <w:left w:val="nil"/>
              <w:bottom w:val="nil"/>
              <w:right w:val="nil"/>
            </w:tcBorders>
            <w:shd w:val="clear" w:color="auto" w:fill="auto"/>
            <w:noWrap/>
            <w:vAlign w:val="bottom"/>
          </w:tcPr>
          <w:p w14:paraId="633F3AB3"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0BBBC743"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3DD80DD6"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2497A2EF"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68527CA5"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3F84AD45"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5FF7F60C" w14:textId="77777777" w:rsidR="002F35EB" w:rsidRPr="00D0161E" w:rsidRDefault="002F35EB" w:rsidP="00D0161E">
            <w:pPr>
              <w:spacing w:line="480" w:lineRule="auto"/>
              <w:rPr>
                <w:rFonts w:cs="Calibri"/>
                <w:color w:val="000000" w:themeColor="text1"/>
              </w:rPr>
            </w:pPr>
          </w:p>
        </w:tc>
      </w:tr>
      <w:tr w:rsidR="002F35EB" w:rsidRPr="00D0161E" w14:paraId="78668CCD" w14:textId="77777777">
        <w:trPr>
          <w:trHeight w:val="300"/>
        </w:trPr>
        <w:tc>
          <w:tcPr>
            <w:tcW w:w="2268" w:type="dxa"/>
            <w:vMerge/>
            <w:tcBorders>
              <w:top w:val="nil"/>
              <w:left w:val="nil"/>
              <w:bottom w:val="single" w:sz="4" w:space="0" w:color="000000"/>
              <w:right w:val="nil"/>
            </w:tcBorders>
            <w:vAlign w:val="center"/>
          </w:tcPr>
          <w:p w14:paraId="1418FF02"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1DFBA767"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173" w:type="dxa"/>
            <w:tcBorders>
              <w:top w:val="nil"/>
              <w:left w:val="nil"/>
              <w:bottom w:val="nil"/>
              <w:right w:val="nil"/>
            </w:tcBorders>
            <w:shd w:val="clear" w:color="auto" w:fill="auto"/>
            <w:noWrap/>
            <w:vAlign w:val="bottom"/>
          </w:tcPr>
          <w:p w14:paraId="5A51CC52"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0F183E9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302596F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2D1D94D1"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62E2DEE7"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348E40F9"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505F705D" w14:textId="77777777" w:rsidR="002F35EB" w:rsidRPr="00D0161E" w:rsidRDefault="002F35EB" w:rsidP="00D0161E">
            <w:pPr>
              <w:spacing w:line="480" w:lineRule="auto"/>
              <w:rPr>
                <w:rFonts w:cs="Calibri"/>
                <w:color w:val="000000" w:themeColor="text1"/>
              </w:rPr>
            </w:pPr>
          </w:p>
        </w:tc>
      </w:tr>
      <w:tr w:rsidR="002F35EB" w:rsidRPr="00D0161E" w14:paraId="02A352EE" w14:textId="77777777">
        <w:trPr>
          <w:trHeight w:val="300"/>
        </w:trPr>
        <w:tc>
          <w:tcPr>
            <w:tcW w:w="2268" w:type="dxa"/>
            <w:vMerge/>
            <w:tcBorders>
              <w:top w:val="nil"/>
              <w:left w:val="nil"/>
              <w:bottom w:val="single" w:sz="4" w:space="0" w:color="000000"/>
              <w:right w:val="nil"/>
            </w:tcBorders>
            <w:vAlign w:val="center"/>
          </w:tcPr>
          <w:p w14:paraId="11349FB1"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2ADF0FA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0.0001</w:t>
            </w:r>
          </w:p>
        </w:tc>
        <w:tc>
          <w:tcPr>
            <w:tcW w:w="1173" w:type="dxa"/>
            <w:tcBorders>
              <w:top w:val="nil"/>
              <w:left w:val="nil"/>
              <w:bottom w:val="nil"/>
              <w:right w:val="nil"/>
            </w:tcBorders>
            <w:shd w:val="clear" w:color="auto" w:fill="auto"/>
            <w:noWrap/>
            <w:vAlign w:val="bottom"/>
          </w:tcPr>
          <w:p w14:paraId="4A688F60"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28512C92"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65.4</w:t>
            </w:r>
          </w:p>
        </w:tc>
        <w:tc>
          <w:tcPr>
            <w:tcW w:w="1275" w:type="dxa"/>
            <w:tcBorders>
              <w:top w:val="nil"/>
              <w:left w:val="nil"/>
              <w:bottom w:val="nil"/>
              <w:right w:val="nil"/>
            </w:tcBorders>
            <w:shd w:val="clear" w:color="auto" w:fill="auto"/>
            <w:noWrap/>
            <w:vAlign w:val="bottom"/>
          </w:tcPr>
          <w:p w14:paraId="4D27969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68.9</w:t>
            </w:r>
          </w:p>
        </w:tc>
        <w:tc>
          <w:tcPr>
            <w:tcW w:w="851" w:type="dxa"/>
            <w:tcBorders>
              <w:top w:val="nil"/>
              <w:left w:val="nil"/>
              <w:bottom w:val="nil"/>
              <w:right w:val="nil"/>
            </w:tcBorders>
            <w:shd w:val="clear" w:color="auto" w:fill="auto"/>
            <w:noWrap/>
            <w:vAlign w:val="bottom"/>
          </w:tcPr>
          <w:p w14:paraId="02C8BF27"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49.8</w:t>
            </w:r>
          </w:p>
        </w:tc>
        <w:tc>
          <w:tcPr>
            <w:tcW w:w="1320" w:type="dxa"/>
            <w:vMerge/>
            <w:tcBorders>
              <w:top w:val="nil"/>
              <w:left w:val="nil"/>
              <w:bottom w:val="single" w:sz="4" w:space="0" w:color="000000"/>
              <w:right w:val="nil"/>
            </w:tcBorders>
            <w:vAlign w:val="center"/>
          </w:tcPr>
          <w:p w14:paraId="6A59F9A8"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18CB8E9B"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542AA25B" w14:textId="77777777" w:rsidR="002F35EB" w:rsidRPr="00D0161E" w:rsidRDefault="002F35EB" w:rsidP="00D0161E">
            <w:pPr>
              <w:spacing w:line="480" w:lineRule="auto"/>
              <w:rPr>
                <w:rFonts w:cs="Calibri"/>
                <w:color w:val="000000" w:themeColor="text1"/>
              </w:rPr>
            </w:pPr>
          </w:p>
        </w:tc>
      </w:tr>
      <w:tr w:rsidR="002F35EB" w:rsidRPr="00D0161E" w14:paraId="5F4F03C0" w14:textId="77777777">
        <w:trPr>
          <w:trHeight w:val="300"/>
        </w:trPr>
        <w:tc>
          <w:tcPr>
            <w:tcW w:w="2268" w:type="dxa"/>
            <w:vMerge/>
            <w:tcBorders>
              <w:top w:val="nil"/>
              <w:left w:val="nil"/>
              <w:bottom w:val="single" w:sz="4" w:space="0" w:color="000000"/>
              <w:right w:val="nil"/>
            </w:tcBorders>
            <w:vAlign w:val="center"/>
          </w:tcPr>
          <w:p w14:paraId="4EB12E15"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single" w:sz="4" w:space="0" w:color="auto"/>
              <w:right w:val="nil"/>
            </w:tcBorders>
            <w:shd w:val="clear" w:color="auto" w:fill="auto"/>
            <w:noWrap/>
            <w:vAlign w:val="bottom"/>
          </w:tcPr>
          <w:p w14:paraId="7E41A941"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0.00001</w:t>
            </w:r>
          </w:p>
        </w:tc>
        <w:tc>
          <w:tcPr>
            <w:tcW w:w="1173" w:type="dxa"/>
            <w:tcBorders>
              <w:top w:val="nil"/>
              <w:left w:val="nil"/>
              <w:bottom w:val="single" w:sz="4" w:space="0" w:color="auto"/>
              <w:right w:val="nil"/>
            </w:tcBorders>
            <w:shd w:val="clear" w:color="auto" w:fill="auto"/>
            <w:noWrap/>
            <w:vAlign w:val="bottom"/>
          </w:tcPr>
          <w:p w14:paraId="38071A5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single" w:sz="4" w:space="0" w:color="auto"/>
              <w:right w:val="nil"/>
            </w:tcBorders>
            <w:shd w:val="clear" w:color="auto" w:fill="auto"/>
            <w:noWrap/>
            <w:vAlign w:val="bottom"/>
          </w:tcPr>
          <w:p w14:paraId="038AAC5E"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1275" w:type="dxa"/>
            <w:tcBorders>
              <w:top w:val="nil"/>
              <w:left w:val="nil"/>
              <w:bottom w:val="single" w:sz="4" w:space="0" w:color="auto"/>
              <w:right w:val="nil"/>
            </w:tcBorders>
            <w:shd w:val="clear" w:color="auto" w:fill="auto"/>
            <w:noWrap/>
            <w:vAlign w:val="bottom"/>
          </w:tcPr>
          <w:p w14:paraId="7A033211"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25.0</w:t>
            </w:r>
          </w:p>
        </w:tc>
        <w:tc>
          <w:tcPr>
            <w:tcW w:w="851" w:type="dxa"/>
            <w:tcBorders>
              <w:top w:val="nil"/>
              <w:left w:val="nil"/>
              <w:bottom w:val="single" w:sz="4" w:space="0" w:color="auto"/>
              <w:right w:val="nil"/>
            </w:tcBorders>
            <w:shd w:val="clear" w:color="auto" w:fill="auto"/>
            <w:noWrap/>
            <w:vAlign w:val="bottom"/>
          </w:tcPr>
          <w:p w14:paraId="67A49E8C"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11.0</w:t>
            </w:r>
          </w:p>
        </w:tc>
        <w:tc>
          <w:tcPr>
            <w:tcW w:w="1320" w:type="dxa"/>
            <w:vMerge/>
            <w:tcBorders>
              <w:top w:val="nil"/>
              <w:left w:val="nil"/>
              <w:bottom w:val="single" w:sz="4" w:space="0" w:color="000000"/>
              <w:right w:val="nil"/>
            </w:tcBorders>
            <w:vAlign w:val="center"/>
          </w:tcPr>
          <w:p w14:paraId="3163621D"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4CB7B2AC"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3E4E5CE8" w14:textId="77777777" w:rsidR="002F35EB" w:rsidRPr="00D0161E" w:rsidRDefault="002F35EB" w:rsidP="00D0161E">
            <w:pPr>
              <w:spacing w:line="480" w:lineRule="auto"/>
              <w:rPr>
                <w:rFonts w:cs="Calibri"/>
                <w:color w:val="000000" w:themeColor="text1"/>
              </w:rPr>
            </w:pPr>
          </w:p>
        </w:tc>
      </w:tr>
      <w:tr w:rsidR="002F35EB" w:rsidRPr="00D0161E" w14:paraId="410266DD" w14:textId="77777777">
        <w:trPr>
          <w:trHeight w:val="300"/>
        </w:trPr>
        <w:tc>
          <w:tcPr>
            <w:tcW w:w="2268" w:type="dxa"/>
            <w:vMerge w:val="restart"/>
            <w:tcBorders>
              <w:top w:val="nil"/>
              <w:left w:val="nil"/>
              <w:bottom w:val="nil"/>
              <w:right w:val="nil"/>
            </w:tcBorders>
            <w:shd w:val="clear" w:color="auto" w:fill="auto"/>
            <w:noWrap/>
            <w:vAlign w:val="center"/>
          </w:tcPr>
          <w:p w14:paraId="754FC3EC"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Akron</w:t>
            </w:r>
          </w:p>
          <w:p w14:paraId="101C3983"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w:t>
            </w:r>
            <w:r w:rsidRPr="00D0161E">
              <w:rPr>
                <w:rFonts w:cs="Calibri"/>
                <w:i/>
                <w:iCs/>
                <w:color w:val="000000" w:themeColor="text1"/>
              </w:rPr>
              <w:t>An. gambiae</w:t>
            </w:r>
            <w:r w:rsidRPr="00D0161E">
              <w:rPr>
                <w:rFonts w:cs="Calibri"/>
                <w:color w:val="000000" w:themeColor="text1"/>
              </w:rPr>
              <w:t>)</w:t>
            </w:r>
          </w:p>
        </w:tc>
        <w:tc>
          <w:tcPr>
            <w:tcW w:w="1638" w:type="dxa"/>
            <w:tcBorders>
              <w:top w:val="nil"/>
              <w:left w:val="nil"/>
              <w:bottom w:val="nil"/>
              <w:right w:val="nil"/>
            </w:tcBorders>
            <w:shd w:val="clear" w:color="auto" w:fill="auto"/>
            <w:noWrap/>
            <w:vAlign w:val="bottom"/>
          </w:tcPr>
          <w:p w14:paraId="25D704F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w:t>
            </w:r>
          </w:p>
        </w:tc>
        <w:tc>
          <w:tcPr>
            <w:tcW w:w="1173" w:type="dxa"/>
            <w:tcBorders>
              <w:top w:val="nil"/>
              <w:left w:val="nil"/>
              <w:bottom w:val="nil"/>
              <w:right w:val="nil"/>
            </w:tcBorders>
            <w:shd w:val="clear" w:color="auto" w:fill="auto"/>
            <w:noWrap/>
            <w:vAlign w:val="bottom"/>
          </w:tcPr>
          <w:p w14:paraId="44E688A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5.6</w:t>
            </w:r>
          </w:p>
        </w:tc>
        <w:tc>
          <w:tcPr>
            <w:tcW w:w="993" w:type="dxa"/>
            <w:tcBorders>
              <w:top w:val="nil"/>
              <w:left w:val="nil"/>
              <w:bottom w:val="nil"/>
              <w:right w:val="nil"/>
            </w:tcBorders>
            <w:shd w:val="clear" w:color="auto" w:fill="auto"/>
            <w:noWrap/>
            <w:vAlign w:val="bottom"/>
          </w:tcPr>
          <w:p w14:paraId="5B14E0A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4AFB682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29D7287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val="restart"/>
            <w:tcBorders>
              <w:top w:val="nil"/>
              <w:left w:val="nil"/>
              <w:bottom w:val="single" w:sz="4" w:space="0" w:color="000000"/>
              <w:right w:val="nil"/>
            </w:tcBorders>
            <w:shd w:val="clear" w:color="auto" w:fill="auto"/>
            <w:noWrap/>
            <w:vAlign w:val="center"/>
          </w:tcPr>
          <w:p w14:paraId="3E38FD1B"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320" w:type="dxa"/>
            <w:vMerge w:val="restart"/>
            <w:tcBorders>
              <w:top w:val="nil"/>
              <w:left w:val="nil"/>
              <w:bottom w:val="single" w:sz="4" w:space="0" w:color="000000"/>
              <w:right w:val="nil"/>
            </w:tcBorders>
            <w:shd w:val="clear" w:color="auto" w:fill="auto"/>
            <w:noWrap/>
            <w:vAlign w:val="center"/>
          </w:tcPr>
          <w:p w14:paraId="2B52C967"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320" w:type="dxa"/>
            <w:vMerge w:val="restart"/>
            <w:tcBorders>
              <w:top w:val="nil"/>
              <w:left w:val="nil"/>
              <w:bottom w:val="single" w:sz="4" w:space="0" w:color="000000"/>
              <w:right w:val="nil"/>
            </w:tcBorders>
            <w:shd w:val="clear" w:color="auto" w:fill="auto"/>
            <w:noWrap/>
            <w:vAlign w:val="center"/>
          </w:tcPr>
          <w:p w14:paraId="2205510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r>
      <w:tr w:rsidR="002F35EB" w:rsidRPr="00D0161E" w14:paraId="1C13E9A2" w14:textId="77777777">
        <w:trPr>
          <w:trHeight w:val="300"/>
        </w:trPr>
        <w:tc>
          <w:tcPr>
            <w:tcW w:w="2268" w:type="dxa"/>
            <w:vMerge/>
            <w:tcBorders>
              <w:top w:val="nil"/>
              <w:left w:val="nil"/>
              <w:bottom w:val="nil"/>
              <w:right w:val="nil"/>
            </w:tcBorders>
            <w:vAlign w:val="center"/>
          </w:tcPr>
          <w:p w14:paraId="143106A7"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37D8EA6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0.1</w:t>
            </w:r>
          </w:p>
        </w:tc>
        <w:tc>
          <w:tcPr>
            <w:tcW w:w="1173" w:type="dxa"/>
            <w:tcBorders>
              <w:top w:val="nil"/>
              <w:left w:val="nil"/>
              <w:bottom w:val="nil"/>
              <w:right w:val="nil"/>
            </w:tcBorders>
            <w:shd w:val="clear" w:color="auto" w:fill="auto"/>
            <w:noWrap/>
            <w:vAlign w:val="bottom"/>
          </w:tcPr>
          <w:p w14:paraId="17A4E13C"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2B618BA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5837126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53C9F4F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05C7E275"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6047487E"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29B4E723" w14:textId="77777777" w:rsidR="002F35EB" w:rsidRPr="00D0161E" w:rsidRDefault="002F35EB" w:rsidP="00D0161E">
            <w:pPr>
              <w:spacing w:line="480" w:lineRule="auto"/>
              <w:rPr>
                <w:rFonts w:cs="Calibri"/>
                <w:color w:val="000000" w:themeColor="text1"/>
              </w:rPr>
            </w:pPr>
          </w:p>
        </w:tc>
      </w:tr>
      <w:tr w:rsidR="002F35EB" w:rsidRPr="00D0161E" w14:paraId="03223DF5" w14:textId="77777777">
        <w:trPr>
          <w:trHeight w:val="300"/>
        </w:trPr>
        <w:tc>
          <w:tcPr>
            <w:tcW w:w="2268" w:type="dxa"/>
            <w:vMerge/>
            <w:tcBorders>
              <w:top w:val="nil"/>
              <w:left w:val="nil"/>
              <w:bottom w:val="nil"/>
              <w:right w:val="nil"/>
            </w:tcBorders>
            <w:vAlign w:val="center"/>
          </w:tcPr>
          <w:p w14:paraId="42F69D01"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09F20F33"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0.01</w:t>
            </w:r>
          </w:p>
        </w:tc>
        <w:tc>
          <w:tcPr>
            <w:tcW w:w="1173" w:type="dxa"/>
            <w:tcBorders>
              <w:top w:val="nil"/>
              <w:left w:val="nil"/>
              <w:bottom w:val="nil"/>
              <w:right w:val="nil"/>
            </w:tcBorders>
            <w:shd w:val="clear" w:color="auto" w:fill="auto"/>
            <w:noWrap/>
            <w:vAlign w:val="bottom"/>
          </w:tcPr>
          <w:p w14:paraId="263DD73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5.6</w:t>
            </w:r>
          </w:p>
        </w:tc>
        <w:tc>
          <w:tcPr>
            <w:tcW w:w="993" w:type="dxa"/>
            <w:tcBorders>
              <w:top w:val="nil"/>
              <w:left w:val="nil"/>
              <w:bottom w:val="nil"/>
              <w:right w:val="nil"/>
            </w:tcBorders>
            <w:shd w:val="clear" w:color="auto" w:fill="auto"/>
            <w:noWrap/>
            <w:vAlign w:val="bottom"/>
          </w:tcPr>
          <w:p w14:paraId="2D7641F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2CCD19D7"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53650BAB"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667D92A9"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7A703AAD"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3E880485" w14:textId="77777777" w:rsidR="002F35EB" w:rsidRPr="00D0161E" w:rsidRDefault="002F35EB" w:rsidP="00D0161E">
            <w:pPr>
              <w:spacing w:line="480" w:lineRule="auto"/>
              <w:rPr>
                <w:rFonts w:cs="Calibri"/>
                <w:color w:val="000000" w:themeColor="text1"/>
              </w:rPr>
            </w:pPr>
          </w:p>
        </w:tc>
      </w:tr>
      <w:tr w:rsidR="002F35EB" w:rsidRPr="00D0161E" w14:paraId="2F11CE5B" w14:textId="77777777">
        <w:trPr>
          <w:trHeight w:val="300"/>
        </w:trPr>
        <w:tc>
          <w:tcPr>
            <w:tcW w:w="2268" w:type="dxa"/>
            <w:vMerge/>
            <w:tcBorders>
              <w:top w:val="nil"/>
              <w:left w:val="nil"/>
              <w:bottom w:val="nil"/>
              <w:right w:val="nil"/>
            </w:tcBorders>
            <w:vAlign w:val="center"/>
          </w:tcPr>
          <w:p w14:paraId="53AF9919"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12913DA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173" w:type="dxa"/>
            <w:tcBorders>
              <w:top w:val="nil"/>
              <w:left w:val="nil"/>
              <w:bottom w:val="nil"/>
              <w:right w:val="nil"/>
            </w:tcBorders>
            <w:shd w:val="clear" w:color="auto" w:fill="auto"/>
            <w:noWrap/>
            <w:vAlign w:val="bottom"/>
          </w:tcPr>
          <w:p w14:paraId="68F74440"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71022C81"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7B72483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6A499A2E"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24ACD112"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14DD6AC5"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0D55C922" w14:textId="77777777" w:rsidR="002F35EB" w:rsidRPr="00D0161E" w:rsidRDefault="002F35EB" w:rsidP="00D0161E">
            <w:pPr>
              <w:spacing w:line="480" w:lineRule="auto"/>
              <w:rPr>
                <w:rFonts w:cs="Calibri"/>
                <w:color w:val="000000" w:themeColor="text1"/>
              </w:rPr>
            </w:pPr>
          </w:p>
        </w:tc>
      </w:tr>
      <w:tr w:rsidR="002F35EB" w:rsidRPr="00D0161E" w14:paraId="106CB497" w14:textId="77777777">
        <w:trPr>
          <w:trHeight w:val="300"/>
        </w:trPr>
        <w:tc>
          <w:tcPr>
            <w:tcW w:w="2268" w:type="dxa"/>
            <w:vMerge/>
            <w:tcBorders>
              <w:top w:val="nil"/>
              <w:left w:val="nil"/>
              <w:bottom w:val="nil"/>
              <w:right w:val="nil"/>
            </w:tcBorders>
            <w:vAlign w:val="center"/>
          </w:tcPr>
          <w:p w14:paraId="59264AF4"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2D1660F0"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0.0001</w:t>
            </w:r>
          </w:p>
        </w:tc>
        <w:tc>
          <w:tcPr>
            <w:tcW w:w="1173" w:type="dxa"/>
            <w:tcBorders>
              <w:top w:val="nil"/>
              <w:left w:val="nil"/>
              <w:bottom w:val="nil"/>
              <w:right w:val="nil"/>
            </w:tcBorders>
            <w:shd w:val="clear" w:color="auto" w:fill="auto"/>
            <w:noWrap/>
            <w:vAlign w:val="bottom"/>
          </w:tcPr>
          <w:p w14:paraId="4E91990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42A9549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1275" w:type="dxa"/>
            <w:tcBorders>
              <w:top w:val="nil"/>
              <w:left w:val="nil"/>
              <w:bottom w:val="nil"/>
              <w:right w:val="nil"/>
            </w:tcBorders>
            <w:shd w:val="clear" w:color="auto" w:fill="auto"/>
            <w:noWrap/>
            <w:vAlign w:val="bottom"/>
          </w:tcPr>
          <w:p w14:paraId="751F595B"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5.6</w:t>
            </w:r>
          </w:p>
        </w:tc>
        <w:tc>
          <w:tcPr>
            <w:tcW w:w="851" w:type="dxa"/>
            <w:tcBorders>
              <w:top w:val="nil"/>
              <w:left w:val="nil"/>
              <w:bottom w:val="nil"/>
              <w:right w:val="nil"/>
            </w:tcBorders>
            <w:shd w:val="clear" w:color="auto" w:fill="auto"/>
            <w:noWrap/>
            <w:vAlign w:val="bottom"/>
          </w:tcPr>
          <w:p w14:paraId="4EB3E7DA"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16.7</w:t>
            </w:r>
          </w:p>
        </w:tc>
        <w:tc>
          <w:tcPr>
            <w:tcW w:w="1320" w:type="dxa"/>
            <w:vMerge/>
            <w:tcBorders>
              <w:top w:val="nil"/>
              <w:left w:val="nil"/>
              <w:bottom w:val="single" w:sz="4" w:space="0" w:color="000000"/>
              <w:right w:val="nil"/>
            </w:tcBorders>
            <w:vAlign w:val="center"/>
          </w:tcPr>
          <w:p w14:paraId="66D27055"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322C5A6D"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6A95D080" w14:textId="77777777" w:rsidR="002F35EB" w:rsidRPr="00D0161E" w:rsidRDefault="002F35EB" w:rsidP="00D0161E">
            <w:pPr>
              <w:spacing w:line="480" w:lineRule="auto"/>
              <w:rPr>
                <w:rFonts w:cs="Calibri"/>
                <w:color w:val="000000" w:themeColor="text1"/>
              </w:rPr>
            </w:pPr>
          </w:p>
        </w:tc>
      </w:tr>
      <w:tr w:rsidR="002F35EB" w:rsidRPr="00D0161E" w14:paraId="0D0E6ED7" w14:textId="77777777">
        <w:trPr>
          <w:trHeight w:val="300"/>
        </w:trPr>
        <w:tc>
          <w:tcPr>
            <w:tcW w:w="2268" w:type="dxa"/>
            <w:vMerge/>
            <w:tcBorders>
              <w:top w:val="nil"/>
              <w:left w:val="nil"/>
              <w:bottom w:val="nil"/>
              <w:right w:val="nil"/>
            </w:tcBorders>
            <w:vAlign w:val="center"/>
          </w:tcPr>
          <w:p w14:paraId="3558C286"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292B54F7"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0.00001</w:t>
            </w:r>
          </w:p>
        </w:tc>
        <w:tc>
          <w:tcPr>
            <w:tcW w:w="1173" w:type="dxa"/>
            <w:tcBorders>
              <w:top w:val="nil"/>
              <w:left w:val="nil"/>
              <w:bottom w:val="nil"/>
              <w:right w:val="nil"/>
            </w:tcBorders>
            <w:shd w:val="clear" w:color="auto" w:fill="auto"/>
            <w:noWrap/>
            <w:vAlign w:val="bottom"/>
          </w:tcPr>
          <w:p w14:paraId="7E6749B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10.5</w:t>
            </w:r>
          </w:p>
        </w:tc>
        <w:tc>
          <w:tcPr>
            <w:tcW w:w="993" w:type="dxa"/>
            <w:tcBorders>
              <w:top w:val="nil"/>
              <w:left w:val="nil"/>
              <w:bottom w:val="nil"/>
              <w:right w:val="nil"/>
            </w:tcBorders>
            <w:shd w:val="clear" w:color="auto" w:fill="auto"/>
            <w:noWrap/>
            <w:vAlign w:val="bottom"/>
          </w:tcPr>
          <w:p w14:paraId="5B84D8D6"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16.7</w:t>
            </w:r>
          </w:p>
        </w:tc>
        <w:tc>
          <w:tcPr>
            <w:tcW w:w="1275" w:type="dxa"/>
            <w:tcBorders>
              <w:top w:val="nil"/>
              <w:left w:val="nil"/>
              <w:bottom w:val="nil"/>
              <w:right w:val="nil"/>
            </w:tcBorders>
            <w:shd w:val="clear" w:color="auto" w:fill="auto"/>
            <w:noWrap/>
            <w:vAlign w:val="bottom"/>
          </w:tcPr>
          <w:p w14:paraId="127F6947"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55.6</w:t>
            </w:r>
          </w:p>
        </w:tc>
        <w:tc>
          <w:tcPr>
            <w:tcW w:w="851" w:type="dxa"/>
            <w:tcBorders>
              <w:top w:val="nil"/>
              <w:left w:val="nil"/>
              <w:bottom w:val="nil"/>
              <w:right w:val="nil"/>
            </w:tcBorders>
            <w:shd w:val="clear" w:color="auto" w:fill="auto"/>
            <w:noWrap/>
            <w:vAlign w:val="bottom"/>
          </w:tcPr>
          <w:p w14:paraId="3CF692F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61.1</w:t>
            </w:r>
          </w:p>
        </w:tc>
        <w:tc>
          <w:tcPr>
            <w:tcW w:w="1320" w:type="dxa"/>
            <w:vMerge/>
            <w:tcBorders>
              <w:top w:val="nil"/>
              <w:left w:val="nil"/>
              <w:bottom w:val="single" w:sz="4" w:space="0" w:color="000000"/>
              <w:right w:val="nil"/>
            </w:tcBorders>
            <w:vAlign w:val="center"/>
          </w:tcPr>
          <w:p w14:paraId="5A712D8D"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42ED64EC"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28457E63" w14:textId="77777777" w:rsidR="002F35EB" w:rsidRPr="00D0161E" w:rsidRDefault="002F35EB" w:rsidP="00D0161E">
            <w:pPr>
              <w:spacing w:line="480" w:lineRule="auto"/>
              <w:rPr>
                <w:rFonts w:cs="Calibri"/>
                <w:color w:val="000000" w:themeColor="text1"/>
              </w:rPr>
            </w:pPr>
          </w:p>
        </w:tc>
      </w:tr>
      <w:tr w:rsidR="002F35EB" w:rsidRPr="00D0161E" w14:paraId="44DDD9DF" w14:textId="77777777">
        <w:trPr>
          <w:trHeight w:val="300"/>
        </w:trPr>
        <w:tc>
          <w:tcPr>
            <w:tcW w:w="2268" w:type="dxa"/>
            <w:vMerge w:val="restart"/>
            <w:tcBorders>
              <w:top w:val="single" w:sz="4" w:space="0" w:color="auto"/>
              <w:left w:val="nil"/>
              <w:bottom w:val="nil"/>
              <w:right w:val="nil"/>
            </w:tcBorders>
            <w:shd w:val="clear" w:color="auto" w:fill="auto"/>
            <w:noWrap/>
            <w:vAlign w:val="center"/>
          </w:tcPr>
          <w:p w14:paraId="7DBEDD8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Tiassalé 2</w:t>
            </w:r>
          </w:p>
          <w:p w14:paraId="1E45A9C9"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w:t>
            </w:r>
            <w:r w:rsidRPr="00D0161E">
              <w:rPr>
                <w:rFonts w:cs="Calibri"/>
                <w:i/>
                <w:iCs/>
                <w:color w:val="000000" w:themeColor="text1"/>
              </w:rPr>
              <w:t>An. gambiae</w:t>
            </w:r>
            <w:r w:rsidRPr="00D0161E">
              <w:rPr>
                <w:rFonts w:cs="Calibri"/>
                <w:color w:val="000000" w:themeColor="text1"/>
              </w:rPr>
              <w:t>)</w:t>
            </w:r>
          </w:p>
        </w:tc>
        <w:tc>
          <w:tcPr>
            <w:tcW w:w="1638" w:type="dxa"/>
            <w:tcBorders>
              <w:top w:val="single" w:sz="4" w:space="0" w:color="auto"/>
              <w:left w:val="nil"/>
              <w:bottom w:val="nil"/>
              <w:right w:val="nil"/>
            </w:tcBorders>
            <w:shd w:val="clear" w:color="auto" w:fill="auto"/>
            <w:noWrap/>
            <w:vAlign w:val="bottom"/>
          </w:tcPr>
          <w:p w14:paraId="718F55C3"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w:t>
            </w:r>
          </w:p>
        </w:tc>
        <w:tc>
          <w:tcPr>
            <w:tcW w:w="1173" w:type="dxa"/>
            <w:tcBorders>
              <w:top w:val="single" w:sz="4" w:space="0" w:color="auto"/>
              <w:left w:val="nil"/>
              <w:bottom w:val="nil"/>
              <w:right w:val="nil"/>
            </w:tcBorders>
            <w:shd w:val="clear" w:color="auto" w:fill="auto"/>
            <w:noWrap/>
            <w:vAlign w:val="bottom"/>
          </w:tcPr>
          <w:p w14:paraId="22DA2090"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single" w:sz="4" w:space="0" w:color="auto"/>
              <w:left w:val="nil"/>
              <w:bottom w:val="nil"/>
              <w:right w:val="nil"/>
            </w:tcBorders>
            <w:shd w:val="clear" w:color="auto" w:fill="auto"/>
            <w:noWrap/>
            <w:vAlign w:val="bottom"/>
          </w:tcPr>
          <w:p w14:paraId="251FFE92"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single" w:sz="4" w:space="0" w:color="auto"/>
              <w:left w:val="nil"/>
              <w:bottom w:val="nil"/>
              <w:right w:val="nil"/>
            </w:tcBorders>
            <w:shd w:val="clear" w:color="auto" w:fill="auto"/>
            <w:noWrap/>
            <w:vAlign w:val="bottom"/>
          </w:tcPr>
          <w:p w14:paraId="5775DAB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single" w:sz="4" w:space="0" w:color="auto"/>
              <w:left w:val="nil"/>
              <w:bottom w:val="nil"/>
              <w:right w:val="nil"/>
            </w:tcBorders>
            <w:shd w:val="clear" w:color="auto" w:fill="auto"/>
            <w:noWrap/>
            <w:vAlign w:val="bottom"/>
          </w:tcPr>
          <w:p w14:paraId="5F556B3C"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val="restart"/>
            <w:tcBorders>
              <w:top w:val="nil"/>
              <w:left w:val="nil"/>
              <w:bottom w:val="single" w:sz="4" w:space="0" w:color="000000"/>
              <w:right w:val="nil"/>
            </w:tcBorders>
            <w:shd w:val="clear" w:color="auto" w:fill="auto"/>
            <w:noWrap/>
            <w:vAlign w:val="center"/>
          </w:tcPr>
          <w:p w14:paraId="6AFFD02F"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320" w:type="dxa"/>
            <w:vMerge w:val="restart"/>
            <w:tcBorders>
              <w:top w:val="nil"/>
              <w:left w:val="nil"/>
              <w:bottom w:val="single" w:sz="4" w:space="0" w:color="000000"/>
              <w:right w:val="nil"/>
            </w:tcBorders>
            <w:shd w:val="clear" w:color="auto" w:fill="auto"/>
            <w:noWrap/>
            <w:vAlign w:val="center"/>
          </w:tcPr>
          <w:p w14:paraId="72E290C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320" w:type="dxa"/>
            <w:vMerge w:val="restart"/>
            <w:tcBorders>
              <w:top w:val="nil"/>
              <w:left w:val="nil"/>
              <w:bottom w:val="single" w:sz="4" w:space="0" w:color="000000"/>
              <w:right w:val="nil"/>
            </w:tcBorders>
            <w:shd w:val="clear" w:color="auto" w:fill="auto"/>
            <w:noWrap/>
            <w:vAlign w:val="center"/>
          </w:tcPr>
          <w:p w14:paraId="78D956A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r>
      <w:tr w:rsidR="002F35EB" w:rsidRPr="00D0161E" w14:paraId="649D2769" w14:textId="77777777">
        <w:trPr>
          <w:trHeight w:val="300"/>
        </w:trPr>
        <w:tc>
          <w:tcPr>
            <w:tcW w:w="2268" w:type="dxa"/>
            <w:vMerge/>
            <w:tcBorders>
              <w:top w:val="single" w:sz="4" w:space="0" w:color="auto"/>
              <w:left w:val="nil"/>
              <w:bottom w:val="nil"/>
              <w:right w:val="nil"/>
            </w:tcBorders>
            <w:vAlign w:val="center"/>
          </w:tcPr>
          <w:p w14:paraId="0DFC2970"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1DCE76F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0.1</w:t>
            </w:r>
          </w:p>
        </w:tc>
        <w:tc>
          <w:tcPr>
            <w:tcW w:w="1173" w:type="dxa"/>
            <w:tcBorders>
              <w:top w:val="nil"/>
              <w:left w:val="nil"/>
              <w:bottom w:val="nil"/>
              <w:right w:val="nil"/>
            </w:tcBorders>
            <w:shd w:val="clear" w:color="auto" w:fill="auto"/>
            <w:noWrap/>
            <w:vAlign w:val="bottom"/>
          </w:tcPr>
          <w:p w14:paraId="14B6D44C"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44FB370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747B1C6C"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31FE585E"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0590CED1"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1F5AD20A"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7A388041" w14:textId="77777777" w:rsidR="002F35EB" w:rsidRPr="00D0161E" w:rsidRDefault="002F35EB" w:rsidP="00D0161E">
            <w:pPr>
              <w:spacing w:line="480" w:lineRule="auto"/>
              <w:rPr>
                <w:rFonts w:cs="Calibri"/>
                <w:color w:val="000000" w:themeColor="text1"/>
              </w:rPr>
            </w:pPr>
          </w:p>
        </w:tc>
      </w:tr>
      <w:tr w:rsidR="002F35EB" w:rsidRPr="00D0161E" w14:paraId="4B0D6D92" w14:textId="77777777">
        <w:trPr>
          <w:trHeight w:val="300"/>
        </w:trPr>
        <w:tc>
          <w:tcPr>
            <w:tcW w:w="2268" w:type="dxa"/>
            <w:vMerge/>
            <w:tcBorders>
              <w:top w:val="single" w:sz="4" w:space="0" w:color="auto"/>
              <w:left w:val="nil"/>
              <w:bottom w:val="nil"/>
              <w:right w:val="nil"/>
            </w:tcBorders>
            <w:vAlign w:val="center"/>
          </w:tcPr>
          <w:p w14:paraId="7BFDD343"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539EB5AA"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0.01</w:t>
            </w:r>
          </w:p>
        </w:tc>
        <w:tc>
          <w:tcPr>
            <w:tcW w:w="1173" w:type="dxa"/>
            <w:tcBorders>
              <w:top w:val="nil"/>
              <w:left w:val="nil"/>
              <w:bottom w:val="nil"/>
              <w:right w:val="nil"/>
            </w:tcBorders>
            <w:shd w:val="clear" w:color="auto" w:fill="auto"/>
            <w:noWrap/>
            <w:vAlign w:val="bottom"/>
          </w:tcPr>
          <w:p w14:paraId="0AAC0C3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055D11BE"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88.9</w:t>
            </w:r>
          </w:p>
        </w:tc>
        <w:tc>
          <w:tcPr>
            <w:tcW w:w="1275" w:type="dxa"/>
            <w:tcBorders>
              <w:top w:val="nil"/>
              <w:left w:val="nil"/>
              <w:bottom w:val="nil"/>
              <w:right w:val="nil"/>
            </w:tcBorders>
            <w:shd w:val="clear" w:color="auto" w:fill="auto"/>
            <w:noWrap/>
            <w:vAlign w:val="bottom"/>
          </w:tcPr>
          <w:p w14:paraId="5E7E5A3F"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91.8</w:t>
            </w:r>
          </w:p>
        </w:tc>
        <w:tc>
          <w:tcPr>
            <w:tcW w:w="851" w:type="dxa"/>
            <w:tcBorders>
              <w:top w:val="nil"/>
              <w:left w:val="nil"/>
              <w:bottom w:val="nil"/>
              <w:right w:val="nil"/>
            </w:tcBorders>
            <w:shd w:val="clear" w:color="auto" w:fill="auto"/>
            <w:noWrap/>
            <w:vAlign w:val="bottom"/>
          </w:tcPr>
          <w:p w14:paraId="305913E1"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645C7547"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4A0C1D21"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4DC649E3" w14:textId="77777777" w:rsidR="002F35EB" w:rsidRPr="00D0161E" w:rsidRDefault="002F35EB" w:rsidP="00D0161E">
            <w:pPr>
              <w:spacing w:line="480" w:lineRule="auto"/>
              <w:rPr>
                <w:rFonts w:cs="Calibri"/>
                <w:color w:val="000000" w:themeColor="text1"/>
              </w:rPr>
            </w:pPr>
          </w:p>
        </w:tc>
      </w:tr>
      <w:tr w:rsidR="002F35EB" w:rsidRPr="00D0161E" w14:paraId="7B77FB81" w14:textId="77777777">
        <w:trPr>
          <w:trHeight w:val="300"/>
        </w:trPr>
        <w:tc>
          <w:tcPr>
            <w:tcW w:w="2268" w:type="dxa"/>
            <w:vMerge/>
            <w:tcBorders>
              <w:top w:val="single" w:sz="4" w:space="0" w:color="auto"/>
              <w:left w:val="nil"/>
              <w:bottom w:val="nil"/>
              <w:right w:val="nil"/>
            </w:tcBorders>
            <w:vAlign w:val="center"/>
          </w:tcPr>
          <w:p w14:paraId="5D31474A"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4688C623"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173" w:type="dxa"/>
            <w:tcBorders>
              <w:top w:val="nil"/>
              <w:left w:val="nil"/>
              <w:bottom w:val="nil"/>
              <w:right w:val="nil"/>
            </w:tcBorders>
            <w:shd w:val="clear" w:color="auto" w:fill="auto"/>
            <w:noWrap/>
            <w:vAlign w:val="bottom"/>
          </w:tcPr>
          <w:p w14:paraId="082607E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360A04EE"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396BFA66"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7E71F00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7411EF44"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6F1502DB"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141B6ED7" w14:textId="77777777" w:rsidR="002F35EB" w:rsidRPr="00D0161E" w:rsidRDefault="002F35EB" w:rsidP="00D0161E">
            <w:pPr>
              <w:spacing w:line="480" w:lineRule="auto"/>
              <w:rPr>
                <w:rFonts w:cs="Calibri"/>
                <w:color w:val="000000" w:themeColor="text1"/>
              </w:rPr>
            </w:pPr>
          </w:p>
        </w:tc>
      </w:tr>
      <w:tr w:rsidR="002F35EB" w:rsidRPr="00D0161E" w14:paraId="3ACD8C13" w14:textId="77777777">
        <w:trPr>
          <w:trHeight w:val="300"/>
        </w:trPr>
        <w:tc>
          <w:tcPr>
            <w:tcW w:w="2268" w:type="dxa"/>
            <w:vMerge/>
            <w:tcBorders>
              <w:top w:val="single" w:sz="4" w:space="0" w:color="auto"/>
              <w:left w:val="nil"/>
              <w:bottom w:val="nil"/>
              <w:right w:val="nil"/>
            </w:tcBorders>
            <w:vAlign w:val="center"/>
          </w:tcPr>
          <w:p w14:paraId="44F8760E"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0AD5CA0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0.0001</w:t>
            </w:r>
          </w:p>
        </w:tc>
        <w:tc>
          <w:tcPr>
            <w:tcW w:w="1173" w:type="dxa"/>
            <w:tcBorders>
              <w:top w:val="nil"/>
              <w:left w:val="nil"/>
              <w:bottom w:val="nil"/>
              <w:right w:val="nil"/>
            </w:tcBorders>
            <w:shd w:val="clear" w:color="auto" w:fill="auto"/>
            <w:noWrap/>
            <w:vAlign w:val="bottom"/>
          </w:tcPr>
          <w:p w14:paraId="46B471AB"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1379820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30.0</w:t>
            </w:r>
          </w:p>
        </w:tc>
        <w:tc>
          <w:tcPr>
            <w:tcW w:w="1275" w:type="dxa"/>
            <w:tcBorders>
              <w:top w:val="nil"/>
              <w:left w:val="nil"/>
              <w:bottom w:val="nil"/>
              <w:right w:val="nil"/>
            </w:tcBorders>
            <w:shd w:val="clear" w:color="auto" w:fill="auto"/>
            <w:noWrap/>
            <w:vAlign w:val="bottom"/>
          </w:tcPr>
          <w:p w14:paraId="377DA593"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14.8</w:t>
            </w:r>
          </w:p>
        </w:tc>
        <w:tc>
          <w:tcPr>
            <w:tcW w:w="851" w:type="dxa"/>
            <w:tcBorders>
              <w:top w:val="nil"/>
              <w:left w:val="nil"/>
              <w:bottom w:val="nil"/>
              <w:right w:val="nil"/>
            </w:tcBorders>
            <w:shd w:val="clear" w:color="auto" w:fill="auto"/>
            <w:noWrap/>
            <w:vAlign w:val="bottom"/>
          </w:tcPr>
          <w:p w14:paraId="6A45D53C"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20.8</w:t>
            </w:r>
          </w:p>
        </w:tc>
        <w:tc>
          <w:tcPr>
            <w:tcW w:w="1320" w:type="dxa"/>
            <w:vMerge/>
            <w:tcBorders>
              <w:top w:val="nil"/>
              <w:left w:val="nil"/>
              <w:bottom w:val="single" w:sz="4" w:space="0" w:color="000000"/>
              <w:right w:val="nil"/>
            </w:tcBorders>
            <w:vAlign w:val="center"/>
          </w:tcPr>
          <w:p w14:paraId="14126106"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2020F12F"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2AD14EEC" w14:textId="77777777" w:rsidR="002F35EB" w:rsidRPr="00D0161E" w:rsidRDefault="002F35EB" w:rsidP="00D0161E">
            <w:pPr>
              <w:spacing w:line="480" w:lineRule="auto"/>
              <w:rPr>
                <w:rFonts w:cs="Calibri"/>
                <w:color w:val="000000" w:themeColor="text1"/>
              </w:rPr>
            </w:pPr>
          </w:p>
        </w:tc>
      </w:tr>
      <w:tr w:rsidR="002F35EB" w:rsidRPr="00D0161E" w14:paraId="77A99DED" w14:textId="77777777">
        <w:trPr>
          <w:trHeight w:val="300"/>
        </w:trPr>
        <w:tc>
          <w:tcPr>
            <w:tcW w:w="2268" w:type="dxa"/>
            <w:vMerge/>
            <w:tcBorders>
              <w:top w:val="single" w:sz="4" w:space="0" w:color="auto"/>
              <w:left w:val="nil"/>
              <w:bottom w:val="nil"/>
              <w:right w:val="nil"/>
            </w:tcBorders>
            <w:vAlign w:val="center"/>
          </w:tcPr>
          <w:p w14:paraId="7A8394A8"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24EAF67B"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0.00001</w:t>
            </w:r>
          </w:p>
        </w:tc>
        <w:tc>
          <w:tcPr>
            <w:tcW w:w="1173" w:type="dxa"/>
            <w:tcBorders>
              <w:top w:val="nil"/>
              <w:left w:val="nil"/>
              <w:bottom w:val="nil"/>
              <w:right w:val="nil"/>
            </w:tcBorders>
            <w:shd w:val="clear" w:color="auto" w:fill="auto"/>
            <w:noWrap/>
            <w:vAlign w:val="bottom"/>
          </w:tcPr>
          <w:p w14:paraId="64FE937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2.2</w:t>
            </w:r>
          </w:p>
        </w:tc>
        <w:tc>
          <w:tcPr>
            <w:tcW w:w="993" w:type="dxa"/>
            <w:tcBorders>
              <w:top w:val="nil"/>
              <w:left w:val="nil"/>
              <w:bottom w:val="nil"/>
              <w:right w:val="nil"/>
            </w:tcBorders>
            <w:shd w:val="clear" w:color="auto" w:fill="auto"/>
            <w:noWrap/>
            <w:vAlign w:val="bottom"/>
          </w:tcPr>
          <w:p w14:paraId="156D153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31.3</w:t>
            </w:r>
          </w:p>
        </w:tc>
        <w:tc>
          <w:tcPr>
            <w:tcW w:w="1275" w:type="dxa"/>
            <w:tcBorders>
              <w:top w:val="nil"/>
              <w:left w:val="nil"/>
              <w:bottom w:val="nil"/>
              <w:right w:val="nil"/>
            </w:tcBorders>
            <w:shd w:val="clear" w:color="auto" w:fill="auto"/>
            <w:noWrap/>
            <w:vAlign w:val="bottom"/>
          </w:tcPr>
          <w:p w14:paraId="14D329DC"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27.1</w:t>
            </w:r>
          </w:p>
        </w:tc>
        <w:tc>
          <w:tcPr>
            <w:tcW w:w="851" w:type="dxa"/>
            <w:tcBorders>
              <w:top w:val="nil"/>
              <w:left w:val="nil"/>
              <w:bottom w:val="nil"/>
              <w:right w:val="nil"/>
            </w:tcBorders>
            <w:shd w:val="clear" w:color="auto" w:fill="auto"/>
            <w:noWrap/>
            <w:vAlign w:val="bottom"/>
          </w:tcPr>
          <w:p w14:paraId="03F998B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29.5</w:t>
            </w:r>
          </w:p>
        </w:tc>
        <w:tc>
          <w:tcPr>
            <w:tcW w:w="1320" w:type="dxa"/>
            <w:vMerge/>
            <w:tcBorders>
              <w:top w:val="nil"/>
              <w:left w:val="nil"/>
              <w:bottom w:val="single" w:sz="4" w:space="0" w:color="000000"/>
              <w:right w:val="nil"/>
            </w:tcBorders>
            <w:vAlign w:val="center"/>
          </w:tcPr>
          <w:p w14:paraId="19647C60"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3F0424D3"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1D05841A" w14:textId="77777777" w:rsidR="002F35EB" w:rsidRPr="00D0161E" w:rsidRDefault="002F35EB" w:rsidP="00D0161E">
            <w:pPr>
              <w:spacing w:line="480" w:lineRule="auto"/>
              <w:rPr>
                <w:rFonts w:cs="Calibri"/>
                <w:color w:val="000000" w:themeColor="text1"/>
              </w:rPr>
            </w:pPr>
          </w:p>
        </w:tc>
      </w:tr>
      <w:tr w:rsidR="002F35EB" w:rsidRPr="00D0161E" w14:paraId="480E9CF5" w14:textId="77777777">
        <w:trPr>
          <w:trHeight w:val="300"/>
        </w:trPr>
        <w:tc>
          <w:tcPr>
            <w:tcW w:w="2268" w:type="dxa"/>
            <w:vMerge w:val="restart"/>
            <w:tcBorders>
              <w:top w:val="single" w:sz="4" w:space="0" w:color="auto"/>
              <w:left w:val="nil"/>
              <w:bottom w:val="nil"/>
              <w:right w:val="nil"/>
            </w:tcBorders>
            <w:shd w:val="clear" w:color="auto" w:fill="auto"/>
            <w:noWrap/>
            <w:vAlign w:val="center"/>
          </w:tcPr>
          <w:p w14:paraId="411C8E0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New Orleans</w:t>
            </w:r>
          </w:p>
          <w:p w14:paraId="7F82536C"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w:t>
            </w:r>
            <w:r w:rsidRPr="00D0161E">
              <w:rPr>
                <w:rFonts w:cs="Calibri"/>
                <w:i/>
                <w:iCs/>
                <w:color w:val="000000" w:themeColor="text1"/>
              </w:rPr>
              <w:t>Ae. aegypti</w:t>
            </w:r>
            <w:r w:rsidRPr="00D0161E">
              <w:rPr>
                <w:rFonts w:cs="Calibri"/>
                <w:color w:val="000000" w:themeColor="text1"/>
              </w:rPr>
              <w:t>)</w:t>
            </w:r>
          </w:p>
        </w:tc>
        <w:tc>
          <w:tcPr>
            <w:tcW w:w="1638" w:type="dxa"/>
            <w:tcBorders>
              <w:top w:val="single" w:sz="4" w:space="0" w:color="auto"/>
              <w:left w:val="nil"/>
              <w:bottom w:val="nil"/>
              <w:right w:val="nil"/>
            </w:tcBorders>
            <w:shd w:val="clear" w:color="auto" w:fill="auto"/>
            <w:noWrap/>
            <w:vAlign w:val="bottom"/>
          </w:tcPr>
          <w:p w14:paraId="45C75A1C"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w:t>
            </w:r>
          </w:p>
        </w:tc>
        <w:tc>
          <w:tcPr>
            <w:tcW w:w="1173" w:type="dxa"/>
            <w:tcBorders>
              <w:top w:val="single" w:sz="4" w:space="0" w:color="auto"/>
              <w:left w:val="nil"/>
              <w:bottom w:val="nil"/>
              <w:right w:val="nil"/>
            </w:tcBorders>
            <w:shd w:val="clear" w:color="auto" w:fill="auto"/>
            <w:noWrap/>
            <w:vAlign w:val="bottom"/>
          </w:tcPr>
          <w:p w14:paraId="0BD8B207"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single" w:sz="4" w:space="0" w:color="auto"/>
              <w:left w:val="nil"/>
              <w:bottom w:val="nil"/>
              <w:right w:val="nil"/>
            </w:tcBorders>
            <w:shd w:val="clear" w:color="auto" w:fill="auto"/>
            <w:noWrap/>
            <w:vAlign w:val="bottom"/>
          </w:tcPr>
          <w:p w14:paraId="13325F7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single" w:sz="4" w:space="0" w:color="auto"/>
              <w:left w:val="nil"/>
              <w:bottom w:val="nil"/>
              <w:right w:val="nil"/>
            </w:tcBorders>
            <w:shd w:val="clear" w:color="auto" w:fill="auto"/>
            <w:noWrap/>
            <w:vAlign w:val="bottom"/>
          </w:tcPr>
          <w:p w14:paraId="0E84C5BA"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single" w:sz="4" w:space="0" w:color="auto"/>
              <w:left w:val="nil"/>
              <w:bottom w:val="nil"/>
              <w:right w:val="nil"/>
            </w:tcBorders>
            <w:shd w:val="clear" w:color="auto" w:fill="auto"/>
            <w:noWrap/>
            <w:vAlign w:val="bottom"/>
          </w:tcPr>
          <w:p w14:paraId="16A2293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val="restart"/>
            <w:tcBorders>
              <w:top w:val="nil"/>
              <w:left w:val="nil"/>
              <w:bottom w:val="single" w:sz="4" w:space="0" w:color="000000"/>
              <w:right w:val="nil"/>
            </w:tcBorders>
            <w:shd w:val="clear" w:color="auto" w:fill="auto"/>
            <w:noWrap/>
            <w:vAlign w:val="center"/>
          </w:tcPr>
          <w:p w14:paraId="6614091B"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320" w:type="dxa"/>
            <w:vMerge w:val="restart"/>
            <w:tcBorders>
              <w:top w:val="nil"/>
              <w:left w:val="nil"/>
              <w:bottom w:val="single" w:sz="4" w:space="0" w:color="000000"/>
              <w:right w:val="nil"/>
            </w:tcBorders>
            <w:shd w:val="clear" w:color="auto" w:fill="auto"/>
            <w:noWrap/>
            <w:vAlign w:val="center"/>
          </w:tcPr>
          <w:p w14:paraId="29AE40C1"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320" w:type="dxa"/>
            <w:vMerge w:val="restart"/>
            <w:tcBorders>
              <w:top w:val="nil"/>
              <w:left w:val="nil"/>
              <w:bottom w:val="single" w:sz="4" w:space="0" w:color="000000"/>
              <w:right w:val="nil"/>
            </w:tcBorders>
            <w:shd w:val="clear" w:color="auto" w:fill="auto"/>
            <w:noWrap/>
            <w:vAlign w:val="center"/>
          </w:tcPr>
          <w:p w14:paraId="1CF6EDD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r>
      <w:tr w:rsidR="002F35EB" w:rsidRPr="00D0161E" w14:paraId="4823A31D" w14:textId="77777777">
        <w:trPr>
          <w:trHeight w:val="300"/>
        </w:trPr>
        <w:tc>
          <w:tcPr>
            <w:tcW w:w="2268" w:type="dxa"/>
            <w:vMerge/>
            <w:tcBorders>
              <w:top w:val="single" w:sz="4" w:space="0" w:color="auto"/>
              <w:left w:val="nil"/>
              <w:bottom w:val="nil"/>
              <w:right w:val="nil"/>
            </w:tcBorders>
            <w:vAlign w:val="center"/>
          </w:tcPr>
          <w:p w14:paraId="73A82CA8"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15C6181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0.1</w:t>
            </w:r>
          </w:p>
        </w:tc>
        <w:tc>
          <w:tcPr>
            <w:tcW w:w="1173" w:type="dxa"/>
            <w:tcBorders>
              <w:top w:val="nil"/>
              <w:left w:val="nil"/>
              <w:bottom w:val="nil"/>
              <w:right w:val="nil"/>
            </w:tcBorders>
            <w:shd w:val="clear" w:color="auto" w:fill="auto"/>
            <w:noWrap/>
            <w:vAlign w:val="bottom"/>
          </w:tcPr>
          <w:p w14:paraId="6B96723B"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w:t>
            </w:r>
          </w:p>
        </w:tc>
        <w:tc>
          <w:tcPr>
            <w:tcW w:w="993" w:type="dxa"/>
            <w:tcBorders>
              <w:top w:val="nil"/>
              <w:left w:val="nil"/>
              <w:bottom w:val="nil"/>
              <w:right w:val="nil"/>
            </w:tcBorders>
            <w:shd w:val="clear" w:color="auto" w:fill="auto"/>
            <w:noWrap/>
            <w:vAlign w:val="bottom"/>
          </w:tcPr>
          <w:p w14:paraId="05A93FC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48FFFF4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1FF0D55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7534DA7E"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07AF11F5"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625092FB" w14:textId="77777777" w:rsidR="002F35EB" w:rsidRPr="00D0161E" w:rsidRDefault="002F35EB" w:rsidP="00D0161E">
            <w:pPr>
              <w:spacing w:line="480" w:lineRule="auto"/>
              <w:rPr>
                <w:rFonts w:cs="Calibri"/>
                <w:color w:val="000000" w:themeColor="text1"/>
              </w:rPr>
            </w:pPr>
          </w:p>
        </w:tc>
      </w:tr>
      <w:tr w:rsidR="002F35EB" w:rsidRPr="00D0161E" w14:paraId="494B9FE8" w14:textId="77777777">
        <w:trPr>
          <w:trHeight w:val="300"/>
        </w:trPr>
        <w:tc>
          <w:tcPr>
            <w:tcW w:w="2268" w:type="dxa"/>
            <w:vMerge/>
            <w:tcBorders>
              <w:top w:val="single" w:sz="4" w:space="0" w:color="auto"/>
              <w:left w:val="nil"/>
              <w:bottom w:val="nil"/>
              <w:right w:val="nil"/>
            </w:tcBorders>
            <w:vAlign w:val="center"/>
          </w:tcPr>
          <w:p w14:paraId="1A357A03"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10967CD7"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0.01</w:t>
            </w:r>
          </w:p>
        </w:tc>
        <w:tc>
          <w:tcPr>
            <w:tcW w:w="1173" w:type="dxa"/>
            <w:tcBorders>
              <w:top w:val="nil"/>
              <w:left w:val="nil"/>
              <w:bottom w:val="nil"/>
              <w:right w:val="nil"/>
            </w:tcBorders>
            <w:shd w:val="clear" w:color="auto" w:fill="auto"/>
            <w:noWrap/>
            <w:vAlign w:val="bottom"/>
          </w:tcPr>
          <w:p w14:paraId="783FFCF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49D8D77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96.7</w:t>
            </w:r>
          </w:p>
        </w:tc>
        <w:tc>
          <w:tcPr>
            <w:tcW w:w="1275" w:type="dxa"/>
            <w:tcBorders>
              <w:top w:val="nil"/>
              <w:left w:val="nil"/>
              <w:bottom w:val="nil"/>
              <w:right w:val="nil"/>
            </w:tcBorders>
            <w:shd w:val="clear" w:color="auto" w:fill="auto"/>
            <w:noWrap/>
            <w:vAlign w:val="bottom"/>
          </w:tcPr>
          <w:p w14:paraId="1ECFBA2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2224C7DA"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7813C8B0"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2A07079E"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6ABBFFA7" w14:textId="77777777" w:rsidR="002F35EB" w:rsidRPr="00D0161E" w:rsidRDefault="002F35EB" w:rsidP="00D0161E">
            <w:pPr>
              <w:spacing w:line="480" w:lineRule="auto"/>
              <w:rPr>
                <w:rFonts w:cs="Calibri"/>
                <w:color w:val="000000" w:themeColor="text1"/>
              </w:rPr>
            </w:pPr>
          </w:p>
        </w:tc>
      </w:tr>
      <w:tr w:rsidR="002F35EB" w:rsidRPr="00D0161E" w14:paraId="26A5667D" w14:textId="77777777">
        <w:trPr>
          <w:trHeight w:val="300"/>
        </w:trPr>
        <w:tc>
          <w:tcPr>
            <w:tcW w:w="2268" w:type="dxa"/>
            <w:vMerge/>
            <w:tcBorders>
              <w:top w:val="single" w:sz="4" w:space="0" w:color="auto"/>
              <w:left w:val="nil"/>
              <w:bottom w:val="nil"/>
              <w:right w:val="nil"/>
            </w:tcBorders>
            <w:vAlign w:val="center"/>
          </w:tcPr>
          <w:p w14:paraId="754252E2"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0C728C82"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173" w:type="dxa"/>
            <w:tcBorders>
              <w:top w:val="nil"/>
              <w:left w:val="nil"/>
              <w:bottom w:val="nil"/>
              <w:right w:val="nil"/>
            </w:tcBorders>
            <w:shd w:val="clear" w:color="auto" w:fill="auto"/>
            <w:noWrap/>
            <w:vAlign w:val="bottom"/>
          </w:tcPr>
          <w:p w14:paraId="218519F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30.0</w:t>
            </w:r>
          </w:p>
        </w:tc>
        <w:tc>
          <w:tcPr>
            <w:tcW w:w="993" w:type="dxa"/>
            <w:tcBorders>
              <w:top w:val="nil"/>
              <w:left w:val="nil"/>
              <w:bottom w:val="nil"/>
              <w:right w:val="nil"/>
            </w:tcBorders>
            <w:shd w:val="clear" w:color="auto" w:fill="auto"/>
            <w:noWrap/>
            <w:vAlign w:val="bottom"/>
          </w:tcPr>
          <w:p w14:paraId="0A42D2AF"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409939E6"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514EFA7B"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5DEC16ED"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45385E8F"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1E907356" w14:textId="77777777" w:rsidR="002F35EB" w:rsidRPr="00D0161E" w:rsidRDefault="002F35EB" w:rsidP="00D0161E">
            <w:pPr>
              <w:spacing w:line="480" w:lineRule="auto"/>
              <w:rPr>
                <w:rFonts w:cs="Calibri"/>
                <w:color w:val="000000" w:themeColor="text1"/>
              </w:rPr>
            </w:pPr>
          </w:p>
        </w:tc>
      </w:tr>
      <w:tr w:rsidR="002F35EB" w:rsidRPr="00D0161E" w14:paraId="46241106" w14:textId="77777777">
        <w:trPr>
          <w:trHeight w:val="300"/>
        </w:trPr>
        <w:tc>
          <w:tcPr>
            <w:tcW w:w="2268" w:type="dxa"/>
            <w:vMerge/>
            <w:tcBorders>
              <w:top w:val="single" w:sz="4" w:space="0" w:color="auto"/>
              <w:left w:val="nil"/>
              <w:bottom w:val="nil"/>
              <w:right w:val="nil"/>
            </w:tcBorders>
            <w:vAlign w:val="center"/>
          </w:tcPr>
          <w:p w14:paraId="32597E63"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2E525F8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0.0001</w:t>
            </w:r>
          </w:p>
        </w:tc>
        <w:tc>
          <w:tcPr>
            <w:tcW w:w="1173" w:type="dxa"/>
            <w:tcBorders>
              <w:top w:val="nil"/>
              <w:left w:val="nil"/>
              <w:bottom w:val="nil"/>
              <w:right w:val="nil"/>
            </w:tcBorders>
            <w:shd w:val="clear" w:color="auto" w:fill="auto"/>
            <w:noWrap/>
            <w:vAlign w:val="bottom"/>
          </w:tcPr>
          <w:p w14:paraId="292877EB"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20.0</w:t>
            </w:r>
          </w:p>
        </w:tc>
        <w:tc>
          <w:tcPr>
            <w:tcW w:w="993" w:type="dxa"/>
            <w:tcBorders>
              <w:top w:val="nil"/>
              <w:left w:val="nil"/>
              <w:bottom w:val="nil"/>
              <w:right w:val="nil"/>
            </w:tcBorders>
            <w:shd w:val="clear" w:color="auto" w:fill="auto"/>
            <w:noWrap/>
            <w:vAlign w:val="bottom"/>
          </w:tcPr>
          <w:p w14:paraId="108D481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26.7</w:t>
            </w:r>
          </w:p>
        </w:tc>
        <w:tc>
          <w:tcPr>
            <w:tcW w:w="1275" w:type="dxa"/>
            <w:tcBorders>
              <w:top w:val="nil"/>
              <w:left w:val="nil"/>
              <w:bottom w:val="nil"/>
              <w:right w:val="nil"/>
            </w:tcBorders>
            <w:shd w:val="clear" w:color="auto" w:fill="auto"/>
            <w:noWrap/>
            <w:vAlign w:val="bottom"/>
          </w:tcPr>
          <w:p w14:paraId="17136C6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33.3</w:t>
            </w:r>
          </w:p>
        </w:tc>
        <w:tc>
          <w:tcPr>
            <w:tcW w:w="851" w:type="dxa"/>
            <w:tcBorders>
              <w:top w:val="nil"/>
              <w:left w:val="nil"/>
              <w:bottom w:val="nil"/>
              <w:right w:val="nil"/>
            </w:tcBorders>
            <w:shd w:val="clear" w:color="auto" w:fill="auto"/>
            <w:noWrap/>
            <w:vAlign w:val="bottom"/>
          </w:tcPr>
          <w:p w14:paraId="5F32814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33.3</w:t>
            </w:r>
          </w:p>
        </w:tc>
        <w:tc>
          <w:tcPr>
            <w:tcW w:w="1320" w:type="dxa"/>
            <w:vMerge/>
            <w:tcBorders>
              <w:top w:val="nil"/>
              <w:left w:val="nil"/>
              <w:bottom w:val="single" w:sz="4" w:space="0" w:color="000000"/>
              <w:right w:val="nil"/>
            </w:tcBorders>
            <w:vAlign w:val="center"/>
          </w:tcPr>
          <w:p w14:paraId="2F96AD81"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428AFB7D"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68DECB24" w14:textId="77777777" w:rsidR="002F35EB" w:rsidRPr="00D0161E" w:rsidRDefault="002F35EB" w:rsidP="00D0161E">
            <w:pPr>
              <w:spacing w:line="480" w:lineRule="auto"/>
              <w:rPr>
                <w:rFonts w:cs="Calibri"/>
                <w:color w:val="000000" w:themeColor="text1"/>
              </w:rPr>
            </w:pPr>
          </w:p>
        </w:tc>
      </w:tr>
      <w:tr w:rsidR="002F35EB" w:rsidRPr="00D0161E" w14:paraId="181A29CB" w14:textId="77777777">
        <w:trPr>
          <w:trHeight w:val="300"/>
        </w:trPr>
        <w:tc>
          <w:tcPr>
            <w:tcW w:w="2268" w:type="dxa"/>
            <w:vMerge/>
            <w:tcBorders>
              <w:top w:val="single" w:sz="4" w:space="0" w:color="auto"/>
              <w:left w:val="nil"/>
              <w:bottom w:val="nil"/>
              <w:right w:val="nil"/>
            </w:tcBorders>
            <w:vAlign w:val="center"/>
          </w:tcPr>
          <w:p w14:paraId="70ADF110"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5C05E381"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0.00001</w:t>
            </w:r>
          </w:p>
        </w:tc>
        <w:tc>
          <w:tcPr>
            <w:tcW w:w="1173" w:type="dxa"/>
            <w:tcBorders>
              <w:top w:val="nil"/>
              <w:left w:val="nil"/>
              <w:bottom w:val="nil"/>
              <w:right w:val="nil"/>
            </w:tcBorders>
            <w:shd w:val="clear" w:color="auto" w:fill="auto"/>
            <w:noWrap/>
            <w:vAlign w:val="bottom"/>
          </w:tcPr>
          <w:p w14:paraId="68F5ACE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20.0</w:t>
            </w:r>
          </w:p>
        </w:tc>
        <w:tc>
          <w:tcPr>
            <w:tcW w:w="993" w:type="dxa"/>
            <w:tcBorders>
              <w:top w:val="nil"/>
              <w:left w:val="nil"/>
              <w:bottom w:val="nil"/>
              <w:right w:val="nil"/>
            </w:tcBorders>
            <w:shd w:val="clear" w:color="auto" w:fill="auto"/>
            <w:noWrap/>
            <w:vAlign w:val="bottom"/>
          </w:tcPr>
          <w:p w14:paraId="33F6AFA6"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33.3</w:t>
            </w:r>
          </w:p>
        </w:tc>
        <w:tc>
          <w:tcPr>
            <w:tcW w:w="1275" w:type="dxa"/>
            <w:tcBorders>
              <w:top w:val="nil"/>
              <w:left w:val="nil"/>
              <w:bottom w:val="nil"/>
              <w:right w:val="nil"/>
            </w:tcBorders>
            <w:shd w:val="clear" w:color="auto" w:fill="auto"/>
            <w:noWrap/>
            <w:vAlign w:val="bottom"/>
          </w:tcPr>
          <w:p w14:paraId="19BD40B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33.3</w:t>
            </w:r>
          </w:p>
        </w:tc>
        <w:tc>
          <w:tcPr>
            <w:tcW w:w="851" w:type="dxa"/>
            <w:tcBorders>
              <w:top w:val="nil"/>
              <w:left w:val="nil"/>
              <w:bottom w:val="nil"/>
              <w:right w:val="nil"/>
            </w:tcBorders>
            <w:shd w:val="clear" w:color="auto" w:fill="auto"/>
            <w:noWrap/>
            <w:vAlign w:val="bottom"/>
          </w:tcPr>
          <w:p w14:paraId="0C682B96"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33.3</w:t>
            </w:r>
          </w:p>
        </w:tc>
        <w:tc>
          <w:tcPr>
            <w:tcW w:w="1320" w:type="dxa"/>
            <w:vMerge/>
            <w:tcBorders>
              <w:top w:val="nil"/>
              <w:left w:val="nil"/>
              <w:bottom w:val="single" w:sz="4" w:space="0" w:color="000000"/>
              <w:right w:val="nil"/>
            </w:tcBorders>
            <w:vAlign w:val="center"/>
          </w:tcPr>
          <w:p w14:paraId="135CC614"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6927A3A9"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30BE85A7" w14:textId="77777777" w:rsidR="002F35EB" w:rsidRPr="00D0161E" w:rsidRDefault="002F35EB" w:rsidP="00D0161E">
            <w:pPr>
              <w:spacing w:line="480" w:lineRule="auto"/>
              <w:rPr>
                <w:rFonts w:cs="Calibri"/>
                <w:color w:val="000000" w:themeColor="text1"/>
              </w:rPr>
            </w:pPr>
          </w:p>
        </w:tc>
      </w:tr>
      <w:tr w:rsidR="002F35EB" w:rsidRPr="00D0161E" w14:paraId="3258B833" w14:textId="77777777">
        <w:trPr>
          <w:trHeight w:val="300"/>
        </w:trPr>
        <w:tc>
          <w:tcPr>
            <w:tcW w:w="2268" w:type="dxa"/>
            <w:vMerge w:val="restart"/>
            <w:tcBorders>
              <w:top w:val="single" w:sz="4" w:space="0" w:color="auto"/>
              <w:left w:val="nil"/>
              <w:bottom w:val="single" w:sz="4" w:space="0" w:color="000000"/>
              <w:right w:val="nil"/>
            </w:tcBorders>
            <w:shd w:val="clear" w:color="auto" w:fill="auto"/>
            <w:noWrap/>
            <w:vAlign w:val="center"/>
          </w:tcPr>
          <w:p w14:paraId="3EC2073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Cayman</w:t>
            </w:r>
          </w:p>
          <w:p w14:paraId="349BCB35"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w:t>
            </w:r>
            <w:r w:rsidRPr="00D0161E">
              <w:rPr>
                <w:rFonts w:cs="Calibri"/>
                <w:i/>
                <w:iCs/>
                <w:color w:val="000000" w:themeColor="text1"/>
              </w:rPr>
              <w:t>Ae. aegypti</w:t>
            </w:r>
            <w:r w:rsidRPr="00D0161E">
              <w:rPr>
                <w:rFonts w:cs="Calibri"/>
                <w:color w:val="000000" w:themeColor="text1"/>
              </w:rPr>
              <w:t>)</w:t>
            </w:r>
          </w:p>
        </w:tc>
        <w:tc>
          <w:tcPr>
            <w:tcW w:w="1638" w:type="dxa"/>
            <w:tcBorders>
              <w:top w:val="single" w:sz="4" w:space="0" w:color="auto"/>
              <w:left w:val="nil"/>
              <w:bottom w:val="nil"/>
              <w:right w:val="nil"/>
            </w:tcBorders>
            <w:shd w:val="clear" w:color="auto" w:fill="auto"/>
            <w:noWrap/>
            <w:vAlign w:val="bottom"/>
          </w:tcPr>
          <w:p w14:paraId="57CF7E41"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w:t>
            </w:r>
          </w:p>
        </w:tc>
        <w:tc>
          <w:tcPr>
            <w:tcW w:w="1173" w:type="dxa"/>
            <w:tcBorders>
              <w:top w:val="single" w:sz="4" w:space="0" w:color="auto"/>
              <w:left w:val="nil"/>
              <w:bottom w:val="nil"/>
              <w:right w:val="nil"/>
            </w:tcBorders>
            <w:shd w:val="clear" w:color="auto" w:fill="auto"/>
            <w:noWrap/>
            <w:vAlign w:val="bottom"/>
          </w:tcPr>
          <w:p w14:paraId="4E2B60D3"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single" w:sz="4" w:space="0" w:color="auto"/>
              <w:left w:val="nil"/>
              <w:bottom w:val="nil"/>
              <w:right w:val="nil"/>
            </w:tcBorders>
            <w:shd w:val="clear" w:color="auto" w:fill="auto"/>
            <w:noWrap/>
            <w:vAlign w:val="bottom"/>
          </w:tcPr>
          <w:p w14:paraId="712E56F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single" w:sz="4" w:space="0" w:color="auto"/>
              <w:left w:val="nil"/>
              <w:bottom w:val="nil"/>
              <w:right w:val="nil"/>
            </w:tcBorders>
            <w:shd w:val="clear" w:color="auto" w:fill="auto"/>
            <w:noWrap/>
            <w:vAlign w:val="bottom"/>
          </w:tcPr>
          <w:p w14:paraId="19CC2E0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single" w:sz="4" w:space="0" w:color="auto"/>
              <w:left w:val="nil"/>
              <w:bottom w:val="nil"/>
              <w:right w:val="nil"/>
            </w:tcBorders>
            <w:shd w:val="clear" w:color="auto" w:fill="auto"/>
            <w:noWrap/>
            <w:vAlign w:val="bottom"/>
          </w:tcPr>
          <w:p w14:paraId="490EC82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val="restart"/>
            <w:tcBorders>
              <w:top w:val="nil"/>
              <w:left w:val="nil"/>
              <w:bottom w:val="single" w:sz="4" w:space="0" w:color="000000"/>
              <w:right w:val="nil"/>
            </w:tcBorders>
            <w:shd w:val="clear" w:color="auto" w:fill="auto"/>
            <w:noWrap/>
            <w:vAlign w:val="center"/>
          </w:tcPr>
          <w:p w14:paraId="5720E1BF"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0.01</w:t>
            </w:r>
          </w:p>
        </w:tc>
        <w:tc>
          <w:tcPr>
            <w:tcW w:w="1320" w:type="dxa"/>
            <w:vMerge w:val="restart"/>
            <w:tcBorders>
              <w:top w:val="nil"/>
              <w:left w:val="nil"/>
              <w:bottom w:val="single" w:sz="4" w:space="0" w:color="000000"/>
              <w:right w:val="nil"/>
            </w:tcBorders>
            <w:shd w:val="clear" w:color="auto" w:fill="auto"/>
            <w:noWrap/>
            <w:vAlign w:val="center"/>
          </w:tcPr>
          <w:p w14:paraId="23813FF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320" w:type="dxa"/>
            <w:vMerge w:val="restart"/>
            <w:tcBorders>
              <w:top w:val="nil"/>
              <w:left w:val="nil"/>
              <w:bottom w:val="single" w:sz="4" w:space="0" w:color="000000"/>
              <w:right w:val="nil"/>
            </w:tcBorders>
            <w:shd w:val="clear" w:color="auto" w:fill="auto"/>
            <w:noWrap/>
            <w:vAlign w:val="center"/>
          </w:tcPr>
          <w:p w14:paraId="307FCFEE"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r>
      <w:tr w:rsidR="002F35EB" w:rsidRPr="00D0161E" w14:paraId="388AFF66" w14:textId="77777777">
        <w:trPr>
          <w:trHeight w:val="300"/>
        </w:trPr>
        <w:tc>
          <w:tcPr>
            <w:tcW w:w="2268" w:type="dxa"/>
            <w:vMerge/>
            <w:tcBorders>
              <w:top w:val="single" w:sz="4" w:space="0" w:color="auto"/>
              <w:left w:val="nil"/>
              <w:bottom w:val="single" w:sz="4" w:space="0" w:color="000000"/>
              <w:right w:val="nil"/>
            </w:tcBorders>
            <w:vAlign w:val="center"/>
          </w:tcPr>
          <w:p w14:paraId="109F5519"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4B90480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0.1</w:t>
            </w:r>
          </w:p>
        </w:tc>
        <w:tc>
          <w:tcPr>
            <w:tcW w:w="1173" w:type="dxa"/>
            <w:tcBorders>
              <w:top w:val="nil"/>
              <w:left w:val="nil"/>
              <w:bottom w:val="nil"/>
              <w:right w:val="nil"/>
            </w:tcBorders>
            <w:shd w:val="clear" w:color="auto" w:fill="auto"/>
            <w:noWrap/>
            <w:vAlign w:val="bottom"/>
          </w:tcPr>
          <w:p w14:paraId="7927BA8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042C07FE"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283B563E"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0768607E"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4A4A7EB1"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26EB19A1"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2442FA59" w14:textId="77777777" w:rsidR="002F35EB" w:rsidRPr="00D0161E" w:rsidRDefault="002F35EB" w:rsidP="00D0161E">
            <w:pPr>
              <w:spacing w:line="480" w:lineRule="auto"/>
              <w:rPr>
                <w:rFonts w:cs="Calibri"/>
                <w:color w:val="000000" w:themeColor="text1"/>
              </w:rPr>
            </w:pPr>
          </w:p>
        </w:tc>
      </w:tr>
      <w:tr w:rsidR="002F35EB" w:rsidRPr="00D0161E" w14:paraId="2BD03BE0" w14:textId="77777777">
        <w:trPr>
          <w:trHeight w:val="300"/>
        </w:trPr>
        <w:tc>
          <w:tcPr>
            <w:tcW w:w="2268" w:type="dxa"/>
            <w:vMerge/>
            <w:tcBorders>
              <w:top w:val="single" w:sz="4" w:space="0" w:color="auto"/>
              <w:left w:val="nil"/>
              <w:bottom w:val="single" w:sz="4" w:space="0" w:color="000000"/>
              <w:right w:val="nil"/>
            </w:tcBorders>
            <w:vAlign w:val="center"/>
          </w:tcPr>
          <w:p w14:paraId="4774C871"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663A6F77"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0.01</w:t>
            </w:r>
          </w:p>
        </w:tc>
        <w:tc>
          <w:tcPr>
            <w:tcW w:w="1173" w:type="dxa"/>
            <w:tcBorders>
              <w:top w:val="nil"/>
              <w:left w:val="nil"/>
              <w:bottom w:val="nil"/>
              <w:right w:val="nil"/>
            </w:tcBorders>
            <w:shd w:val="clear" w:color="auto" w:fill="auto"/>
            <w:noWrap/>
            <w:vAlign w:val="bottom"/>
          </w:tcPr>
          <w:p w14:paraId="6AD30EF4"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3DF1A7F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275" w:type="dxa"/>
            <w:tcBorders>
              <w:top w:val="nil"/>
              <w:left w:val="nil"/>
              <w:bottom w:val="nil"/>
              <w:right w:val="nil"/>
            </w:tcBorders>
            <w:shd w:val="clear" w:color="auto" w:fill="auto"/>
            <w:noWrap/>
            <w:vAlign w:val="bottom"/>
          </w:tcPr>
          <w:p w14:paraId="7AC59C5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851" w:type="dxa"/>
            <w:tcBorders>
              <w:top w:val="nil"/>
              <w:left w:val="nil"/>
              <w:bottom w:val="nil"/>
              <w:right w:val="nil"/>
            </w:tcBorders>
            <w:shd w:val="clear" w:color="auto" w:fill="auto"/>
            <w:noWrap/>
            <w:vAlign w:val="bottom"/>
          </w:tcPr>
          <w:p w14:paraId="0A0BF893"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100.0</w:t>
            </w:r>
          </w:p>
        </w:tc>
        <w:tc>
          <w:tcPr>
            <w:tcW w:w="1320" w:type="dxa"/>
            <w:vMerge/>
            <w:tcBorders>
              <w:top w:val="nil"/>
              <w:left w:val="nil"/>
              <w:bottom w:val="single" w:sz="4" w:space="0" w:color="000000"/>
              <w:right w:val="nil"/>
            </w:tcBorders>
            <w:vAlign w:val="center"/>
          </w:tcPr>
          <w:p w14:paraId="084BC4CC"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5DC96BB9"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13367918" w14:textId="77777777" w:rsidR="002F35EB" w:rsidRPr="00D0161E" w:rsidRDefault="002F35EB" w:rsidP="00D0161E">
            <w:pPr>
              <w:spacing w:line="480" w:lineRule="auto"/>
              <w:rPr>
                <w:rFonts w:cs="Calibri"/>
                <w:color w:val="000000" w:themeColor="text1"/>
              </w:rPr>
            </w:pPr>
          </w:p>
        </w:tc>
      </w:tr>
      <w:tr w:rsidR="002F35EB" w:rsidRPr="00D0161E" w14:paraId="2D8228C2" w14:textId="77777777">
        <w:trPr>
          <w:trHeight w:val="300"/>
        </w:trPr>
        <w:tc>
          <w:tcPr>
            <w:tcW w:w="2268" w:type="dxa"/>
            <w:vMerge/>
            <w:tcBorders>
              <w:top w:val="single" w:sz="4" w:space="0" w:color="auto"/>
              <w:left w:val="nil"/>
              <w:bottom w:val="single" w:sz="4" w:space="0" w:color="000000"/>
              <w:right w:val="nil"/>
            </w:tcBorders>
            <w:vAlign w:val="center"/>
          </w:tcPr>
          <w:p w14:paraId="6E95D604"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054048E6"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0.001</w:t>
            </w:r>
          </w:p>
        </w:tc>
        <w:tc>
          <w:tcPr>
            <w:tcW w:w="1173" w:type="dxa"/>
            <w:tcBorders>
              <w:top w:val="nil"/>
              <w:left w:val="nil"/>
              <w:bottom w:val="nil"/>
              <w:right w:val="nil"/>
            </w:tcBorders>
            <w:shd w:val="clear" w:color="auto" w:fill="auto"/>
            <w:noWrap/>
            <w:vAlign w:val="bottom"/>
          </w:tcPr>
          <w:p w14:paraId="0E39535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483EAB10"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79.3</w:t>
            </w:r>
          </w:p>
        </w:tc>
        <w:tc>
          <w:tcPr>
            <w:tcW w:w="1275" w:type="dxa"/>
            <w:tcBorders>
              <w:top w:val="nil"/>
              <w:left w:val="nil"/>
              <w:bottom w:val="nil"/>
              <w:right w:val="nil"/>
            </w:tcBorders>
            <w:shd w:val="clear" w:color="auto" w:fill="auto"/>
            <w:noWrap/>
            <w:vAlign w:val="bottom"/>
          </w:tcPr>
          <w:p w14:paraId="27354DB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89.7</w:t>
            </w:r>
          </w:p>
        </w:tc>
        <w:tc>
          <w:tcPr>
            <w:tcW w:w="851" w:type="dxa"/>
            <w:tcBorders>
              <w:top w:val="nil"/>
              <w:left w:val="nil"/>
              <w:bottom w:val="nil"/>
              <w:right w:val="nil"/>
            </w:tcBorders>
            <w:shd w:val="clear" w:color="auto" w:fill="auto"/>
            <w:noWrap/>
            <w:vAlign w:val="bottom"/>
          </w:tcPr>
          <w:p w14:paraId="42F35B91"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96.6</w:t>
            </w:r>
          </w:p>
        </w:tc>
        <w:tc>
          <w:tcPr>
            <w:tcW w:w="1320" w:type="dxa"/>
            <w:vMerge/>
            <w:tcBorders>
              <w:top w:val="nil"/>
              <w:left w:val="nil"/>
              <w:bottom w:val="single" w:sz="4" w:space="0" w:color="000000"/>
              <w:right w:val="nil"/>
            </w:tcBorders>
            <w:vAlign w:val="center"/>
          </w:tcPr>
          <w:p w14:paraId="0D0CADB5"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3A70BF0A"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125DA4A6" w14:textId="77777777" w:rsidR="002F35EB" w:rsidRPr="00D0161E" w:rsidRDefault="002F35EB" w:rsidP="00D0161E">
            <w:pPr>
              <w:spacing w:line="480" w:lineRule="auto"/>
              <w:rPr>
                <w:rFonts w:cs="Calibri"/>
                <w:color w:val="000000" w:themeColor="text1"/>
              </w:rPr>
            </w:pPr>
          </w:p>
        </w:tc>
      </w:tr>
      <w:tr w:rsidR="002F35EB" w:rsidRPr="00D0161E" w14:paraId="3D4352CB" w14:textId="77777777">
        <w:trPr>
          <w:trHeight w:val="300"/>
        </w:trPr>
        <w:tc>
          <w:tcPr>
            <w:tcW w:w="2268" w:type="dxa"/>
            <w:vMerge/>
            <w:tcBorders>
              <w:top w:val="single" w:sz="4" w:space="0" w:color="auto"/>
              <w:left w:val="nil"/>
              <w:bottom w:val="single" w:sz="4" w:space="0" w:color="000000"/>
              <w:right w:val="nil"/>
            </w:tcBorders>
            <w:vAlign w:val="center"/>
          </w:tcPr>
          <w:p w14:paraId="756253A5"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nil"/>
              <w:right w:val="nil"/>
            </w:tcBorders>
            <w:shd w:val="clear" w:color="auto" w:fill="auto"/>
            <w:noWrap/>
            <w:vAlign w:val="bottom"/>
          </w:tcPr>
          <w:p w14:paraId="582FD17C"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0.0001</w:t>
            </w:r>
          </w:p>
        </w:tc>
        <w:tc>
          <w:tcPr>
            <w:tcW w:w="1173" w:type="dxa"/>
            <w:tcBorders>
              <w:top w:val="nil"/>
              <w:left w:val="nil"/>
              <w:bottom w:val="nil"/>
              <w:right w:val="nil"/>
            </w:tcBorders>
            <w:shd w:val="clear" w:color="auto" w:fill="auto"/>
            <w:noWrap/>
            <w:vAlign w:val="bottom"/>
          </w:tcPr>
          <w:p w14:paraId="3D84554B"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nil"/>
              <w:right w:val="nil"/>
            </w:tcBorders>
            <w:shd w:val="clear" w:color="auto" w:fill="auto"/>
            <w:noWrap/>
            <w:vAlign w:val="bottom"/>
          </w:tcPr>
          <w:p w14:paraId="18C8F08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3.6</w:t>
            </w:r>
          </w:p>
        </w:tc>
        <w:tc>
          <w:tcPr>
            <w:tcW w:w="1275" w:type="dxa"/>
            <w:tcBorders>
              <w:top w:val="nil"/>
              <w:left w:val="nil"/>
              <w:bottom w:val="nil"/>
              <w:right w:val="nil"/>
            </w:tcBorders>
            <w:shd w:val="clear" w:color="auto" w:fill="auto"/>
            <w:noWrap/>
            <w:vAlign w:val="bottom"/>
          </w:tcPr>
          <w:p w14:paraId="6FBFE2B9"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7.1</w:t>
            </w:r>
          </w:p>
        </w:tc>
        <w:tc>
          <w:tcPr>
            <w:tcW w:w="851" w:type="dxa"/>
            <w:tcBorders>
              <w:top w:val="nil"/>
              <w:left w:val="nil"/>
              <w:bottom w:val="nil"/>
              <w:right w:val="nil"/>
            </w:tcBorders>
            <w:shd w:val="clear" w:color="auto" w:fill="auto"/>
            <w:noWrap/>
            <w:vAlign w:val="bottom"/>
          </w:tcPr>
          <w:p w14:paraId="2F69CD31"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14.3</w:t>
            </w:r>
          </w:p>
        </w:tc>
        <w:tc>
          <w:tcPr>
            <w:tcW w:w="1320" w:type="dxa"/>
            <w:vMerge/>
            <w:tcBorders>
              <w:top w:val="nil"/>
              <w:left w:val="nil"/>
              <w:bottom w:val="single" w:sz="4" w:space="0" w:color="000000"/>
              <w:right w:val="nil"/>
            </w:tcBorders>
            <w:vAlign w:val="center"/>
          </w:tcPr>
          <w:p w14:paraId="08F19F8E"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3882BA64"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0A3563D3" w14:textId="77777777" w:rsidR="002F35EB" w:rsidRPr="00D0161E" w:rsidRDefault="002F35EB" w:rsidP="00D0161E">
            <w:pPr>
              <w:spacing w:line="480" w:lineRule="auto"/>
              <w:rPr>
                <w:rFonts w:cs="Calibri"/>
                <w:color w:val="000000" w:themeColor="text1"/>
              </w:rPr>
            </w:pPr>
          </w:p>
        </w:tc>
      </w:tr>
      <w:tr w:rsidR="002F35EB" w:rsidRPr="00D0161E" w14:paraId="1F1E763E" w14:textId="77777777">
        <w:trPr>
          <w:trHeight w:val="300"/>
        </w:trPr>
        <w:tc>
          <w:tcPr>
            <w:tcW w:w="2268" w:type="dxa"/>
            <w:vMerge/>
            <w:tcBorders>
              <w:top w:val="single" w:sz="4" w:space="0" w:color="auto"/>
              <w:left w:val="nil"/>
              <w:bottom w:val="single" w:sz="4" w:space="0" w:color="000000"/>
              <w:right w:val="nil"/>
            </w:tcBorders>
            <w:vAlign w:val="center"/>
          </w:tcPr>
          <w:p w14:paraId="5ACC17FA" w14:textId="77777777" w:rsidR="002F35EB" w:rsidRPr="00D0161E" w:rsidRDefault="002F35EB" w:rsidP="00D0161E">
            <w:pPr>
              <w:spacing w:line="480" w:lineRule="auto"/>
              <w:rPr>
                <w:rFonts w:cs="Calibri"/>
                <w:color w:val="000000" w:themeColor="text1"/>
              </w:rPr>
            </w:pPr>
          </w:p>
        </w:tc>
        <w:tc>
          <w:tcPr>
            <w:tcW w:w="1638" w:type="dxa"/>
            <w:tcBorders>
              <w:top w:val="nil"/>
              <w:left w:val="nil"/>
              <w:bottom w:val="single" w:sz="4" w:space="0" w:color="auto"/>
              <w:right w:val="nil"/>
            </w:tcBorders>
            <w:shd w:val="clear" w:color="auto" w:fill="auto"/>
            <w:noWrap/>
            <w:vAlign w:val="bottom"/>
          </w:tcPr>
          <w:p w14:paraId="62C0B0A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0.00001</w:t>
            </w:r>
          </w:p>
        </w:tc>
        <w:tc>
          <w:tcPr>
            <w:tcW w:w="1173" w:type="dxa"/>
            <w:tcBorders>
              <w:top w:val="nil"/>
              <w:left w:val="nil"/>
              <w:bottom w:val="single" w:sz="4" w:space="0" w:color="auto"/>
              <w:right w:val="nil"/>
            </w:tcBorders>
            <w:shd w:val="clear" w:color="auto" w:fill="auto"/>
            <w:noWrap/>
            <w:vAlign w:val="bottom"/>
          </w:tcPr>
          <w:p w14:paraId="1546DB68"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993" w:type="dxa"/>
            <w:tcBorders>
              <w:top w:val="nil"/>
              <w:left w:val="nil"/>
              <w:bottom w:val="single" w:sz="4" w:space="0" w:color="auto"/>
              <w:right w:val="nil"/>
            </w:tcBorders>
            <w:shd w:val="clear" w:color="auto" w:fill="auto"/>
            <w:noWrap/>
            <w:vAlign w:val="bottom"/>
          </w:tcPr>
          <w:p w14:paraId="5A5BD03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1275" w:type="dxa"/>
            <w:tcBorders>
              <w:top w:val="nil"/>
              <w:left w:val="nil"/>
              <w:bottom w:val="single" w:sz="4" w:space="0" w:color="auto"/>
              <w:right w:val="nil"/>
            </w:tcBorders>
            <w:shd w:val="clear" w:color="auto" w:fill="auto"/>
            <w:noWrap/>
            <w:vAlign w:val="bottom"/>
          </w:tcPr>
          <w:p w14:paraId="0F509B7D"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0.0</w:t>
            </w:r>
          </w:p>
        </w:tc>
        <w:tc>
          <w:tcPr>
            <w:tcW w:w="851" w:type="dxa"/>
            <w:tcBorders>
              <w:top w:val="nil"/>
              <w:left w:val="nil"/>
              <w:bottom w:val="single" w:sz="4" w:space="0" w:color="auto"/>
              <w:right w:val="nil"/>
            </w:tcBorders>
            <w:shd w:val="clear" w:color="auto" w:fill="auto"/>
            <w:noWrap/>
            <w:vAlign w:val="bottom"/>
          </w:tcPr>
          <w:p w14:paraId="2269D065" w14:textId="77777777" w:rsidR="002F35EB" w:rsidRPr="00D0161E" w:rsidRDefault="002F35EB" w:rsidP="00D0161E">
            <w:pPr>
              <w:spacing w:line="480" w:lineRule="auto"/>
              <w:rPr>
                <w:rFonts w:cs="Calibri"/>
                <w:color w:val="000000" w:themeColor="text1"/>
              </w:rPr>
            </w:pPr>
            <w:r w:rsidRPr="00D0161E">
              <w:rPr>
                <w:rFonts w:cs="Calibri"/>
                <w:color w:val="000000" w:themeColor="text1"/>
              </w:rPr>
              <w:t>3.3</w:t>
            </w:r>
          </w:p>
        </w:tc>
        <w:tc>
          <w:tcPr>
            <w:tcW w:w="1320" w:type="dxa"/>
            <w:vMerge/>
            <w:tcBorders>
              <w:top w:val="nil"/>
              <w:left w:val="nil"/>
              <w:bottom w:val="single" w:sz="4" w:space="0" w:color="000000"/>
              <w:right w:val="nil"/>
            </w:tcBorders>
            <w:vAlign w:val="center"/>
          </w:tcPr>
          <w:p w14:paraId="506C7F31"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6D586618" w14:textId="77777777" w:rsidR="002F35EB" w:rsidRPr="00D0161E" w:rsidRDefault="002F35EB" w:rsidP="00D0161E">
            <w:pPr>
              <w:spacing w:line="480" w:lineRule="auto"/>
              <w:rPr>
                <w:rFonts w:cs="Calibri"/>
                <w:color w:val="000000" w:themeColor="text1"/>
              </w:rPr>
            </w:pPr>
          </w:p>
        </w:tc>
        <w:tc>
          <w:tcPr>
            <w:tcW w:w="1320" w:type="dxa"/>
            <w:vMerge/>
            <w:tcBorders>
              <w:top w:val="nil"/>
              <w:left w:val="nil"/>
              <w:bottom w:val="single" w:sz="4" w:space="0" w:color="000000"/>
              <w:right w:val="nil"/>
            </w:tcBorders>
            <w:vAlign w:val="center"/>
          </w:tcPr>
          <w:p w14:paraId="7351AB1D" w14:textId="77777777" w:rsidR="002F35EB" w:rsidRPr="00D0161E" w:rsidRDefault="002F35EB" w:rsidP="00D0161E">
            <w:pPr>
              <w:spacing w:line="480" w:lineRule="auto"/>
              <w:rPr>
                <w:rFonts w:cs="Calibri"/>
                <w:color w:val="000000" w:themeColor="text1"/>
              </w:rPr>
            </w:pPr>
          </w:p>
        </w:tc>
      </w:tr>
    </w:tbl>
    <w:p w14:paraId="6EAAE1FE" w14:textId="77777777" w:rsidR="00FA4F03" w:rsidRPr="00D0161E" w:rsidRDefault="00FA4F03" w:rsidP="00D0161E">
      <w:pPr>
        <w:spacing w:line="480" w:lineRule="auto"/>
        <w:rPr>
          <w:b/>
          <w:bCs/>
          <w:color w:val="000000" w:themeColor="text1"/>
        </w:rPr>
      </w:pPr>
    </w:p>
    <w:p w14:paraId="2CACB354" w14:textId="77777777" w:rsidR="00FA4F03" w:rsidRPr="00D0161E" w:rsidRDefault="00FA4F03" w:rsidP="00D0161E">
      <w:pPr>
        <w:spacing w:line="480" w:lineRule="auto"/>
        <w:rPr>
          <w:b/>
          <w:bCs/>
          <w:color w:val="000000" w:themeColor="text1"/>
        </w:rPr>
      </w:pPr>
      <w:r w:rsidRPr="00D0161E">
        <w:rPr>
          <w:b/>
          <w:bCs/>
          <w:color w:val="000000" w:themeColor="text1"/>
        </w:rPr>
        <w:br w:type="page"/>
      </w:r>
    </w:p>
    <w:p w14:paraId="78686046" w14:textId="77777777" w:rsidR="00AA1147" w:rsidRPr="00D0161E" w:rsidRDefault="00AA1147" w:rsidP="00D0161E">
      <w:pPr>
        <w:spacing w:line="480" w:lineRule="auto"/>
        <w:rPr>
          <w:b/>
          <w:bCs/>
          <w:color w:val="000000" w:themeColor="text1"/>
        </w:rPr>
        <w:sectPr w:rsidR="00AA1147" w:rsidRPr="00D0161E">
          <w:pgSz w:w="16838" w:h="11906" w:orient="landscape"/>
          <w:pgMar w:top="1440" w:right="1440" w:bottom="1440" w:left="1440" w:header="709" w:footer="709" w:gutter="0"/>
          <w:cols w:space="708"/>
          <w:docGrid w:linePitch="360"/>
        </w:sectPr>
      </w:pPr>
    </w:p>
    <w:p w14:paraId="57425790" w14:textId="1E0DC172" w:rsidR="006C52A4" w:rsidRDefault="00FA4F03" w:rsidP="00D0161E">
      <w:pPr>
        <w:spacing w:line="480" w:lineRule="auto"/>
        <w:rPr>
          <w:b/>
          <w:bCs/>
          <w:color w:val="000000" w:themeColor="text1"/>
        </w:rPr>
      </w:pPr>
      <w:r w:rsidRPr="00D0161E">
        <w:rPr>
          <w:b/>
          <w:bCs/>
          <w:color w:val="000000" w:themeColor="text1"/>
        </w:rPr>
        <w:t xml:space="preserve">Table </w:t>
      </w:r>
      <w:proofErr w:type="gramStart"/>
      <w:r w:rsidRPr="00D0161E">
        <w:rPr>
          <w:b/>
          <w:bCs/>
          <w:color w:val="000000" w:themeColor="text1"/>
        </w:rPr>
        <w:t>3</w:t>
      </w:r>
      <w:r w:rsidR="006C52A4">
        <w:rPr>
          <w:b/>
          <w:bCs/>
          <w:color w:val="000000" w:themeColor="text1"/>
        </w:rPr>
        <w:t xml:space="preserve"> </w:t>
      </w:r>
      <w:r w:rsidRPr="00D0161E">
        <w:rPr>
          <w:b/>
          <w:bCs/>
          <w:color w:val="000000" w:themeColor="text1"/>
        </w:rPr>
        <w:t xml:space="preserve"> Application</w:t>
      </w:r>
      <w:proofErr w:type="gramEnd"/>
      <w:r w:rsidRPr="00D0161E">
        <w:rPr>
          <w:b/>
          <w:bCs/>
          <w:color w:val="000000" w:themeColor="text1"/>
        </w:rPr>
        <w:t xml:space="preserve"> rate of </w:t>
      </w:r>
      <w:proofErr w:type="spellStart"/>
      <w:r w:rsidRPr="00D0161E">
        <w:rPr>
          <w:b/>
          <w:bCs/>
          <w:color w:val="000000" w:themeColor="text1"/>
        </w:rPr>
        <w:t>insectide</w:t>
      </w:r>
      <w:proofErr w:type="spellEnd"/>
      <w:r w:rsidRPr="00D0161E">
        <w:rPr>
          <w:b/>
          <w:bCs/>
          <w:color w:val="000000" w:themeColor="text1"/>
        </w:rPr>
        <w:t xml:space="preserve"> formulations applied to filter papers and polyester net samples.</w:t>
      </w:r>
    </w:p>
    <w:p w14:paraId="27260C27" w14:textId="10C301C4" w:rsidR="00FA4F03" w:rsidRPr="00D0161E" w:rsidRDefault="00485486" w:rsidP="00D0161E">
      <w:pPr>
        <w:spacing w:line="480" w:lineRule="auto"/>
        <w:rPr>
          <w:color w:val="000000" w:themeColor="text1"/>
        </w:rPr>
      </w:pPr>
      <w:r w:rsidRPr="00D0161E">
        <w:rPr>
          <w:color w:val="000000" w:themeColor="text1"/>
        </w:rPr>
        <w:t>N/A: one filter paper was treated per concentration so relative standard deviation could not be calculated. ND: no analysis done on untreated control net sample.</w:t>
      </w:r>
    </w:p>
    <w:tbl>
      <w:tblPr>
        <w:tblStyle w:val="TableGrid"/>
        <w:tblW w:w="9016" w:type="dxa"/>
        <w:tblLook w:val="04A0" w:firstRow="1" w:lastRow="0" w:firstColumn="1" w:lastColumn="0" w:noHBand="0" w:noVBand="1"/>
      </w:tblPr>
      <w:tblGrid>
        <w:gridCol w:w="1887"/>
        <w:gridCol w:w="2219"/>
        <w:gridCol w:w="1985"/>
        <w:gridCol w:w="1366"/>
        <w:gridCol w:w="1559"/>
      </w:tblGrid>
      <w:tr w:rsidR="00AF6840" w:rsidRPr="00D0161E" w14:paraId="6810D020" w14:textId="77777777">
        <w:trPr>
          <w:trHeight w:val="640"/>
        </w:trPr>
        <w:tc>
          <w:tcPr>
            <w:tcW w:w="1887" w:type="dxa"/>
            <w:vMerge w:val="restart"/>
            <w:vAlign w:val="center"/>
          </w:tcPr>
          <w:p w14:paraId="79ACE9AA" w14:textId="77777777" w:rsidR="00AF6840" w:rsidRPr="00D0161E" w:rsidRDefault="00AF6840" w:rsidP="00D0161E">
            <w:pPr>
              <w:spacing w:line="480" w:lineRule="auto"/>
              <w:rPr>
                <w:rFonts w:cs="Calibri"/>
                <w:b/>
                <w:bCs/>
                <w:color w:val="000000" w:themeColor="text1"/>
              </w:rPr>
            </w:pPr>
            <w:r w:rsidRPr="00D0161E">
              <w:rPr>
                <w:rFonts w:cs="Calibri"/>
                <w:b/>
                <w:bCs/>
                <w:noProof/>
                <w:color w:val="000000" w:themeColor="text1"/>
              </w:rPr>
              <w:t>Treatment</w:t>
            </w:r>
          </w:p>
        </w:tc>
        <w:tc>
          <w:tcPr>
            <w:tcW w:w="2219" w:type="dxa"/>
            <w:vAlign w:val="center"/>
          </w:tcPr>
          <w:p w14:paraId="798D131E" w14:textId="77777777" w:rsidR="00AF6840" w:rsidRPr="00D0161E" w:rsidRDefault="00AF6840" w:rsidP="00D0161E">
            <w:pPr>
              <w:spacing w:line="480" w:lineRule="auto"/>
              <w:rPr>
                <w:rFonts w:cs="Calibri"/>
                <w:b/>
                <w:bCs/>
                <w:color w:val="000000" w:themeColor="text1"/>
              </w:rPr>
            </w:pPr>
            <w:r w:rsidRPr="00D0161E">
              <w:rPr>
                <w:rFonts w:cs="Calibri"/>
                <w:b/>
                <w:bCs/>
                <w:color w:val="000000" w:themeColor="text1"/>
              </w:rPr>
              <w:t>Target application rate</w:t>
            </w:r>
          </w:p>
        </w:tc>
        <w:tc>
          <w:tcPr>
            <w:tcW w:w="3351" w:type="dxa"/>
            <w:gridSpan w:val="2"/>
            <w:vAlign w:val="center"/>
          </w:tcPr>
          <w:p w14:paraId="3423698C" w14:textId="77777777" w:rsidR="00AF6840" w:rsidRPr="00D0161E" w:rsidRDefault="00AF6840" w:rsidP="00D0161E">
            <w:pPr>
              <w:spacing w:line="480" w:lineRule="auto"/>
              <w:rPr>
                <w:rFonts w:cs="Calibri"/>
                <w:b/>
                <w:bCs/>
                <w:noProof/>
                <w:color w:val="000000" w:themeColor="text1"/>
              </w:rPr>
            </w:pPr>
            <w:r w:rsidRPr="00D0161E">
              <w:rPr>
                <w:rFonts w:cs="Calibri"/>
                <w:b/>
                <w:bCs/>
                <w:noProof/>
                <w:color w:val="000000" w:themeColor="text1"/>
              </w:rPr>
              <w:t>Average detected rate</w:t>
            </w:r>
          </w:p>
        </w:tc>
        <w:tc>
          <w:tcPr>
            <w:tcW w:w="1559" w:type="dxa"/>
            <w:vMerge w:val="restart"/>
            <w:vAlign w:val="center"/>
          </w:tcPr>
          <w:p w14:paraId="4D94FF3E" w14:textId="77777777" w:rsidR="00AF6840" w:rsidRPr="00D0161E" w:rsidRDefault="00AF6840" w:rsidP="00D0161E">
            <w:pPr>
              <w:spacing w:line="480" w:lineRule="auto"/>
              <w:rPr>
                <w:rFonts w:cs="Calibri"/>
                <w:b/>
                <w:bCs/>
                <w:color w:val="000000" w:themeColor="text1"/>
              </w:rPr>
            </w:pPr>
            <w:r w:rsidRPr="00D0161E">
              <w:rPr>
                <w:rFonts w:cs="Calibri"/>
                <w:b/>
                <w:bCs/>
                <w:noProof/>
                <w:color w:val="000000" w:themeColor="text1"/>
              </w:rPr>
              <w:t>Difference (%)</w:t>
            </w:r>
          </w:p>
        </w:tc>
      </w:tr>
      <w:tr w:rsidR="00AF6840" w:rsidRPr="00D0161E" w14:paraId="673EE266" w14:textId="77777777">
        <w:trPr>
          <w:trHeight w:val="680"/>
        </w:trPr>
        <w:tc>
          <w:tcPr>
            <w:tcW w:w="1887" w:type="dxa"/>
            <w:vMerge/>
            <w:vAlign w:val="center"/>
          </w:tcPr>
          <w:p w14:paraId="680D5D53" w14:textId="77777777" w:rsidR="00AF6840" w:rsidRPr="00D0161E" w:rsidRDefault="00AF6840" w:rsidP="00D0161E">
            <w:pPr>
              <w:spacing w:line="480" w:lineRule="auto"/>
              <w:rPr>
                <w:rFonts w:cs="Calibri"/>
                <w:b/>
                <w:bCs/>
                <w:color w:val="000000" w:themeColor="text1"/>
              </w:rPr>
            </w:pPr>
          </w:p>
        </w:tc>
        <w:tc>
          <w:tcPr>
            <w:tcW w:w="2219" w:type="dxa"/>
            <w:vAlign w:val="center"/>
          </w:tcPr>
          <w:p w14:paraId="63C22319" w14:textId="6366647B" w:rsidR="00AF6840" w:rsidRPr="00D0161E" w:rsidRDefault="00AF6840" w:rsidP="006C52A4">
            <w:pPr>
              <w:spacing w:line="480" w:lineRule="auto"/>
              <w:rPr>
                <w:rFonts w:cs="Calibri"/>
                <w:b/>
                <w:bCs/>
                <w:color w:val="000000" w:themeColor="text1"/>
              </w:rPr>
            </w:pPr>
            <w:r w:rsidRPr="00D0161E">
              <w:rPr>
                <w:rFonts w:cs="Calibri"/>
                <w:b/>
                <w:bCs/>
                <w:color w:val="000000" w:themeColor="text1"/>
              </w:rPr>
              <w:t>(</w:t>
            </w:r>
            <w:r w:rsidR="006C52A4">
              <w:rPr>
                <w:rFonts w:cs="Calibri"/>
                <w:b/>
                <w:bCs/>
                <w:color w:val="000000" w:themeColor="text1"/>
              </w:rPr>
              <w:t>mg</w:t>
            </w:r>
            <w:r w:rsidR="006C52A4" w:rsidRPr="00D0161E">
              <w:rPr>
                <w:rFonts w:cs="Calibri"/>
                <w:b/>
                <w:bCs/>
                <w:color w:val="000000" w:themeColor="text1"/>
              </w:rPr>
              <w:t xml:space="preserve"> </w:t>
            </w:r>
            <w:r w:rsidRPr="00D0161E">
              <w:rPr>
                <w:rFonts w:cs="Calibri"/>
                <w:b/>
                <w:bCs/>
                <w:color w:val="000000" w:themeColor="text1"/>
              </w:rPr>
              <w:t>of AI/</w:t>
            </w:r>
            <w:proofErr w:type="spellStart"/>
            <w:r w:rsidR="006C52A4">
              <w:rPr>
                <w:rFonts w:cs="Calibri"/>
                <w:b/>
                <w:bCs/>
                <w:color w:val="000000" w:themeColor="text1"/>
              </w:rPr>
              <w:t>sq</w:t>
            </w:r>
            <w:proofErr w:type="spellEnd"/>
            <w:r w:rsidR="006C52A4">
              <w:rPr>
                <w:rFonts w:cs="Calibri"/>
                <w:b/>
                <w:bCs/>
                <w:color w:val="000000" w:themeColor="text1"/>
              </w:rPr>
              <w:t xml:space="preserve"> </w:t>
            </w:r>
            <w:r w:rsidRPr="00D0161E">
              <w:rPr>
                <w:rFonts w:cs="Calibri"/>
                <w:b/>
                <w:bCs/>
                <w:color w:val="000000" w:themeColor="text1"/>
              </w:rPr>
              <w:t>m)</w:t>
            </w:r>
          </w:p>
        </w:tc>
        <w:tc>
          <w:tcPr>
            <w:tcW w:w="1985" w:type="dxa"/>
            <w:vAlign w:val="center"/>
          </w:tcPr>
          <w:p w14:paraId="29C97024" w14:textId="233FF4F9" w:rsidR="00AF6840" w:rsidRPr="00D0161E" w:rsidRDefault="00AF6840" w:rsidP="006C52A4">
            <w:pPr>
              <w:spacing w:line="480" w:lineRule="auto"/>
              <w:rPr>
                <w:rFonts w:cs="Calibri"/>
                <w:b/>
                <w:bCs/>
                <w:color w:val="000000" w:themeColor="text1"/>
              </w:rPr>
            </w:pPr>
            <w:r w:rsidRPr="00D0161E">
              <w:rPr>
                <w:rFonts w:cs="Calibri"/>
                <w:b/>
                <w:bCs/>
                <w:color w:val="000000" w:themeColor="text1"/>
              </w:rPr>
              <w:t>(</w:t>
            </w:r>
            <w:bookmarkStart w:id="51" w:name="_Hlk50478415"/>
            <w:r w:rsidR="006C52A4">
              <w:rPr>
                <w:rFonts w:cs="Calibri"/>
                <w:b/>
                <w:bCs/>
                <w:color w:val="000000" w:themeColor="text1"/>
              </w:rPr>
              <w:t>mg</w:t>
            </w:r>
            <w:r w:rsidR="006C52A4" w:rsidRPr="00D0161E">
              <w:rPr>
                <w:rFonts w:cs="Calibri"/>
                <w:b/>
                <w:bCs/>
                <w:color w:val="000000" w:themeColor="text1"/>
              </w:rPr>
              <w:t xml:space="preserve"> </w:t>
            </w:r>
            <w:r w:rsidRPr="00D0161E">
              <w:rPr>
                <w:rFonts w:cs="Calibri"/>
                <w:b/>
                <w:bCs/>
                <w:color w:val="000000" w:themeColor="text1"/>
              </w:rPr>
              <w:t>of AI/</w:t>
            </w:r>
            <w:proofErr w:type="spellStart"/>
            <w:r w:rsidR="006C52A4">
              <w:rPr>
                <w:rFonts w:cs="Calibri"/>
                <w:b/>
                <w:bCs/>
                <w:color w:val="000000" w:themeColor="text1"/>
              </w:rPr>
              <w:t>sq</w:t>
            </w:r>
            <w:proofErr w:type="spellEnd"/>
            <w:r w:rsidR="006C52A4">
              <w:rPr>
                <w:rFonts w:cs="Calibri"/>
                <w:b/>
                <w:bCs/>
                <w:color w:val="000000" w:themeColor="text1"/>
              </w:rPr>
              <w:t xml:space="preserve"> </w:t>
            </w:r>
            <w:r w:rsidRPr="00D0161E">
              <w:rPr>
                <w:rFonts w:cs="Calibri"/>
                <w:b/>
                <w:bCs/>
                <w:color w:val="000000" w:themeColor="text1"/>
              </w:rPr>
              <w:t>m</w:t>
            </w:r>
            <w:bookmarkEnd w:id="51"/>
            <w:r w:rsidRPr="00D0161E">
              <w:rPr>
                <w:rFonts w:cs="Calibri"/>
                <w:b/>
                <w:bCs/>
                <w:color w:val="000000" w:themeColor="text1"/>
              </w:rPr>
              <w:t>)</w:t>
            </w:r>
          </w:p>
        </w:tc>
        <w:tc>
          <w:tcPr>
            <w:tcW w:w="1366" w:type="dxa"/>
            <w:vAlign w:val="center"/>
          </w:tcPr>
          <w:p w14:paraId="2FDFEACC" w14:textId="77777777" w:rsidR="00AF6840" w:rsidRPr="00D0161E" w:rsidRDefault="00AF6840" w:rsidP="00D0161E">
            <w:pPr>
              <w:spacing w:line="480" w:lineRule="auto"/>
              <w:rPr>
                <w:rFonts w:cs="Calibri"/>
                <w:b/>
                <w:bCs/>
                <w:color w:val="000000" w:themeColor="text1"/>
              </w:rPr>
            </w:pPr>
            <w:r w:rsidRPr="00D0161E">
              <w:rPr>
                <w:rFonts w:cs="Calibri"/>
                <w:b/>
                <w:bCs/>
                <w:color w:val="000000" w:themeColor="text1"/>
              </w:rPr>
              <w:t>Relative Standard Deviation</w:t>
            </w:r>
          </w:p>
        </w:tc>
        <w:tc>
          <w:tcPr>
            <w:tcW w:w="1559" w:type="dxa"/>
            <w:vMerge/>
          </w:tcPr>
          <w:p w14:paraId="3C3F6628" w14:textId="77777777" w:rsidR="00AF6840" w:rsidRPr="00D0161E" w:rsidRDefault="00AF6840" w:rsidP="00D0161E">
            <w:pPr>
              <w:spacing w:line="480" w:lineRule="auto"/>
              <w:rPr>
                <w:rFonts w:cs="Calibri"/>
                <w:b/>
                <w:bCs/>
                <w:color w:val="000000" w:themeColor="text1"/>
              </w:rPr>
            </w:pPr>
          </w:p>
        </w:tc>
      </w:tr>
      <w:tr w:rsidR="00AF6840" w:rsidRPr="00D0161E" w14:paraId="23E258B6" w14:textId="77777777">
        <w:trPr>
          <w:trHeight w:val="340"/>
        </w:trPr>
        <w:tc>
          <w:tcPr>
            <w:tcW w:w="1887" w:type="dxa"/>
          </w:tcPr>
          <w:p w14:paraId="72804309" w14:textId="77777777" w:rsidR="00AF6840" w:rsidRPr="00D0161E" w:rsidRDefault="00AF6840" w:rsidP="00D0161E">
            <w:pPr>
              <w:spacing w:line="480" w:lineRule="auto"/>
              <w:rPr>
                <w:rFonts w:cs="Calibri"/>
                <w:b/>
                <w:bCs/>
                <w:color w:val="000000" w:themeColor="text1"/>
              </w:rPr>
            </w:pPr>
          </w:p>
        </w:tc>
        <w:tc>
          <w:tcPr>
            <w:tcW w:w="7129" w:type="dxa"/>
            <w:gridSpan w:val="4"/>
          </w:tcPr>
          <w:p w14:paraId="3D98A442" w14:textId="77777777" w:rsidR="00AF6840" w:rsidRPr="00D0161E" w:rsidRDefault="00AF6840" w:rsidP="00D0161E">
            <w:pPr>
              <w:spacing w:line="480" w:lineRule="auto"/>
              <w:rPr>
                <w:rFonts w:cs="Calibri"/>
                <w:b/>
                <w:bCs/>
                <w:color w:val="000000" w:themeColor="text1"/>
              </w:rPr>
            </w:pPr>
            <w:r w:rsidRPr="00D0161E">
              <w:rPr>
                <w:rFonts w:cs="Calibri"/>
                <w:b/>
                <w:bCs/>
                <w:color w:val="000000" w:themeColor="text1"/>
              </w:rPr>
              <w:t xml:space="preserve">Filter paper </w:t>
            </w:r>
          </w:p>
        </w:tc>
      </w:tr>
      <w:tr w:rsidR="00AF6840" w:rsidRPr="00D0161E" w14:paraId="5870E3DD" w14:textId="77777777">
        <w:trPr>
          <w:trHeight w:val="300"/>
        </w:trPr>
        <w:tc>
          <w:tcPr>
            <w:tcW w:w="1887" w:type="dxa"/>
            <w:vMerge w:val="restart"/>
            <w:vAlign w:val="center"/>
          </w:tcPr>
          <w:p w14:paraId="3D7204B3" w14:textId="0CDBE290" w:rsidR="00AF6840" w:rsidRPr="00D0161E" w:rsidRDefault="00D54567" w:rsidP="00D0161E">
            <w:pPr>
              <w:spacing w:line="480" w:lineRule="auto"/>
              <w:rPr>
                <w:rFonts w:cs="Calibri"/>
                <w:color w:val="000000" w:themeColor="text1"/>
              </w:rPr>
            </w:pPr>
            <w:r w:rsidRPr="00D54567">
              <w:rPr>
                <w:rFonts w:cs="Calibri"/>
                <w:noProof/>
                <w:color w:val="000000" w:themeColor="text1"/>
              </w:rPr>
              <w:t>Tenebenal</w:t>
            </w:r>
            <w:r w:rsidR="00AF6840" w:rsidRPr="00D0161E">
              <w:rPr>
                <w:rFonts w:cs="Calibri"/>
                <w:noProof/>
                <w:color w:val="000000" w:themeColor="text1"/>
                <w:vertAlign w:val="superscript"/>
              </w:rPr>
              <w:t>TM</w:t>
            </w:r>
            <w:r w:rsidR="00AF6840" w:rsidRPr="00D0161E">
              <w:rPr>
                <w:rFonts w:cs="Calibri"/>
                <w:noProof/>
                <w:color w:val="000000" w:themeColor="text1"/>
              </w:rPr>
              <w:t xml:space="preserve"> WP</w:t>
            </w:r>
          </w:p>
        </w:tc>
        <w:tc>
          <w:tcPr>
            <w:tcW w:w="2219" w:type="dxa"/>
          </w:tcPr>
          <w:p w14:paraId="5A2B24E9" w14:textId="77777777" w:rsidR="00AF6840" w:rsidRPr="00D0161E" w:rsidRDefault="00B55C11" w:rsidP="00D0161E">
            <w:pPr>
              <w:spacing w:line="480" w:lineRule="auto"/>
              <w:rPr>
                <w:rFonts w:cs="Calibri"/>
                <w:color w:val="000000" w:themeColor="text1"/>
              </w:rPr>
            </w:pPr>
            <w:r w:rsidRPr="00D0161E">
              <w:rPr>
                <w:rFonts w:cs="Calibri"/>
                <w:color w:val="000000" w:themeColor="text1"/>
              </w:rPr>
              <w:t>200</w:t>
            </w:r>
          </w:p>
        </w:tc>
        <w:tc>
          <w:tcPr>
            <w:tcW w:w="1985" w:type="dxa"/>
          </w:tcPr>
          <w:p w14:paraId="4433EF56"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281</w:t>
            </w:r>
          </w:p>
        </w:tc>
        <w:tc>
          <w:tcPr>
            <w:tcW w:w="1366" w:type="dxa"/>
          </w:tcPr>
          <w:p w14:paraId="17719747" w14:textId="77777777" w:rsidR="00AF6840" w:rsidRPr="00D0161E" w:rsidRDefault="00485486" w:rsidP="00D0161E">
            <w:pPr>
              <w:spacing w:line="480" w:lineRule="auto"/>
              <w:rPr>
                <w:rFonts w:cs="Calibri"/>
                <w:noProof/>
                <w:color w:val="000000" w:themeColor="text1"/>
              </w:rPr>
            </w:pPr>
            <w:r w:rsidRPr="00D0161E">
              <w:rPr>
                <w:rFonts w:cs="Calibri"/>
                <w:noProof/>
                <w:color w:val="000000" w:themeColor="text1"/>
              </w:rPr>
              <w:t>N/A</w:t>
            </w:r>
          </w:p>
        </w:tc>
        <w:tc>
          <w:tcPr>
            <w:tcW w:w="1559" w:type="dxa"/>
          </w:tcPr>
          <w:p w14:paraId="7BC53AE2" w14:textId="77777777" w:rsidR="00AF6840" w:rsidRPr="00D0161E" w:rsidRDefault="00AF6840" w:rsidP="00D0161E">
            <w:pPr>
              <w:spacing w:line="480" w:lineRule="auto"/>
              <w:rPr>
                <w:rFonts w:cs="Calibri"/>
                <w:color w:val="000000" w:themeColor="text1"/>
              </w:rPr>
            </w:pPr>
            <w:r w:rsidRPr="00D0161E">
              <w:rPr>
                <w:rFonts w:cs="Calibri"/>
                <w:noProof/>
                <w:color w:val="000000" w:themeColor="text1"/>
              </w:rPr>
              <w:t>+40.5</w:t>
            </w:r>
          </w:p>
        </w:tc>
      </w:tr>
      <w:tr w:rsidR="00485486" w:rsidRPr="00D0161E" w14:paraId="79D7F32B" w14:textId="77777777">
        <w:trPr>
          <w:trHeight w:val="300"/>
        </w:trPr>
        <w:tc>
          <w:tcPr>
            <w:tcW w:w="1887" w:type="dxa"/>
            <w:vMerge/>
            <w:vAlign w:val="center"/>
          </w:tcPr>
          <w:p w14:paraId="7DE2878C" w14:textId="77777777" w:rsidR="00485486" w:rsidRPr="00D0161E" w:rsidRDefault="00485486" w:rsidP="00D0161E">
            <w:pPr>
              <w:spacing w:line="480" w:lineRule="auto"/>
              <w:rPr>
                <w:rFonts w:cs="Calibri"/>
                <w:color w:val="000000" w:themeColor="text1"/>
              </w:rPr>
            </w:pPr>
          </w:p>
        </w:tc>
        <w:tc>
          <w:tcPr>
            <w:tcW w:w="2219" w:type="dxa"/>
          </w:tcPr>
          <w:p w14:paraId="76770622" w14:textId="77777777" w:rsidR="00485486" w:rsidRPr="00D0161E" w:rsidRDefault="00485486" w:rsidP="00D0161E">
            <w:pPr>
              <w:spacing w:line="480" w:lineRule="auto"/>
              <w:rPr>
                <w:rFonts w:cs="Calibri"/>
                <w:color w:val="000000" w:themeColor="text1"/>
              </w:rPr>
            </w:pPr>
            <w:r w:rsidRPr="00D0161E">
              <w:rPr>
                <w:rFonts w:cs="Calibri"/>
                <w:color w:val="000000" w:themeColor="text1"/>
              </w:rPr>
              <w:t>100</w:t>
            </w:r>
          </w:p>
        </w:tc>
        <w:tc>
          <w:tcPr>
            <w:tcW w:w="1985" w:type="dxa"/>
          </w:tcPr>
          <w:p w14:paraId="4F33455B" w14:textId="77777777" w:rsidR="00485486" w:rsidRPr="00D0161E" w:rsidRDefault="00485486" w:rsidP="00D0161E">
            <w:pPr>
              <w:spacing w:line="480" w:lineRule="auto"/>
              <w:rPr>
                <w:rFonts w:cs="Calibri"/>
                <w:color w:val="000000" w:themeColor="text1"/>
              </w:rPr>
            </w:pPr>
            <w:r w:rsidRPr="00D0161E">
              <w:rPr>
                <w:rFonts w:cs="Calibri"/>
                <w:color w:val="000000" w:themeColor="text1"/>
              </w:rPr>
              <w:t>125</w:t>
            </w:r>
          </w:p>
        </w:tc>
        <w:tc>
          <w:tcPr>
            <w:tcW w:w="1366" w:type="dxa"/>
          </w:tcPr>
          <w:p w14:paraId="7CF88966" w14:textId="77777777" w:rsidR="00485486" w:rsidRPr="00D0161E" w:rsidRDefault="00485486" w:rsidP="00D0161E">
            <w:pPr>
              <w:spacing w:line="480" w:lineRule="auto"/>
              <w:rPr>
                <w:rFonts w:cs="Calibri"/>
                <w:noProof/>
                <w:color w:val="000000" w:themeColor="text1"/>
              </w:rPr>
            </w:pPr>
            <w:r w:rsidRPr="00D0161E">
              <w:rPr>
                <w:rFonts w:cs="Calibri"/>
                <w:noProof/>
                <w:color w:val="000000" w:themeColor="text1"/>
              </w:rPr>
              <w:t>N/A</w:t>
            </w:r>
          </w:p>
        </w:tc>
        <w:tc>
          <w:tcPr>
            <w:tcW w:w="1559" w:type="dxa"/>
          </w:tcPr>
          <w:p w14:paraId="65BC09FC" w14:textId="77777777" w:rsidR="00485486" w:rsidRPr="00D0161E" w:rsidRDefault="00485486" w:rsidP="00D0161E">
            <w:pPr>
              <w:spacing w:line="480" w:lineRule="auto"/>
              <w:rPr>
                <w:rFonts w:cs="Calibri"/>
                <w:color w:val="000000" w:themeColor="text1"/>
              </w:rPr>
            </w:pPr>
            <w:r w:rsidRPr="00D0161E">
              <w:rPr>
                <w:rFonts w:cs="Calibri"/>
                <w:noProof/>
                <w:color w:val="000000" w:themeColor="text1"/>
              </w:rPr>
              <w:t>+25</w:t>
            </w:r>
          </w:p>
        </w:tc>
      </w:tr>
      <w:tr w:rsidR="00485486" w:rsidRPr="00D0161E" w14:paraId="3E037532" w14:textId="77777777">
        <w:trPr>
          <w:trHeight w:val="300"/>
        </w:trPr>
        <w:tc>
          <w:tcPr>
            <w:tcW w:w="1887" w:type="dxa"/>
            <w:vMerge/>
            <w:vAlign w:val="center"/>
          </w:tcPr>
          <w:p w14:paraId="6C98A4AA" w14:textId="77777777" w:rsidR="00485486" w:rsidRPr="00D0161E" w:rsidRDefault="00485486" w:rsidP="00D0161E">
            <w:pPr>
              <w:spacing w:line="480" w:lineRule="auto"/>
              <w:rPr>
                <w:rFonts w:cs="Calibri"/>
                <w:color w:val="000000" w:themeColor="text1"/>
              </w:rPr>
            </w:pPr>
          </w:p>
        </w:tc>
        <w:tc>
          <w:tcPr>
            <w:tcW w:w="2219" w:type="dxa"/>
          </w:tcPr>
          <w:p w14:paraId="36F20B43" w14:textId="77777777" w:rsidR="00485486" w:rsidRPr="00D0161E" w:rsidRDefault="00485486" w:rsidP="00D0161E">
            <w:pPr>
              <w:spacing w:line="480" w:lineRule="auto"/>
              <w:rPr>
                <w:rFonts w:cs="Calibri"/>
                <w:color w:val="000000" w:themeColor="text1"/>
              </w:rPr>
            </w:pPr>
            <w:r w:rsidRPr="00D0161E">
              <w:rPr>
                <w:rFonts w:cs="Calibri"/>
                <w:color w:val="000000" w:themeColor="text1"/>
              </w:rPr>
              <w:t>50</w:t>
            </w:r>
          </w:p>
        </w:tc>
        <w:tc>
          <w:tcPr>
            <w:tcW w:w="1985" w:type="dxa"/>
          </w:tcPr>
          <w:p w14:paraId="7EA6ECC4" w14:textId="77777777" w:rsidR="00485486" w:rsidRPr="00D0161E" w:rsidRDefault="00485486" w:rsidP="00D0161E">
            <w:pPr>
              <w:spacing w:line="480" w:lineRule="auto"/>
              <w:rPr>
                <w:rFonts w:cs="Calibri"/>
                <w:color w:val="000000" w:themeColor="text1"/>
              </w:rPr>
            </w:pPr>
            <w:r w:rsidRPr="00D0161E">
              <w:rPr>
                <w:rFonts w:cs="Calibri"/>
                <w:color w:val="000000" w:themeColor="text1"/>
              </w:rPr>
              <w:t>63</w:t>
            </w:r>
          </w:p>
        </w:tc>
        <w:tc>
          <w:tcPr>
            <w:tcW w:w="1366" w:type="dxa"/>
          </w:tcPr>
          <w:p w14:paraId="64D61CD4" w14:textId="77777777" w:rsidR="00485486" w:rsidRPr="00D0161E" w:rsidRDefault="00485486" w:rsidP="00D0161E">
            <w:pPr>
              <w:spacing w:line="480" w:lineRule="auto"/>
              <w:rPr>
                <w:rFonts w:cs="Calibri"/>
                <w:noProof/>
                <w:color w:val="000000" w:themeColor="text1"/>
              </w:rPr>
            </w:pPr>
            <w:r w:rsidRPr="00D0161E">
              <w:rPr>
                <w:rFonts w:cs="Calibri"/>
                <w:noProof/>
                <w:color w:val="000000" w:themeColor="text1"/>
              </w:rPr>
              <w:t>N/A</w:t>
            </w:r>
          </w:p>
        </w:tc>
        <w:tc>
          <w:tcPr>
            <w:tcW w:w="1559" w:type="dxa"/>
          </w:tcPr>
          <w:p w14:paraId="051CD426" w14:textId="77777777" w:rsidR="00485486" w:rsidRPr="00D0161E" w:rsidRDefault="00485486" w:rsidP="00D0161E">
            <w:pPr>
              <w:spacing w:line="480" w:lineRule="auto"/>
              <w:rPr>
                <w:rFonts w:cs="Calibri"/>
                <w:color w:val="000000" w:themeColor="text1"/>
              </w:rPr>
            </w:pPr>
            <w:r w:rsidRPr="00D0161E">
              <w:rPr>
                <w:rFonts w:cs="Calibri"/>
                <w:noProof/>
                <w:color w:val="000000" w:themeColor="text1"/>
              </w:rPr>
              <w:t>+26</w:t>
            </w:r>
          </w:p>
        </w:tc>
      </w:tr>
      <w:tr w:rsidR="00485486" w:rsidRPr="00D0161E" w14:paraId="724492B9" w14:textId="77777777">
        <w:trPr>
          <w:trHeight w:val="300"/>
        </w:trPr>
        <w:tc>
          <w:tcPr>
            <w:tcW w:w="1887" w:type="dxa"/>
            <w:vMerge/>
            <w:vAlign w:val="center"/>
          </w:tcPr>
          <w:p w14:paraId="25B3CC44" w14:textId="77777777" w:rsidR="00485486" w:rsidRPr="00D0161E" w:rsidRDefault="00485486" w:rsidP="00D0161E">
            <w:pPr>
              <w:spacing w:line="480" w:lineRule="auto"/>
              <w:rPr>
                <w:rFonts w:cs="Calibri"/>
                <w:color w:val="000000" w:themeColor="text1"/>
              </w:rPr>
            </w:pPr>
          </w:p>
        </w:tc>
        <w:tc>
          <w:tcPr>
            <w:tcW w:w="2219" w:type="dxa"/>
          </w:tcPr>
          <w:p w14:paraId="7DB02304" w14:textId="77777777" w:rsidR="00485486" w:rsidRPr="00D0161E" w:rsidRDefault="00485486" w:rsidP="00D0161E">
            <w:pPr>
              <w:spacing w:line="480" w:lineRule="auto"/>
              <w:rPr>
                <w:rFonts w:cs="Calibri"/>
                <w:color w:val="000000" w:themeColor="text1"/>
              </w:rPr>
            </w:pPr>
            <w:r w:rsidRPr="00D0161E">
              <w:rPr>
                <w:rFonts w:cs="Calibri"/>
                <w:color w:val="000000" w:themeColor="text1"/>
              </w:rPr>
              <w:t>25</w:t>
            </w:r>
          </w:p>
        </w:tc>
        <w:tc>
          <w:tcPr>
            <w:tcW w:w="1985" w:type="dxa"/>
          </w:tcPr>
          <w:p w14:paraId="693C5A3E" w14:textId="77777777" w:rsidR="00485486" w:rsidRPr="00D0161E" w:rsidRDefault="00485486" w:rsidP="00D0161E">
            <w:pPr>
              <w:spacing w:line="480" w:lineRule="auto"/>
              <w:rPr>
                <w:rFonts w:cs="Calibri"/>
                <w:color w:val="000000" w:themeColor="text1"/>
              </w:rPr>
            </w:pPr>
            <w:r w:rsidRPr="00D0161E">
              <w:rPr>
                <w:rFonts w:cs="Calibri"/>
                <w:color w:val="000000" w:themeColor="text1"/>
              </w:rPr>
              <w:t>29</w:t>
            </w:r>
          </w:p>
        </w:tc>
        <w:tc>
          <w:tcPr>
            <w:tcW w:w="1366" w:type="dxa"/>
          </w:tcPr>
          <w:p w14:paraId="4B5EFE39" w14:textId="77777777" w:rsidR="00485486" w:rsidRPr="00D0161E" w:rsidRDefault="00485486" w:rsidP="00D0161E">
            <w:pPr>
              <w:spacing w:line="480" w:lineRule="auto"/>
              <w:rPr>
                <w:rFonts w:cs="Calibri"/>
                <w:noProof/>
                <w:color w:val="000000" w:themeColor="text1"/>
              </w:rPr>
            </w:pPr>
            <w:r w:rsidRPr="00D0161E">
              <w:rPr>
                <w:rFonts w:cs="Calibri"/>
                <w:noProof/>
                <w:color w:val="000000" w:themeColor="text1"/>
              </w:rPr>
              <w:t>N/A</w:t>
            </w:r>
          </w:p>
        </w:tc>
        <w:tc>
          <w:tcPr>
            <w:tcW w:w="1559" w:type="dxa"/>
          </w:tcPr>
          <w:p w14:paraId="164BBAA9" w14:textId="77777777" w:rsidR="00485486" w:rsidRPr="00D0161E" w:rsidRDefault="00485486" w:rsidP="00D0161E">
            <w:pPr>
              <w:spacing w:line="480" w:lineRule="auto"/>
              <w:rPr>
                <w:rFonts w:cs="Calibri"/>
                <w:color w:val="000000" w:themeColor="text1"/>
              </w:rPr>
            </w:pPr>
            <w:r w:rsidRPr="00D0161E">
              <w:rPr>
                <w:rFonts w:cs="Calibri"/>
                <w:noProof/>
                <w:color w:val="000000" w:themeColor="text1"/>
              </w:rPr>
              <w:t>+16</w:t>
            </w:r>
          </w:p>
        </w:tc>
      </w:tr>
      <w:tr w:rsidR="00485486" w:rsidRPr="00D0161E" w14:paraId="43F0995C" w14:textId="77777777">
        <w:trPr>
          <w:trHeight w:val="320"/>
        </w:trPr>
        <w:tc>
          <w:tcPr>
            <w:tcW w:w="1887" w:type="dxa"/>
            <w:vAlign w:val="center"/>
          </w:tcPr>
          <w:p w14:paraId="4BBDBF4A" w14:textId="77777777" w:rsidR="00485486" w:rsidRPr="00D0161E" w:rsidRDefault="00485486" w:rsidP="00D0161E">
            <w:pPr>
              <w:spacing w:line="480" w:lineRule="auto"/>
              <w:rPr>
                <w:rFonts w:cs="Calibri"/>
                <w:color w:val="000000" w:themeColor="text1"/>
              </w:rPr>
            </w:pPr>
            <w:r w:rsidRPr="00D0161E">
              <w:rPr>
                <w:rFonts w:cs="Calibri"/>
                <w:noProof/>
                <w:color w:val="000000" w:themeColor="text1"/>
              </w:rPr>
              <w:t>Etofenprox WP</w:t>
            </w:r>
          </w:p>
        </w:tc>
        <w:tc>
          <w:tcPr>
            <w:tcW w:w="2219" w:type="dxa"/>
          </w:tcPr>
          <w:p w14:paraId="49604BEE" w14:textId="77777777" w:rsidR="00485486" w:rsidRPr="00D0161E" w:rsidRDefault="00485486" w:rsidP="00D0161E">
            <w:pPr>
              <w:spacing w:line="480" w:lineRule="auto"/>
              <w:rPr>
                <w:rFonts w:cs="Calibri"/>
                <w:color w:val="000000" w:themeColor="text1"/>
              </w:rPr>
            </w:pPr>
            <w:r w:rsidRPr="00D0161E">
              <w:rPr>
                <w:rFonts w:cs="Calibri"/>
                <w:color w:val="000000" w:themeColor="text1"/>
              </w:rPr>
              <w:t>100</w:t>
            </w:r>
          </w:p>
        </w:tc>
        <w:tc>
          <w:tcPr>
            <w:tcW w:w="1985" w:type="dxa"/>
          </w:tcPr>
          <w:p w14:paraId="0E4DBF55" w14:textId="77777777" w:rsidR="00485486" w:rsidRPr="00D0161E" w:rsidRDefault="00485486" w:rsidP="00D0161E">
            <w:pPr>
              <w:spacing w:line="480" w:lineRule="auto"/>
              <w:rPr>
                <w:rFonts w:cs="Calibri"/>
                <w:color w:val="000000" w:themeColor="text1"/>
              </w:rPr>
            </w:pPr>
            <w:r w:rsidRPr="00D0161E">
              <w:rPr>
                <w:rFonts w:cs="Calibri"/>
                <w:color w:val="000000" w:themeColor="text1"/>
              </w:rPr>
              <w:t>156</w:t>
            </w:r>
          </w:p>
        </w:tc>
        <w:tc>
          <w:tcPr>
            <w:tcW w:w="1366" w:type="dxa"/>
          </w:tcPr>
          <w:p w14:paraId="57B1D97F" w14:textId="77777777" w:rsidR="00485486" w:rsidRPr="00D0161E" w:rsidRDefault="00485486" w:rsidP="00D0161E">
            <w:pPr>
              <w:spacing w:line="480" w:lineRule="auto"/>
              <w:rPr>
                <w:rFonts w:cs="Calibri"/>
                <w:noProof/>
                <w:color w:val="000000" w:themeColor="text1"/>
              </w:rPr>
            </w:pPr>
            <w:r w:rsidRPr="00D0161E">
              <w:rPr>
                <w:rFonts w:cs="Calibri"/>
                <w:noProof/>
                <w:color w:val="000000" w:themeColor="text1"/>
              </w:rPr>
              <w:t>N/A</w:t>
            </w:r>
          </w:p>
        </w:tc>
        <w:tc>
          <w:tcPr>
            <w:tcW w:w="1559" w:type="dxa"/>
          </w:tcPr>
          <w:p w14:paraId="5CF1D120" w14:textId="77777777" w:rsidR="00485486" w:rsidRPr="00D0161E" w:rsidRDefault="00485486" w:rsidP="00D0161E">
            <w:pPr>
              <w:spacing w:line="480" w:lineRule="auto"/>
              <w:rPr>
                <w:rFonts w:cs="Calibri"/>
                <w:color w:val="000000" w:themeColor="text1"/>
              </w:rPr>
            </w:pPr>
            <w:r w:rsidRPr="00D0161E">
              <w:rPr>
                <w:rFonts w:cs="Calibri"/>
                <w:noProof/>
                <w:color w:val="000000" w:themeColor="text1"/>
              </w:rPr>
              <w:t>+56</w:t>
            </w:r>
          </w:p>
        </w:tc>
      </w:tr>
      <w:tr w:rsidR="00485486" w:rsidRPr="00D0161E" w14:paraId="0CBC1D5A" w14:textId="77777777">
        <w:trPr>
          <w:trHeight w:val="320"/>
        </w:trPr>
        <w:tc>
          <w:tcPr>
            <w:tcW w:w="1887" w:type="dxa"/>
            <w:vAlign w:val="center"/>
          </w:tcPr>
          <w:p w14:paraId="00382502" w14:textId="77777777" w:rsidR="00485486" w:rsidRPr="00D0161E" w:rsidRDefault="00485486" w:rsidP="00D0161E">
            <w:pPr>
              <w:spacing w:line="480" w:lineRule="auto"/>
              <w:rPr>
                <w:rFonts w:cs="Calibri"/>
                <w:color w:val="000000" w:themeColor="text1"/>
              </w:rPr>
            </w:pPr>
            <w:r w:rsidRPr="00D0161E">
              <w:rPr>
                <w:rFonts w:cs="Calibri"/>
                <w:noProof/>
                <w:color w:val="000000" w:themeColor="text1"/>
              </w:rPr>
              <w:t>Bendiocarb WP</w:t>
            </w:r>
          </w:p>
        </w:tc>
        <w:tc>
          <w:tcPr>
            <w:tcW w:w="2219" w:type="dxa"/>
          </w:tcPr>
          <w:p w14:paraId="04F07541" w14:textId="77777777" w:rsidR="00485486" w:rsidRPr="00D0161E" w:rsidRDefault="00485486" w:rsidP="00D0161E">
            <w:pPr>
              <w:spacing w:line="480" w:lineRule="auto"/>
              <w:rPr>
                <w:rFonts w:cs="Calibri"/>
                <w:color w:val="000000" w:themeColor="text1"/>
              </w:rPr>
            </w:pPr>
            <w:r w:rsidRPr="00D0161E">
              <w:rPr>
                <w:rFonts w:cs="Calibri"/>
                <w:color w:val="000000" w:themeColor="text1"/>
              </w:rPr>
              <w:t>40</w:t>
            </w:r>
          </w:p>
        </w:tc>
        <w:tc>
          <w:tcPr>
            <w:tcW w:w="1985" w:type="dxa"/>
          </w:tcPr>
          <w:p w14:paraId="17CEE295" w14:textId="77777777" w:rsidR="00485486" w:rsidRPr="00D0161E" w:rsidRDefault="00485486" w:rsidP="00D0161E">
            <w:pPr>
              <w:spacing w:line="480" w:lineRule="auto"/>
              <w:rPr>
                <w:rFonts w:cs="Calibri"/>
                <w:color w:val="000000" w:themeColor="text1"/>
              </w:rPr>
            </w:pPr>
            <w:r w:rsidRPr="00D0161E">
              <w:rPr>
                <w:rFonts w:cs="Calibri"/>
                <w:color w:val="000000" w:themeColor="text1"/>
              </w:rPr>
              <w:t>272</w:t>
            </w:r>
          </w:p>
        </w:tc>
        <w:tc>
          <w:tcPr>
            <w:tcW w:w="1366" w:type="dxa"/>
          </w:tcPr>
          <w:p w14:paraId="76D7372B" w14:textId="77777777" w:rsidR="00485486" w:rsidRPr="00D0161E" w:rsidRDefault="00485486" w:rsidP="00D0161E">
            <w:pPr>
              <w:spacing w:line="480" w:lineRule="auto"/>
              <w:rPr>
                <w:rFonts w:cs="Calibri"/>
                <w:noProof/>
                <w:color w:val="000000" w:themeColor="text1"/>
              </w:rPr>
            </w:pPr>
            <w:r w:rsidRPr="00D0161E">
              <w:rPr>
                <w:rFonts w:cs="Calibri"/>
                <w:noProof/>
                <w:color w:val="000000" w:themeColor="text1"/>
              </w:rPr>
              <w:t>N/A</w:t>
            </w:r>
          </w:p>
        </w:tc>
        <w:tc>
          <w:tcPr>
            <w:tcW w:w="1559" w:type="dxa"/>
          </w:tcPr>
          <w:p w14:paraId="396C59C1" w14:textId="77777777" w:rsidR="00485486" w:rsidRPr="00D0161E" w:rsidRDefault="00485486" w:rsidP="00D0161E">
            <w:pPr>
              <w:spacing w:line="480" w:lineRule="auto"/>
              <w:rPr>
                <w:rFonts w:cs="Calibri"/>
                <w:color w:val="000000" w:themeColor="text1"/>
              </w:rPr>
            </w:pPr>
            <w:r w:rsidRPr="00D0161E">
              <w:rPr>
                <w:rFonts w:cs="Calibri"/>
                <w:noProof/>
                <w:color w:val="000000" w:themeColor="text1"/>
              </w:rPr>
              <w:t>+580</w:t>
            </w:r>
          </w:p>
        </w:tc>
      </w:tr>
      <w:tr w:rsidR="00485486" w:rsidRPr="00D0161E" w14:paraId="1373EF05" w14:textId="77777777">
        <w:trPr>
          <w:trHeight w:val="320"/>
        </w:trPr>
        <w:tc>
          <w:tcPr>
            <w:tcW w:w="1887" w:type="dxa"/>
            <w:vAlign w:val="center"/>
          </w:tcPr>
          <w:p w14:paraId="27BED02D" w14:textId="77777777" w:rsidR="00485486" w:rsidRPr="00D0161E" w:rsidRDefault="00485486" w:rsidP="00D0161E">
            <w:pPr>
              <w:spacing w:line="480" w:lineRule="auto"/>
              <w:rPr>
                <w:rFonts w:cs="Calibri"/>
                <w:color w:val="000000" w:themeColor="text1"/>
              </w:rPr>
            </w:pPr>
            <w:r w:rsidRPr="00D0161E">
              <w:rPr>
                <w:rFonts w:cs="Calibri"/>
                <w:noProof/>
                <w:color w:val="000000" w:themeColor="text1"/>
              </w:rPr>
              <w:t>Deltamethrin WG</w:t>
            </w:r>
          </w:p>
        </w:tc>
        <w:tc>
          <w:tcPr>
            <w:tcW w:w="2219" w:type="dxa"/>
          </w:tcPr>
          <w:p w14:paraId="5E4516F4" w14:textId="77777777" w:rsidR="00485486" w:rsidRPr="00D0161E" w:rsidRDefault="00485486" w:rsidP="00D0161E">
            <w:pPr>
              <w:spacing w:line="480" w:lineRule="auto"/>
              <w:rPr>
                <w:rFonts w:cs="Calibri"/>
                <w:color w:val="000000" w:themeColor="text1"/>
              </w:rPr>
            </w:pPr>
            <w:r w:rsidRPr="00D0161E">
              <w:rPr>
                <w:rFonts w:cs="Calibri"/>
                <w:color w:val="000000" w:themeColor="text1"/>
              </w:rPr>
              <w:t>25</w:t>
            </w:r>
          </w:p>
        </w:tc>
        <w:tc>
          <w:tcPr>
            <w:tcW w:w="1985" w:type="dxa"/>
          </w:tcPr>
          <w:p w14:paraId="1B8E68DB" w14:textId="77777777" w:rsidR="00485486" w:rsidRPr="00D0161E" w:rsidRDefault="00485486" w:rsidP="00D0161E">
            <w:pPr>
              <w:spacing w:line="480" w:lineRule="auto"/>
              <w:rPr>
                <w:rFonts w:cs="Calibri"/>
                <w:color w:val="000000" w:themeColor="text1"/>
              </w:rPr>
            </w:pPr>
            <w:r w:rsidRPr="00D0161E">
              <w:rPr>
                <w:rFonts w:cs="Calibri"/>
                <w:color w:val="000000" w:themeColor="text1"/>
              </w:rPr>
              <w:t>37</w:t>
            </w:r>
          </w:p>
        </w:tc>
        <w:tc>
          <w:tcPr>
            <w:tcW w:w="1366" w:type="dxa"/>
          </w:tcPr>
          <w:p w14:paraId="415967B6" w14:textId="77777777" w:rsidR="00485486" w:rsidRPr="00D0161E" w:rsidRDefault="00485486" w:rsidP="00D0161E">
            <w:pPr>
              <w:spacing w:line="480" w:lineRule="auto"/>
              <w:rPr>
                <w:rFonts w:cs="Calibri"/>
                <w:noProof/>
                <w:color w:val="000000" w:themeColor="text1"/>
              </w:rPr>
            </w:pPr>
            <w:r w:rsidRPr="00D0161E">
              <w:rPr>
                <w:rFonts w:cs="Calibri"/>
                <w:noProof/>
                <w:color w:val="000000" w:themeColor="text1"/>
              </w:rPr>
              <w:t>N/A</w:t>
            </w:r>
          </w:p>
        </w:tc>
        <w:tc>
          <w:tcPr>
            <w:tcW w:w="1559" w:type="dxa"/>
          </w:tcPr>
          <w:p w14:paraId="1DEC75E7" w14:textId="77777777" w:rsidR="00485486" w:rsidRPr="00D0161E" w:rsidRDefault="00485486" w:rsidP="00D0161E">
            <w:pPr>
              <w:spacing w:line="480" w:lineRule="auto"/>
              <w:rPr>
                <w:rFonts w:cs="Calibri"/>
                <w:color w:val="000000" w:themeColor="text1"/>
              </w:rPr>
            </w:pPr>
            <w:r w:rsidRPr="00D0161E">
              <w:rPr>
                <w:rFonts w:cs="Calibri"/>
                <w:noProof/>
                <w:color w:val="000000" w:themeColor="text1"/>
              </w:rPr>
              <w:t>+48</w:t>
            </w:r>
          </w:p>
        </w:tc>
      </w:tr>
      <w:tr w:rsidR="00AF6840" w:rsidRPr="00D0161E" w14:paraId="44EDED08" w14:textId="77777777">
        <w:trPr>
          <w:trHeight w:val="300"/>
        </w:trPr>
        <w:tc>
          <w:tcPr>
            <w:tcW w:w="1887" w:type="dxa"/>
          </w:tcPr>
          <w:p w14:paraId="61A54CF6" w14:textId="77777777" w:rsidR="00AF6840" w:rsidRPr="00D0161E" w:rsidRDefault="00AF6840" w:rsidP="00D0161E">
            <w:pPr>
              <w:spacing w:line="480" w:lineRule="auto"/>
              <w:rPr>
                <w:rFonts w:cs="Calibri"/>
                <w:b/>
                <w:bCs/>
                <w:color w:val="000000" w:themeColor="text1"/>
              </w:rPr>
            </w:pPr>
          </w:p>
        </w:tc>
        <w:tc>
          <w:tcPr>
            <w:tcW w:w="7129" w:type="dxa"/>
            <w:gridSpan w:val="4"/>
            <w:vAlign w:val="center"/>
          </w:tcPr>
          <w:p w14:paraId="1D865169" w14:textId="6A8F6801" w:rsidR="00AF6840" w:rsidRPr="00D0161E" w:rsidRDefault="00AF6840" w:rsidP="00D0161E">
            <w:pPr>
              <w:spacing w:line="480" w:lineRule="auto"/>
              <w:rPr>
                <w:rFonts w:cs="Calibri"/>
                <w:b/>
                <w:bCs/>
                <w:color w:val="000000" w:themeColor="text1"/>
              </w:rPr>
            </w:pPr>
            <w:r w:rsidRPr="00D0161E">
              <w:rPr>
                <w:rFonts w:cs="Calibri"/>
                <w:b/>
                <w:bCs/>
                <w:color w:val="000000" w:themeColor="text1"/>
              </w:rPr>
              <w:t xml:space="preserve">ITNs treated with </w:t>
            </w:r>
            <w:proofErr w:type="spellStart"/>
            <w:r w:rsidR="00D54567" w:rsidRPr="00D54567">
              <w:rPr>
                <w:rFonts w:cs="Calibri"/>
                <w:b/>
                <w:bCs/>
                <w:color w:val="000000" w:themeColor="text1"/>
              </w:rPr>
              <w:t>Tenebenal</w:t>
            </w:r>
            <w:r w:rsidRPr="00D0161E">
              <w:rPr>
                <w:rFonts w:cs="Calibri"/>
                <w:b/>
                <w:bCs/>
                <w:color w:val="000000" w:themeColor="text1"/>
                <w:vertAlign w:val="superscript"/>
              </w:rPr>
              <w:t>TM</w:t>
            </w:r>
            <w:proofErr w:type="spellEnd"/>
          </w:p>
        </w:tc>
      </w:tr>
      <w:tr w:rsidR="00AF6840" w:rsidRPr="00D0161E" w14:paraId="47AA2599" w14:textId="77777777">
        <w:trPr>
          <w:trHeight w:val="300"/>
        </w:trPr>
        <w:tc>
          <w:tcPr>
            <w:tcW w:w="1887" w:type="dxa"/>
            <w:vMerge w:val="restart"/>
            <w:noWrap/>
            <w:vAlign w:val="center"/>
          </w:tcPr>
          <w:p w14:paraId="76AB151C" w14:textId="1A95E953" w:rsidR="00AF6840" w:rsidRPr="00D0161E" w:rsidRDefault="00D54567" w:rsidP="00D0161E">
            <w:pPr>
              <w:spacing w:line="480" w:lineRule="auto"/>
              <w:rPr>
                <w:rFonts w:cs="Calibri"/>
                <w:color w:val="000000" w:themeColor="text1"/>
              </w:rPr>
            </w:pPr>
            <w:proofErr w:type="spellStart"/>
            <w:r w:rsidRPr="00D54567">
              <w:rPr>
                <w:color w:val="000000" w:themeColor="text1"/>
                <w:szCs w:val="22"/>
              </w:rPr>
              <w:t>Tenebenal</w:t>
            </w:r>
            <w:r w:rsidR="00AF6840" w:rsidRPr="00D0161E">
              <w:rPr>
                <w:rFonts w:cs="Calibri"/>
                <w:noProof/>
                <w:color w:val="000000" w:themeColor="text1"/>
                <w:vertAlign w:val="superscript"/>
              </w:rPr>
              <w:t>TM</w:t>
            </w:r>
            <w:proofErr w:type="spellEnd"/>
            <w:r w:rsidR="00AF6840" w:rsidRPr="00D0161E">
              <w:rPr>
                <w:rFonts w:cs="Calibri"/>
                <w:noProof/>
                <w:color w:val="000000" w:themeColor="text1"/>
              </w:rPr>
              <w:t xml:space="preserve"> WP</w:t>
            </w:r>
          </w:p>
        </w:tc>
        <w:tc>
          <w:tcPr>
            <w:tcW w:w="2219" w:type="dxa"/>
            <w:noWrap/>
          </w:tcPr>
          <w:p w14:paraId="1C55BEC5" w14:textId="77777777" w:rsidR="00AF6840" w:rsidRPr="00D0161E" w:rsidRDefault="00B55C11" w:rsidP="00D0161E">
            <w:pPr>
              <w:spacing w:line="480" w:lineRule="auto"/>
              <w:rPr>
                <w:rFonts w:cs="Calibri"/>
                <w:color w:val="000000" w:themeColor="text1"/>
              </w:rPr>
            </w:pPr>
            <w:r w:rsidRPr="00D0161E">
              <w:rPr>
                <w:rFonts w:cs="Calibri"/>
                <w:color w:val="000000" w:themeColor="text1"/>
              </w:rPr>
              <w:t>10</w:t>
            </w:r>
          </w:p>
        </w:tc>
        <w:tc>
          <w:tcPr>
            <w:tcW w:w="1985" w:type="dxa"/>
            <w:noWrap/>
          </w:tcPr>
          <w:p w14:paraId="20845F1D"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70</w:t>
            </w:r>
          </w:p>
        </w:tc>
        <w:tc>
          <w:tcPr>
            <w:tcW w:w="1366" w:type="dxa"/>
          </w:tcPr>
          <w:p w14:paraId="1141A352" w14:textId="77777777" w:rsidR="00AF6840" w:rsidRPr="00D0161E" w:rsidRDefault="00485486" w:rsidP="00D0161E">
            <w:pPr>
              <w:spacing w:line="480" w:lineRule="auto"/>
              <w:rPr>
                <w:rFonts w:cs="Calibri"/>
                <w:color w:val="000000" w:themeColor="text1"/>
              </w:rPr>
            </w:pPr>
            <w:r w:rsidRPr="00D0161E">
              <w:rPr>
                <w:rFonts w:cs="Calibri"/>
                <w:color w:val="000000" w:themeColor="text1"/>
              </w:rPr>
              <w:t>40</w:t>
            </w:r>
          </w:p>
        </w:tc>
        <w:tc>
          <w:tcPr>
            <w:tcW w:w="1559" w:type="dxa"/>
            <w:noWrap/>
            <w:vAlign w:val="bottom"/>
          </w:tcPr>
          <w:p w14:paraId="1E2334B7"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+595</w:t>
            </w:r>
          </w:p>
        </w:tc>
      </w:tr>
      <w:tr w:rsidR="00AF6840" w:rsidRPr="00D0161E" w14:paraId="78528085" w14:textId="77777777">
        <w:trPr>
          <w:trHeight w:val="300"/>
        </w:trPr>
        <w:tc>
          <w:tcPr>
            <w:tcW w:w="1887" w:type="dxa"/>
            <w:vMerge/>
            <w:noWrap/>
          </w:tcPr>
          <w:p w14:paraId="6571459B" w14:textId="77777777" w:rsidR="00AF6840" w:rsidRPr="00D0161E" w:rsidRDefault="00AF6840" w:rsidP="00D0161E">
            <w:pPr>
              <w:spacing w:line="480" w:lineRule="auto"/>
              <w:rPr>
                <w:rFonts w:cs="Calibri"/>
                <w:color w:val="000000" w:themeColor="text1"/>
              </w:rPr>
            </w:pPr>
          </w:p>
        </w:tc>
        <w:tc>
          <w:tcPr>
            <w:tcW w:w="2219" w:type="dxa"/>
            <w:noWrap/>
          </w:tcPr>
          <w:p w14:paraId="45884225" w14:textId="77777777" w:rsidR="00AF6840" w:rsidRPr="00D0161E" w:rsidRDefault="00B55C11" w:rsidP="00D0161E">
            <w:pPr>
              <w:spacing w:line="480" w:lineRule="auto"/>
              <w:rPr>
                <w:rFonts w:cs="Calibri"/>
                <w:color w:val="000000" w:themeColor="text1"/>
              </w:rPr>
            </w:pPr>
            <w:r w:rsidRPr="00D0161E">
              <w:rPr>
                <w:rFonts w:cs="Calibri"/>
                <w:color w:val="000000" w:themeColor="text1"/>
              </w:rPr>
              <w:t>50</w:t>
            </w:r>
          </w:p>
        </w:tc>
        <w:tc>
          <w:tcPr>
            <w:tcW w:w="1985" w:type="dxa"/>
            <w:noWrap/>
          </w:tcPr>
          <w:p w14:paraId="175E626E"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265</w:t>
            </w:r>
          </w:p>
        </w:tc>
        <w:tc>
          <w:tcPr>
            <w:tcW w:w="1366" w:type="dxa"/>
          </w:tcPr>
          <w:p w14:paraId="1AF2D966" w14:textId="77777777" w:rsidR="00AF6840" w:rsidRPr="00D0161E" w:rsidRDefault="00485486" w:rsidP="00D0161E">
            <w:pPr>
              <w:spacing w:line="480" w:lineRule="auto"/>
              <w:rPr>
                <w:rFonts w:cs="Calibri"/>
                <w:color w:val="000000" w:themeColor="text1"/>
              </w:rPr>
            </w:pPr>
            <w:r w:rsidRPr="00D0161E">
              <w:rPr>
                <w:rFonts w:cs="Calibri"/>
                <w:color w:val="000000" w:themeColor="text1"/>
              </w:rPr>
              <w:t>31</w:t>
            </w:r>
          </w:p>
        </w:tc>
        <w:tc>
          <w:tcPr>
            <w:tcW w:w="1559" w:type="dxa"/>
            <w:noWrap/>
            <w:vAlign w:val="bottom"/>
          </w:tcPr>
          <w:p w14:paraId="718AE3CF"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+430</w:t>
            </w:r>
          </w:p>
        </w:tc>
      </w:tr>
      <w:tr w:rsidR="00AF6840" w:rsidRPr="00D0161E" w14:paraId="2F5A83FC" w14:textId="77777777">
        <w:trPr>
          <w:trHeight w:val="300"/>
        </w:trPr>
        <w:tc>
          <w:tcPr>
            <w:tcW w:w="1887" w:type="dxa"/>
            <w:vMerge/>
            <w:noWrap/>
          </w:tcPr>
          <w:p w14:paraId="10196621" w14:textId="77777777" w:rsidR="00AF6840" w:rsidRPr="00D0161E" w:rsidRDefault="00AF6840" w:rsidP="00D0161E">
            <w:pPr>
              <w:spacing w:line="480" w:lineRule="auto"/>
              <w:rPr>
                <w:rFonts w:cs="Calibri"/>
                <w:color w:val="000000" w:themeColor="text1"/>
              </w:rPr>
            </w:pPr>
          </w:p>
        </w:tc>
        <w:tc>
          <w:tcPr>
            <w:tcW w:w="2219" w:type="dxa"/>
            <w:noWrap/>
          </w:tcPr>
          <w:p w14:paraId="396FC48C" w14:textId="77777777" w:rsidR="00AF6840" w:rsidRPr="00D0161E" w:rsidRDefault="00B55C11" w:rsidP="00D0161E">
            <w:pPr>
              <w:spacing w:line="480" w:lineRule="auto"/>
              <w:rPr>
                <w:rFonts w:cs="Calibri"/>
                <w:color w:val="000000" w:themeColor="text1"/>
              </w:rPr>
            </w:pPr>
            <w:r w:rsidRPr="00D0161E">
              <w:rPr>
                <w:rFonts w:cs="Calibri"/>
                <w:color w:val="000000" w:themeColor="text1"/>
              </w:rPr>
              <w:t>100</w:t>
            </w:r>
          </w:p>
        </w:tc>
        <w:tc>
          <w:tcPr>
            <w:tcW w:w="1985" w:type="dxa"/>
            <w:noWrap/>
          </w:tcPr>
          <w:p w14:paraId="0FD4106B"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401</w:t>
            </w:r>
          </w:p>
        </w:tc>
        <w:tc>
          <w:tcPr>
            <w:tcW w:w="1366" w:type="dxa"/>
          </w:tcPr>
          <w:p w14:paraId="55869F61" w14:textId="77777777" w:rsidR="00AF6840" w:rsidRPr="00D0161E" w:rsidRDefault="00485486" w:rsidP="00D0161E">
            <w:pPr>
              <w:spacing w:line="480" w:lineRule="auto"/>
              <w:rPr>
                <w:rFonts w:cs="Calibri"/>
                <w:color w:val="000000" w:themeColor="text1"/>
              </w:rPr>
            </w:pPr>
            <w:r w:rsidRPr="00D0161E">
              <w:rPr>
                <w:rFonts w:cs="Calibri"/>
                <w:color w:val="000000" w:themeColor="text1"/>
              </w:rPr>
              <w:t>15</w:t>
            </w:r>
          </w:p>
        </w:tc>
        <w:tc>
          <w:tcPr>
            <w:tcW w:w="1559" w:type="dxa"/>
            <w:noWrap/>
            <w:vAlign w:val="bottom"/>
          </w:tcPr>
          <w:p w14:paraId="289D2328"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+301</w:t>
            </w:r>
          </w:p>
        </w:tc>
      </w:tr>
      <w:tr w:rsidR="00AF6840" w:rsidRPr="00D0161E" w14:paraId="7C31210B" w14:textId="77777777">
        <w:trPr>
          <w:trHeight w:val="300"/>
        </w:trPr>
        <w:tc>
          <w:tcPr>
            <w:tcW w:w="1887" w:type="dxa"/>
            <w:vMerge/>
            <w:noWrap/>
          </w:tcPr>
          <w:p w14:paraId="3E8614D7" w14:textId="77777777" w:rsidR="00AF6840" w:rsidRPr="00D0161E" w:rsidRDefault="00AF6840" w:rsidP="00D0161E">
            <w:pPr>
              <w:spacing w:line="480" w:lineRule="auto"/>
              <w:rPr>
                <w:rFonts w:cs="Calibri"/>
                <w:color w:val="000000" w:themeColor="text1"/>
              </w:rPr>
            </w:pPr>
          </w:p>
        </w:tc>
        <w:tc>
          <w:tcPr>
            <w:tcW w:w="2219" w:type="dxa"/>
            <w:noWrap/>
          </w:tcPr>
          <w:p w14:paraId="38DA6215" w14:textId="77777777" w:rsidR="00AF6840" w:rsidRPr="00D0161E" w:rsidRDefault="00B55C11" w:rsidP="00D0161E">
            <w:pPr>
              <w:spacing w:line="480" w:lineRule="auto"/>
              <w:rPr>
                <w:rFonts w:cs="Calibri"/>
                <w:color w:val="000000" w:themeColor="text1"/>
              </w:rPr>
            </w:pPr>
            <w:r w:rsidRPr="00D0161E">
              <w:rPr>
                <w:rFonts w:cs="Calibri"/>
                <w:color w:val="000000" w:themeColor="text1"/>
              </w:rPr>
              <w:t>500</w:t>
            </w:r>
          </w:p>
        </w:tc>
        <w:tc>
          <w:tcPr>
            <w:tcW w:w="1985" w:type="dxa"/>
            <w:noWrap/>
          </w:tcPr>
          <w:p w14:paraId="2CF1A1A3"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2188</w:t>
            </w:r>
          </w:p>
        </w:tc>
        <w:tc>
          <w:tcPr>
            <w:tcW w:w="1366" w:type="dxa"/>
          </w:tcPr>
          <w:p w14:paraId="4CD2B42B" w14:textId="77777777" w:rsidR="00AF6840" w:rsidRPr="00D0161E" w:rsidRDefault="00485486" w:rsidP="00D0161E">
            <w:pPr>
              <w:spacing w:line="480" w:lineRule="auto"/>
              <w:rPr>
                <w:rFonts w:cs="Calibri"/>
                <w:color w:val="000000" w:themeColor="text1"/>
              </w:rPr>
            </w:pPr>
            <w:r w:rsidRPr="00D0161E">
              <w:rPr>
                <w:rFonts w:cs="Calibri"/>
                <w:color w:val="000000" w:themeColor="text1"/>
              </w:rPr>
              <w:t>25</w:t>
            </w:r>
          </w:p>
        </w:tc>
        <w:tc>
          <w:tcPr>
            <w:tcW w:w="1559" w:type="dxa"/>
            <w:noWrap/>
            <w:vAlign w:val="bottom"/>
          </w:tcPr>
          <w:p w14:paraId="4A56BA2D"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+338</w:t>
            </w:r>
          </w:p>
        </w:tc>
      </w:tr>
      <w:tr w:rsidR="00AF6840" w:rsidRPr="00D0161E" w14:paraId="43ACD03D" w14:textId="77777777">
        <w:trPr>
          <w:trHeight w:val="300"/>
        </w:trPr>
        <w:tc>
          <w:tcPr>
            <w:tcW w:w="1887" w:type="dxa"/>
            <w:noWrap/>
            <w:vAlign w:val="center"/>
          </w:tcPr>
          <w:p w14:paraId="03CD94E4"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Control net</w:t>
            </w:r>
          </w:p>
        </w:tc>
        <w:tc>
          <w:tcPr>
            <w:tcW w:w="2219" w:type="dxa"/>
            <w:noWrap/>
          </w:tcPr>
          <w:p w14:paraId="00D5A5E8" w14:textId="77777777" w:rsidR="00AF6840" w:rsidRPr="00D0161E" w:rsidRDefault="00AF6840" w:rsidP="00D0161E">
            <w:pPr>
              <w:spacing w:line="480" w:lineRule="auto"/>
              <w:rPr>
                <w:rFonts w:cs="Calibri"/>
                <w:color w:val="000000" w:themeColor="text1"/>
              </w:rPr>
            </w:pPr>
            <w:r w:rsidRPr="00D0161E">
              <w:rPr>
                <w:rFonts w:cs="Calibri"/>
                <w:color w:val="000000" w:themeColor="text1"/>
              </w:rPr>
              <w:t>Control</w:t>
            </w:r>
          </w:p>
        </w:tc>
        <w:tc>
          <w:tcPr>
            <w:tcW w:w="1985" w:type="dxa"/>
            <w:noWrap/>
          </w:tcPr>
          <w:p w14:paraId="1F4A55CD" w14:textId="77777777" w:rsidR="00AF6840" w:rsidRPr="00D0161E" w:rsidRDefault="00485486" w:rsidP="00D0161E">
            <w:pPr>
              <w:spacing w:line="480" w:lineRule="auto"/>
              <w:rPr>
                <w:rFonts w:cs="Calibri"/>
                <w:color w:val="000000" w:themeColor="text1"/>
              </w:rPr>
            </w:pPr>
            <w:r w:rsidRPr="00D0161E">
              <w:rPr>
                <w:rFonts w:cs="Calibri"/>
                <w:color w:val="000000" w:themeColor="text1"/>
              </w:rPr>
              <w:t xml:space="preserve">ND </w:t>
            </w:r>
          </w:p>
        </w:tc>
        <w:tc>
          <w:tcPr>
            <w:tcW w:w="1366" w:type="dxa"/>
          </w:tcPr>
          <w:p w14:paraId="01CA6CE0" w14:textId="77777777" w:rsidR="00AF6840" w:rsidRPr="00D0161E" w:rsidRDefault="00485486" w:rsidP="00D0161E">
            <w:pPr>
              <w:spacing w:line="480" w:lineRule="auto"/>
              <w:rPr>
                <w:rFonts w:cs="Calibri"/>
                <w:color w:val="000000" w:themeColor="text1"/>
              </w:rPr>
            </w:pPr>
            <w:r w:rsidRPr="00D0161E">
              <w:rPr>
                <w:rFonts w:cs="Calibri"/>
                <w:color w:val="000000" w:themeColor="text1"/>
              </w:rPr>
              <w:t>ND</w:t>
            </w:r>
          </w:p>
        </w:tc>
        <w:tc>
          <w:tcPr>
            <w:tcW w:w="1559" w:type="dxa"/>
            <w:noWrap/>
          </w:tcPr>
          <w:p w14:paraId="4DBF6C5B" w14:textId="77777777" w:rsidR="00AF6840" w:rsidRPr="00D0161E" w:rsidRDefault="00AF6840" w:rsidP="00D0161E">
            <w:pPr>
              <w:spacing w:line="480" w:lineRule="auto"/>
              <w:rPr>
                <w:rFonts w:cs="Calibri"/>
                <w:color w:val="000000" w:themeColor="text1"/>
              </w:rPr>
            </w:pPr>
            <w:r w:rsidRPr="00D0161E">
              <w:rPr>
                <w:rFonts w:cs="Calibri"/>
                <w:b/>
                <w:bCs/>
                <w:color w:val="000000" w:themeColor="text1"/>
              </w:rPr>
              <w:t> </w:t>
            </w:r>
            <w:r w:rsidRPr="00D0161E">
              <w:rPr>
                <w:rFonts w:cs="Calibri"/>
                <w:color w:val="000000" w:themeColor="text1"/>
              </w:rPr>
              <w:t>N</w:t>
            </w:r>
            <w:r w:rsidR="00485486" w:rsidRPr="00D0161E">
              <w:rPr>
                <w:rFonts w:cs="Calibri"/>
                <w:color w:val="000000" w:themeColor="text1"/>
              </w:rPr>
              <w:t>D</w:t>
            </w:r>
          </w:p>
        </w:tc>
      </w:tr>
    </w:tbl>
    <w:p w14:paraId="20AC68C4" w14:textId="77777777" w:rsidR="00CD7828" w:rsidRPr="00D0161E" w:rsidRDefault="00CD7828" w:rsidP="00D0161E">
      <w:pPr>
        <w:spacing w:line="480" w:lineRule="auto"/>
        <w:rPr>
          <w:b/>
          <w:bCs/>
          <w:color w:val="000000" w:themeColor="text1"/>
        </w:rPr>
      </w:pPr>
    </w:p>
    <w:p w14:paraId="113BE6BF" w14:textId="77777777" w:rsidR="0095004D" w:rsidRPr="00D0161E" w:rsidRDefault="0095004D" w:rsidP="00D0161E">
      <w:pPr>
        <w:spacing w:line="480" w:lineRule="auto"/>
        <w:rPr>
          <w:color w:val="000000" w:themeColor="text1"/>
        </w:rPr>
      </w:pPr>
      <w:bookmarkStart w:id="52" w:name="_Hlk40691642"/>
      <w:r w:rsidRPr="00D0161E">
        <w:rPr>
          <w:color w:val="000000" w:themeColor="text1"/>
        </w:rPr>
        <w:br w:type="page"/>
      </w:r>
    </w:p>
    <w:p w14:paraId="420FE210" w14:textId="129BF561" w:rsidR="001160AD" w:rsidRPr="00D0161E" w:rsidRDefault="001160AD" w:rsidP="00D0161E">
      <w:pPr>
        <w:spacing w:line="480" w:lineRule="auto"/>
        <w:rPr>
          <w:b/>
          <w:bCs/>
          <w:color w:val="000000" w:themeColor="text1"/>
        </w:rPr>
      </w:pPr>
      <w:r w:rsidRPr="00D0161E">
        <w:rPr>
          <w:b/>
          <w:bCs/>
          <w:color w:val="000000" w:themeColor="text1"/>
        </w:rPr>
        <w:t xml:space="preserve">Supplementary Table </w:t>
      </w:r>
      <w:proofErr w:type="gramStart"/>
      <w:r w:rsidRPr="00D0161E">
        <w:rPr>
          <w:b/>
          <w:bCs/>
          <w:color w:val="000000" w:themeColor="text1"/>
        </w:rPr>
        <w:t>1</w:t>
      </w:r>
      <w:r w:rsidR="006C52A4">
        <w:rPr>
          <w:b/>
          <w:bCs/>
          <w:color w:val="000000" w:themeColor="text1"/>
        </w:rPr>
        <w:t xml:space="preserve"> </w:t>
      </w:r>
      <w:r w:rsidRPr="00D0161E">
        <w:rPr>
          <w:b/>
          <w:bCs/>
          <w:color w:val="000000" w:themeColor="text1"/>
        </w:rPr>
        <w:t xml:space="preserve"> </w:t>
      </w:r>
      <w:proofErr w:type="spellStart"/>
      <w:r w:rsidRPr="00D0161E">
        <w:rPr>
          <w:b/>
          <w:bCs/>
          <w:color w:val="000000" w:themeColor="text1"/>
        </w:rPr>
        <w:t>Physico</w:t>
      </w:r>
      <w:proofErr w:type="spellEnd"/>
      <w:proofErr w:type="gramEnd"/>
      <w:r w:rsidRPr="00D0161E">
        <w:rPr>
          <w:b/>
          <w:bCs/>
          <w:color w:val="000000" w:themeColor="text1"/>
        </w:rPr>
        <w:t>-chemical properties of the mud house brick used to make the testing tiles (ACS, Poole, UK)</w:t>
      </w:r>
    </w:p>
    <w:tbl>
      <w:tblPr>
        <w:tblW w:w="9634" w:type="dxa"/>
        <w:tblLook w:val="04A0" w:firstRow="1" w:lastRow="0" w:firstColumn="1" w:lastColumn="0" w:noHBand="0" w:noVBand="1"/>
      </w:tblPr>
      <w:tblGrid>
        <w:gridCol w:w="4450"/>
        <w:gridCol w:w="2559"/>
        <w:gridCol w:w="2625"/>
      </w:tblGrid>
      <w:tr w:rsidR="001160AD" w:rsidRPr="00D0161E" w14:paraId="1EF423E7" w14:textId="77777777">
        <w:trPr>
          <w:trHeight w:val="300"/>
        </w:trPr>
        <w:tc>
          <w:tcPr>
            <w:tcW w:w="4450" w:type="dxa"/>
            <w:tcBorders>
              <w:top w:val="single" w:sz="4" w:space="0" w:color="auto"/>
              <w:left w:val="single" w:sz="4" w:space="0" w:color="auto"/>
              <w:bottom w:val="single" w:sz="4" w:space="0" w:color="auto"/>
              <w:right w:val="nil"/>
            </w:tcBorders>
            <w:shd w:val="clear" w:color="auto" w:fill="auto"/>
            <w:noWrap/>
            <w:vAlign w:val="bottom"/>
          </w:tcPr>
          <w:bookmarkEnd w:id="52"/>
          <w:p w14:paraId="76604DE3" w14:textId="77777777" w:rsidR="001160AD" w:rsidRPr="00D0161E" w:rsidRDefault="001160AD" w:rsidP="00D0161E">
            <w:pPr>
              <w:spacing w:line="480" w:lineRule="auto"/>
              <w:rPr>
                <w:rFonts w:cs="Calibri"/>
                <w:b/>
                <w:bCs/>
                <w:color w:val="000000" w:themeColor="text1"/>
              </w:rPr>
            </w:pPr>
            <w:r w:rsidRPr="00D0161E">
              <w:rPr>
                <w:rFonts w:cs="Calibri"/>
                <w:b/>
                <w:bCs/>
                <w:color w:val="000000" w:themeColor="text1"/>
              </w:rPr>
              <w:t>Property</w:t>
            </w:r>
          </w:p>
        </w:tc>
        <w:tc>
          <w:tcPr>
            <w:tcW w:w="2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8E1A4" w14:textId="77777777" w:rsidR="001160AD" w:rsidRPr="00D0161E" w:rsidRDefault="001160AD" w:rsidP="00D0161E">
            <w:pPr>
              <w:spacing w:line="480" w:lineRule="auto"/>
              <w:rPr>
                <w:rFonts w:cs="Calibri"/>
                <w:b/>
                <w:bCs/>
                <w:color w:val="000000" w:themeColor="text1"/>
              </w:rPr>
            </w:pPr>
            <w:r w:rsidRPr="00D0161E">
              <w:rPr>
                <w:rFonts w:cs="Calibri"/>
                <w:b/>
                <w:bCs/>
                <w:color w:val="000000" w:themeColor="text1"/>
              </w:rPr>
              <w:t>Sample A</w:t>
            </w:r>
          </w:p>
        </w:tc>
        <w:tc>
          <w:tcPr>
            <w:tcW w:w="2625" w:type="dxa"/>
            <w:tcBorders>
              <w:top w:val="single" w:sz="4" w:space="0" w:color="auto"/>
              <w:left w:val="nil"/>
              <w:bottom w:val="single" w:sz="4" w:space="0" w:color="auto"/>
              <w:right w:val="single" w:sz="4" w:space="0" w:color="auto"/>
            </w:tcBorders>
            <w:shd w:val="clear" w:color="auto" w:fill="auto"/>
            <w:noWrap/>
            <w:vAlign w:val="bottom"/>
          </w:tcPr>
          <w:p w14:paraId="6F154B3C" w14:textId="77777777" w:rsidR="001160AD" w:rsidRPr="00D0161E" w:rsidRDefault="001160AD" w:rsidP="00D0161E">
            <w:pPr>
              <w:spacing w:line="480" w:lineRule="auto"/>
              <w:rPr>
                <w:rFonts w:cs="Calibri"/>
                <w:b/>
                <w:bCs/>
                <w:color w:val="000000" w:themeColor="text1"/>
              </w:rPr>
            </w:pPr>
            <w:r w:rsidRPr="00D0161E">
              <w:rPr>
                <w:rFonts w:cs="Calibri"/>
                <w:b/>
                <w:bCs/>
                <w:color w:val="000000" w:themeColor="text1"/>
              </w:rPr>
              <w:t>Sample B</w:t>
            </w:r>
          </w:p>
        </w:tc>
      </w:tr>
      <w:tr w:rsidR="001160AD" w:rsidRPr="00D0161E" w14:paraId="297CE081" w14:textId="77777777">
        <w:trPr>
          <w:trHeight w:val="30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7120600" w14:textId="6BF59997" w:rsidR="001160AD" w:rsidRPr="00D0161E" w:rsidRDefault="001160AD" w:rsidP="00D0161E">
            <w:pPr>
              <w:spacing w:line="480" w:lineRule="auto"/>
              <w:rPr>
                <w:rFonts w:cs="Calibri"/>
                <w:b/>
                <w:bCs/>
                <w:color w:val="000000" w:themeColor="text1"/>
              </w:rPr>
            </w:pPr>
            <w:r w:rsidRPr="00D0161E">
              <w:rPr>
                <w:rFonts w:cs="Calibri"/>
                <w:b/>
                <w:bCs/>
                <w:color w:val="000000" w:themeColor="text1"/>
              </w:rPr>
              <w:t xml:space="preserve">Elemental </w:t>
            </w:r>
            <w:r w:rsidR="006C52A4">
              <w:rPr>
                <w:rFonts w:cs="Calibri"/>
                <w:b/>
                <w:bCs/>
                <w:color w:val="000000" w:themeColor="text1"/>
              </w:rPr>
              <w:t>a</w:t>
            </w:r>
            <w:r w:rsidRPr="00D0161E">
              <w:rPr>
                <w:rFonts w:cs="Calibri"/>
                <w:b/>
                <w:bCs/>
                <w:color w:val="000000" w:themeColor="text1"/>
              </w:rPr>
              <w:t>nalysis</w:t>
            </w:r>
          </w:p>
        </w:tc>
      </w:tr>
      <w:tr w:rsidR="001160AD" w:rsidRPr="00D0161E" w14:paraId="44158981"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36BD78AD"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Aluminium</w:t>
            </w:r>
          </w:p>
        </w:tc>
        <w:tc>
          <w:tcPr>
            <w:tcW w:w="2559" w:type="dxa"/>
            <w:tcBorders>
              <w:top w:val="nil"/>
              <w:left w:val="nil"/>
              <w:bottom w:val="single" w:sz="4" w:space="0" w:color="auto"/>
              <w:right w:val="single" w:sz="4" w:space="0" w:color="auto"/>
            </w:tcBorders>
            <w:shd w:val="clear" w:color="auto" w:fill="auto"/>
            <w:noWrap/>
            <w:vAlign w:val="bottom"/>
          </w:tcPr>
          <w:p w14:paraId="1DCB4716"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1.86%</w:t>
            </w:r>
          </w:p>
        </w:tc>
        <w:tc>
          <w:tcPr>
            <w:tcW w:w="2625" w:type="dxa"/>
            <w:tcBorders>
              <w:top w:val="nil"/>
              <w:left w:val="nil"/>
              <w:bottom w:val="single" w:sz="4" w:space="0" w:color="auto"/>
              <w:right w:val="single" w:sz="4" w:space="0" w:color="auto"/>
            </w:tcBorders>
            <w:shd w:val="clear" w:color="auto" w:fill="auto"/>
            <w:noWrap/>
            <w:vAlign w:val="bottom"/>
          </w:tcPr>
          <w:p w14:paraId="1A72E059"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1.95%</w:t>
            </w:r>
          </w:p>
        </w:tc>
      </w:tr>
      <w:tr w:rsidR="001160AD" w:rsidRPr="00D0161E" w14:paraId="5085D6C7"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0948E52B"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Calcium</w:t>
            </w:r>
          </w:p>
        </w:tc>
        <w:tc>
          <w:tcPr>
            <w:tcW w:w="2559" w:type="dxa"/>
            <w:tcBorders>
              <w:top w:val="nil"/>
              <w:left w:val="nil"/>
              <w:bottom w:val="single" w:sz="4" w:space="0" w:color="auto"/>
              <w:right w:val="single" w:sz="4" w:space="0" w:color="auto"/>
            </w:tcBorders>
            <w:shd w:val="clear" w:color="auto" w:fill="auto"/>
            <w:noWrap/>
            <w:vAlign w:val="bottom"/>
          </w:tcPr>
          <w:p w14:paraId="4C8C6B27"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0.034%</w:t>
            </w:r>
          </w:p>
        </w:tc>
        <w:tc>
          <w:tcPr>
            <w:tcW w:w="2625" w:type="dxa"/>
            <w:tcBorders>
              <w:top w:val="nil"/>
              <w:left w:val="nil"/>
              <w:bottom w:val="single" w:sz="4" w:space="0" w:color="auto"/>
              <w:right w:val="single" w:sz="4" w:space="0" w:color="auto"/>
            </w:tcBorders>
            <w:shd w:val="clear" w:color="auto" w:fill="auto"/>
            <w:noWrap/>
            <w:vAlign w:val="bottom"/>
          </w:tcPr>
          <w:p w14:paraId="41F78A6A"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0.028%</w:t>
            </w:r>
          </w:p>
        </w:tc>
      </w:tr>
      <w:tr w:rsidR="001160AD" w:rsidRPr="00D0161E" w14:paraId="6C3FAC16"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398D7B11"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Iron</w:t>
            </w:r>
          </w:p>
        </w:tc>
        <w:tc>
          <w:tcPr>
            <w:tcW w:w="2559" w:type="dxa"/>
            <w:tcBorders>
              <w:top w:val="nil"/>
              <w:left w:val="nil"/>
              <w:bottom w:val="single" w:sz="4" w:space="0" w:color="auto"/>
              <w:right w:val="single" w:sz="4" w:space="0" w:color="auto"/>
            </w:tcBorders>
            <w:shd w:val="clear" w:color="auto" w:fill="auto"/>
            <w:noWrap/>
            <w:vAlign w:val="bottom"/>
          </w:tcPr>
          <w:p w14:paraId="03B70ECD"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0.67%</w:t>
            </w:r>
          </w:p>
        </w:tc>
        <w:tc>
          <w:tcPr>
            <w:tcW w:w="2625" w:type="dxa"/>
            <w:tcBorders>
              <w:top w:val="nil"/>
              <w:left w:val="nil"/>
              <w:bottom w:val="single" w:sz="4" w:space="0" w:color="auto"/>
              <w:right w:val="single" w:sz="4" w:space="0" w:color="auto"/>
            </w:tcBorders>
            <w:shd w:val="clear" w:color="auto" w:fill="auto"/>
            <w:noWrap/>
            <w:vAlign w:val="bottom"/>
          </w:tcPr>
          <w:p w14:paraId="20BF76DC"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0.70%</w:t>
            </w:r>
          </w:p>
        </w:tc>
      </w:tr>
      <w:tr w:rsidR="001160AD" w:rsidRPr="00D0161E" w14:paraId="6B6772B4"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61B9C3D9"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Potassium</w:t>
            </w:r>
          </w:p>
        </w:tc>
        <w:tc>
          <w:tcPr>
            <w:tcW w:w="2559" w:type="dxa"/>
            <w:tcBorders>
              <w:top w:val="nil"/>
              <w:left w:val="nil"/>
              <w:bottom w:val="single" w:sz="4" w:space="0" w:color="auto"/>
              <w:right w:val="single" w:sz="4" w:space="0" w:color="auto"/>
            </w:tcBorders>
            <w:shd w:val="clear" w:color="auto" w:fill="auto"/>
            <w:noWrap/>
            <w:vAlign w:val="bottom"/>
          </w:tcPr>
          <w:p w14:paraId="2E9B3F6A"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0.12%</w:t>
            </w:r>
          </w:p>
        </w:tc>
        <w:tc>
          <w:tcPr>
            <w:tcW w:w="2625" w:type="dxa"/>
            <w:tcBorders>
              <w:top w:val="nil"/>
              <w:left w:val="nil"/>
              <w:bottom w:val="single" w:sz="4" w:space="0" w:color="auto"/>
              <w:right w:val="single" w:sz="4" w:space="0" w:color="auto"/>
            </w:tcBorders>
            <w:shd w:val="clear" w:color="auto" w:fill="auto"/>
            <w:noWrap/>
            <w:vAlign w:val="bottom"/>
          </w:tcPr>
          <w:p w14:paraId="14DC8859"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0.13%</w:t>
            </w:r>
          </w:p>
        </w:tc>
      </w:tr>
      <w:tr w:rsidR="001160AD" w:rsidRPr="00D0161E" w14:paraId="240C4DC7"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7AA86251"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Magnesium</w:t>
            </w:r>
          </w:p>
        </w:tc>
        <w:tc>
          <w:tcPr>
            <w:tcW w:w="2559" w:type="dxa"/>
            <w:tcBorders>
              <w:top w:val="nil"/>
              <w:left w:val="nil"/>
              <w:bottom w:val="single" w:sz="4" w:space="0" w:color="auto"/>
              <w:right w:val="single" w:sz="4" w:space="0" w:color="auto"/>
            </w:tcBorders>
            <w:shd w:val="clear" w:color="auto" w:fill="auto"/>
            <w:noWrap/>
            <w:vAlign w:val="bottom"/>
          </w:tcPr>
          <w:p w14:paraId="28D0B23E"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0.035%</w:t>
            </w:r>
          </w:p>
        </w:tc>
        <w:tc>
          <w:tcPr>
            <w:tcW w:w="2625" w:type="dxa"/>
            <w:tcBorders>
              <w:top w:val="nil"/>
              <w:left w:val="nil"/>
              <w:bottom w:val="single" w:sz="4" w:space="0" w:color="auto"/>
              <w:right w:val="single" w:sz="4" w:space="0" w:color="auto"/>
            </w:tcBorders>
            <w:shd w:val="clear" w:color="auto" w:fill="auto"/>
            <w:noWrap/>
            <w:vAlign w:val="bottom"/>
          </w:tcPr>
          <w:p w14:paraId="6952AEE4"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0.037%</w:t>
            </w:r>
          </w:p>
        </w:tc>
      </w:tr>
      <w:tr w:rsidR="001160AD" w:rsidRPr="00D0161E" w14:paraId="47018866"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071082D2"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Sodium</w:t>
            </w:r>
          </w:p>
        </w:tc>
        <w:tc>
          <w:tcPr>
            <w:tcW w:w="2559" w:type="dxa"/>
            <w:tcBorders>
              <w:top w:val="nil"/>
              <w:left w:val="nil"/>
              <w:bottom w:val="single" w:sz="4" w:space="0" w:color="auto"/>
              <w:right w:val="single" w:sz="4" w:space="0" w:color="auto"/>
            </w:tcBorders>
            <w:shd w:val="clear" w:color="auto" w:fill="auto"/>
            <w:noWrap/>
            <w:vAlign w:val="bottom"/>
          </w:tcPr>
          <w:p w14:paraId="1F775642"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0.015%</w:t>
            </w:r>
          </w:p>
        </w:tc>
        <w:tc>
          <w:tcPr>
            <w:tcW w:w="2625" w:type="dxa"/>
            <w:tcBorders>
              <w:top w:val="nil"/>
              <w:left w:val="nil"/>
              <w:bottom w:val="single" w:sz="4" w:space="0" w:color="auto"/>
              <w:right w:val="single" w:sz="4" w:space="0" w:color="auto"/>
            </w:tcBorders>
            <w:shd w:val="clear" w:color="auto" w:fill="auto"/>
            <w:noWrap/>
            <w:vAlign w:val="bottom"/>
          </w:tcPr>
          <w:p w14:paraId="4034DCA5"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0.015%</w:t>
            </w:r>
          </w:p>
        </w:tc>
      </w:tr>
      <w:tr w:rsidR="001160AD" w:rsidRPr="00D0161E" w14:paraId="4A37D87D"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20DA7E75"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Titanium</w:t>
            </w:r>
          </w:p>
        </w:tc>
        <w:tc>
          <w:tcPr>
            <w:tcW w:w="2559" w:type="dxa"/>
            <w:tcBorders>
              <w:top w:val="nil"/>
              <w:left w:val="nil"/>
              <w:bottom w:val="single" w:sz="4" w:space="0" w:color="auto"/>
              <w:right w:val="single" w:sz="4" w:space="0" w:color="auto"/>
            </w:tcBorders>
            <w:shd w:val="clear" w:color="auto" w:fill="auto"/>
            <w:noWrap/>
            <w:vAlign w:val="bottom"/>
          </w:tcPr>
          <w:p w14:paraId="79321A54"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0.031%</w:t>
            </w:r>
          </w:p>
        </w:tc>
        <w:tc>
          <w:tcPr>
            <w:tcW w:w="2625" w:type="dxa"/>
            <w:tcBorders>
              <w:top w:val="nil"/>
              <w:left w:val="nil"/>
              <w:bottom w:val="single" w:sz="4" w:space="0" w:color="auto"/>
              <w:right w:val="single" w:sz="4" w:space="0" w:color="auto"/>
            </w:tcBorders>
            <w:shd w:val="clear" w:color="auto" w:fill="auto"/>
            <w:noWrap/>
            <w:vAlign w:val="bottom"/>
          </w:tcPr>
          <w:p w14:paraId="122901D4"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0.032%</w:t>
            </w:r>
          </w:p>
        </w:tc>
      </w:tr>
      <w:tr w:rsidR="001160AD" w:rsidRPr="00D0161E" w14:paraId="76B0F352"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5B790F45"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Arsenic</w:t>
            </w:r>
          </w:p>
        </w:tc>
        <w:tc>
          <w:tcPr>
            <w:tcW w:w="2559" w:type="dxa"/>
            <w:tcBorders>
              <w:top w:val="nil"/>
              <w:left w:val="nil"/>
              <w:bottom w:val="single" w:sz="4" w:space="0" w:color="auto"/>
              <w:right w:val="single" w:sz="4" w:space="0" w:color="auto"/>
            </w:tcBorders>
            <w:shd w:val="clear" w:color="auto" w:fill="auto"/>
            <w:noWrap/>
            <w:vAlign w:val="bottom"/>
          </w:tcPr>
          <w:p w14:paraId="4E4BBE6E"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0.0022%</w:t>
            </w:r>
          </w:p>
        </w:tc>
        <w:tc>
          <w:tcPr>
            <w:tcW w:w="2625" w:type="dxa"/>
            <w:tcBorders>
              <w:top w:val="nil"/>
              <w:left w:val="nil"/>
              <w:bottom w:val="single" w:sz="4" w:space="0" w:color="auto"/>
              <w:right w:val="single" w:sz="4" w:space="0" w:color="auto"/>
            </w:tcBorders>
            <w:shd w:val="clear" w:color="auto" w:fill="auto"/>
            <w:noWrap/>
            <w:vAlign w:val="bottom"/>
          </w:tcPr>
          <w:p w14:paraId="4AD55F2C"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0.0023%</w:t>
            </w:r>
          </w:p>
        </w:tc>
      </w:tr>
      <w:tr w:rsidR="001160AD" w:rsidRPr="00D0161E" w14:paraId="5D2BF43B"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7D7396E8"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Cadmium</w:t>
            </w:r>
          </w:p>
        </w:tc>
        <w:tc>
          <w:tcPr>
            <w:tcW w:w="2559" w:type="dxa"/>
            <w:tcBorders>
              <w:top w:val="nil"/>
              <w:left w:val="nil"/>
              <w:bottom w:val="single" w:sz="4" w:space="0" w:color="auto"/>
              <w:right w:val="single" w:sz="4" w:space="0" w:color="auto"/>
            </w:tcBorders>
            <w:shd w:val="clear" w:color="auto" w:fill="auto"/>
            <w:noWrap/>
            <w:vAlign w:val="bottom"/>
          </w:tcPr>
          <w:p w14:paraId="567147E1"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&lt; 0.0001%</w:t>
            </w:r>
          </w:p>
        </w:tc>
        <w:tc>
          <w:tcPr>
            <w:tcW w:w="2625" w:type="dxa"/>
            <w:tcBorders>
              <w:top w:val="nil"/>
              <w:left w:val="nil"/>
              <w:bottom w:val="single" w:sz="4" w:space="0" w:color="auto"/>
              <w:right w:val="single" w:sz="4" w:space="0" w:color="auto"/>
            </w:tcBorders>
            <w:shd w:val="clear" w:color="auto" w:fill="auto"/>
            <w:noWrap/>
            <w:vAlign w:val="bottom"/>
          </w:tcPr>
          <w:p w14:paraId="52DF577B"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&lt; 0.0001%</w:t>
            </w:r>
          </w:p>
        </w:tc>
      </w:tr>
      <w:tr w:rsidR="001160AD" w:rsidRPr="00D0161E" w14:paraId="638F9461"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7A456082"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Chromium</w:t>
            </w:r>
          </w:p>
        </w:tc>
        <w:tc>
          <w:tcPr>
            <w:tcW w:w="2559" w:type="dxa"/>
            <w:tcBorders>
              <w:top w:val="nil"/>
              <w:left w:val="nil"/>
              <w:bottom w:val="single" w:sz="4" w:space="0" w:color="auto"/>
              <w:right w:val="single" w:sz="4" w:space="0" w:color="auto"/>
            </w:tcBorders>
            <w:shd w:val="clear" w:color="auto" w:fill="auto"/>
            <w:noWrap/>
            <w:vAlign w:val="bottom"/>
          </w:tcPr>
          <w:p w14:paraId="52945CB4"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0.0025%</w:t>
            </w:r>
          </w:p>
        </w:tc>
        <w:tc>
          <w:tcPr>
            <w:tcW w:w="2625" w:type="dxa"/>
            <w:tcBorders>
              <w:top w:val="nil"/>
              <w:left w:val="nil"/>
              <w:bottom w:val="single" w:sz="4" w:space="0" w:color="auto"/>
              <w:right w:val="single" w:sz="4" w:space="0" w:color="auto"/>
            </w:tcBorders>
            <w:shd w:val="clear" w:color="auto" w:fill="auto"/>
            <w:noWrap/>
            <w:vAlign w:val="bottom"/>
          </w:tcPr>
          <w:p w14:paraId="20B53A70"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0.0026%</w:t>
            </w:r>
          </w:p>
        </w:tc>
      </w:tr>
      <w:tr w:rsidR="001160AD" w:rsidRPr="00D0161E" w14:paraId="1B20189E"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163C4833"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 xml:space="preserve">Copper </w:t>
            </w:r>
          </w:p>
        </w:tc>
        <w:tc>
          <w:tcPr>
            <w:tcW w:w="2559" w:type="dxa"/>
            <w:tcBorders>
              <w:top w:val="nil"/>
              <w:left w:val="nil"/>
              <w:bottom w:val="single" w:sz="4" w:space="0" w:color="auto"/>
              <w:right w:val="single" w:sz="4" w:space="0" w:color="auto"/>
            </w:tcBorders>
            <w:shd w:val="clear" w:color="auto" w:fill="auto"/>
            <w:noWrap/>
            <w:vAlign w:val="bottom"/>
          </w:tcPr>
          <w:p w14:paraId="21AA82C7"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0.0011%</w:t>
            </w:r>
          </w:p>
        </w:tc>
        <w:tc>
          <w:tcPr>
            <w:tcW w:w="2625" w:type="dxa"/>
            <w:tcBorders>
              <w:top w:val="nil"/>
              <w:left w:val="nil"/>
              <w:bottom w:val="single" w:sz="4" w:space="0" w:color="auto"/>
              <w:right w:val="single" w:sz="4" w:space="0" w:color="auto"/>
            </w:tcBorders>
            <w:shd w:val="clear" w:color="auto" w:fill="auto"/>
            <w:noWrap/>
            <w:vAlign w:val="bottom"/>
          </w:tcPr>
          <w:p w14:paraId="2567D341"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0.0012%</w:t>
            </w:r>
          </w:p>
        </w:tc>
      </w:tr>
      <w:tr w:rsidR="001160AD" w:rsidRPr="00D0161E" w14:paraId="13FF1E10"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395D1B1F"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Mercury</w:t>
            </w:r>
          </w:p>
        </w:tc>
        <w:tc>
          <w:tcPr>
            <w:tcW w:w="2559" w:type="dxa"/>
            <w:tcBorders>
              <w:top w:val="nil"/>
              <w:left w:val="nil"/>
              <w:bottom w:val="single" w:sz="4" w:space="0" w:color="auto"/>
              <w:right w:val="single" w:sz="4" w:space="0" w:color="auto"/>
            </w:tcBorders>
            <w:shd w:val="clear" w:color="auto" w:fill="auto"/>
            <w:noWrap/>
            <w:vAlign w:val="bottom"/>
          </w:tcPr>
          <w:p w14:paraId="43E6572B"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&lt; 0.0001%</w:t>
            </w:r>
          </w:p>
        </w:tc>
        <w:tc>
          <w:tcPr>
            <w:tcW w:w="2625" w:type="dxa"/>
            <w:tcBorders>
              <w:top w:val="nil"/>
              <w:left w:val="nil"/>
              <w:bottom w:val="single" w:sz="4" w:space="0" w:color="auto"/>
              <w:right w:val="single" w:sz="4" w:space="0" w:color="auto"/>
            </w:tcBorders>
            <w:shd w:val="clear" w:color="auto" w:fill="auto"/>
            <w:noWrap/>
            <w:vAlign w:val="bottom"/>
          </w:tcPr>
          <w:p w14:paraId="76AADD77"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&lt; 0.0001%</w:t>
            </w:r>
          </w:p>
        </w:tc>
      </w:tr>
      <w:tr w:rsidR="001160AD" w:rsidRPr="00D0161E" w14:paraId="6BAF3BE1"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3D30FACB"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Nickel</w:t>
            </w:r>
          </w:p>
        </w:tc>
        <w:tc>
          <w:tcPr>
            <w:tcW w:w="2559" w:type="dxa"/>
            <w:tcBorders>
              <w:top w:val="nil"/>
              <w:left w:val="nil"/>
              <w:bottom w:val="single" w:sz="4" w:space="0" w:color="auto"/>
              <w:right w:val="single" w:sz="4" w:space="0" w:color="auto"/>
            </w:tcBorders>
            <w:shd w:val="clear" w:color="auto" w:fill="auto"/>
            <w:noWrap/>
            <w:vAlign w:val="bottom"/>
          </w:tcPr>
          <w:p w14:paraId="1B121351"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0.0006%</w:t>
            </w:r>
          </w:p>
        </w:tc>
        <w:tc>
          <w:tcPr>
            <w:tcW w:w="2625" w:type="dxa"/>
            <w:tcBorders>
              <w:top w:val="nil"/>
              <w:left w:val="nil"/>
              <w:bottom w:val="single" w:sz="4" w:space="0" w:color="auto"/>
              <w:right w:val="single" w:sz="4" w:space="0" w:color="auto"/>
            </w:tcBorders>
            <w:shd w:val="clear" w:color="auto" w:fill="auto"/>
            <w:noWrap/>
            <w:vAlign w:val="bottom"/>
          </w:tcPr>
          <w:p w14:paraId="1F7BCE8A"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0.0007%</w:t>
            </w:r>
          </w:p>
        </w:tc>
      </w:tr>
      <w:tr w:rsidR="001160AD" w:rsidRPr="00D0161E" w14:paraId="5356D6FB"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3C9905F9"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Lead</w:t>
            </w:r>
          </w:p>
        </w:tc>
        <w:tc>
          <w:tcPr>
            <w:tcW w:w="2559" w:type="dxa"/>
            <w:tcBorders>
              <w:top w:val="nil"/>
              <w:left w:val="nil"/>
              <w:bottom w:val="single" w:sz="4" w:space="0" w:color="auto"/>
              <w:right w:val="single" w:sz="4" w:space="0" w:color="auto"/>
            </w:tcBorders>
            <w:shd w:val="clear" w:color="auto" w:fill="auto"/>
            <w:noWrap/>
            <w:vAlign w:val="bottom"/>
          </w:tcPr>
          <w:p w14:paraId="5586F633"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0.0002%</w:t>
            </w:r>
          </w:p>
        </w:tc>
        <w:tc>
          <w:tcPr>
            <w:tcW w:w="2625" w:type="dxa"/>
            <w:tcBorders>
              <w:top w:val="nil"/>
              <w:left w:val="nil"/>
              <w:bottom w:val="single" w:sz="4" w:space="0" w:color="auto"/>
              <w:right w:val="single" w:sz="4" w:space="0" w:color="auto"/>
            </w:tcBorders>
            <w:shd w:val="clear" w:color="auto" w:fill="auto"/>
            <w:noWrap/>
            <w:vAlign w:val="bottom"/>
          </w:tcPr>
          <w:p w14:paraId="359FED14"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0.0002%</w:t>
            </w:r>
          </w:p>
        </w:tc>
      </w:tr>
      <w:tr w:rsidR="001160AD" w:rsidRPr="00D0161E" w14:paraId="1F28482B"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4582364C"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Selenium</w:t>
            </w:r>
          </w:p>
        </w:tc>
        <w:tc>
          <w:tcPr>
            <w:tcW w:w="2559" w:type="dxa"/>
            <w:tcBorders>
              <w:top w:val="nil"/>
              <w:left w:val="nil"/>
              <w:bottom w:val="single" w:sz="4" w:space="0" w:color="auto"/>
              <w:right w:val="single" w:sz="4" w:space="0" w:color="auto"/>
            </w:tcBorders>
            <w:shd w:val="clear" w:color="auto" w:fill="auto"/>
            <w:noWrap/>
            <w:vAlign w:val="bottom"/>
          </w:tcPr>
          <w:p w14:paraId="2F69D6A8"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Nil</w:t>
            </w:r>
          </w:p>
        </w:tc>
        <w:tc>
          <w:tcPr>
            <w:tcW w:w="2625" w:type="dxa"/>
            <w:tcBorders>
              <w:top w:val="nil"/>
              <w:left w:val="nil"/>
              <w:bottom w:val="single" w:sz="4" w:space="0" w:color="auto"/>
              <w:right w:val="single" w:sz="4" w:space="0" w:color="auto"/>
            </w:tcBorders>
            <w:shd w:val="clear" w:color="auto" w:fill="auto"/>
            <w:noWrap/>
            <w:vAlign w:val="bottom"/>
          </w:tcPr>
          <w:p w14:paraId="0A5CA4BB"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Nil</w:t>
            </w:r>
          </w:p>
        </w:tc>
      </w:tr>
      <w:tr w:rsidR="001160AD" w:rsidRPr="00D0161E" w14:paraId="3105DC98"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67654FDE"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Zinc</w:t>
            </w:r>
          </w:p>
        </w:tc>
        <w:tc>
          <w:tcPr>
            <w:tcW w:w="2559" w:type="dxa"/>
            <w:tcBorders>
              <w:top w:val="nil"/>
              <w:left w:val="nil"/>
              <w:bottom w:val="single" w:sz="4" w:space="0" w:color="auto"/>
              <w:right w:val="single" w:sz="4" w:space="0" w:color="auto"/>
            </w:tcBorders>
            <w:shd w:val="clear" w:color="auto" w:fill="auto"/>
            <w:noWrap/>
            <w:vAlign w:val="bottom"/>
          </w:tcPr>
          <w:p w14:paraId="34B5E4F8"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0.0025%</w:t>
            </w:r>
          </w:p>
        </w:tc>
        <w:tc>
          <w:tcPr>
            <w:tcW w:w="2625" w:type="dxa"/>
            <w:tcBorders>
              <w:top w:val="nil"/>
              <w:left w:val="nil"/>
              <w:bottom w:val="single" w:sz="4" w:space="0" w:color="auto"/>
              <w:right w:val="single" w:sz="4" w:space="0" w:color="auto"/>
            </w:tcBorders>
            <w:shd w:val="clear" w:color="auto" w:fill="auto"/>
            <w:noWrap/>
            <w:vAlign w:val="bottom"/>
          </w:tcPr>
          <w:p w14:paraId="411DD875"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0.0020%</w:t>
            </w:r>
          </w:p>
        </w:tc>
      </w:tr>
      <w:tr w:rsidR="001160AD" w:rsidRPr="00D0161E" w14:paraId="7ECE359C"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48EC6FC3"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Manganese</w:t>
            </w:r>
          </w:p>
        </w:tc>
        <w:tc>
          <w:tcPr>
            <w:tcW w:w="2559" w:type="dxa"/>
            <w:tcBorders>
              <w:top w:val="nil"/>
              <w:left w:val="nil"/>
              <w:bottom w:val="single" w:sz="4" w:space="0" w:color="auto"/>
              <w:right w:val="single" w:sz="4" w:space="0" w:color="auto"/>
            </w:tcBorders>
            <w:shd w:val="clear" w:color="auto" w:fill="auto"/>
            <w:noWrap/>
            <w:vAlign w:val="bottom"/>
          </w:tcPr>
          <w:p w14:paraId="31885CB0"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0.0078</w:t>
            </w:r>
          </w:p>
        </w:tc>
        <w:tc>
          <w:tcPr>
            <w:tcW w:w="2625" w:type="dxa"/>
            <w:tcBorders>
              <w:top w:val="nil"/>
              <w:left w:val="nil"/>
              <w:bottom w:val="single" w:sz="4" w:space="0" w:color="auto"/>
              <w:right w:val="single" w:sz="4" w:space="0" w:color="auto"/>
            </w:tcBorders>
            <w:shd w:val="clear" w:color="auto" w:fill="auto"/>
            <w:noWrap/>
            <w:vAlign w:val="bottom"/>
          </w:tcPr>
          <w:p w14:paraId="5758A567"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0.0083</w:t>
            </w:r>
          </w:p>
        </w:tc>
      </w:tr>
      <w:tr w:rsidR="001160AD" w:rsidRPr="00D0161E" w14:paraId="1E6E43B5"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47EB8FAB"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Phosphorus</w:t>
            </w:r>
          </w:p>
        </w:tc>
        <w:tc>
          <w:tcPr>
            <w:tcW w:w="2559" w:type="dxa"/>
            <w:tcBorders>
              <w:top w:val="nil"/>
              <w:left w:val="nil"/>
              <w:bottom w:val="single" w:sz="4" w:space="0" w:color="auto"/>
              <w:right w:val="single" w:sz="4" w:space="0" w:color="auto"/>
            </w:tcBorders>
            <w:shd w:val="clear" w:color="auto" w:fill="auto"/>
            <w:noWrap/>
            <w:vAlign w:val="bottom"/>
          </w:tcPr>
          <w:p w14:paraId="32F35F79"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0.0027</w:t>
            </w:r>
          </w:p>
        </w:tc>
        <w:tc>
          <w:tcPr>
            <w:tcW w:w="2625" w:type="dxa"/>
            <w:tcBorders>
              <w:top w:val="nil"/>
              <w:left w:val="nil"/>
              <w:bottom w:val="single" w:sz="4" w:space="0" w:color="auto"/>
              <w:right w:val="single" w:sz="4" w:space="0" w:color="auto"/>
            </w:tcBorders>
            <w:shd w:val="clear" w:color="auto" w:fill="auto"/>
            <w:noWrap/>
            <w:vAlign w:val="bottom"/>
          </w:tcPr>
          <w:p w14:paraId="3DA28251"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0.0026</w:t>
            </w:r>
          </w:p>
        </w:tc>
      </w:tr>
      <w:tr w:rsidR="001160AD" w:rsidRPr="00D0161E" w14:paraId="07577078"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072827E9"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Sulphur</w:t>
            </w:r>
          </w:p>
        </w:tc>
        <w:tc>
          <w:tcPr>
            <w:tcW w:w="2559" w:type="dxa"/>
            <w:tcBorders>
              <w:top w:val="nil"/>
              <w:left w:val="nil"/>
              <w:bottom w:val="single" w:sz="4" w:space="0" w:color="auto"/>
              <w:right w:val="single" w:sz="4" w:space="0" w:color="auto"/>
            </w:tcBorders>
            <w:shd w:val="clear" w:color="auto" w:fill="auto"/>
            <w:noWrap/>
            <w:vAlign w:val="bottom"/>
          </w:tcPr>
          <w:p w14:paraId="2A8FCF1E"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0.0065</w:t>
            </w:r>
          </w:p>
        </w:tc>
        <w:tc>
          <w:tcPr>
            <w:tcW w:w="2625" w:type="dxa"/>
            <w:tcBorders>
              <w:top w:val="nil"/>
              <w:left w:val="nil"/>
              <w:bottom w:val="single" w:sz="4" w:space="0" w:color="auto"/>
              <w:right w:val="single" w:sz="4" w:space="0" w:color="auto"/>
            </w:tcBorders>
            <w:shd w:val="clear" w:color="auto" w:fill="auto"/>
            <w:noWrap/>
            <w:vAlign w:val="bottom"/>
          </w:tcPr>
          <w:p w14:paraId="6A097196"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0.0061</w:t>
            </w:r>
          </w:p>
        </w:tc>
      </w:tr>
      <w:tr w:rsidR="001160AD" w:rsidRPr="00D0161E" w14:paraId="4EDDE8A1"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4082716D"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Vanadium</w:t>
            </w:r>
          </w:p>
        </w:tc>
        <w:tc>
          <w:tcPr>
            <w:tcW w:w="2559" w:type="dxa"/>
            <w:tcBorders>
              <w:top w:val="nil"/>
              <w:left w:val="nil"/>
              <w:bottom w:val="single" w:sz="4" w:space="0" w:color="auto"/>
              <w:right w:val="single" w:sz="4" w:space="0" w:color="auto"/>
            </w:tcBorders>
            <w:shd w:val="clear" w:color="auto" w:fill="auto"/>
            <w:noWrap/>
            <w:vAlign w:val="bottom"/>
          </w:tcPr>
          <w:p w14:paraId="67464786"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0.0021</w:t>
            </w:r>
          </w:p>
        </w:tc>
        <w:tc>
          <w:tcPr>
            <w:tcW w:w="2625" w:type="dxa"/>
            <w:tcBorders>
              <w:top w:val="nil"/>
              <w:left w:val="nil"/>
              <w:bottom w:val="single" w:sz="4" w:space="0" w:color="auto"/>
              <w:right w:val="single" w:sz="4" w:space="0" w:color="auto"/>
            </w:tcBorders>
            <w:shd w:val="clear" w:color="auto" w:fill="auto"/>
            <w:noWrap/>
            <w:vAlign w:val="bottom"/>
          </w:tcPr>
          <w:p w14:paraId="0E32D339"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0.0019</w:t>
            </w:r>
          </w:p>
        </w:tc>
      </w:tr>
      <w:tr w:rsidR="001160AD" w:rsidRPr="00D0161E" w14:paraId="20F9060C"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323247CC"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Barium</w:t>
            </w:r>
          </w:p>
        </w:tc>
        <w:tc>
          <w:tcPr>
            <w:tcW w:w="2559" w:type="dxa"/>
            <w:tcBorders>
              <w:top w:val="nil"/>
              <w:left w:val="nil"/>
              <w:bottom w:val="single" w:sz="4" w:space="0" w:color="auto"/>
              <w:right w:val="single" w:sz="4" w:space="0" w:color="auto"/>
            </w:tcBorders>
            <w:shd w:val="clear" w:color="auto" w:fill="auto"/>
            <w:noWrap/>
            <w:vAlign w:val="bottom"/>
          </w:tcPr>
          <w:p w14:paraId="4DF938BF"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0.0075</w:t>
            </w:r>
          </w:p>
        </w:tc>
        <w:tc>
          <w:tcPr>
            <w:tcW w:w="2625" w:type="dxa"/>
            <w:tcBorders>
              <w:top w:val="nil"/>
              <w:left w:val="nil"/>
              <w:bottom w:val="single" w:sz="4" w:space="0" w:color="auto"/>
              <w:right w:val="single" w:sz="4" w:space="0" w:color="auto"/>
            </w:tcBorders>
            <w:shd w:val="clear" w:color="auto" w:fill="auto"/>
            <w:noWrap/>
            <w:vAlign w:val="bottom"/>
          </w:tcPr>
          <w:p w14:paraId="6D02D6D8"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0.0078</w:t>
            </w:r>
          </w:p>
        </w:tc>
      </w:tr>
      <w:tr w:rsidR="001160AD" w:rsidRPr="00D0161E" w14:paraId="034C29E4"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0C69AB4B"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Silica</w:t>
            </w:r>
          </w:p>
        </w:tc>
        <w:tc>
          <w:tcPr>
            <w:tcW w:w="2559" w:type="dxa"/>
            <w:tcBorders>
              <w:top w:val="nil"/>
              <w:left w:val="nil"/>
              <w:bottom w:val="nil"/>
              <w:right w:val="nil"/>
            </w:tcBorders>
            <w:shd w:val="clear" w:color="auto" w:fill="auto"/>
            <w:noWrap/>
            <w:vAlign w:val="bottom"/>
          </w:tcPr>
          <w:p w14:paraId="4CDD00D0"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ND</w:t>
            </w:r>
          </w:p>
        </w:tc>
        <w:tc>
          <w:tcPr>
            <w:tcW w:w="2625" w:type="dxa"/>
            <w:tcBorders>
              <w:top w:val="nil"/>
              <w:left w:val="nil"/>
              <w:bottom w:val="nil"/>
              <w:right w:val="nil"/>
            </w:tcBorders>
            <w:shd w:val="clear" w:color="auto" w:fill="auto"/>
            <w:noWrap/>
            <w:vAlign w:val="bottom"/>
          </w:tcPr>
          <w:p w14:paraId="5574F79D"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ND</w:t>
            </w:r>
          </w:p>
        </w:tc>
      </w:tr>
      <w:tr w:rsidR="001160AD" w:rsidRPr="00D0161E" w14:paraId="56BA294E" w14:textId="77777777">
        <w:trPr>
          <w:trHeight w:val="30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BEFB9DE" w14:textId="77777777" w:rsidR="001160AD" w:rsidRPr="00D0161E" w:rsidRDefault="001160AD" w:rsidP="00D0161E">
            <w:pPr>
              <w:spacing w:line="480" w:lineRule="auto"/>
              <w:rPr>
                <w:rFonts w:cs="Calibri"/>
                <w:b/>
                <w:bCs/>
                <w:color w:val="000000" w:themeColor="text1"/>
              </w:rPr>
            </w:pPr>
            <w:r w:rsidRPr="00D0161E">
              <w:rPr>
                <w:rFonts w:cs="Calibri"/>
                <w:b/>
                <w:bCs/>
                <w:color w:val="000000" w:themeColor="text1"/>
              </w:rPr>
              <w:t>Properties</w:t>
            </w:r>
          </w:p>
        </w:tc>
      </w:tr>
      <w:tr w:rsidR="001160AD" w:rsidRPr="00D0161E" w14:paraId="2CF44C41"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3ECF73E5"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Organic matter</w:t>
            </w:r>
          </w:p>
        </w:tc>
        <w:tc>
          <w:tcPr>
            <w:tcW w:w="2559" w:type="dxa"/>
            <w:tcBorders>
              <w:top w:val="nil"/>
              <w:left w:val="nil"/>
              <w:bottom w:val="single" w:sz="4" w:space="0" w:color="auto"/>
              <w:right w:val="single" w:sz="4" w:space="0" w:color="auto"/>
            </w:tcBorders>
            <w:shd w:val="clear" w:color="auto" w:fill="auto"/>
            <w:noWrap/>
            <w:vAlign w:val="bottom"/>
          </w:tcPr>
          <w:p w14:paraId="379DFADF"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0.52%</w:t>
            </w:r>
          </w:p>
        </w:tc>
        <w:tc>
          <w:tcPr>
            <w:tcW w:w="2625" w:type="dxa"/>
            <w:tcBorders>
              <w:top w:val="nil"/>
              <w:left w:val="nil"/>
              <w:bottom w:val="single" w:sz="4" w:space="0" w:color="auto"/>
              <w:right w:val="single" w:sz="4" w:space="0" w:color="auto"/>
            </w:tcBorders>
            <w:shd w:val="clear" w:color="auto" w:fill="auto"/>
            <w:noWrap/>
            <w:vAlign w:val="bottom"/>
          </w:tcPr>
          <w:p w14:paraId="42AE1F51"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0.57%</w:t>
            </w:r>
          </w:p>
        </w:tc>
      </w:tr>
      <w:tr w:rsidR="001160AD" w:rsidRPr="00D0161E" w14:paraId="489EBD41"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331E2DAF" w14:textId="481235AF" w:rsidR="001160AD" w:rsidRPr="00D0161E" w:rsidRDefault="001160AD" w:rsidP="00D0161E">
            <w:pPr>
              <w:spacing w:line="480" w:lineRule="auto"/>
              <w:rPr>
                <w:rFonts w:cs="Calibri"/>
                <w:color w:val="000000" w:themeColor="text1"/>
              </w:rPr>
            </w:pPr>
            <w:r w:rsidRPr="00D0161E">
              <w:rPr>
                <w:rFonts w:cs="Calibri"/>
                <w:color w:val="000000" w:themeColor="text1"/>
              </w:rPr>
              <w:t xml:space="preserve">Acid soluble </w:t>
            </w:r>
            <w:proofErr w:type="spellStart"/>
            <w:r w:rsidRPr="00D0161E">
              <w:rPr>
                <w:rFonts w:cs="Calibri"/>
                <w:color w:val="000000" w:themeColor="text1"/>
              </w:rPr>
              <w:t>sul</w:t>
            </w:r>
            <w:r w:rsidR="006C52A4">
              <w:rPr>
                <w:rFonts w:cs="Calibri"/>
                <w:color w:val="000000" w:themeColor="text1"/>
              </w:rPr>
              <w:t>f</w:t>
            </w:r>
            <w:r w:rsidRPr="00D0161E">
              <w:rPr>
                <w:rFonts w:cs="Calibri"/>
                <w:color w:val="000000" w:themeColor="text1"/>
              </w:rPr>
              <w:t>ate</w:t>
            </w:r>
            <w:proofErr w:type="spellEnd"/>
          </w:p>
        </w:tc>
        <w:tc>
          <w:tcPr>
            <w:tcW w:w="2559" w:type="dxa"/>
            <w:tcBorders>
              <w:top w:val="nil"/>
              <w:left w:val="nil"/>
              <w:bottom w:val="single" w:sz="4" w:space="0" w:color="auto"/>
              <w:right w:val="single" w:sz="4" w:space="0" w:color="auto"/>
            </w:tcBorders>
            <w:shd w:val="clear" w:color="auto" w:fill="auto"/>
            <w:noWrap/>
            <w:vAlign w:val="bottom"/>
          </w:tcPr>
          <w:p w14:paraId="27CB64C6"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0.070%</w:t>
            </w:r>
          </w:p>
        </w:tc>
        <w:tc>
          <w:tcPr>
            <w:tcW w:w="2625" w:type="dxa"/>
            <w:tcBorders>
              <w:top w:val="nil"/>
              <w:left w:val="nil"/>
              <w:bottom w:val="single" w:sz="4" w:space="0" w:color="auto"/>
              <w:right w:val="single" w:sz="4" w:space="0" w:color="auto"/>
            </w:tcBorders>
            <w:shd w:val="clear" w:color="auto" w:fill="auto"/>
            <w:noWrap/>
            <w:vAlign w:val="bottom"/>
          </w:tcPr>
          <w:p w14:paraId="40E5BD5F"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0.050%</w:t>
            </w:r>
          </w:p>
        </w:tc>
      </w:tr>
      <w:tr w:rsidR="001160AD" w:rsidRPr="00D0161E" w14:paraId="17942ED8"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0CCF34FE"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CEC (cation exchange capacity)</w:t>
            </w:r>
          </w:p>
        </w:tc>
        <w:tc>
          <w:tcPr>
            <w:tcW w:w="2559" w:type="dxa"/>
            <w:tcBorders>
              <w:top w:val="nil"/>
              <w:left w:val="nil"/>
              <w:bottom w:val="single" w:sz="4" w:space="0" w:color="auto"/>
              <w:right w:val="single" w:sz="4" w:space="0" w:color="auto"/>
            </w:tcBorders>
            <w:shd w:val="clear" w:color="auto" w:fill="auto"/>
            <w:noWrap/>
            <w:vAlign w:val="bottom"/>
          </w:tcPr>
          <w:p w14:paraId="0430A79A"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8.31</w:t>
            </w:r>
          </w:p>
        </w:tc>
        <w:tc>
          <w:tcPr>
            <w:tcW w:w="2625" w:type="dxa"/>
            <w:tcBorders>
              <w:top w:val="nil"/>
              <w:left w:val="nil"/>
              <w:bottom w:val="single" w:sz="4" w:space="0" w:color="auto"/>
              <w:right w:val="single" w:sz="4" w:space="0" w:color="auto"/>
            </w:tcBorders>
            <w:shd w:val="clear" w:color="auto" w:fill="auto"/>
            <w:noWrap/>
            <w:vAlign w:val="bottom"/>
          </w:tcPr>
          <w:p w14:paraId="599A82AE"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8.38</w:t>
            </w:r>
          </w:p>
        </w:tc>
      </w:tr>
      <w:tr w:rsidR="001160AD" w:rsidRPr="00D0161E" w14:paraId="4D75E9B0"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2AD5E1F2"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Acid soluble chloride</w:t>
            </w:r>
          </w:p>
        </w:tc>
        <w:tc>
          <w:tcPr>
            <w:tcW w:w="2559" w:type="dxa"/>
            <w:tcBorders>
              <w:top w:val="nil"/>
              <w:left w:val="nil"/>
              <w:bottom w:val="single" w:sz="4" w:space="0" w:color="auto"/>
              <w:right w:val="single" w:sz="4" w:space="0" w:color="auto"/>
            </w:tcBorders>
            <w:shd w:val="clear" w:color="auto" w:fill="auto"/>
            <w:noWrap/>
            <w:vAlign w:val="bottom"/>
          </w:tcPr>
          <w:p w14:paraId="6A49D3B5"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0.030%</w:t>
            </w:r>
          </w:p>
        </w:tc>
        <w:tc>
          <w:tcPr>
            <w:tcW w:w="2625" w:type="dxa"/>
            <w:tcBorders>
              <w:top w:val="nil"/>
              <w:left w:val="nil"/>
              <w:bottom w:val="single" w:sz="4" w:space="0" w:color="auto"/>
              <w:right w:val="single" w:sz="4" w:space="0" w:color="auto"/>
            </w:tcBorders>
            <w:shd w:val="clear" w:color="auto" w:fill="auto"/>
            <w:noWrap/>
            <w:vAlign w:val="bottom"/>
          </w:tcPr>
          <w:p w14:paraId="2D4BBBF1"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0.040%</w:t>
            </w:r>
          </w:p>
        </w:tc>
      </w:tr>
      <w:tr w:rsidR="001160AD" w:rsidRPr="00D0161E" w14:paraId="4F6CA693"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3F92D64F"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pH</w:t>
            </w:r>
          </w:p>
        </w:tc>
        <w:tc>
          <w:tcPr>
            <w:tcW w:w="2559" w:type="dxa"/>
            <w:tcBorders>
              <w:top w:val="nil"/>
              <w:left w:val="nil"/>
              <w:bottom w:val="single" w:sz="4" w:space="0" w:color="auto"/>
              <w:right w:val="single" w:sz="4" w:space="0" w:color="auto"/>
            </w:tcBorders>
            <w:shd w:val="clear" w:color="auto" w:fill="auto"/>
            <w:noWrap/>
            <w:vAlign w:val="bottom"/>
          </w:tcPr>
          <w:p w14:paraId="7F347893"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8.1</w:t>
            </w:r>
          </w:p>
        </w:tc>
        <w:tc>
          <w:tcPr>
            <w:tcW w:w="2625" w:type="dxa"/>
            <w:tcBorders>
              <w:top w:val="nil"/>
              <w:left w:val="nil"/>
              <w:bottom w:val="single" w:sz="4" w:space="0" w:color="auto"/>
              <w:right w:val="single" w:sz="4" w:space="0" w:color="auto"/>
            </w:tcBorders>
            <w:shd w:val="clear" w:color="auto" w:fill="auto"/>
            <w:noWrap/>
            <w:vAlign w:val="bottom"/>
          </w:tcPr>
          <w:p w14:paraId="1B02A47A"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7.10</w:t>
            </w:r>
          </w:p>
        </w:tc>
      </w:tr>
      <w:tr w:rsidR="001160AD" w:rsidRPr="00D0161E" w14:paraId="0450886C"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163F2F78"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Water soluble chloride</w:t>
            </w:r>
          </w:p>
        </w:tc>
        <w:tc>
          <w:tcPr>
            <w:tcW w:w="2559" w:type="dxa"/>
            <w:tcBorders>
              <w:top w:val="nil"/>
              <w:left w:val="nil"/>
              <w:bottom w:val="single" w:sz="4" w:space="0" w:color="auto"/>
              <w:right w:val="single" w:sz="4" w:space="0" w:color="auto"/>
            </w:tcBorders>
            <w:shd w:val="clear" w:color="auto" w:fill="auto"/>
            <w:noWrap/>
            <w:vAlign w:val="bottom"/>
          </w:tcPr>
          <w:p w14:paraId="110CCECF"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16.5mg/L</w:t>
            </w:r>
          </w:p>
        </w:tc>
        <w:tc>
          <w:tcPr>
            <w:tcW w:w="2625" w:type="dxa"/>
            <w:tcBorders>
              <w:top w:val="nil"/>
              <w:left w:val="nil"/>
              <w:bottom w:val="single" w:sz="4" w:space="0" w:color="auto"/>
              <w:right w:val="single" w:sz="4" w:space="0" w:color="auto"/>
            </w:tcBorders>
            <w:shd w:val="clear" w:color="auto" w:fill="auto"/>
            <w:noWrap/>
            <w:vAlign w:val="bottom"/>
          </w:tcPr>
          <w:p w14:paraId="3366A83A"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15.1mg/L</w:t>
            </w:r>
          </w:p>
        </w:tc>
      </w:tr>
      <w:tr w:rsidR="001160AD" w:rsidRPr="00D0161E" w14:paraId="1AE23643"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208E586D"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Water soluble fluoride</w:t>
            </w:r>
          </w:p>
        </w:tc>
        <w:tc>
          <w:tcPr>
            <w:tcW w:w="2559" w:type="dxa"/>
            <w:tcBorders>
              <w:top w:val="nil"/>
              <w:left w:val="nil"/>
              <w:bottom w:val="single" w:sz="4" w:space="0" w:color="auto"/>
              <w:right w:val="single" w:sz="4" w:space="0" w:color="auto"/>
            </w:tcBorders>
            <w:shd w:val="clear" w:color="auto" w:fill="auto"/>
            <w:noWrap/>
            <w:vAlign w:val="bottom"/>
          </w:tcPr>
          <w:p w14:paraId="0FE30220"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 xml:space="preserve">0.07mg/L  </w:t>
            </w:r>
          </w:p>
        </w:tc>
        <w:tc>
          <w:tcPr>
            <w:tcW w:w="2625" w:type="dxa"/>
            <w:tcBorders>
              <w:top w:val="nil"/>
              <w:left w:val="nil"/>
              <w:bottom w:val="single" w:sz="4" w:space="0" w:color="auto"/>
              <w:right w:val="single" w:sz="4" w:space="0" w:color="auto"/>
            </w:tcBorders>
            <w:shd w:val="clear" w:color="auto" w:fill="auto"/>
            <w:noWrap/>
            <w:vAlign w:val="bottom"/>
          </w:tcPr>
          <w:p w14:paraId="12D545C4"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0.06mg/L</w:t>
            </w:r>
          </w:p>
        </w:tc>
      </w:tr>
      <w:tr w:rsidR="001160AD" w:rsidRPr="00D0161E" w14:paraId="17E1F523"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73487BCF"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Water soluble phosphate</w:t>
            </w:r>
          </w:p>
        </w:tc>
        <w:tc>
          <w:tcPr>
            <w:tcW w:w="2559" w:type="dxa"/>
            <w:tcBorders>
              <w:top w:val="nil"/>
              <w:left w:val="nil"/>
              <w:bottom w:val="single" w:sz="4" w:space="0" w:color="auto"/>
              <w:right w:val="single" w:sz="4" w:space="0" w:color="auto"/>
            </w:tcBorders>
            <w:shd w:val="clear" w:color="auto" w:fill="auto"/>
            <w:noWrap/>
            <w:vAlign w:val="bottom"/>
          </w:tcPr>
          <w:p w14:paraId="3EC29B60"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&lt;0.02</w:t>
            </w:r>
          </w:p>
        </w:tc>
        <w:tc>
          <w:tcPr>
            <w:tcW w:w="2625" w:type="dxa"/>
            <w:tcBorders>
              <w:top w:val="nil"/>
              <w:left w:val="nil"/>
              <w:bottom w:val="single" w:sz="4" w:space="0" w:color="auto"/>
              <w:right w:val="single" w:sz="4" w:space="0" w:color="auto"/>
            </w:tcBorders>
            <w:shd w:val="clear" w:color="auto" w:fill="auto"/>
            <w:noWrap/>
            <w:vAlign w:val="bottom"/>
          </w:tcPr>
          <w:p w14:paraId="4ACF905C"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&lt;0.02</w:t>
            </w:r>
          </w:p>
        </w:tc>
      </w:tr>
      <w:tr w:rsidR="001160AD" w:rsidRPr="00D0161E" w14:paraId="0040E5B3"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5285FFC7" w14:textId="7DA24FEA" w:rsidR="001160AD" w:rsidRPr="00D0161E" w:rsidRDefault="001160AD" w:rsidP="00D0161E">
            <w:pPr>
              <w:spacing w:line="480" w:lineRule="auto"/>
              <w:rPr>
                <w:rFonts w:cs="Calibri"/>
                <w:color w:val="000000" w:themeColor="text1"/>
              </w:rPr>
            </w:pPr>
            <w:r w:rsidRPr="00D0161E">
              <w:rPr>
                <w:rFonts w:cs="Calibri"/>
                <w:color w:val="000000" w:themeColor="text1"/>
              </w:rPr>
              <w:t xml:space="preserve">Water soluble </w:t>
            </w:r>
            <w:proofErr w:type="spellStart"/>
            <w:r w:rsidRPr="00D0161E">
              <w:rPr>
                <w:rFonts w:cs="Calibri"/>
                <w:color w:val="000000" w:themeColor="text1"/>
              </w:rPr>
              <w:t>sul</w:t>
            </w:r>
            <w:r w:rsidR="006C52A4">
              <w:rPr>
                <w:rFonts w:cs="Calibri"/>
                <w:color w:val="000000" w:themeColor="text1"/>
              </w:rPr>
              <w:t>f</w:t>
            </w:r>
            <w:r w:rsidRPr="00D0161E">
              <w:rPr>
                <w:rFonts w:cs="Calibri"/>
                <w:color w:val="000000" w:themeColor="text1"/>
              </w:rPr>
              <w:t>ate</w:t>
            </w:r>
            <w:proofErr w:type="spellEnd"/>
          </w:p>
        </w:tc>
        <w:tc>
          <w:tcPr>
            <w:tcW w:w="2559" w:type="dxa"/>
            <w:tcBorders>
              <w:top w:val="nil"/>
              <w:left w:val="nil"/>
              <w:bottom w:val="single" w:sz="4" w:space="0" w:color="auto"/>
              <w:right w:val="single" w:sz="4" w:space="0" w:color="auto"/>
            </w:tcBorders>
            <w:shd w:val="clear" w:color="auto" w:fill="auto"/>
            <w:noWrap/>
            <w:vAlign w:val="bottom"/>
          </w:tcPr>
          <w:p w14:paraId="79B25ABE"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11.6</w:t>
            </w:r>
          </w:p>
        </w:tc>
        <w:tc>
          <w:tcPr>
            <w:tcW w:w="2625" w:type="dxa"/>
            <w:tcBorders>
              <w:top w:val="nil"/>
              <w:left w:val="nil"/>
              <w:bottom w:val="single" w:sz="4" w:space="0" w:color="auto"/>
              <w:right w:val="single" w:sz="4" w:space="0" w:color="auto"/>
            </w:tcBorders>
            <w:shd w:val="clear" w:color="auto" w:fill="auto"/>
            <w:noWrap/>
            <w:vAlign w:val="bottom"/>
          </w:tcPr>
          <w:p w14:paraId="4A5028FA"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9.96</w:t>
            </w:r>
          </w:p>
        </w:tc>
      </w:tr>
      <w:tr w:rsidR="001160AD" w:rsidRPr="00D0161E" w14:paraId="318B790C"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54B8C690"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Water soluble nitrate</w:t>
            </w:r>
          </w:p>
        </w:tc>
        <w:tc>
          <w:tcPr>
            <w:tcW w:w="2559" w:type="dxa"/>
            <w:tcBorders>
              <w:top w:val="nil"/>
              <w:left w:val="nil"/>
              <w:bottom w:val="single" w:sz="4" w:space="0" w:color="auto"/>
              <w:right w:val="single" w:sz="4" w:space="0" w:color="auto"/>
            </w:tcBorders>
            <w:shd w:val="clear" w:color="auto" w:fill="auto"/>
            <w:noWrap/>
            <w:vAlign w:val="bottom"/>
          </w:tcPr>
          <w:p w14:paraId="4FA6678B"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6.11</w:t>
            </w:r>
          </w:p>
        </w:tc>
        <w:tc>
          <w:tcPr>
            <w:tcW w:w="2625" w:type="dxa"/>
            <w:tcBorders>
              <w:top w:val="nil"/>
              <w:left w:val="nil"/>
              <w:bottom w:val="single" w:sz="4" w:space="0" w:color="auto"/>
              <w:right w:val="single" w:sz="4" w:space="0" w:color="auto"/>
            </w:tcBorders>
            <w:shd w:val="clear" w:color="auto" w:fill="auto"/>
            <w:noWrap/>
            <w:vAlign w:val="bottom"/>
          </w:tcPr>
          <w:p w14:paraId="3DDF1092"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5.52</w:t>
            </w:r>
          </w:p>
        </w:tc>
      </w:tr>
      <w:tr w:rsidR="001160AD" w:rsidRPr="00D0161E" w14:paraId="7338FD91" w14:textId="77777777">
        <w:trPr>
          <w:trHeight w:val="300"/>
        </w:trPr>
        <w:tc>
          <w:tcPr>
            <w:tcW w:w="4450" w:type="dxa"/>
            <w:tcBorders>
              <w:top w:val="nil"/>
              <w:left w:val="single" w:sz="4" w:space="0" w:color="auto"/>
              <w:bottom w:val="single" w:sz="4" w:space="0" w:color="auto"/>
              <w:right w:val="single" w:sz="4" w:space="0" w:color="auto"/>
            </w:tcBorders>
            <w:shd w:val="clear" w:color="auto" w:fill="auto"/>
            <w:noWrap/>
            <w:vAlign w:val="bottom"/>
          </w:tcPr>
          <w:p w14:paraId="4EAF8A30"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Water soluble nitrite</w:t>
            </w:r>
          </w:p>
        </w:tc>
        <w:tc>
          <w:tcPr>
            <w:tcW w:w="2559" w:type="dxa"/>
            <w:tcBorders>
              <w:top w:val="nil"/>
              <w:left w:val="nil"/>
              <w:bottom w:val="single" w:sz="4" w:space="0" w:color="auto"/>
              <w:right w:val="single" w:sz="4" w:space="0" w:color="auto"/>
            </w:tcBorders>
            <w:shd w:val="clear" w:color="auto" w:fill="auto"/>
            <w:noWrap/>
            <w:vAlign w:val="bottom"/>
          </w:tcPr>
          <w:p w14:paraId="3F55428E"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0.2</w:t>
            </w:r>
          </w:p>
        </w:tc>
        <w:tc>
          <w:tcPr>
            <w:tcW w:w="2625" w:type="dxa"/>
            <w:tcBorders>
              <w:top w:val="nil"/>
              <w:left w:val="nil"/>
              <w:bottom w:val="single" w:sz="4" w:space="0" w:color="auto"/>
              <w:right w:val="single" w:sz="4" w:space="0" w:color="auto"/>
            </w:tcBorders>
            <w:shd w:val="clear" w:color="auto" w:fill="auto"/>
            <w:noWrap/>
            <w:vAlign w:val="bottom"/>
          </w:tcPr>
          <w:p w14:paraId="44E729BC"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0.1</w:t>
            </w:r>
          </w:p>
        </w:tc>
      </w:tr>
      <w:tr w:rsidR="001160AD" w:rsidRPr="00D0161E" w14:paraId="68E4C375" w14:textId="77777777">
        <w:trPr>
          <w:trHeight w:val="30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C648F92" w14:textId="56E0BFF0" w:rsidR="001160AD" w:rsidRPr="00D0161E" w:rsidRDefault="001160AD" w:rsidP="00D0161E">
            <w:pPr>
              <w:spacing w:line="480" w:lineRule="auto"/>
              <w:rPr>
                <w:rFonts w:cs="Calibri"/>
                <w:b/>
                <w:bCs/>
                <w:color w:val="000000" w:themeColor="text1"/>
              </w:rPr>
            </w:pPr>
            <w:r w:rsidRPr="00D0161E">
              <w:rPr>
                <w:rFonts w:cs="Calibri"/>
                <w:b/>
                <w:bCs/>
                <w:color w:val="000000" w:themeColor="text1"/>
              </w:rPr>
              <w:t xml:space="preserve">Physical </w:t>
            </w:r>
            <w:r w:rsidR="006C52A4">
              <w:rPr>
                <w:rFonts w:cs="Calibri"/>
                <w:b/>
                <w:bCs/>
                <w:color w:val="000000" w:themeColor="text1"/>
              </w:rPr>
              <w:t>p</w:t>
            </w:r>
            <w:r w:rsidRPr="00D0161E">
              <w:rPr>
                <w:rFonts w:cs="Calibri"/>
                <w:b/>
                <w:bCs/>
                <w:color w:val="000000" w:themeColor="text1"/>
              </w:rPr>
              <w:t>roperties</w:t>
            </w:r>
          </w:p>
        </w:tc>
      </w:tr>
      <w:tr w:rsidR="001160AD" w:rsidRPr="00D0161E" w14:paraId="01DA64DE" w14:textId="77777777">
        <w:trPr>
          <w:trHeight w:val="300"/>
        </w:trPr>
        <w:tc>
          <w:tcPr>
            <w:tcW w:w="4450" w:type="dxa"/>
            <w:tcBorders>
              <w:top w:val="nil"/>
              <w:left w:val="single" w:sz="4" w:space="0" w:color="auto"/>
              <w:bottom w:val="single" w:sz="4" w:space="0" w:color="auto"/>
              <w:right w:val="nil"/>
            </w:tcBorders>
            <w:shd w:val="clear" w:color="auto" w:fill="auto"/>
            <w:noWrap/>
            <w:vAlign w:val="bottom"/>
          </w:tcPr>
          <w:p w14:paraId="2B2B3D3E"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Optimum moisture content (</w:t>
            </w:r>
            <w:proofErr w:type="gramStart"/>
            <w:r w:rsidRPr="00D0161E">
              <w:rPr>
                <w:rFonts w:cs="Calibri"/>
                <w:color w:val="000000" w:themeColor="text1"/>
              </w:rPr>
              <w:t>%)*</w:t>
            </w:r>
            <w:proofErr w:type="gramEnd"/>
          </w:p>
        </w:tc>
        <w:tc>
          <w:tcPr>
            <w:tcW w:w="2559" w:type="dxa"/>
            <w:tcBorders>
              <w:top w:val="nil"/>
              <w:left w:val="single" w:sz="4" w:space="0" w:color="auto"/>
              <w:bottom w:val="single" w:sz="4" w:space="0" w:color="auto"/>
              <w:right w:val="single" w:sz="4" w:space="0" w:color="auto"/>
            </w:tcBorders>
            <w:shd w:val="clear" w:color="auto" w:fill="auto"/>
            <w:noWrap/>
            <w:vAlign w:val="bottom"/>
          </w:tcPr>
          <w:p w14:paraId="34D92FEB"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10</w:t>
            </w:r>
          </w:p>
        </w:tc>
        <w:tc>
          <w:tcPr>
            <w:tcW w:w="2625" w:type="dxa"/>
            <w:tcBorders>
              <w:top w:val="nil"/>
              <w:left w:val="nil"/>
              <w:bottom w:val="single" w:sz="4" w:space="0" w:color="auto"/>
              <w:right w:val="single" w:sz="4" w:space="0" w:color="auto"/>
            </w:tcBorders>
            <w:shd w:val="clear" w:color="auto" w:fill="auto"/>
            <w:noWrap/>
            <w:vAlign w:val="bottom"/>
          </w:tcPr>
          <w:p w14:paraId="0B100D49"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9</w:t>
            </w:r>
          </w:p>
        </w:tc>
      </w:tr>
      <w:tr w:rsidR="001160AD" w:rsidRPr="00D0161E" w14:paraId="41CFA1EC" w14:textId="77777777">
        <w:trPr>
          <w:trHeight w:val="300"/>
        </w:trPr>
        <w:tc>
          <w:tcPr>
            <w:tcW w:w="4450" w:type="dxa"/>
            <w:tcBorders>
              <w:top w:val="nil"/>
              <w:left w:val="single" w:sz="4" w:space="0" w:color="auto"/>
              <w:bottom w:val="single" w:sz="4" w:space="0" w:color="auto"/>
              <w:right w:val="nil"/>
            </w:tcBorders>
            <w:shd w:val="clear" w:color="auto" w:fill="auto"/>
            <w:noWrap/>
            <w:vAlign w:val="bottom"/>
          </w:tcPr>
          <w:p w14:paraId="325C46BB" w14:textId="073044D0" w:rsidR="001160AD" w:rsidRPr="00D0161E" w:rsidRDefault="001160AD" w:rsidP="00D0161E">
            <w:pPr>
              <w:spacing w:line="480" w:lineRule="auto"/>
              <w:rPr>
                <w:rFonts w:cs="Calibri"/>
                <w:color w:val="000000" w:themeColor="text1"/>
              </w:rPr>
            </w:pPr>
            <w:r w:rsidRPr="00D0161E">
              <w:rPr>
                <w:rFonts w:cs="Calibri"/>
                <w:color w:val="000000" w:themeColor="text1"/>
              </w:rPr>
              <w:t>Dry density (mg/</w:t>
            </w:r>
            <w:r w:rsidR="006C52A4">
              <w:rPr>
                <w:rFonts w:cs="Calibri"/>
                <w:color w:val="000000" w:themeColor="text1"/>
              </w:rPr>
              <w:t xml:space="preserve">cu </w:t>
            </w:r>
            <w:r w:rsidRPr="00D0161E">
              <w:rPr>
                <w:rFonts w:cs="Calibri"/>
                <w:color w:val="000000" w:themeColor="text1"/>
              </w:rPr>
              <w:t>m)</w:t>
            </w:r>
          </w:p>
        </w:tc>
        <w:tc>
          <w:tcPr>
            <w:tcW w:w="2559" w:type="dxa"/>
            <w:tcBorders>
              <w:top w:val="nil"/>
              <w:left w:val="single" w:sz="4" w:space="0" w:color="auto"/>
              <w:bottom w:val="single" w:sz="4" w:space="0" w:color="auto"/>
              <w:right w:val="single" w:sz="4" w:space="0" w:color="auto"/>
            </w:tcBorders>
            <w:shd w:val="clear" w:color="auto" w:fill="auto"/>
            <w:noWrap/>
            <w:vAlign w:val="bottom"/>
          </w:tcPr>
          <w:p w14:paraId="1912429D"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1.8</w:t>
            </w:r>
          </w:p>
        </w:tc>
        <w:tc>
          <w:tcPr>
            <w:tcW w:w="2625" w:type="dxa"/>
            <w:tcBorders>
              <w:top w:val="nil"/>
              <w:left w:val="nil"/>
              <w:bottom w:val="single" w:sz="4" w:space="0" w:color="auto"/>
              <w:right w:val="single" w:sz="4" w:space="0" w:color="auto"/>
            </w:tcBorders>
            <w:shd w:val="clear" w:color="auto" w:fill="auto"/>
            <w:noWrap/>
            <w:vAlign w:val="bottom"/>
          </w:tcPr>
          <w:p w14:paraId="6C9240DF"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ND</w:t>
            </w:r>
          </w:p>
        </w:tc>
      </w:tr>
      <w:tr w:rsidR="001160AD" w:rsidRPr="00D0161E" w14:paraId="6086360C" w14:textId="77777777">
        <w:trPr>
          <w:trHeight w:val="300"/>
        </w:trPr>
        <w:tc>
          <w:tcPr>
            <w:tcW w:w="4450" w:type="dxa"/>
            <w:tcBorders>
              <w:top w:val="nil"/>
              <w:left w:val="single" w:sz="4" w:space="0" w:color="auto"/>
              <w:bottom w:val="single" w:sz="4" w:space="0" w:color="auto"/>
              <w:right w:val="nil"/>
            </w:tcBorders>
            <w:shd w:val="clear" w:color="auto" w:fill="auto"/>
            <w:noWrap/>
            <w:vAlign w:val="bottom"/>
          </w:tcPr>
          <w:p w14:paraId="5583BEC3"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Plastic limit (%) ^</w:t>
            </w:r>
          </w:p>
        </w:tc>
        <w:tc>
          <w:tcPr>
            <w:tcW w:w="2559" w:type="dxa"/>
            <w:tcBorders>
              <w:top w:val="nil"/>
              <w:left w:val="single" w:sz="4" w:space="0" w:color="auto"/>
              <w:bottom w:val="single" w:sz="4" w:space="0" w:color="auto"/>
              <w:right w:val="single" w:sz="4" w:space="0" w:color="auto"/>
            </w:tcBorders>
            <w:shd w:val="clear" w:color="auto" w:fill="auto"/>
            <w:noWrap/>
            <w:vAlign w:val="bottom"/>
          </w:tcPr>
          <w:p w14:paraId="3A3A2B7D"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12</w:t>
            </w:r>
          </w:p>
        </w:tc>
        <w:tc>
          <w:tcPr>
            <w:tcW w:w="2625" w:type="dxa"/>
            <w:tcBorders>
              <w:top w:val="nil"/>
              <w:left w:val="nil"/>
              <w:bottom w:val="single" w:sz="4" w:space="0" w:color="auto"/>
              <w:right w:val="single" w:sz="4" w:space="0" w:color="auto"/>
            </w:tcBorders>
            <w:shd w:val="clear" w:color="auto" w:fill="auto"/>
            <w:noWrap/>
            <w:vAlign w:val="bottom"/>
          </w:tcPr>
          <w:p w14:paraId="64A31C6C"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12</w:t>
            </w:r>
          </w:p>
        </w:tc>
      </w:tr>
      <w:tr w:rsidR="001160AD" w:rsidRPr="00D0161E" w14:paraId="374B3802" w14:textId="77777777">
        <w:trPr>
          <w:trHeight w:val="300"/>
        </w:trPr>
        <w:tc>
          <w:tcPr>
            <w:tcW w:w="4450" w:type="dxa"/>
            <w:tcBorders>
              <w:top w:val="nil"/>
              <w:left w:val="single" w:sz="4" w:space="0" w:color="auto"/>
              <w:bottom w:val="single" w:sz="4" w:space="0" w:color="auto"/>
              <w:right w:val="nil"/>
            </w:tcBorders>
            <w:shd w:val="clear" w:color="auto" w:fill="auto"/>
            <w:noWrap/>
            <w:vAlign w:val="bottom"/>
          </w:tcPr>
          <w:p w14:paraId="17D449E5"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Liquid limit (%) $</w:t>
            </w:r>
          </w:p>
        </w:tc>
        <w:tc>
          <w:tcPr>
            <w:tcW w:w="2559" w:type="dxa"/>
            <w:tcBorders>
              <w:top w:val="nil"/>
              <w:left w:val="single" w:sz="4" w:space="0" w:color="auto"/>
              <w:bottom w:val="single" w:sz="4" w:space="0" w:color="auto"/>
              <w:right w:val="single" w:sz="4" w:space="0" w:color="auto"/>
            </w:tcBorders>
            <w:shd w:val="clear" w:color="auto" w:fill="auto"/>
            <w:noWrap/>
            <w:vAlign w:val="bottom"/>
          </w:tcPr>
          <w:p w14:paraId="4623A05F"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21</w:t>
            </w:r>
          </w:p>
        </w:tc>
        <w:tc>
          <w:tcPr>
            <w:tcW w:w="2625" w:type="dxa"/>
            <w:tcBorders>
              <w:top w:val="nil"/>
              <w:left w:val="nil"/>
              <w:bottom w:val="single" w:sz="4" w:space="0" w:color="auto"/>
              <w:right w:val="single" w:sz="4" w:space="0" w:color="auto"/>
            </w:tcBorders>
            <w:shd w:val="clear" w:color="auto" w:fill="auto"/>
            <w:noWrap/>
            <w:vAlign w:val="bottom"/>
          </w:tcPr>
          <w:p w14:paraId="5FCC2F9B"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20</w:t>
            </w:r>
          </w:p>
        </w:tc>
      </w:tr>
      <w:tr w:rsidR="001160AD" w:rsidRPr="00D0161E" w14:paraId="5C8CD8BE" w14:textId="77777777">
        <w:trPr>
          <w:trHeight w:val="300"/>
        </w:trPr>
        <w:tc>
          <w:tcPr>
            <w:tcW w:w="4450" w:type="dxa"/>
            <w:tcBorders>
              <w:top w:val="nil"/>
              <w:left w:val="single" w:sz="4" w:space="0" w:color="auto"/>
              <w:bottom w:val="single" w:sz="4" w:space="0" w:color="auto"/>
              <w:right w:val="nil"/>
            </w:tcBorders>
            <w:shd w:val="clear" w:color="auto" w:fill="auto"/>
            <w:noWrap/>
            <w:vAlign w:val="bottom"/>
          </w:tcPr>
          <w:p w14:paraId="5BB07160" w14:textId="61CCA53E" w:rsidR="001160AD" w:rsidRPr="00D0161E" w:rsidRDefault="001160AD" w:rsidP="006C52A4">
            <w:pPr>
              <w:spacing w:line="480" w:lineRule="auto"/>
              <w:rPr>
                <w:rFonts w:cs="Calibri"/>
                <w:color w:val="000000" w:themeColor="text1"/>
              </w:rPr>
            </w:pPr>
            <w:r w:rsidRPr="00D0161E">
              <w:rPr>
                <w:rFonts w:cs="Calibri"/>
                <w:color w:val="000000" w:themeColor="text1"/>
              </w:rPr>
              <w:t xml:space="preserve">% passing 425 </w:t>
            </w:r>
            <w:r w:rsidR="006C52A4" w:rsidRPr="00D0161E">
              <w:rPr>
                <w:color w:val="000000" w:themeColor="text1"/>
              </w:rPr>
              <w:t>µ</w:t>
            </w:r>
          </w:p>
        </w:tc>
        <w:tc>
          <w:tcPr>
            <w:tcW w:w="2559" w:type="dxa"/>
            <w:tcBorders>
              <w:top w:val="nil"/>
              <w:left w:val="single" w:sz="4" w:space="0" w:color="auto"/>
              <w:bottom w:val="single" w:sz="4" w:space="0" w:color="auto"/>
              <w:right w:val="single" w:sz="4" w:space="0" w:color="auto"/>
            </w:tcBorders>
            <w:shd w:val="clear" w:color="auto" w:fill="auto"/>
            <w:noWrap/>
            <w:vAlign w:val="bottom"/>
          </w:tcPr>
          <w:p w14:paraId="1AFA691D"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95</w:t>
            </w:r>
          </w:p>
        </w:tc>
        <w:tc>
          <w:tcPr>
            <w:tcW w:w="2625" w:type="dxa"/>
            <w:tcBorders>
              <w:top w:val="nil"/>
              <w:left w:val="nil"/>
              <w:bottom w:val="single" w:sz="4" w:space="0" w:color="auto"/>
              <w:right w:val="single" w:sz="4" w:space="0" w:color="auto"/>
            </w:tcBorders>
            <w:shd w:val="clear" w:color="auto" w:fill="auto"/>
            <w:noWrap/>
            <w:vAlign w:val="bottom"/>
          </w:tcPr>
          <w:p w14:paraId="139F2CF8"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94</w:t>
            </w:r>
          </w:p>
        </w:tc>
      </w:tr>
      <w:tr w:rsidR="001160AD" w:rsidRPr="00D0161E" w14:paraId="3D326BE9" w14:textId="77777777">
        <w:trPr>
          <w:trHeight w:val="300"/>
        </w:trPr>
        <w:tc>
          <w:tcPr>
            <w:tcW w:w="4450" w:type="dxa"/>
            <w:tcBorders>
              <w:top w:val="nil"/>
              <w:left w:val="single" w:sz="4" w:space="0" w:color="auto"/>
              <w:bottom w:val="single" w:sz="4" w:space="0" w:color="auto"/>
              <w:right w:val="nil"/>
            </w:tcBorders>
            <w:shd w:val="clear" w:color="auto" w:fill="auto"/>
            <w:noWrap/>
            <w:vAlign w:val="bottom"/>
          </w:tcPr>
          <w:p w14:paraId="2263E923"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Porosity calculated TW (% voids)</w:t>
            </w:r>
          </w:p>
        </w:tc>
        <w:tc>
          <w:tcPr>
            <w:tcW w:w="2559" w:type="dxa"/>
            <w:tcBorders>
              <w:top w:val="nil"/>
              <w:left w:val="single" w:sz="4" w:space="0" w:color="auto"/>
              <w:bottom w:val="single" w:sz="4" w:space="0" w:color="auto"/>
              <w:right w:val="single" w:sz="4" w:space="0" w:color="auto"/>
            </w:tcBorders>
            <w:shd w:val="clear" w:color="auto" w:fill="auto"/>
            <w:noWrap/>
            <w:vAlign w:val="bottom"/>
          </w:tcPr>
          <w:p w14:paraId="6DF39DB5"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31</w:t>
            </w:r>
          </w:p>
        </w:tc>
        <w:tc>
          <w:tcPr>
            <w:tcW w:w="2625" w:type="dxa"/>
            <w:tcBorders>
              <w:top w:val="nil"/>
              <w:left w:val="nil"/>
              <w:bottom w:val="single" w:sz="4" w:space="0" w:color="auto"/>
              <w:right w:val="single" w:sz="4" w:space="0" w:color="auto"/>
            </w:tcBorders>
            <w:shd w:val="clear" w:color="auto" w:fill="auto"/>
            <w:noWrap/>
            <w:vAlign w:val="bottom"/>
          </w:tcPr>
          <w:p w14:paraId="35F61939"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ND</w:t>
            </w:r>
          </w:p>
        </w:tc>
      </w:tr>
      <w:tr w:rsidR="001160AD" w:rsidRPr="00D0161E" w14:paraId="2B970FB2" w14:textId="77777777">
        <w:trPr>
          <w:trHeight w:val="30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2629911" w14:textId="77777777" w:rsidR="001160AD" w:rsidRPr="00D0161E" w:rsidRDefault="001160AD" w:rsidP="00D0161E">
            <w:pPr>
              <w:spacing w:line="480" w:lineRule="auto"/>
              <w:rPr>
                <w:rFonts w:cs="Calibri"/>
                <w:b/>
                <w:bCs/>
                <w:color w:val="000000" w:themeColor="text1"/>
              </w:rPr>
            </w:pPr>
            <w:r w:rsidRPr="00D0161E">
              <w:rPr>
                <w:rFonts w:cs="Calibri"/>
                <w:b/>
                <w:bCs/>
                <w:color w:val="000000" w:themeColor="text1"/>
              </w:rPr>
              <w:t>Composition</w:t>
            </w:r>
          </w:p>
        </w:tc>
      </w:tr>
      <w:tr w:rsidR="001160AD" w:rsidRPr="00D0161E" w14:paraId="5D7E0ACE" w14:textId="77777777">
        <w:trPr>
          <w:trHeight w:val="300"/>
        </w:trPr>
        <w:tc>
          <w:tcPr>
            <w:tcW w:w="4450" w:type="dxa"/>
            <w:tcBorders>
              <w:top w:val="nil"/>
              <w:left w:val="single" w:sz="4" w:space="0" w:color="auto"/>
              <w:bottom w:val="single" w:sz="4" w:space="0" w:color="auto"/>
              <w:right w:val="nil"/>
            </w:tcBorders>
            <w:shd w:val="clear" w:color="auto" w:fill="auto"/>
            <w:noWrap/>
            <w:vAlign w:val="bottom"/>
          </w:tcPr>
          <w:p w14:paraId="5D41F66E"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Cobbles (60-200</w:t>
            </w:r>
            <w:r w:rsidR="006C52A4">
              <w:rPr>
                <w:rFonts w:cs="Calibri"/>
                <w:color w:val="000000" w:themeColor="text1"/>
              </w:rPr>
              <w:t xml:space="preserve"> </w:t>
            </w:r>
            <w:r w:rsidRPr="00D0161E">
              <w:rPr>
                <w:rFonts w:cs="Calibri"/>
                <w:color w:val="000000" w:themeColor="text1"/>
              </w:rPr>
              <w:t>mm) (%)</w:t>
            </w:r>
          </w:p>
        </w:tc>
        <w:tc>
          <w:tcPr>
            <w:tcW w:w="2559" w:type="dxa"/>
            <w:tcBorders>
              <w:top w:val="nil"/>
              <w:left w:val="single" w:sz="4" w:space="0" w:color="auto"/>
              <w:bottom w:val="single" w:sz="4" w:space="0" w:color="auto"/>
              <w:right w:val="single" w:sz="4" w:space="0" w:color="auto"/>
            </w:tcBorders>
            <w:shd w:val="clear" w:color="auto" w:fill="auto"/>
            <w:noWrap/>
            <w:vAlign w:val="bottom"/>
          </w:tcPr>
          <w:p w14:paraId="4697C0D6"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w:t>
            </w:r>
          </w:p>
        </w:tc>
        <w:tc>
          <w:tcPr>
            <w:tcW w:w="2625" w:type="dxa"/>
            <w:tcBorders>
              <w:top w:val="nil"/>
              <w:left w:val="nil"/>
              <w:bottom w:val="single" w:sz="4" w:space="0" w:color="auto"/>
              <w:right w:val="single" w:sz="4" w:space="0" w:color="auto"/>
            </w:tcBorders>
            <w:shd w:val="clear" w:color="auto" w:fill="auto"/>
            <w:noWrap/>
            <w:vAlign w:val="bottom"/>
          </w:tcPr>
          <w:p w14:paraId="46CDBAA4"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w:t>
            </w:r>
          </w:p>
        </w:tc>
      </w:tr>
      <w:tr w:rsidR="001160AD" w:rsidRPr="00D0161E" w14:paraId="4055C224" w14:textId="77777777">
        <w:trPr>
          <w:trHeight w:val="300"/>
        </w:trPr>
        <w:tc>
          <w:tcPr>
            <w:tcW w:w="4450" w:type="dxa"/>
            <w:tcBorders>
              <w:top w:val="nil"/>
              <w:left w:val="single" w:sz="4" w:space="0" w:color="auto"/>
              <w:bottom w:val="single" w:sz="4" w:space="0" w:color="auto"/>
              <w:right w:val="nil"/>
            </w:tcBorders>
            <w:shd w:val="clear" w:color="auto" w:fill="auto"/>
            <w:noWrap/>
            <w:vAlign w:val="bottom"/>
          </w:tcPr>
          <w:p w14:paraId="477169E3"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Gravel (2-60</w:t>
            </w:r>
            <w:r w:rsidR="006C52A4">
              <w:rPr>
                <w:rFonts w:cs="Calibri"/>
                <w:color w:val="000000" w:themeColor="text1"/>
              </w:rPr>
              <w:t xml:space="preserve"> </w:t>
            </w:r>
            <w:r w:rsidRPr="00D0161E">
              <w:rPr>
                <w:rFonts w:cs="Calibri"/>
                <w:color w:val="000000" w:themeColor="text1"/>
              </w:rPr>
              <w:t>mm) (%)</w:t>
            </w:r>
          </w:p>
        </w:tc>
        <w:tc>
          <w:tcPr>
            <w:tcW w:w="2559" w:type="dxa"/>
            <w:tcBorders>
              <w:top w:val="nil"/>
              <w:left w:val="single" w:sz="4" w:space="0" w:color="auto"/>
              <w:bottom w:val="single" w:sz="4" w:space="0" w:color="auto"/>
              <w:right w:val="single" w:sz="4" w:space="0" w:color="auto"/>
            </w:tcBorders>
            <w:shd w:val="clear" w:color="auto" w:fill="auto"/>
            <w:noWrap/>
            <w:vAlign w:val="bottom"/>
          </w:tcPr>
          <w:p w14:paraId="64F7F644"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0</w:t>
            </w:r>
          </w:p>
        </w:tc>
        <w:tc>
          <w:tcPr>
            <w:tcW w:w="2625" w:type="dxa"/>
            <w:tcBorders>
              <w:top w:val="nil"/>
              <w:left w:val="nil"/>
              <w:bottom w:val="single" w:sz="4" w:space="0" w:color="auto"/>
              <w:right w:val="single" w:sz="4" w:space="0" w:color="auto"/>
            </w:tcBorders>
            <w:shd w:val="clear" w:color="auto" w:fill="auto"/>
            <w:noWrap/>
            <w:vAlign w:val="bottom"/>
          </w:tcPr>
          <w:p w14:paraId="17AF6F83"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3</w:t>
            </w:r>
          </w:p>
        </w:tc>
      </w:tr>
      <w:tr w:rsidR="001160AD" w:rsidRPr="00D0161E" w14:paraId="42261FFD" w14:textId="77777777">
        <w:trPr>
          <w:trHeight w:val="300"/>
        </w:trPr>
        <w:tc>
          <w:tcPr>
            <w:tcW w:w="4450" w:type="dxa"/>
            <w:tcBorders>
              <w:top w:val="nil"/>
              <w:left w:val="single" w:sz="4" w:space="0" w:color="auto"/>
              <w:bottom w:val="single" w:sz="4" w:space="0" w:color="auto"/>
              <w:right w:val="nil"/>
            </w:tcBorders>
            <w:shd w:val="clear" w:color="auto" w:fill="auto"/>
            <w:noWrap/>
            <w:vAlign w:val="bottom"/>
          </w:tcPr>
          <w:p w14:paraId="3505B8D8" w14:textId="02EC38E2" w:rsidR="001160AD" w:rsidRPr="00D0161E" w:rsidRDefault="001160AD" w:rsidP="00D0161E">
            <w:pPr>
              <w:spacing w:line="480" w:lineRule="auto"/>
              <w:rPr>
                <w:rFonts w:cs="Calibri"/>
                <w:color w:val="000000" w:themeColor="text1"/>
              </w:rPr>
            </w:pPr>
            <w:r w:rsidRPr="00D0161E">
              <w:rPr>
                <w:rFonts w:cs="Calibri"/>
                <w:color w:val="000000" w:themeColor="text1"/>
              </w:rPr>
              <w:t>Sand (63</w:t>
            </w:r>
            <w:r w:rsidR="006C52A4">
              <w:rPr>
                <w:rFonts w:cs="Calibri"/>
                <w:color w:val="000000" w:themeColor="text1"/>
              </w:rPr>
              <w:t xml:space="preserve"> </w:t>
            </w:r>
            <w:r w:rsidR="006C52A4" w:rsidRPr="00D0161E">
              <w:rPr>
                <w:color w:val="000000" w:themeColor="text1"/>
              </w:rPr>
              <w:t>µ</w:t>
            </w:r>
            <w:r w:rsidRPr="00D0161E">
              <w:rPr>
                <w:rFonts w:cs="Calibri"/>
                <w:color w:val="000000" w:themeColor="text1"/>
              </w:rPr>
              <w:t>-2mm) (%)</w:t>
            </w:r>
          </w:p>
        </w:tc>
        <w:tc>
          <w:tcPr>
            <w:tcW w:w="2559" w:type="dxa"/>
            <w:tcBorders>
              <w:top w:val="nil"/>
              <w:left w:val="single" w:sz="4" w:space="0" w:color="auto"/>
              <w:bottom w:val="single" w:sz="4" w:space="0" w:color="auto"/>
              <w:right w:val="single" w:sz="4" w:space="0" w:color="auto"/>
            </w:tcBorders>
            <w:shd w:val="clear" w:color="auto" w:fill="auto"/>
            <w:noWrap/>
            <w:vAlign w:val="bottom"/>
          </w:tcPr>
          <w:p w14:paraId="3791012C"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49</w:t>
            </w:r>
          </w:p>
        </w:tc>
        <w:tc>
          <w:tcPr>
            <w:tcW w:w="2625" w:type="dxa"/>
            <w:tcBorders>
              <w:top w:val="nil"/>
              <w:left w:val="nil"/>
              <w:bottom w:val="single" w:sz="4" w:space="0" w:color="auto"/>
              <w:right w:val="single" w:sz="4" w:space="0" w:color="auto"/>
            </w:tcBorders>
            <w:shd w:val="clear" w:color="auto" w:fill="auto"/>
            <w:noWrap/>
            <w:vAlign w:val="bottom"/>
          </w:tcPr>
          <w:p w14:paraId="50E6D27F"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44</w:t>
            </w:r>
          </w:p>
        </w:tc>
      </w:tr>
      <w:tr w:rsidR="001160AD" w:rsidRPr="00D0161E" w14:paraId="44E930C3" w14:textId="77777777">
        <w:trPr>
          <w:trHeight w:val="300"/>
        </w:trPr>
        <w:tc>
          <w:tcPr>
            <w:tcW w:w="4450" w:type="dxa"/>
            <w:tcBorders>
              <w:top w:val="nil"/>
              <w:left w:val="single" w:sz="4" w:space="0" w:color="auto"/>
              <w:bottom w:val="single" w:sz="4" w:space="0" w:color="auto"/>
              <w:right w:val="nil"/>
            </w:tcBorders>
            <w:shd w:val="clear" w:color="auto" w:fill="auto"/>
            <w:noWrap/>
            <w:vAlign w:val="bottom"/>
          </w:tcPr>
          <w:p w14:paraId="4BA5FC2F" w14:textId="3B4EE528" w:rsidR="001160AD" w:rsidRPr="00D0161E" w:rsidRDefault="001160AD" w:rsidP="00D0161E">
            <w:pPr>
              <w:spacing w:line="480" w:lineRule="auto"/>
              <w:rPr>
                <w:rFonts w:cs="Calibri"/>
                <w:color w:val="000000" w:themeColor="text1"/>
              </w:rPr>
            </w:pPr>
            <w:r w:rsidRPr="00D0161E">
              <w:rPr>
                <w:rFonts w:cs="Calibri"/>
                <w:color w:val="000000" w:themeColor="text1"/>
              </w:rPr>
              <w:t>Silt (2-63</w:t>
            </w:r>
            <w:r w:rsidR="006C52A4">
              <w:rPr>
                <w:rFonts w:cs="Calibri"/>
                <w:color w:val="000000" w:themeColor="text1"/>
              </w:rPr>
              <w:t xml:space="preserve"> </w:t>
            </w:r>
            <w:r w:rsidR="006C52A4" w:rsidRPr="00D0161E">
              <w:rPr>
                <w:color w:val="000000" w:themeColor="text1"/>
              </w:rPr>
              <w:t>µ</w:t>
            </w:r>
            <w:r w:rsidRPr="00D0161E">
              <w:rPr>
                <w:rFonts w:cs="Calibri"/>
                <w:color w:val="000000" w:themeColor="text1"/>
              </w:rPr>
              <w:t>) (%)</w:t>
            </w:r>
          </w:p>
        </w:tc>
        <w:tc>
          <w:tcPr>
            <w:tcW w:w="2559" w:type="dxa"/>
            <w:tcBorders>
              <w:top w:val="nil"/>
              <w:left w:val="single" w:sz="4" w:space="0" w:color="auto"/>
              <w:bottom w:val="single" w:sz="4" w:space="0" w:color="auto"/>
              <w:right w:val="single" w:sz="4" w:space="0" w:color="auto"/>
            </w:tcBorders>
            <w:shd w:val="clear" w:color="auto" w:fill="auto"/>
            <w:noWrap/>
            <w:vAlign w:val="bottom"/>
          </w:tcPr>
          <w:p w14:paraId="39C877A8"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34</w:t>
            </w:r>
          </w:p>
        </w:tc>
        <w:tc>
          <w:tcPr>
            <w:tcW w:w="2625" w:type="dxa"/>
            <w:tcBorders>
              <w:top w:val="nil"/>
              <w:left w:val="nil"/>
              <w:bottom w:val="single" w:sz="4" w:space="0" w:color="auto"/>
              <w:right w:val="single" w:sz="4" w:space="0" w:color="auto"/>
            </w:tcBorders>
            <w:shd w:val="clear" w:color="auto" w:fill="auto"/>
            <w:noWrap/>
            <w:vAlign w:val="bottom"/>
          </w:tcPr>
          <w:p w14:paraId="5AA3470A"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35</w:t>
            </w:r>
          </w:p>
        </w:tc>
      </w:tr>
      <w:tr w:rsidR="001160AD" w:rsidRPr="00D0161E" w14:paraId="1301BD00" w14:textId="77777777">
        <w:trPr>
          <w:trHeight w:val="300"/>
        </w:trPr>
        <w:tc>
          <w:tcPr>
            <w:tcW w:w="4450" w:type="dxa"/>
            <w:tcBorders>
              <w:top w:val="nil"/>
              <w:left w:val="single" w:sz="4" w:space="0" w:color="auto"/>
              <w:bottom w:val="single" w:sz="4" w:space="0" w:color="auto"/>
              <w:right w:val="nil"/>
            </w:tcBorders>
            <w:shd w:val="clear" w:color="auto" w:fill="auto"/>
            <w:noWrap/>
            <w:vAlign w:val="bottom"/>
          </w:tcPr>
          <w:p w14:paraId="4100726B" w14:textId="5CBA0C12" w:rsidR="001160AD" w:rsidRPr="00D0161E" w:rsidRDefault="001160AD" w:rsidP="00D0161E">
            <w:pPr>
              <w:spacing w:line="480" w:lineRule="auto"/>
              <w:rPr>
                <w:rFonts w:cs="Calibri"/>
                <w:color w:val="000000" w:themeColor="text1"/>
              </w:rPr>
            </w:pPr>
            <w:r w:rsidRPr="00D0161E">
              <w:rPr>
                <w:rFonts w:cs="Calibri"/>
                <w:color w:val="000000" w:themeColor="text1"/>
              </w:rPr>
              <w:t>Clay (&lt;2</w:t>
            </w:r>
            <w:r w:rsidR="006C52A4">
              <w:rPr>
                <w:rFonts w:cs="Calibri"/>
                <w:color w:val="000000" w:themeColor="text1"/>
              </w:rPr>
              <w:t xml:space="preserve"> </w:t>
            </w:r>
            <w:r w:rsidR="006C52A4" w:rsidRPr="00D0161E">
              <w:rPr>
                <w:color w:val="000000" w:themeColor="text1"/>
              </w:rPr>
              <w:t>µ</w:t>
            </w:r>
            <w:r w:rsidRPr="00D0161E">
              <w:rPr>
                <w:rFonts w:cs="Calibri"/>
                <w:color w:val="000000" w:themeColor="text1"/>
              </w:rPr>
              <w:t>) (%)</w:t>
            </w:r>
          </w:p>
        </w:tc>
        <w:tc>
          <w:tcPr>
            <w:tcW w:w="2559" w:type="dxa"/>
            <w:tcBorders>
              <w:top w:val="nil"/>
              <w:left w:val="single" w:sz="4" w:space="0" w:color="auto"/>
              <w:bottom w:val="single" w:sz="4" w:space="0" w:color="auto"/>
              <w:right w:val="single" w:sz="4" w:space="0" w:color="auto"/>
            </w:tcBorders>
            <w:shd w:val="clear" w:color="auto" w:fill="auto"/>
            <w:noWrap/>
            <w:vAlign w:val="bottom"/>
          </w:tcPr>
          <w:p w14:paraId="49325AF2"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17</w:t>
            </w:r>
          </w:p>
        </w:tc>
        <w:tc>
          <w:tcPr>
            <w:tcW w:w="2625" w:type="dxa"/>
            <w:tcBorders>
              <w:top w:val="nil"/>
              <w:left w:val="nil"/>
              <w:bottom w:val="single" w:sz="4" w:space="0" w:color="auto"/>
              <w:right w:val="single" w:sz="4" w:space="0" w:color="auto"/>
            </w:tcBorders>
            <w:shd w:val="clear" w:color="auto" w:fill="auto"/>
            <w:noWrap/>
            <w:vAlign w:val="bottom"/>
          </w:tcPr>
          <w:p w14:paraId="2BD7DB38" w14:textId="77777777" w:rsidR="001160AD" w:rsidRPr="00D0161E" w:rsidRDefault="001160AD" w:rsidP="00D0161E">
            <w:pPr>
              <w:spacing w:line="480" w:lineRule="auto"/>
              <w:rPr>
                <w:rFonts w:cs="Calibri"/>
                <w:color w:val="000000" w:themeColor="text1"/>
              </w:rPr>
            </w:pPr>
            <w:r w:rsidRPr="00D0161E">
              <w:rPr>
                <w:rFonts w:cs="Calibri"/>
                <w:color w:val="000000" w:themeColor="text1"/>
              </w:rPr>
              <w:t>18</w:t>
            </w:r>
          </w:p>
        </w:tc>
      </w:tr>
      <w:tr w:rsidR="001160AD" w:rsidRPr="00D0161E" w14:paraId="6C05035D" w14:textId="77777777">
        <w:trPr>
          <w:trHeight w:val="300"/>
        </w:trPr>
        <w:tc>
          <w:tcPr>
            <w:tcW w:w="4450" w:type="dxa"/>
            <w:tcBorders>
              <w:top w:val="nil"/>
              <w:left w:val="nil"/>
              <w:bottom w:val="nil"/>
              <w:right w:val="nil"/>
            </w:tcBorders>
            <w:shd w:val="clear" w:color="auto" w:fill="auto"/>
            <w:noWrap/>
            <w:vAlign w:val="bottom"/>
          </w:tcPr>
          <w:p w14:paraId="44BC71AE" w14:textId="77777777" w:rsidR="001160AD" w:rsidRPr="00D0161E" w:rsidRDefault="001160AD" w:rsidP="00D0161E">
            <w:pPr>
              <w:spacing w:line="480" w:lineRule="auto"/>
              <w:rPr>
                <w:rFonts w:cstheme="minorHAnsi"/>
                <w:color w:val="000000" w:themeColor="text1"/>
              </w:rPr>
            </w:pPr>
          </w:p>
        </w:tc>
        <w:tc>
          <w:tcPr>
            <w:tcW w:w="2559" w:type="dxa"/>
            <w:tcBorders>
              <w:top w:val="nil"/>
              <w:left w:val="nil"/>
              <w:bottom w:val="nil"/>
              <w:right w:val="nil"/>
            </w:tcBorders>
            <w:shd w:val="clear" w:color="auto" w:fill="auto"/>
            <w:noWrap/>
            <w:vAlign w:val="bottom"/>
          </w:tcPr>
          <w:p w14:paraId="0C620165" w14:textId="77777777" w:rsidR="001160AD" w:rsidRPr="00D0161E" w:rsidRDefault="001160AD" w:rsidP="00D0161E">
            <w:pPr>
              <w:spacing w:line="480" w:lineRule="auto"/>
              <w:rPr>
                <w:color w:val="000000" w:themeColor="text1"/>
                <w:szCs w:val="20"/>
              </w:rPr>
            </w:pPr>
          </w:p>
        </w:tc>
        <w:tc>
          <w:tcPr>
            <w:tcW w:w="2625" w:type="dxa"/>
            <w:tcBorders>
              <w:top w:val="nil"/>
              <w:left w:val="nil"/>
              <w:bottom w:val="nil"/>
              <w:right w:val="nil"/>
            </w:tcBorders>
            <w:shd w:val="clear" w:color="auto" w:fill="auto"/>
            <w:noWrap/>
            <w:vAlign w:val="bottom"/>
          </w:tcPr>
          <w:p w14:paraId="26DC49B9" w14:textId="77777777" w:rsidR="001160AD" w:rsidRPr="00D0161E" w:rsidRDefault="001160AD" w:rsidP="00D0161E">
            <w:pPr>
              <w:spacing w:line="480" w:lineRule="auto"/>
              <w:rPr>
                <w:color w:val="000000" w:themeColor="text1"/>
                <w:szCs w:val="20"/>
              </w:rPr>
            </w:pPr>
          </w:p>
        </w:tc>
      </w:tr>
      <w:tr w:rsidR="001160AD" w:rsidRPr="00D0161E" w14:paraId="319F20A0" w14:textId="77777777">
        <w:trPr>
          <w:trHeight w:val="300"/>
        </w:trPr>
        <w:tc>
          <w:tcPr>
            <w:tcW w:w="9634" w:type="dxa"/>
            <w:gridSpan w:val="3"/>
            <w:tcBorders>
              <w:top w:val="nil"/>
              <w:left w:val="nil"/>
              <w:bottom w:val="nil"/>
              <w:right w:val="nil"/>
            </w:tcBorders>
            <w:shd w:val="clear" w:color="auto" w:fill="auto"/>
            <w:noWrap/>
            <w:vAlign w:val="bottom"/>
          </w:tcPr>
          <w:p w14:paraId="175EF9BA" w14:textId="77777777" w:rsidR="001160AD" w:rsidRPr="00D0161E" w:rsidRDefault="001160AD" w:rsidP="00D0161E">
            <w:pPr>
              <w:spacing w:line="480" w:lineRule="auto"/>
              <w:rPr>
                <w:rFonts w:cstheme="minorHAnsi"/>
                <w:color w:val="000000" w:themeColor="text1"/>
              </w:rPr>
            </w:pPr>
            <w:r w:rsidRPr="00D0161E">
              <w:rPr>
                <w:rFonts w:cstheme="minorHAnsi"/>
                <w:color w:val="000000" w:themeColor="text1"/>
              </w:rPr>
              <w:t> * The water content at which a maximum dry unit weight can be achieved after a given compaction effort.</w:t>
            </w:r>
          </w:p>
        </w:tc>
      </w:tr>
      <w:tr w:rsidR="001160AD" w:rsidRPr="00D0161E" w14:paraId="3BCE666F" w14:textId="77777777">
        <w:trPr>
          <w:trHeight w:val="300"/>
        </w:trPr>
        <w:tc>
          <w:tcPr>
            <w:tcW w:w="9634" w:type="dxa"/>
            <w:gridSpan w:val="3"/>
            <w:tcBorders>
              <w:top w:val="nil"/>
              <w:left w:val="nil"/>
              <w:bottom w:val="nil"/>
              <w:right w:val="nil"/>
            </w:tcBorders>
            <w:shd w:val="clear" w:color="auto" w:fill="auto"/>
            <w:noWrap/>
            <w:vAlign w:val="bottom"/>
          </w:tcPr>
          <w:p w14:paraId="40B35B9D" w14:textId="77777777" w:rsidR="001160AD" w:rsidRPr="00D0161E" w:rsidRDefault="001160AD" w:rsidP="00D0161E">
            <w:pPr>
              <w:spacing w:line="480" w:lineRule="auto"/>
              <w:rPr>
                <w:rFonts w:cstheme="minorHAnsi"/>
                <w:color w:val="000000" w:themeColor="text1"/>
              </w:rPr>
            </w:pPr>
            <w:r w:rsidRPr="00D0161E">
              <w:rPr>
                <w:rFonts w:cstheme="minorHAnsi"/>
                <w:color w:val="000000" w:themeColor="text1"/>
              </w:rPr>
              <w:t>^ Determined by rolling out a thread of the fine portion of a soil on a flat, non-porous surface.</w:t>
            </w:r>
          </w:p>
        </w:tc>
      </w:tr>
      <w:tr w:rsidR="001160AD" w:rsidRPr="00D0161E" w14:paraId="44FAA586" w14:textId="77777777">
        <w:trPr>
          <w:trHeight w:val="300"/>
        </w:trPr>
        <w:tc>
          <w:tcPr>
            <w:tcW w:w="9634" w:type="dxa"/>
            <w:gridSpan w:val="3"/>
            <w:tcBorders>
              <w:top w:val="nil"/>
              <w:left w:val="nil"/>
              <w:bottom w:val="nil"/>
              <w:right w:val="nil"/>
            </w:tcBorders>
            <w:shd w:val="clear" w:color="auto" w:fill="auto"/>
            <w:noWrap/>
            <w:vAlign w:val="bottom"/>
          </w:tcPr>
          <w:p w14:paraId="783C8657" w14:textId="77777777" w:rsidR="001160AD" w:rsidRPr="00D0161E" w:rsidRDefault="001160AD" w:rsidP="00D0161E">
            <w:pPr>
              <w:spacing w:line="480" w:lineRule="auto"/>
              <w:rPr>
                <w:rFonts w:cstheme="minorHAnsi"/>
                <w:color w:val="000000" w:themeColor="text1"/>
              </w:rPr>
            </w:pPr>
            <w:r w:rsidRPr="00D0161E">
              <w:rPr>
                <w:rFonts w:cstheme="minorHAnsi"/>
                <w:color w:val="000000" w:themeColor="text1"/>
              </w:rPr>
              <w:t> $ The water content at which the behaviour of a clayey soil changes from the plastic state to the liquid state. </w:t>
            </w:r>
          </w:p>
        </w:tc>
      </w:tr>
      <w:tr w:rsidR="001261BC" w:rsidRPr="00D0161E" w14:paraId="35B3A503" w14:textId="77777777">
        <w:trPr>
          <w:trHeight w:val="300"/>
        </w:trPr>
        <w:tc>
          <w:tcPr>
            <w:tcW w:w="9634" w:type="dxa"/>
            <w:gridSpan w:val="3"/>
            <w:tcBorders>
              <w:top w:val="nil"/>
              <w:left w:val="nil"/>
              <w:bottom w:val="nil"/>
              <w:right w:val="nil"/>
            </w:tcBorders>
            <w:shd w:val="clear" w:color="auto" w:fill="auto"/>
            <w:noWrap/>
            <w:vAlign w:val="bottom"/>
          </w:tcPr>
          <w:p w14:paraId="5EACF180" w14:textId="77777777" w:rsidR="001261BC" w:rsidRPr="00D0161E" w:rsidRDefault="001261BC" w:rsidP="00D0161E">
            <w:pPr>
              <w:spacing w:line="480" w:lineRule="auto"/>
              <w:rPr>
                <w:rFonts w:cstheme="minorHAnsi"/>
                <w:color w:val="000000" w:themeColor="text1"/>
              </w:rPr>
            </w:pPr>
          </w:p>
          <w:p w14:paraId="2BB9A3F4" w14:textId="5B0B67D3" w:rsidR="00B1007F" w:rsidRPr="00D0161E" w:rsidRDefault="00B1007F" w:rsidP="00D0161E">
            <w:pPr>
              <w:spacing w:line="480" w:lineRule="auto"/>
              <w:rPr>
                <w:rFonts w:cstheme="minorHAnsi"/>
                <w:b/>
                <w:bCs/>
                <w:color w:val="000000" w:themeColor="text1"/>
              </w:rPr>
            </w:pPr>
            <w:r w:rsidRPr="00D0161E">
              <w:rPr>
                <w:rFonts w:cstheme="minorHAnsi"/>
                <w:b/>
                <w:bCs/>
                <w:color w:val="000000" w:themeColor="text1"/>
              </w:rPr>
              <w:t xml:space="preserve">Supplementary Table </w:t>
            </w:r>
            <w:proofErr w:type="gramStart"/>
            <w:r w:rsidRPr="00D0161E">
              <w:rPr>
                <w:rFonts w:cstheme="minorHAnsi"/>
                <w:b/>
                <w:bCs/>
                <w:color w:val="000000" w:themeColor="text1"/>
              </w:rPr>
              <w:t>2</w:t>
            </w:r>
            <w:r w:rsidR="006C52A4">
              <w:rPr>
                <w:rFonts w:cstheme="minorHAnsi"/>
                <w:b/>
                <w:bCs/>
                <w:color w:val="000000" w:themeColor="text1"/>
              </w:rPr>
              <w:t xml:space="preserve"> </w:t>
            </w:r>
            <w:r w:rsidRPr="00D0161E">
              <w:rPr>
                <w:rFonts w:cstheme="minorHAnsi"/>
                <w:b/>
                <w:bCs/>
                <w:color w:val="000000" w:themeColor="text1"/>
              </w:rPr>
              <w:t xml:space="preserve"> Results</w:t>
            </w:r>
            <w:proofErr w:type="gramEnd"/>
            <w:r w:rsidRPr="00D0161E">
              <w:rPr>
                <w:rFonts w:cstheme="minorHAnsi"/>
                <w:b/>
                <w:bCs/>
                <w:color w:val="000000" w:themeColor="text1"/>
              </w:rPr>
              <w:t xml:space="preserve"> of Potter Tower calibration exercise to investigate distribution of application of active ingredient across filter papers treated with IRS formulations using HPLC analysis of active ingredient content across the paper. </w:t>
            </w:r>
          </w:p>
          <w:tbl>
            <w:tblPr>
              <w:tblW w:w="9364" w:type="dxa"/>
              <w:tblLook w:val="04A0" w:firstRow="1" w:lastRow="0" w:firstColumn="1" w:lastColumn="0" w:noHBand="0" w:noVBand="1"/>
            </w:tblPr>
            <w:tblGrid>
              <w:gridCol w:w="1632"/>
              <w:gridCol w:w="1504"/>
              <w:gridCol w:w="1407"/>
              <w:gridCol w:w="1908"/>
              <w:gridCol w:w="970"/>
              <w:gridCol w:w="1017"/>
              <w:gridCol w:w="970"/>
            </w:tblGrid>
            <w:tr w:rsidR="00B1007F" w:rsidRPr="00D0161E" w14:paraId="06C522B8" w14:textId="77777777">
              <w:trPr>
                <w:trHeight w:val="552"/>
              </w:trPr>
              <w:tc>
                <w:tcPr>
                  <w:tcW w:w="16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0BD38310" w14:textId="5F9AE630" w:rsidR="00B1007F" w:rsidRPr="00D0161E" w:rsidRDefault="00B1007F" w:rsidP="006C52A4">
                  <w:pPr>
                    <w:spacing w:line="480" w:lineRule="auto"/>
                    <w:rPr>
                      <w:b/>
                      <w:bCs/>
                      <w:color w:val="000000" w:themeColor="text1"/>
                    </w:rPr>
                  </w:pPr>
                  <w:r w:rsidRPr="00D0161E">
                    <w:rPr>
                      <w:b/>
                      <w:bCs/>
                      <w:color w:val="000000" w:themeColor="text1"/>
                      <w:szCs w:val="22"/>
                    </w:rPr>
                    <w:t>Active ingredient (</w:t>
                  </w:r>
                  <w:r w:rsidR="006C52A4">
                    <w:rPr>
                      <w:b/>
                      <w:bCs/>
                      <w:color w:val="000000" w:themeColor="text1"/>
                      <w:szCs w:val="22"/>
                    </w:rPr>
                    <w:t>AI)</w:t>
                  </w:r>
                </w:p>
              </w:tc>
              <w:tc>
                <w:tcPr>
                  <w:tcW w:w="150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4C57B1DC" w14:textId="77777777" w:rsidR="00B1007F" w:rsidRPr="00D0161E" w:rsidRDefault="00B1007F" w:rsidP="00D0161E">
                  <w:pPr>
                    <w:spacing w:line="480" w:lineRule="auto"/>
                    <w:rPr>
                      <w:b/>
                      <w:bCs/>
                      <w:color w:val="000000" w:themeColor="text1"/>
                    </w:rPr>
                  </w:pPr>
                  <w:r w:rsidRPr="00D0161E">
                    <w:rPr>
                      <w:b/>
                      <w:bCs/>
                      <w:color w:val="000000" w:themeColor="text1"/>
                      <w:szCs w:val="22"/>
                    </w:rPr>
                    <w:t xml:space="preserve">Sample Name </w:t>
                  </w:r>
                </w:p>
              </w:tc>
              <w:tc>
                <w:tcPr>
                  <w:tcW w:w="14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5B4F35D6" w14:textId="1583645D" w:rsidR="00B1007F" w:rsidRPr="00D0161E" w:rsidRDefault="00B1007F" w:rsidP="006C52A4">
                  <w:pPr>
                    <w:spacing w:line="480" w:lineRule="auto"/>
                    <w:rPr>
                      <w:b/>
                      <w:bCs/>
                      <w:color w:val="000000" w:themeColor="text1"/>
                    </w:rPr>
                  </w:pPr>
                  <w:r w:rsidRPr="00D0161E">
                    <w:rPr>
                      <w:b/>
                      <w:bCs/>
                      <w:color w:val="000000" w:themeColor="text1"/>
                      <w:szCs w:val="22"/>
                    </w:rPr>
                    <w:t xml:space="preserve">Target (mg </w:t>
                  </w:r>
                  <w:r w:rsidR="006C52A4">
                    <w:rPr>
                      <w:b/>
                      <w:bCs/>
                      <w:color w:val="000000" w:themeColor="text1"/>
                      <w:szCs w:val="22"/>
                    </w:rPr>
                    <w:t>AI</w:t>
                  </w:r>
                  <w:r w:rsidRPr="00D0161E">
                    <w:rPr>
                      <w:b/>
                      <w:bCs/>
                      <w:color w:val="000000" w:themeColor="text1"/>
                      <w:szCs w:val="22"/>
                    </w:rPr>
                    <w:t>/</w:t>
                  </w:r>
                  <w:proofErr w:type="spellStart"/>
                  <w:r w:rsidR="006C52A4">
                    <w:rPr>
                      <w:b/>
                      <w:bCs/>
                      <w:color w:val="000000" w:themeColor="text1"/>
                      <w:szCs w:val="22"/>
                    </w:rPr>
                    <w:t>sq</w:t>
                  </w:r>
                  <w:proofErr w:type="spellEnd"/>
                  <w:r w:rsidR="006C52A4">
                    <w:rPr>
                      <w:b/>
                      <w:bCs/>
                      <w:color w:val="000000" w:themeColor="text1"/>
                      <w:szCs w:val="22"/>
                    </w:rPr>
                    <w:t xml:space="preserve"> </w:t>
                  </w:r>
                  <w:r w:rsidRPr="00D0161E">
                    <w:rPr>
                      <w:b/>
                      <w:bCs/>
                      <w:color w:val="000000" w:themeColor="text1"/>
                      <w:szCs w:val="22"/>
                    </w:rPr>
                    <w:t>m)</w:t>
                  </w:r>
                </w:p>
              </w:tc>
              <w:tc>
                <w:tcPr>
                  <w:tcW w:w="19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08D148AF" w14:textId="422AA543" w:rsidR="00B1007F" w:rsidRPr="00D0161E" w:rsidRDefault="00B1007F" w:rsidP="006C52A4">
                  <w:pPr>
                    <w:spacing w:line="480" w:lineRule="auto"/>
                    <w:rPr>
                      <w:b/>
                      <w:bCs/>
                      <w:color w:val="000000" w:themeColor="text1"/>
                    </w:rPr>
                  </w:pPr>
                  <w:r w:rsidRPr="00D0161E">
                    <w:rPr>
                      <w:b/>
                      <w:bCs/>
                      <w:color w:val="000000" w:themeColor="text1"/>
                      <w:szCs w:val="22"/>
                    </w:rPr>
                    <w:t xml:space="preserve">Average (mg </w:t>
                  </w:r>
                  <w:r w:rsidR="006C52A4">
                    <w:rPr>
                      <w:b/>
                      <w:bCs/>
                      <w:color w:val="000000" w:themeColor="text1"/>
                      <w:szCs w:val="22"/>
                    </w:rPr>
                    <w:t>AI/</w:t>
                  </w:r>
                  <w:proofErr w:type="spellStart"/>
                  <w:r w:rsidR="006C52A4">
                    <w:rPr>
                      <w:b/>
                      <w:bCs/>
                      <w:color w:val="000000" w:themeColor="text1"/>
                      <w:szCs w:val="22"/>
                    </w:rPr>
                    <w:t>sq</w:t>
                  </w:r>
                  <w:proofErr w:type="spellEnd"/>
                  <w:r w:rsidR="006C52A4">
                    <w:rPr>
                      <w:b/>
                      <w:bCs/>
                      <w:color w:val="000000" w:themeColor="text1"/>
                      <w:szCs w:val="22"/>
                    </w:rPr>
                    <w:t xml:space="preserve"> </w:t>
                  </w:r>
                  <w:r w:rsidRPr="00D0161E">
                    <w:rPr>
                      <w:b/>
                      <w:bCs/>
                      <w:color w:val="000000" w:themeColor="text1"/>
                      <w:szCs w:val="22"/>
                    </w:rPr>
                    <w:t>m)</w:t>
                  </w:r>
                </w:p>
              </w:tc>
              <w:tc>
                <w:tcPr>
                  <w:tcW w:w="97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5FDE114D" w14:textId="77777777" w:rsidR="00B1007F" w:rsidRPr="00D0161E" w:rsidRDefault="00B1007F" w:rsidP="00D0161E">
                  <w:pPr>
                    <w:spacing w:line="480" w:lineRule="auto"/>
                    <w:rPr>
                      <w:b/>
                      <w:bCs/>
                      <w:color w:val="000000" w:themeColor="text1"/>
                    </w:rPr>
                  </w:pPr>
                  <w:r w:rsidRPr="00D0161E">
                    <w:rPr>
                      <w:b/>
                      <w:bCs/>
                      <w:color w:val="000000" w:themeColor="text1"/>
                      <w:szCs w:val="22"/>
                    </w:rPr>
                    <w:t>N</w:t>
                  </w:r>
                </w:p>
              </w:tc>
              <w:tc>
                <w:tcPr>
                  <w:tcW w:w="97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654AABDC" w14:textId="77777777" w:rsidR="00B1007F" w:rsidRPr="00D0161E" w:rsidRDefault="00B1007F" w:rsidP="00D0161E">
                  <w:pPr>
                    <w:spacing w:line="480" w:lineRule="auto"/>
                    <w:rPr>
                      <w:b/>
                      <w:bCs/>
                      <w:color w:val="000000" w:themeColor="text1"/>
                    </w:rPr>
                  </w:pPr>
                  <w:r w:rsidRPr="00D0161E">
                    <w:rPr>
                      <w:b/>
                      <w:bCs/>
                      <w:color w:val="000000" w:themeColor="text1"/>
                      <w:szCs w:val="22"/>
                    </w:rPr>
                    <w:t>STDEV</w:t>
                  </w:r>
                </w:p>
              </w:tc>
              <w:tc>
                <w:tcPr>
                  <w:tcW w:w="97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7CAFFE8B" w14:textId="77777777" w:rsidR="00B1007F" w:rsidRPr="00D0161E" w:rsidRDefault="00B1007F" w:rsidP="00D0161E">
                  <w:pPr>
                    <w:spacing w:line="480" w:lineRule="auto"/>
                    <w:rPr>
                      <w:b/>
                      <w:bCs/>
                      <w:color w:val="000000" w:themeColor="text1"/>
                    </w:rPr>
                  </w:pPr>
                  <w:r w:rsidRPr="00D0161E">
                    <w:rPr>
                      <w:b/>
                      <w:bCs/>
                      <w:color w:val="000000" w:themeColor="text1"/>
                      <w:szCs w:val="22"/>
                    </w:rPr>
                    <w:t>RSD</w:t>
                  </w:r>
                </w:p>
              </w:tc>
            </w:tr>
            <w:tr w:rsidR="00B1007F" w:rsidRPr="00D0161E" w14:paraId="38B5FD37" w14:textId="77777777">
              <w:trPr>
                <w:trHeight w:val="552"/>
              </w:trPr>
              <w:tc>
                <w:tcPr>
                  <w:tcW w:w="1634" w:type="dxa"/>
                  <w:vMerge/>
                  <w:tcBorders>
                    <w:top w:val="single" w:sz="4" w:space="0" w:color="auto"/>
                    <w:left w:val="single" w:sz="4" w:space="0" w:color="auto"/>
                    <w:bottom w:val="single" w:sz="4" w:space="0" w:color="000000"/>
                    <w:right w:val="single" w:sz="4" w:space="0" w:color="auto"/>
                  </w:tcBorders>
                  <w:vAlign w:val="center"/>
                </w:tcPr>
                <w:p w14:paraId="53D1A903" w14:textId="77777777" w:rsidR="00B1007F" w:rsidRPr="00D0161E" w:rsidRDefault="00B1007F" w:rsidP="00D0161E">
                  <w:pPr>
                    <w:spacing w:line="480" w:lineRule="auto"/>
                    <w:rPr>
                      <w:b/>
                      <w:bCs/>
                      <w:color w:val="000000" w:themeColor="text1"/>
                    </w:rPr>
                  </w:pPr>
                </w:p>
              </w:tc>
              <w:tc>
                <w:tcPr>
                  <w:tcW w:w="1504" w:type="dxa"/>
                  <w:vMerge/>
                  <w:tcBorders>
                    <w:top w:val="single" w:sz="4" w:space="0" w:color="auto"/>
                    <w:left w:val="single" w:sz="4" w:space="0" w:color="auto"/>
                    <w:bottom w:val="single" w:sz="4" w:space="0" w:color="000000"/>
                    <w:right w:val="single" w:sz="4" w:space="0" w:color="auto"/>
                  </w:tcBorders>
                  <w:vAlign w:val="center"/>
                </w:tcPr>
                <w:p w14:paraId="2D4DAC76" w14:textId="77777777" w:rsidR="00B1007F" w:rsidRPr="00D0161E" w:rsidRDefault="00B1007F" w:rsidP="00D0161E">
                  <w:pPr>
                    <w:spacing w:line="480" w:lineRule="auto"/>
                    <w:rPr>
                      <w:b/>
                      <w:bCs/>
                      <w:color w:val="000000" w:themeColor="text1"/>
                    </w:rPr>
                  </w:pPr>
                </w:p>
              </w:tc>
              <w:tc>
                <w:tcPr>
                  <w:tcW w:w="1407" w:type="dxa"/>
                  <w:vMerge/>
                  <w:tcBorders>
                    <w:top w:val="single" w:sz="4" w:space="0" w:color="auto"/>
                    <w:left w:val="single" w:sz="4" w:space="0" w:color="auto"/>
                    <w:bottom w:val="single" w:sz="4" w:space="0" w:color="000000"/>
                    <w:right w:val="single" w:sz="4" w:space="0" w:color="auto"/>
                  </w:tcBorders>
                  <w:vAlign w:val="center"/>
                </w:tcPr>
                <w:p w14:paraId="17DDF294" w14:textId="77777777" w:rsidR="00B1007F" w:rsidRPr="00D0161E" w:rsidRDefault="00B1007F" w:rsidP="00D0161E">
                  <w:pPr>
                    <w:spacing w:line="480" w:lineRule="auto"/>
                    <w:rPr>
                      <w:b/>
                      <w:bCs/>
                      <w:color w:val="000000" w:themeColor="text1"/>
                    </w:rPr>
                  </w:pPr>
                </w:p>
              </w:tc>
              <w:tc>
                <w:tcPr>
                  <w:tcW w:w="1909" w:type="dxa"/>
                  <w:vMerge/>
                  <w:tcBorders>
                    <w:top w:val="single" w:sz="4" w:space="0" w:color="auto"/>
                    <w:left w:val="single" w:sz="4" w:space="0" w:color="auto"/>
                    <w:bottom w:val="single" w:sz="4" w:space="0" w:color="000000"/>
                    <w:right w:val="single" w:sz="4" w:space="0" w:color="auto"/>
                  </w:tcBorders>
                  <w:vAlign w:val="center"/>
                </w:tcPr>
                <w:p w14:paraId="38AFC4B9" w14:textId="77777777" w:rsidR="00B1007F" w:rsidRPr="00D0161E" w:rsidRDefault="00B1007F" w:rsidP="00D0161E">
                  <w:pPr>
                    <w:spacing w:line="480" w:lineRule="auto"/>
                    <w:rPr>
                      <w:b/>
                      <w:bCs/>
                      <w:color w:val="000000" w:themeColor="text1"/>
                    </w:rPr>
                  </w:pPr>
                </w:p>
              </w:tc>
              <w:tc>
                <w:tcPr>
                  <w:tcW w:w="970" w:type="dxa"/>
                  <w:vMerge/>
                  <w:tcBorders>
                    <w:top w:val="single" w:sz="4" w:space="0" w:color="auto"/>
                    <w:left w:val="single" w:sz="4" w:space="0" w:color="auto"/>
                    <w:bottom w:val="single" w:sz="4" w:space="0" w:color="000000"/>
                    <w:right w:val="single" w:sz="4" w:space="0" w:color="auto"/>
                  </w:tcBorders>
                  <w:vAlign w:val="center"/>
                </w:tcPr>
                <w:p w14:paraId="4A1AC672" w14:textId="77777777" w:rsidR="00B1007F" w:rsidRPr="00D0161E" w:rsidRDefault="00B1007F" w:rsidP="00D0161E">
                  <w:pPr>
                    <w:spacing w:line="480" w:lineRule="auto"/>
                    <w:rPr>
                      <w:b/>
                      <w:bCs/>
                      <w:color w:val="000000" w:themeColor="text1"/>
                    </w:rPr>
                  </w:pPr>
                </w:p>
              </w:tc>
              <w:tc>
                <w:tcPr>
                  <w:tcW w:w="970" w:type="dxa"/>
                  <w:vMerge/>
                  <w:tcBorders>
                    <w:top w:val="single" w:sz="4" w:space="0" w:color="auto"/>
                    <w:left w:val="single" w:sz="4" w:space="0" w:color="auto"/>
                    <w:bottom w:val="single" w:sz="4" w:space="0" w:color="000000"/>
                    <w:right w:val="single" w:sz="4" w:space="0" w:color="auto"/>
                  </w:tcBorders>
                  <w:vAlign w:val="center"/>
                </w:tcPr>
                <w:p w14:paraId="003BEA12" w14:textId="77777777" w:rsidR="00B1007F" w:rsidRPr="00D0161E" w:rsidRDefault="00B1007F" w:rsidP="00D0161E">
                  <w:pPr>
                    <w:spacing w:line="480" w:lineRule="auto"/>
                    <w:rPr>
                      <w:b/>
                      <w:bCs/>
                      <w:color w:val="000000" w:themeColor="text1"/>
                    </w:rPr>
                  </w:pPr>
                </w:p>
              </w:tc>
              <w:tc>
                <w:tcPr>
                  <w:tcW w:w="970" w:type="dxa"/>
                  <w:vMerge/>
                  <w:tcBorders>
                    <w:top w:val="single" w:sz="4" w:space="0" w:color="auto"/>
                    <w:left w:val="single" w:sz="4" w:space="0" w:color="auto"/>
                    <w:bottom w:val="single" w:sz="4" w:space="0" w:color="000000"/>
                    <w:right w:val="single" w:sz="4" w:space="0" w:color="auto"/>
                  </w:tcBorders>
                  <w:vAlign w:val="center"/>
                </w:tcPr>
                <w:p w14:paraId="158F622C" w14:textId="77777777" w:rsidR="00B1007F" w:rsidRPr="00D0161E" w:rsidRDefault="00B1007F" w:rsidP="00D0161E">
                  <w:pPr>
                    <w:spacing w:line="480" w:lineRule="auto"/>
                    <w:rPr>
                      <w:b/>
                      <w:bCs/>
                      <w:color w:val="000000" w:themeColor="text1"/>
                    </w:rPr>
                  </w:pPr>
                </w:p>
              </w:tc>
            </w:tr>
            <w:tr w:rsidR="00B1007F" w:rsidRPr="00D0161E" w14:paraId="44DD2797" w14:textId="77777777">
              <w:trPr>
                <w:trHeight w:val="552"/>
              </w:trPr>
              <w:tc>
                <w:tcPr>
                  <w:tcW w:w="1634" w:type="dxa"/>
                  <w:vMerge/>
                  <w:tcBorders>
                    <w:top w:val="single" w:sz="4" w:space="0" w:color="auto"/>
                    <w:left w:val="single" w:sz="4" w:space="0" w:color="auto"/>
                    <w:bottom w:val="single" w:sz="4" w:space="0" w:color="000000"/>
                    <w:right w:val="single" w:sz="4" w:space="0" w:color="auto"/>
                  </w:tcBorders>
                  <w:vAlign w:val="center"/>
                </w:tcPr>
                <w:p w14:paraId="38BFF6E9" w14:textId="77777777" w:rsidR="00B1007F" w:rsidRPr="00D0161E" w:rsidRDefault="00B1007F" w:rsidP="00D0161E">
                  <w:pPr>
                    <w:spacing w:line="480" w:lineRule="auto"/>
                    <w:rPr>
                      <w:b/>
                      <w:bCs/>
                      <w:color w:val="000000" w:themeColor="text1"/>
                    </w:rPr>
                  </w:pPr>
                </w:p>
              </w:tc>
              <w:tc>
                <w:tcPr>
                  <w:tcW w:w="1504" w:type="dxa"/>
                  <w:vMerge/>
                  <w:tcBorders>
                    <w:top w:val="single" w:sz="4" w:space="0" w:color="auto"/>
                    <w:left w:val="single" w:sz="4" w:space="0" w:color="auto"/>
                    <w:bottom w:val="single" w:sz="4" w:space="0" w:color="000000"/>
                    <w:right w:val="single" w:sz="4" w:space="0" w:color="auto"/>
                  </w:tcBorders>
                  <w:vAlign w:val="center"/>
                </w:tcPr>
                <w:p w14:paraId="37702315" w14:textId="77777777" w:rsidR="00B1007F" w:rsidRPr="00D0161E" w:rsidRDefault="00B1007F" w:rsidP="00D0161E">
                  <w:pPr>
                    <w:spacing w:line="480" w:lineRule="auto"/>
                    <w:rPr>
                      <w:b/>
                      <w:bCs/>
                      <w:color w:val="000000" w:themeColor="text1"/>
                    </w:rPr>
                  </w:pPr>
                </w:p>
              </w:tc>
              <w:tc>
                <w:tcPr>
                  <w:tcW w:w="1407" w:type="dxa"/>
                  <w:vMerge/>
                  <w:tcBorders>
                    <w:top w:val="single" w:sz="4" w:space="0" w:color="auto"/>
                    <w:left w:val="single" w:sz="4" w:space="0" w:color="auto"/>
                    <w:bottom w:val="single" w:sz="4" w:space="0" w:color="000000"/>
                    <w:right w:val="single" w:sz="4" w:space="0" w:color="auto"/>
                  </w:tcBorders>
                  <w:vAlign w:val="center"/>
                </w:tcPr>
                <w:p w14:paraId="63FEBFAF" w14:textId="77777777" w:rsidR="00B1007F" w:rsidRPr="00D0161E" w:rsidRDefault="00B1007F" w:rsidP="00D0161E">
                  <w:pPr>
                    <w:spacing w:line="480" w:lineRule="auto"/>
                    <w:rPr>
                      <w:b/>
                      <w:bCs/>
                      <w:color w:val="000000" w:themeColor="text1"/>
                    </w:rPr>
                  </w:pPr>
                </w:p>
              </w:tc>
              <w:tc>
                <w:tcPr>
                  <w:tcW w:w="1909" w:type="dxa"/>
                  <w:vMerge/>
                  <w:tcBorders>
                    <w:top w:val="single" w:sz="4" w:space="0" w:color="auto"/>
                    <w:left w:val="single" w:sz="4" w:space="0" w:color="auto"/>
                    <w:bottom w:val="single" w:sz="4" w:space="0" w:color="000000"/>
                    <w:right w:val="single" w:sz="4" w:space="0" w:color="auto"/>
                  </w:tcBorders>
                  <w:vAlign w:val="center"/>
                </w:tcPr>
                <w:p w14:paraId="3F0C7B5C" w14:textId="77777777" w:rsidR="00B1007F" w:rsidRPr="00D0161E" w:rsidRDefault="00B1007F" w:rsidP="00D0161E">
                  <w:pPr>
                    <w:spacing w:line="480" w:lineRule="auto"/>
                    <w:rPr>
                      <w:b/>
                      <w:bCs/>
                      <w:color w:val="000000" w:themeColor="text1"/>
                    </w:rPr>
                  </w:pPr>
                </w:p>
              </w:tc>
              <w:tc>
                <w:tcPr>
                  <w:tcW w:w="970" w:type="dxa"/>
                  <w:vMerge/>
                  <w:tcBorders>
                    <w:top w:val="single" w:sz="4" w:space="0" w:color="auto"/>
                    <w:left w:val="single" w:sz="4" w:space="0" w:color="auto"/>
                    <w:bottom w:val="single" w:sz="4" w:space="0" w:color="000000"/>
                    <w:right w:val="single" w:sz="4" w:space="0" w:color="auto"/>
                  </w:tcBorders>
                  <w:vAlign w:val="center"/>
                </w:tcPr>
                <w:p w14:paraId="5CE549A5" w14:textId="77777777" w:rsidR="00B1007F" w:rsidRPr="00D0161E" w:rsidRDefault="00B1007F" w:rsidP="00D0161E">
                  <w:pPr>
                    <w:spacing w:line="480" w:lineRule="auto"/>
                    <w:rPr>
                      <w:b/>
                      <w:bCs/>
                      <w:color w:val="000000" w:themeColor="text1"/>
                    </w:rPr>
                  </w:pPr>
                </w:p>
              </w:tc>
              <w:tc>
                <w:tcPr>
                  <w:tcW w:w="970" w:type="dxa"/>
                  <w:vMerge/>
                  <w:tcBorders>
                    <w:top w:val="single" w:sz="4" w:space="0" w:color="auto"/>
                    <w:left w:val="single" w:sz="4" w:space="0" w:color="auto"/>
                    <w:bottom w:val="single" w:sz="4" w:space="0" w:color="000000"/>
                    <w:right w:val="single" w:sz="4" w:space="0" w:color="auto"/>
                  </w:tcBorders>
                  <w:vAlign w:val="center"/>
                </w:tcPr>
                <w:p w14:paraId="634714E2" w14:textId="77777777" w:rsidR="00B1007F" w:rsidRPr="00D0161E" w:rsidRDefault="00B1007F" w:rsidP="00D0161E">
                  <w:pPr>
                    <w:spacing w:line="480" w:lineRule="auto"/>
                    <w:rPr>
                      <w:b/>
                      <w:bCs/>
                      <w:color w:val="000000" w:themeColor="text1"/>
                    </w:rPr>
                  </w:pPr>
                </w:p>
              </w:tc>
              <w:tc>
                <w:tcPr>
                  <w:tcW w:w="970" w:type="dxa"/>
                  <w:vMerge/>
                  <w:tcBorders>
                    <w:top w:val="single" w:sz="4" w:space="0" w:color="auto"/>
                    <w:left w:val="single" w:sz="4" w:space="0" w:color="auto"/>
                    <w:bottom w:val="single" w:sz="4" w:space="0" w:color="000000"/>
                    <w:right w:val="single" w:sz="4" w:space="0" w:color="auto"/>
                  </w:tcBorders>
                  <w:vAlign w:val="center"/>
                </w:tcPr>
                <w:p w14:paraId="38F9090E" w14:textId="77777777" w:rsidR="00B1007F" w:rsidRPr="00D0161E" w:rsidRDefault="00B1007F" w:rsidP="00D0161E">
                  <w:pPr>
                    <w:spacing w:line="480" w:lineRule="auto"/>
                    <w:rPr>
                      <w:b/>
                      <w:bCs/>
                      <w:color w:val="000000" w:themeColor="text1"/>
                    </w:rPr>
                  </w:pPr>
                </w:p>
              </w:tc>
            </w:tr>
            <w:tr w:rsidR="00B1007F" w:rsidRPr="00D0161E" w14:paraId="120A7B75" w14:textId="77777777">
              <w:trPr>
                <w:trHeight w:val="295"/>
              </w:trPr>
              <w:tc>
                <w:tcPr>
                  <w:tcW w:w="1634" w:type="dxa"/>
                  <w:tcBorders>
                    <w:top w:val="nil"/>
                    <w:left w:val="single" w:sz="4" w:space="0" w:color="auto"/>
                    <w:bottom w:val="single" w:sz="4" w:space="0" w:color="auto"/>
                    <w:right w:val="single" w:sz="4" w:space="0" w:color="auto"/>
                  </w:tcBorders>
                  <w:shd w:val="clear" w:color="000000" w:fill="FFFFFF"/>
                  <w:noWrap/>
                  <w:vAlign w:val="bottom"/>
                </w:tcPr>
                <w:p w14:paraId="7344ACF6" w14:textId="4B51942B" w:rsidR="00B1007F" w:rsidRPr="00D0161E" w:rsidRDefault="00B1007F" w:rsidP="00D0161E">
                  <w:pPr>
                    <w:spacing w:line="480" w:lineRule="auto"/>
                    <w:rPr>
                      <w:color w:val="000000" w:themeColor="text1"/>
                    </w:rPr>
                  </w:pPr>
                  <w:proofErr w:type="spellStart"/>
                  <w:r w:rsidRPr="00D0161E">
                    <w:rPr>
                      <w:color w:val="000000" w:themeColor="text1"/>
                      <w:szCs w:val="22"/>
                    </w:rPr>
                    <w:t>Tenebenal</w:t>
                  </w:r>
                  <w:r w:rsidR="00D54567" w:rsidRPr="00025A3F">
                    <w:rPr>
                      <w:b/>
                      <w:bCs/>
                      <w:color w:val="000000" w:themeColor="text1"/>
                      <w:szCs w:val="22"/>
                      <w:vertAlign w:val="superscript"/>
                    </w:rPr>
                    <w:t>TM</w:t>
                  </w:r>
                  <w:proofErr w:type="spellEnd"/>
                </w:p>
              </w:tc>
              <w:tc>
                <w:tcPr>
                  <w:tcW w:w="1504" w:type="dxa"/>
                  <w:tcBorders>
                    <w:top w:val="nil"/>
                    <w:left w:val="nil"/>
                    <w:bottom w:val="single" w:sz="4" w:space="0" w:color="auto"/>
                    <w:right w:val="single" w:sz="4" w:space="0" w:color="auto"/>
                  </w:tcBorders>
                  <w:shd w:val="clear" w:color="000000" w:fill="FFFFFF"/>
                  <w:noWrap/>
                  <w:vAlign w:val="bottom"/>
                </w:tcPr>
                <w:p w14:paraId="2CAC42CB" w14:textId="77777777" w:rsidR="00B1007F" w:rsidRPr="00D0161E" w:rsidRDefault="00B1007F" w:rsidP="00D0161E">
                  <w:pPr>
                    <w:spacing w:line="480" w:lineRule="auto"/>
                    <w:rPr>
                      <w:color w:val="000000" w:themeColor="text1"/>
                    </w:rPr>
                  </w:pPr>
                  <w:r w:rsidRPr="00D0161E">
                    <w:rPr>
                      <w:color w:val="000000" w:themeColor="text1"/>
                      <w:szCs w:val="22"/>
                    </w:rPr>
                    <w:t>MA</w:t>
                  </w:r>
                </w:p>
              </w:tc>
              <w:tc>
                <w:tcPr>
                  <w:tcW w:w="1407" w:type="dxa"/>
                  <w:tcBorders>
                    <w:top w:val="nil"/>
                    <w:left w:val="nil"/>
                    <w:bottom w:val="single" w:sz="4" w:space="0" w:color="auto"/>
                    <w:right w:val="single" w:sz="4" w:space="0" w:color="auto"/>
                  </w:tcBorders>
                  <w:shd w:val="clear" w:color="000000" w:fill="FFFFFF"/>
                  <w:noWrap/>
                  <w:vAlign w:val="bottom"/>
                </w:tcPr>
                <w:p w14:paraId="678B2F19" w14:textId="77777777" w:rsidR="00B1007F" w:rsidRPr="00D0161E" w:rsidRDefault="00B1007F" w:rsidP="00D0161E">
                  <w:pPr>
                    <w:spacing w:line="480" w:lineRule="auto"/>
                    <w:rPr>
                      <w:color w:val="000000" w:themeColor="text1"/>
                    </w:rPr>
                  </w:pPr>
                  <w:r w:rsidRPr="00D0161E">
                    <w:rPr>
                      <w:color w:val="000000" w:themeColor="text1"/>
                      <w:szCs w:val="22"/>
                    </w:rPr>
                    <w:t>125</w:t>
                  </w:r>
                </w:p>
              </w:tc>
              <w:tc>
                <w:tcPr>
                  <w:tcW w:w="1909" w:type="dxa"/>
                  <w:tcBorders>
                    <w:top w:val="nil"/>
                    <w:left w:val="nil"/>
                    <w:bottom w:val="single" w:sz="4" w:space="0" w:color="auto"/>
                    <w:right w:val="single" w:sz="4" w:space="0" w:color="auto"/>
                  </w:tcBorders>
                  <w:shd w:val="clear" w:color="000000" w:fill="FFFFFF"/>
                  <w:noWrap/>
                  <w:vAlign w:val="bottom"/>
                </w:tcPr>
                <w:p w14:paraId="619ACB9D" w14:textId="77777777" w:rsidR="00B1007F" w:rsidRPr="00D0161E" w:rsidRDefault="00B1007F" w:rsidP="00D0161E">
                  <w:pPr>
                    <w:spacing w:line="480" w:lineRule="auto"/>
                    <w:rPr>
                      <w:color w:val="000000" w:themeColor="text1"/>
                    </w:rPr>
                  </w:pPr>
                  <w:r w:rsidRPr="00D0161E">
                    <w:rPr>
                      <w:color w:val="000000" w:themeColor="text1"/>
                      <w:szCs w:val="22"/>
                    </w:rPr>
                    <w:t>129.8</w:t>
                  </w:r>
                </w:p>
              </w:tc>
              <w:tc>
                <w:tcPr>
                  <w:tcW w:w="970" w:type="dxa"/>
                  <w:tcBorders>
                    <w:top w:val="nil"/>
                    <w:left w:val="nil"/>
                    <w:bottom w:val="single" w:sz="4" w:space="0" w:color="auto"/>
                    <w:right w:val="single" w:sz="4" w:space="0" w:color="auto"/>
                  </w:tcBorders>
                  <w:shd w:val="clear" w:color="000000" w:fill="FFFFFF"/>
                  <w:noWrap/>
                  <w:vAlign w:val="bottom"/>
                </w:tcPr>
                <w:p w14:paraId="0A8237B4" w14:textId="77777777" w:rsidR="00B1007F" w:rsidRPr="00D0161E" w:rsidRDefault="00B1007F" w:rsidP="00D0161E">
                  <w:pPr>
                    <w:spacing w:line="480" w:lineRule="auto"/>
                    <w:rPr>
                      <w:color w:val="000000" w:themeColor="text1"/>
                    </w:rPr>
                  </w:pPr>
                  <w:r w:rsidRPr="00D0161E">
                    <w:rPr>
                      <w:color w:val="000000" w:themeColor="text1"/>
                      <w:szCs w:val="22"/>
                    </w:rPr>
                    <w:t>3</w:t>
                  </w:r>
                </w:p>
              </w:tc>
              <w:tc>
                <w:tcPr>
                  <w:tcW w:w="970" w:type="dxa"/>
                  <w:tcBorders>
                    <w:top w:val="nil"/>
                    <w:left w:val="nil"/>
                    <w:bottom w:val="single" w:sz="4" w:space="0" w:color="auto"/>
                    <w:right w:val="single" w:sz="4" w:space="0" w:color="auto"/>
                  </w:tcBorders>
                  <w:shd w:val="clear" w:color="000000" w:fill="FFFFFF"/>
                  <w:noWrap/>
                  <w:vAlign w:val="bottom"/>
                </w:tcPr>
                <w:p w14:paraId="409FBCEC" w14:textId="77777777" w:rsidR="00B1007F" w:rsidRPr="00D0161E" w:rsidRDefault="00B1007F" w:rsidP="00D0161E">
                  <w:pPr>
                    <w:spacing w:line="480" w:lineRule="auto"/>
                    <w:rPr>
                      <w:color w:val="000000" w:themeColor="text1"/>
                    </w:rPr>
                  </w:pPr>
                  <w:r w:rsidRPr="00D0161E">
                    <w:rPr>
                      <w:color w:val="000000" w:themeColor="text1"/>
                      <w:szCs w:val="22"/>
                    </w:rPr>
                    <w:t>17.6</w:t>
                  </w:r>
                </w:p>
              </w:tc>
              <w:tc>
                <w:tcPr>
                  <w:tcW w:w="970" w:type="dxa"/>
                  <w:tcBorders>
                    <w:top w:val="nil"/>
                    <w:left w:val="nil"/>
                    <w:bottom w:val="single" w:sz="4" w:space="0" w:color="auto"/>
                    <w:right w:val="single" w:sz="4" w:space="0" w:color="auto"/>
                  </w:tcBorders>
                  <w:shd w:val="clear" w:color="000000" w:fill="FFFFFF"/>
                  <w:noWrap/>
                  <w:vAlign w:val="bottom"/>
                </w:tcPr>
                <w:p w14:paraId="4B1F7CFB" w14:textId="77777777" w:rsidR="00B1007F" w:rsidRPr="00D0161E" w:rsidRDefault="00B1007F" w:rsidP="00D0161E">
                  <w:pPr>
                    <w:spacing w:line="480" w:lineRule="auto"/>
                    <w:rPr>
                      <w:color w:val="000000" w:themeColor="text1"/>
                    </w:rPr>
                  </w:pPr>
                  <w:r w:rsidRPr="00D0161E">
                    <w:rPr>
                      <w:color w:val="000000" w:themeColor="text1"/>
                      <w:szCs w:val="22"/>
                    </w:rPr>
                    <w:t>13.6</w:t>
                  </w:r>
                </w:p>
              </w:tc>
            </w:tr>
            <w:tr w:rsidR="00B1007F" w:rsidRPr="00D0161E" w14:paraId="3DE9FB82" w14:textId="77777777">
              <w:trPr>
                <w:trHeight w:val="295"/>
              </w:trPr>
              <w:tc>
                <w:tcPr>
                  <w:tcW w:w="1634" w:type="dxa"/>
                  <w:tcBorders>
                    <w:top w:val="nil"/>
                    <w:left w:val="single" w:sz="4" w:space="0" w:color="auto"/>
                    <w:bottom w:val="single" w:sz="4" w:space="0" w:color="auto"/>
                    <w:right w:val="single" w:sz="4" w:space="0" w:color="auto"/>
                  </w:tcBorders>
                  <w:shd w:val="clear" w:color="000000" w:fill="FFFFFF"/>
                  <w:noWrap/>
                  <w:vAlign w:val="bottom"/>
                </w:tcPr>
                <w:p w14:paraId="372EFBEA" w14:textId="18321FFE" w:rsidR="00B1007F" w:rsidRPr="00D0161E" w:rsidRDefault="00B1007F" w:rsidP="00D0161E">
                  <w:pPr>
                    <w:spacing w:line="480" w:lineRule="auto"/>
                    <w:rPr>
                      <w:color w:val="000000" w:themeColor="text1"/>
                    </w:rPr>
                  </w:pPr>
                  <w:proofErr w:type="spellStart"/>
                  <w:r w:rsidRPr="00D0161E">
                    <w:rPr>
                      <w:color w:val="000000" w:themeColor="text1"/>
                      <w:szCs w:val="22"/>
                    </w:rPr>
                    <w:t>Tenebenal</w:t>
                  </w:r>
                  <w:r w:rsidR="00D54567" w:rsidRPr="00FC45D2">
                    <w:rPr>
                      <w:b/>
                      <w:bCs/>
                      <w:color w:val="000000" w:themeColor="text1"/>
                      <w:szCs w:val="22"/>
                      <w:vertAlign w:val="superscript"/>
                    </w:rPr>
                    <w:t>TM</w:t>
                  </w:r>
                  <w:proofErr w:type="spellEnd"/>
                </w:p>
              </w:tc>
              <w:tc>
                <w:tcPr>
                  <w:tcW w:w="1504" w:type="dxa"/>
                  <w:tcBorders>
                    <w:top w:val="nil"/>
                    <w:left w:val="nil"/>
                    <w:bottom w:val="single" w:sz="4" w:space="0" w:color="auto"/>
                    <w:right w:val="single" w:sz="4" w:space="0" w:color="auto"/>
                  </w:tcBorders>
                  <w:shd w:val="clear" w:color="000000" w:fill="FFFFFF"/>
                  <w:noWrap/>
                  <w:vAlign w:val="bottom"/>
                </w:tcPr>
                <w:p w14:paraId="208313A1" w14:textId="77777777" w:rsidR="00B1007F" w:rsidRPr="00D0161E" w:rsidRDefault="00B1007F" w:rsidP="00D0161E">
                  <w:pPr>
                    <w:spacing w:line="480" w:lineRule="auto"/>
                    <w:rPr>
                      <w:color w:val="000000" w:themeColor="text1"/>
                    </w:rPr>
                  </w:pPr>
                  <w:r w:rsidRPr="00D0161E">
                    <w:rPr>
                      <w:color w:val="000000" w:themeColor="text1"/>
                      <w:szCs w:val="22"/>
                    </w:rPr>
                    <w:t>MB</w:t>
                  </w:r>
                </w:p>
              </w:tc>
              <w:tc>
                <w:tcPr>
                  <w:tcW w:w="1407" w:type="dxa"/>
                  <w:tcBorders>
                    <w:top w:val="nil"/>
                    <w:left w:val="nil"/>
                    <w:bottom w:val="single" w:sz="4" w:space="0" w:color="auto"/>
                    <w:right w:val="single" w:sz="4" w:space="0" w:color="auto"/>
                  </w:tcBorders>
                  <w:shd w:val="clear" w:color="000000" w:fill="FFFFFF"/>
                  <w:noWrap/>
                  <w:vAlign w:val="bottom"/>
                </w:tcPr>
                <w:p w14:paraId="5F94D63C" w14:textId="77777777" w:rsidR="00B1007F" w:rsidRPr="00D0161E" w:rsidRDefault="00B1007F" w:rsidP="00D0161E">
                  <w:pPr>
                    <w:spacing w:line="480" w:lineRule="auto"/>
                    <w:rPr>
                      <w:color w:val="000000" w:themeColor="text1"/>
                    </w:rPr>
                  </w:pPr>
                  <w:r w:rsidRPr="00D0161E">
                    <w:rPr>
                      <w:color w:val="000000" w:themeColor="text1"/>
                      <w:szCs w:val="22"/>
                    </w:rPr>
                    <w:t>250</w:t>
                  </w:r>
                </w:p>
              </w:tc>
              <w:tc>
                <w:tcPr>
                  <w:tcW w:w="1909" w:type="dxa"/>
                  <w:tcBorders>
                    <w:top w:val="nil"/>
                    <w:left w:val="nil"/>
                    <w:bottom w:val="single" w:sz="4" w:space="0" w:color="auto"/>
                    <w:right w:val="single" w:sz="4" w:space="0" w:color="auto"/>
                  </w:tcBorders>
                  <w:shd w:val="clear" w:color="000000" w:fill="FFFFFF"/>
                  <w:noWrap/>
                  <w:vAlign w:val="bottom"/>
                </w:tcPr>
                <w:p w14:paraId="6BEBB853" w14:textId="77777777" w:rsidR="00B1007F" w:rsidRPr="00D0161E" w:rsidRDefault="00B1007F" w:rsidP="00D0161E">
                  <w:pPr>
                    <w:spacing w:line="480" w:lineRule="auto"/>
                    <w:rPr>
                      <w:color w:val="000000" w:themeColor="text1"/>
                    </w:rPr>
                  </w:pPr>
                  <w:r w:rsidRPr="00D0161E">
                    <w:rPr>
                      <w:color w:val="000000" w:themeColor="text1"/>
                      <w:szCs w:val="22"/>
                    </w:rPr>
                    <w:t>249.0</w:t>
                  </w:r>
                </w:p>
              </w:tc>
              <w:tc>
                <w:tcPr>
                  <w:tcW w:w="970" w:type="dxa"/>
                  <w:tcBorders>
                    <w:top w:val="nil"/>
                    <w:left w:val="nil"/>
                    <w:bottom w:val="single" w:sz="4" w:space="0" w:color="auto"/>
                    <w:right w:val="single" w:sz="4" w:space="0" w:color="auto"/>
                  </w:tcBorders>
                  <w:shd w:val="clear" w:color="000000" w:fill="FFFFFF"/>
                  <w:noWrap/>
                  <w:vAlign w:val="bottom"/>
                </w:tcPr>
                <w:p w14:paraId="4D0B4402" w14:textId="77777777" w:rsidR="00B1007F" w:rsidRPr="00D0161E" w:rsidRDefault="00B1007F" w:rsidP="00D0161E">
                  <w:pPr>
                    <w:spacing w:line="480" w:lineRule="auto"/>
                    <w:rPr>
                      <w:color w:val="000000" w:themeColor="text1"/>
                    </w:rPr>
                  </w:pPr>
                  <w:r w:rsidRPr="00D0161E">
                    <w:rPr>
                      <w:color w:val="000000" w:themeColor="text1"/>
                      <w:szCs w:val="22"/>
                    </w:rPr>
                    <w:t>3</w:t>
                  </w:r>
                </w:p>
              </w:tc>
              <w:tc>
                <w:tcPr>
                  <w:tcW w:w="970" w:type="dxa"/>
                  <w:tcBorders>
                    <w:top w:val="nil"/>
                    <w:left w:val="nil"/>
                    <w:bottom w:val="single" w:sz="4" w:space="0" w:color="auto"/>
                    <w:right w:val="single" w:sz="4" w:space="0" w:color="auto"/>
                  </w:tcBorders>
                  <w:shd w:val="clear" w:color="000000" w:fill="FFFFFF"/>
                  <w:noWrap/>
                  <w:vAlign w:val="bottom"/>
                </w:tcPr>
                <w:p w14:paraId="443CE44E" w14:textId="77777777" w:rsidR="00B1007F" w:rsidRPr="00D0161E" w:rsidRDefault="00B1007F" w:rsidP="00D0161E">
                  <w:pPr>
                    <w:spacing w:line="480" w:lineRule="auto"/>
                    <w:rPr>
                      <w:color w:val="000000" w:themeColor="text1"/>
                    </w:rPr>
                  </w:pPr>
                  <w:r w:rsidRPr="00D0161E">
                    <w:rPr>
                      <w:color w:val="000000" w:themeColor="text1"/>
                      <w:szCs w:val="22"/>
                    </w:rPr>
                    <w:t>21.3</w:t>
                  </w:r>
                </w:p>
              </w:tc>
              <w:tc>
                <w:tcPr>
                  <w:tcW w:w="970" w:type="dxa"/>
                  <w:tcBorders>
                    <w:top w:val="nil"/>
                    <w:left w:val="nil"/>
                    <w:bottom w:val="single" w:sz="4" w:space="0" w:color="auto"/>
                    <w:right w:val="single" w:sz="4" w:space="0" w:color="auto"/>
                  </w:tcBorders>
                  <w:shd w:val="clear" w:color="000000" w:fill="FFFFFF"/>
                  <w:noWrap/>
                  <w:vAlign w:val="bottom"/>
                </w:tcPr>
                <w:p w14:paraId="6F0F6D88" w14:textId="77777777" w:rsidR="00B1007F" w:rsidRPr="00D0161E" w:rsidRDefault="00B1007F" w:rsidP="00D0161E">
                  <w:pPr>
                    <w:spacing w:line="480" w:lineRule="auto"/>
                    <w:rPr>
                      <w:color w:val="000000" w:themeColor="text1"/>
                    </w:rPr>
                  </w:pPr>
                  <w:r w:rsidRPr="00D0161E">
                    <w:rPr>
                      <w:color w:val="000000" w:themeColor="text1"/>
                      <w:szCs w:val="22"/>
                    </w:rPr>
                    <w:t>8.6</w:t>
                  </w:r>
                </w:p>
              </w:tc>
            </w:tr>
            <w:tr w:rsidR="00B1007F" w:rsidRPr="00D0161E" w14:paraId="3D4B7308" w14:textId="77777777">
              <w:trPr>
                <w:trHeight w:val="295"/>
              </w:trPr>
              <w:tc>
                <w:tcPr>
                  <w:tcW w:w="1634" w:type="dxa"/>
                  <w:tcBorders>
                    <w:top w:val="nil"/>
                    <w:left w:val="single" w:sz="4" w:space="0" w:color="auto"/>
                    <w:bottom w:val="single" w:sz="4" w:space="0" w:color="auto"/>
                    <w:right w:val="single" w:sz="4" w:space="0" w:color="auto"/>
                  </w:tcBorders>
                  <w:shd w:val="clear" w:color="000000" w:fill="FFFFFF"/>
                  <w:noWrap/>
                  <w:vAlign w:val="bottom"/>
                </w:tcPr>
                <w:p w14:paraId="546282DE" w14:textId="56020EC4" w:rsidR="00B1007F" w:rsidRPr="00D0161E" w:rsidRDefault="00B1007F" w:rsidP="00D0161E">
                  <w:pPr>
                    <w:spacing w:line="480" w:lineRule="auto"/>
                    <w:rPr>
                      <w:color w:val="000000" w:themeColor="text1"/>
                    </w:rPr>
                  </w:pPr>
                  <w:proofErr w:type="spellStart"/>
                  <w:r w:rsidRPr="00D0161E">
                    <w:rPr>
                      <w:color w:val="000000" w:themeColor="text1"/>
                      <w:szCs w:val="22"/>
                    </w:rPr>
                    <w:t>Tenebenal</w:t>
                  </w:r>
                  <w:r w:rsidR="00D54567" w:rsidRPr="00FC45D2">
                    <w:rPr>
                      <w:b/>
                      <w:bCs/>
                      <w:color w:val="000000" w:themeColor="text1"/>
                      <w:szCs w:val="22"/>
                      <w:vertAlign w:val="superscript"/>
                    </w:rPr>
                    <w:t>TM</w:t>
                  </w:r>
                  <w:proofErr w:type="spellEnd"/>
                </w:p>
              </w:tc>
              <w:tc>
                <w:tcPr>
                  <w:tcW w:w="1504" w:type="dxa"/>
                  <w:tcBorders>
                    <w:top w:val="nil"/>
                    <w:left w:val="nil"/>
                    <w:bottom w:val="single" w:sz="4" w:space="0" w:color="auto"/>
                    <w:right w:val="single" w:sz="4" w:space="0" w:color="auto"/>
                  </w:tcBorders>
                  <w:shd w:val="clear" w:color="000000" w:fill="FFFFFF"/>
                  <w:noWrap/>
                  <w:vAlign w:val="bottom"/>
                </w:tcPr>
                <w:p w14:paraId="624353EA" w14:textId="77777777" w:rsidR="00B1007F" w:rsidRPr="00D0161E" w:rsidRDefault="00B1007F" w:rsidP="00D0161E">
                  <w:pPr>
                    <w:spacing w:line="480" w:lineRule="auto"/>
                    <w:rPr>
                      <w:color w:val="000000" w:themeColor="text1"/>
                    </w:rPr>
                  </w:pPr>
                  <w:r w:rsidRPr="00D0161E">
                    <w:rPr>
                      <w:color w:val="000000" w:themeColor="text1"/>
                      <w:szCs w:val="22"/>
                    </w:rPr>
                    <w:t>MC</w:t>
                  </w:r>
                </w:p>
              </w:tc>
              <w:tc>
                <w:tcPr>
                  <w:tcW w:w="1407" w:type="dxa"/>
                  <w:tcBorders>
                    <w:top w:val="nil"/>
                    <w:left w:val="nil"/>
                    <w:bottom w:val="single" w:sz="4" w:space="0" w:color="auto"/>
                    <w:right w:val="single" w:sz="4" w:space="0" w:color="auto"/>
                  </w:tcBorders>
                  <w:shd w:val="clear" w:color="000000" w:fill="FFFFFF"/>
                  <w:noWrap/>
                  <w:vAlign w:val="bottom"/>
                </w:tcPr>
                <w:p w14:paraId="4BF72CF8" w14:textId="77777777" w:rsidR="00B1007F" w:rsidRPr="00D0161E" w:rsidRDefault="00B1007F" w:rsidP="00D0161E">
                  <w:pPr>
                    <w:spacing w:line="480" w:lineRule="auto"/>
                    <w:rPr>
                      <w:color w:val="000000" w:themeColor="text1"/>
                    </w:rPr>
                  </w:pPr>
                  <w:r w:rsidRPr="00D0161E">
                    <w:rPr>
                      <w:color w:val="000000" w:themeColor="text1"/>
                      <w:szCs w:val="22"/>
                    </w:rPr>
                    <w:t>500</w:t>
                  </w:r>
                </w:p>
              </w:tc>
              <w:tc>
                <w:tcPr>
                  <w:tcW w:w="1909" w:type="dxa"/>
                  <w:tcBorders>
                    <w:top w:val="nil"/>
                    <w:left w:val="nil"/>
                    <w:bottom w:val="single" w:sz="4" w:space="0" w:color="auto"/>
                    <w:right w:val="single" w:sz="4" w:space="0" w:color="auto"/>
                  </w:tcBorders>
                  <w:shd w:val="clear" w:color="000000" w:fill="FFFFFF"/>
                  <w:noWrap/>
                  <w:vAlign w:val="bottom"/>
                </w:tcPr>
                <w:p w14:paraId="648514B0" w14:textId="77777777" w:rsidR="00B1007F" w:rsidRPr="00D0161E" w:rsidRDefault="00B1007F" w:rsidP="00D0161E">
                  <w:pPr>
                    <w:spacing w:line="480" w:lineRule="auto"/>
                    <w:rPr>
                      <w:color w:val="000000" w:themeColor="text1"/>
                    </w:rPr>
                  </w:pPr>
                  <w:r w:rsidRPr="00D0161E">
                    <w:rPr>
                      <w:color w:val="000000" w:themeColor="text1"/>
                      <w:szCs w:val="22"/>
                    </w:rPr>
                    <w:t>530.9</w:t>
                  </w:r>
                </w:p>
              </w:tc>
              <w:tc>
                <w:tcPr>
                  <w:tcW w:w="970" w:type="dxa"/>
                  <w:tcBorders>
                    <w:top w:val="nil"/>
                    <w:left w:val="nil"/>
                    <w:bottom w:val="single" w:sz="4" w:space="0" w:color="auto"/>
                    <w:right w:val="single" w:sz="4" w:space="0" w:color="auto"/>
                  </w:tcBorders>
                  <w:shd w:val="clear" w:color="000000" w:fill="FFFFFF"/>
                  <w:noWrap/>
                  <w:vAlign w:val="bottom"/>
                </w:tcPr>
                <w:p w14:paraId="607781AC" w14:textId="77777777" w:rsidR="00B1007F" w:rsidRPr="00D0161E" w:rsidRDefault="00B1007F" w:rsidP="00D0161E">
                  <w:pPr>
                    <w:spacing w:line="480" w:lineRule="auto"/>
                    <w:rPr>
                      <w:color w:val="000000" w:themeColor="text1"/>
                    </w:rPr>
                  </w:pPr>
                  <w:r w:rsidRPr="00D0161E">
                    <w:rPr>
                      <w:color w:val="000000" w:themeColor="text1"/>
                      <w:szCs w:val="22"/>
                    </w:rPr>
                    <w:t>3</w:t>
                  </w:r>
                </w:p>
              </w:tc>
              <w:tc>
                <w:tcPr>
                  <w:tcW w:w="970" w:type="dxa"/>
                  <w:tcBorders>
                    <w:top w:val="nil"/>
                    <w:left w:val="nil"/>
                    <w:bottom w:val="single" w:sz="4" w:space="0" w:color="auto"/>
                    <w:right w:val="single" w:sz="4" w:space="0" w:color="auto"/>
                  </w:tcBorders>
                  <w:shd w:val="clear" w:color="000000" w:fill="FFFFFF"/>
                  <w:noWrap/>
                  <w:vAlign w:val="bottom"/>
                </w:tcPr>
                <w:p w14:paraId="63B6863D" w14:textId="77777777" w:rsidR="00B1007F" w:rsidRPr="00D0161E" w:rsidRDefault="00B1007F" w:rsidP="00D0161E">
                  <w:pPr>
                    <w:spacing w:line="480" w:lineRule="auto"/>
                    <w:rPr>
                      <w:color w:val="000000" w:themeColor="text1"/>
                    </w:rPr>
                  </w:pPr>
                  <w:r w:rsidRPr="00D0161E">
                    <w:rPr>
                      <w:color w:val="000000" w:themeColor="text1"/>
                      <w:szCs w:val="22"/>
                    </w:rPr>
                    <w:t>23.1</w:t>
                  </w:r>
                </w:p>
              </w:tc>
              <w:tc>
                <w:tcPr>
                  <w:tcW w:w="970" w:type="dxa"/>
                  <w:tcBorders>
                    <w:top w:val="nil"/>
                    <w:left w:val="nil"/>
                    <w:bottom w:val="single" w:sz="4" w:space="0" w:color="auto"/>
                    <w:right w:val="single" w:sz="4" w:space="0" w:color="auto"/>
                  </w:tcBorders>
                  <w:shd w:val="clear" w:color="000000" w:fill="FFFFFF"/>
                  <w:noWrap/>
                  <w:vAlign w:val="bottom"/>
                </w:tcPr>
                <w:p w14:paraId="6C48BB6F" w14:textId="77777777" w:rsidR="00B1007F" w:rsidRPr="00D0161E" w:rsidRDefault="00B1007F" w:rsidP="00D0161E">
                  <w:pPr>
                    <w:spacing w:line="480" w:lineRule="auto"/>
                    <w:rPr>
                      <w:color w:val="000000" w:themeColor="text1"/>
                    </w:rPr>
                  </w:pPr>
                  <w:r w:rsidRPr="00D0161E">
                    <w:rPr>
                      <w:color w:val="000000" w:themeColor="text1"/>
                      <w:szCs w:val="22"/>
                    </w:rPr>
                    <w:t>4.4</w:t>
                  </w:r>
                </w:p>
              </w:tc>
            </w:tr>
            <w:tr w:rsidR="00B1007F" w:rsidRPr="00D0161E" w14:paraId="7298DA9C" w14:textId="77777777">
              <w:trPr>
                <w:trHeight w:val="295"/>
              </w:trPr>
              <w:tc>
                <w:tcPr>
                  <w:tcW w:w="1634" w:type="dxa"/>
                  <w:tcBorders>
                    <w:top w:val="nil"/>
                    <w:left w:val="single" w:sz="4" w:space="0" w:color="auto"/>
                    <w:bottom w:val="single" w:sz="4" w:space="0" w:color="auto"/>
                    <w:right w:val="single" w:sz="4" w:space="0" w:color="auto"/>
                  </w:tcBorders>
                  <w:shd w:val="clear" w:color="000000" w:fill="FFFFFF"/>
                  <w:noWrap/>
                  <w:vAlign w:val="bottom"/>
                </w:tcPr>
                <w:p w14:paraId="1288CE5B" w14:textId="27FD5796" w:rsidR="00B1007F" w:rsidRPr="00D0161E" w:rsidRDefault="00B1007F" w:rsidP="00D0161E">
                  <w:pPr>
                    <w:spacing w:line="480" w:lineRule="auto"/>
                    <w:rPr>
                      <w:color w:val="000000" w:themeColor="text1"/>
                    </w:rPr>
                  </w:pPr>
                  <w:proofErr w:type="spellStart"/>
                  <w:r w:rsidRPr="00D0161E">
                    <w:rPr>
                      <w:color w:val="000000" w:themeColor="text1"/>
                      <w:szCs w:val="22"/>
                    </w:rPr>
                    <w:t>Tenebenal</w:t>
                  </w:r>
                  <w:r w:rsidR="00D54567" w:rsidRPr="00FC45D2">
                    <w:rPr>
                      <w:b/>
                      <w:bCs/>
                      <w:color w:val="000000" w:themeColor="text1"/>
                      <w:szCs w:val="22"/>
                      <w:vertAlign w:val="superscript"/>
                    </w:rPr>
                    <w:t>TM</w:t>
                  </w:r>
                  <w:proofErr w:type="spellEnd"/>
                </w:p>
              </w:tc>
              <w:tc>
                <w:tcPr>
                  <w:tcW w:w="1504" w:type="dxa"/>
                  <w:tcBorders>
                    <w:top w:val="nil"/>
                    <w:left w:val="nil"/>
                    <w:bottom w:val="single" w:sz="4" w:space="0" w:color="auto"/>
                    <w:right w:val="single" w:sz="4" w:space="0" w:color="auto"/>
                  </w:tcBorders>
                  <w:shd w:val="clear" w:color="000000" w:fill="FFFFFF"/>
                  <w:noWrap/>
                  <w:vAlign w:val="bottom"/>
                </w:tcPr>
                <w:p w14:paraId="2561215F" w14:textId="77777777" w:rsidR="00B1007F" w:rsidRPr="00D0161E" w:rsidRDefault="00B1007F" w:rsidP="00D0161E">
                  <w:pPr>
                    <w:spacing w:line="480" w:lineRule="auto"/>
                    <w:rPr>
                      <w:color w:val="000000" w:themeColor="text1"/>
                    </w:rPr>
                  </w:pPr>
                  <w:r w:rsidRPr="00D0161E">
                    <w:rPr>
                      <w:color w:val="000000" w:themeColor="text1"/>
                      <w:szCs w:val="22"/>
                    </w:rPr>
                    <w:t>MD</w:t>
                  </w:r>
                </w:p>
              </w:tc>
              <w:tc>
                <w:tcPr>
                  <w:tcW w:w="1407" w:type="dxa"/>
                  <w:tcBorders>
                    <w:top w:val="nil"/>
                    <w:left w:val="nil"/>
                    <w:bottom w:val="single" w:sz="4" w:space="0" w:color="auto"/>
                    <w:right w:val="single" w:sz="4" w:space="0" w:color="auto"/>
                  </w:tcBorders>
                  <w:shd w:val="clear" w:color="000000" w:fill="FFFFFF"/>
                  <w:noWrap/>
                  <w:vAlign w:val="bottom"/>
                </w:tcPr>
                <w:p w14:paraId="1A4A08B7" w14:textId="77777777" w:rsidR="00B1007F" w:rsidRPr="00D0161E" w:rsidRDefault="00B1007F" w:rsidP="00D0161E">
                  <w:pPr>
                    <w:spacing w:line="480" w:lineRule="auto"/>
                    <w:rPr>
                      <w:color w:val="000000" w:themeColor="text1"/>
                    </w:rPr>
                  </w:pPr>
                  <w:r w:rsidRPr="00D0161E">
                    <w:rPr>
                      <w:color w:val="000000" w:themeColor="text1"/>
                      <w:szCs w:val="22"/>
                    </w:rPr>
                    <w:t>1000</w:t>
                  </w:r>
                </w:p>
              </w:tc>
              <w:tc>
                <w:tcPr>
                  <w:tcW w:w="1909" w:type="dxa"/>
                  <w:tcBorders>
                    <w:top w:val="nil"/>
                    <w:left w:val="nil"/>
                    <w:bottom w:val="single" w:sz="4" w:space="0" w:color="auto"/>
                    <w:right w:val="single" w:sz="4" w:space="0" w:color="auto"/>
                  </w:tcBorders>
                  <w:shd w:val="clear" w:color="000000" w:fill="FFFFFF"/>
                  <w:noWrap/>
                  <w:vAlign w:val="bottom"/>
                </w:tcPr>
                <w:p w14:paraId="253D07BC" w14:textId="77777777" w:rsidR="00B1007F" w:rsidRPr="00D0161E" w:rsidRDefault="00B1007F" w:rsidP="00D0161E">
                  <w:pPr>
                    <w:spacing w:line="480" w:lineRule="auto"/>
                    <w:rPr>
                      <w:color w:val="000000" w:themeColor="text1"/>
                    </w:rPr>
                  </w:pPr>
                  <w:r w:rsidRPr="00D0161E">
                    <w:rPr>
                      <w:color w:val="000000" w:themeColor="text1"/>
                      <w:szCs w:val="22"/>
                    </w:rPr>
                    <w:t>1175.2</w:t>
                  </w:r>
                </w:p>
              </w:tc>
              <w:tc>
                <w:tcPr>
                  <w:tcW w:w="970" w:type="dxa"/>
                  <w:tcBorders>
                    <w:top w:val="nil"/>
                    <w:left w:val="nil"/>
                    <w:bottom w:val="single" w:sz="4" w:space="0" w:color="auto"/>
                    <w:right w:val="single" w:sz="4" w:space="0" w:color="auto"/>
                  </w:tcBorders>
                  <w:shd w:val="clear" w:color="000000" w:fill="FFFFFF"/>
                  <w:noWrap/>
                  <w:vAlign w:val="bottom"/>
                </w:tcPr>
                <w:p w14:paraId="315E7411" w14:textId="77777777" w:rsidR="00B1007F" w:rsidRPr="00D0161E" w:rsidRDefault="00B1007F" w:rsidP="00D0161E">
                  <w:pPr>
                    <w:spacing w:line="480" w:lineRule="auto"/>
                    <w:rPr>
                      <w:color w:val="000000" w:themeColor="text1"/>
                    </w:rPr>
                  </w:pPr>
                  <w:r w:rsidRPr="00D0161E">
                    <w:rPr>
                      <w:color w:val="000000" w:themeColor="text1"/>
                      <w:szCs w:val="22"/>
                    </w:rPr>
                    <w:t>3</w:t>
                  </w:r>
                </w:p>
              </w:tc>
              <w:tc>
                <w:tcPr>
                  <w:tcW w:w="970" w:type="dxa"/>
                  <w:tcBorders>
                    <w:top w:val="nil"/>
                    <w:left w:val="nil"/>
                    <w:bottom w:val="single" w:sz="4" w:space="0" w:color="auto"/>
                    <w:right w:val="single" w:sz="4" w:space="0" w:color="auto"/>
                  </w:tcBorders>
                  <w:shd w:val="clear" w:color="000000" w:fill="FFFFFF"/>
                  <w:noWrap/>
                  <w:vAlign w:val="bottom"/>
                </w:tcPr>
                <w:p w14:paraId="0F976F92" w14:textId="77777777" w:rsidR="00B1007F" w:rsidRPr="00D0161E" w:rsidRDefault="00B1007F" w:rsidP="00D0161E">
                  <w:pPr>
                    <w:spacing w:line="480" w:lineRule="auto"/>
                    <w:rPr>
                      <w:color w:val="000000" w:themeColor="text1"/>
                    </w:rPr>
                  </w:pPr>
                  <w:r w:rsidRPr="00D0161E">
                    <w:rPr>
                      <w:color w:val="000000" w:themeColor="text1"/>
                      <w:szCs w:val="22"/>
                    </w:rPr>
                    <w:t>59.7</w:t>
                  </w:r>
                </w:p>
              </w:tc>
              <w:tc>
                <w:tcPr>
                  <w:tcW w:w="970" w:type="dxa"/>
                  <w:tcBorders>
                    <w:top w:val="nil"/>
                    <w:left w:val="nil"/>
                    <w:bottom w:val="single" w:sz="4" w:space="0" w:color="auto"/>
                    <w:right w:val="single" w:sz="4" w:space="0" w:color="auto"/>
                  </w:tcBorders>
                  <w:shd w:val="clear" w:color="000000" w:fill="FFFFFF"/>
                  <w:noWrap/>
                  <w:vAlign w:val="bottom"/>
                </w:tcPr>
                <w:p w14:paraId="3F9FDAC7" w14:textId="77777777" w:rsidR="00B1007F" w:rsidRPr="00D0161E" w:rsidRDefault="00B1007F" w:rsidP="00D0161E">
                  <w:pPr>
                    <w:spacing w:line="480" w:lineRule="auto"/>
                    <w:rPr>
                      <w:color w:val="000000" w:themeColor="text1"/>
                    </w:rPr>
                  </w:pPr>
                  <w:r w:rsidRPr="00D0161E">
                    <w:rPr>
                      <w:color w:val="000000" w:themeColor="text1"/>
                      <w:szCs w:val="22"/>
                    </w:rPr>
                    <w:t>5.1</w:t>
                  </w:r>
                </w:p>
              </w:tc>
            </w:tr>
            <w:tr w:rsidR="00B1007F" w:rsidRPr="00D0161E" w14:paraId="0C234423" w14:textId="77777777">
              <w:trPr>
                <w:trHeight w:val="295"/>
              </w:trPr>
              <w:tc>
                <w:tcPr>
                  <w:tcW w:w="1634" w:type="dxa"/>
                  <w:tcBorders>
                    <w:top w:val="nil"/>
                    <w:left w:val="single" w:sz="4" w:space="0" w:color="auto"/>
                    <w:bottom w:val="single" w:sz="4" w:space="0" w:color="auto"/>
                    <w:right w:val="single" w:sz="4" w:space="0" w:color="auto"/>
                  </w:tcBorders>
                  <w:shd w:val="clear" w:color="000000" w:fill="FFFFFF"/>
                  <w:noWrap/>
                  <w:vAlign w:val="bottom"/>
                </w:tcPr>
                <w:p w14:paraId="6D077619" w14:textId="25ED15EF" w:rsidR="00B1007F" w:rsidRPr="00D0161E" w:rsidRDefault="00B1007F" w:rsidP="00D0161E">
                  <w:pPr>
                    <w:spacing w:line="480" w:lineRule="auto"/>
                    <w:rPr>
                      <w:color w:val="000000" w:themeColor="text1"/>
                    </w:rPr>
                  </w:pPr>
                  <w:r w:rsidRPr="00D0161E">
                    <w:rPr>
                      <w:color w:val="000000" w:themeColor="text1"/>
                      <w:szCs w:val="22"/>
                    </w:rPr>
                    <w:t>Bendiocarb</w:t>
                  </w:r>
                </w:p>
              </w:tc>
              <w:tc>
                <w:tcPr>
                  <w:tcW w:w="1504" w:type="dxa"/>
                  <w:tcBorders>
                    <w:top w:val="nil"/>
                    <w:left w:val="nil"/>
                    <w:bottom w:val="single" w:sz="4" w:space="0" w:color="auto"/>
                    <w:right w:val="single" w:sz="4" w:space="0" w:color="auto"/>
                  </w:tcBorders>
                  <w:shd w:val="clear" w:color="000000" w:fill="FFFFFF"/>
                  <w:noWrap/>
                  <w:vAlign w:val="bottom"/>
                </w:tcPr>
                <w:p w14:paraId="524A9EC8" w14:textId="77777777" w:rsidR="00B1007F" w:rsidRPr="00D0161E" w:rsidRDefault="00B1007F" w:rsidP="00D0161E">
                  <w:pPr>
                    <w:spacing w:line="480" w:lineRule="auto"/>
                    <w:rPr>
                      <w:color w:val="000000" w:themeColor="text1"/>
                    </w:rPr>
                  </w:pPr>
                  <w:r w:rsidRPr="00D0161E">
                    <w:rPr>
                      <w:color w:val="000000" w:themeColor="text1"/>
                      <w:szCs w:val="22"/>
                    </w:rPr>
                    <w:t>B</w:t>
                  </w:r>
                </w:p>
              </w:tc>
              <w:tc>
                <w:tcPr>
                  <w:tcW w:w="1407" w:type="dxa"/>
                  <w:tcBorders>
                    <w:top w:val="nil"/>
                    <w:left w:val="nil"/>
                    <w:bottom w:val="single" w:sz="4" w:space="0" w:color="auto"/>
                    <w:right w:val="single" w:sz="4" w:space="0" w:color="auto"/>
                  </w:tcBorders>
                  <w:shd w:val="clear" w:color="000000" w:fill="FFFFFF"/>
                  <w:noWrap/>
                  <w:vAlign w:val="bottom"/>
                </w:tcPr>
                <w:p w14:paraId="13BA48AF" w14:textId="77777777" w:rsidR="00B1007F" w:rsidRPr="00D0161E" w:rsidRDefault="00B1007F" w:rsidP="00D0161E">
                  <w:pPr>
                    <w:spacing w:line="480" w:lineRule="auto"/>
                    <w:rPr>
                      <w:color w:val="000000" w:themeColor="text1"/>
                    </w:rPr>
                  </w:pPr>
                  <w:r w:rsidRPr="00D0161E">
                    <w:rPr>
                      <w:color w:val="000000" w:themeColor="text1"/>
                      <w:szCs w:val="22"/>
                    </w:rPr>
                    <w:t>500</w:t>
                  </w:r>
                </w:p>
              </w:tc>
              <w:tc>
                <w:tcPr>
                  <w:tcW w:w="1909" w:type="dxa"/>
                  <w:tcBorders>
                    <w:top w:val="nil"/>
                    <w:left w:val="nil"/>
                    <w:bottom w:val="single" w:sz="4" w:space="0" w:color="auto"/>
                    <w:right w:val="single" w:sz="4" w:space="0" w:color="auto"/>
                  </w:tcBorders>
                  <w:shd w:val="clear" w:color="000000" w:fill="FFFFFF"/>
                  <w:noWrap/>
                  <w:vAlign w:val="bottom"/>
                </w:tcPr>
                <w:p w14:paraId="6C8315DF" w14:textId="77777777" w:rsidR="00B1007F" w:rsidRPr="00D0161E" w:rsidRDefault="00B1007F" w:rsidP="00D0161E">
                  <w:pPr>
                    <w:spacing w:line="480" w:lineRule="auto"/>
                    <w:rPr>
                      <w:color w:val="000000" w:themeColor="text1"/>
                    </w:rPr>
                  </w:pPr>
                  <w:r w:rsidRPr="00D0161E">
                    <w:rPr>
                      <w:color w:val="000000" w:themeColor="text1"/>
                      <w:szCs w:val="22"/>
                    </w:rPr>
                    <w:t>471.6</w:t>
                  </w:r>
                </w:p>
              </w:tc>
              <w:tc>
                <w:tcPr>
                  <w:tcW w:w="970" w:type="dxa"/>
                  <w:tcBorders>
                    <w:top w:val="nil"/>
                    <w:left w:val="nil"/>
                    <w:bottom w:val="single" w:sz="4" w:space="0" w:color="auto"/>
                    <w:right w:val="single" w:sz="4" w:space="0" w:color="auto"/>
                  </w:tcBorders>
                  <w:shd w:val="clear" w:color="000000" w:fill="FFFFFF"/>
                  <w:noWrap/>
                  <w:vAlign w:val="bottom"/>
                </w:tcPr>
                <w:p w14:paraId="7BEB03F8" w14:textId="77777777" w:rsidR="00B1007F" w:rsidRPr="00D0161E" w:rsidRDefault="00B1007F" w:rsidP="00D0161E">
                  <w:pPr>
                    <w:spacing w:line="480" w:lineRule="auto"/>
                    <w:rPr>
                      <w:color w:val="000000" w:themeColor="text1"/>
                    </w:rPr>
                  </w:pPr>
                  <w:r w:rsidRPr="00D0161E">
                    <w:rPr>
                      <w:color w:val="000000" w:themeColor="text1"/>
                      <w:szCs w:val="22"/>
                    </w:rPr>
                    <w:t>3</w:t>
                  </w:r>
                </w:p>
              </w:tc>
              <w:tc>
                <w:tcPr>
                  <w:tcW w:w="970" w:type="dxa"/>
                  <w:tcBorders>
                    <w:top w:val="nil"/>
                    <w:left w:val="nil"/>
                    <w:bottom w:val="single" w:sz="4" w:space="0" w:color="auto"/>
                    <w:right w:val="single" w:sz="4" w:space="0" w:color="auto"/>
                  </w:tcBorders>
                  <w:shd w:val="clear" w:color="000000" w:fill="FFFFFF"/>
                  <w:noWrap/>
                  <w:vAlign w:val="bottom"/>
                </w:tcPr>
                <w:p w14:paraId="020439F5" w14:textId="77777777" w:rsidR="00B1007F" w:rsidRPr="00D0161E" w:rsidRDefault="00B1007F" w:rsidP="00D0161E">
                  <w:pPr>
                    <w:spacing w:line="480" w:lineRule="auto"/>
                    <w:rPr>
                      <w:color w:val="000000" w:themeColor="text1"/>
                    </w:rPr>
                  </w:pPr>
                  <w:r w:rsidRPr="00D0161E">
                    <w:rPr>
                      <w:color w:val="000000" w:themeColor="text1"/>
                      <w:szCs w:val="22"/>
                    </w:rPr>
                    <w:t>159.6</w:t>
                  </w:r>
                </w:p>
              </w:tc>
              <w:tc>
                <w:tcPr>
                  <w:tcW w:w="970" w:type="dxa"/>
                  <w:tcBorders>
                    <w:top w:val="nil"/>
                    <w:left w:val="nil"/>
                    <w:bottom w:val="single" w:sz="4" w:space="0" w:color="auto"/>
                    <w:right w:val="single" w:sz="4" w:space="0" w:color="auto"/>
                  </w:tcBorders>
                  <w:shd w:val="clear" w:color="000000" w:fill="FFFFFF"/>
                  <w:noWrap/>
                  <w:vAlign w:val="bottom"/>
                </w:tcPr>
                <w:p w14:paraId="77301F07" w14:textId="77777777" w:rsidR="00B1007F" w:rsidRPr="00D0161E" w:rsidRDefault="00B1007F" w:rsidP="00D0161E">
                  <w:pPr>
                    <w:spacing w:line="480" w:lineRule="auto"/>
                    <w:rPr>
                      <w:color w:val="000000" w:themeColor="text1"/>
                    </w:rPr>
                  </w:pPr>
                  <w:r w:rsidRPr="00D0161E">
                    <w:rPr>
                      <w:color w:val="000000" w:themeColor="text1"/>
                      <w:szCs w:val="22"/>
                    </w:rPr>
                    <w:t>33.8</w:t>
                  </w:r>
                </w:p>
              </w:tc>
            </w:tr>
            <w:tr w:rsidR="00B1007F" w:rsidRPr="00D0161E" w14:paraId="32D36717" w14:textId="77777777">
              <w:trPr>
                <w:trHeight w:val="295"/>
              </w:trPr>
              <w:tc>
                <w:tcPr>
                  <w:tcW w:w="1634" w:type="dxa"/>
                  <w:tcBorders>
                    <w:top w:val="nil"/>
                    <w:left w:val="single" w:sz="4" w:space="0" w:color="auto"/>
                    <w:bottom w:val="single" w:sz="4" w:space="0" w:color="auto"/>
                    <w:right w:val="single" w:sz="4" w:space="0" w:color="auto"/>
                  </w:tcBorders>
                  <w:shd w:val="clear" w:color="000000" w:fill="FFFFFF"/>
                  <w:noWrap/>
                  <w:vAlign w:val="bottom"/>
                </w:tcPr>
                <w:p w14:paraId="3FF9AF2F" w14:textId="77777777" w:rsidR="00B1007F" w:rsidRPr="00D0161E" w:rsidRDefault="00B1007F" w:rsidP="00D0161E">
                  <w:pPr>
                    <w:spacing w:line="480" w:lineRule="auto"/>
                    <w:rPr>
                      <w:color w:val="000000" w:themeColor="text1"/>
                    </w:rPr>
                  </w:pPr>
                  <w:r w:rsidRPr="00D0161E">
                    <w:rPr>
                      <w:color w:val="000000" w:themeColor="text1"/>
                      <w:szCs w:val="22"/>
                    </w:rPr>
                    <w:t xml:space="preserve">Deltamethrin </w:t>
                  </w:r>
                </w:p>
              </w:tc>
              <w:tc>
                <w:tcPr>
                  <w:tcW w:w="1504" w:type="dxa"/>
                  <w:tcBorders>
                    <w:top w:val="nil"/>
                    <w:left w:val="nil"/>
                    <w:bottom w:val="single" w:sz="4" w:space="0" w:color="auto"/>
                    <w:right w:val="single" w:sz="4" w:space="0" w:color="auto"/>
                  </w:tcBorders>
                  <w:shd w:val="clear" w:color="000000" w:fill="FFFFFF"/>
                  <w:noWrap/>
                  <w:vAlign w:val="bottom"/>
                </w:tcPr>
                <w:p w14:paraId="68C267F4" w14:textId="77777777" w:rsidR="00B1007F" w:rsidRPr="00D0161E" w:rsidRDefault="00B1007F" w:rsidP="00D0161E">
                  <w:pPr>
                    <w:spacing w:line="480" w:lineRule="auto"/>
                    <w:rPr>
                      <w:color w:val="000000" w:themeColor="text1"/>
                    </w:rPr>
                  </w:pPr>
                  <w:r w:rsidRPr="00D0161E">
                    <w:rPr>
                      <w:color w:val="000000" w:themeColor="text1"/>
                      <w:szCs w:val="22"/>
                    </w:rPr>
                    <w:t>D</w:t>
                  </w:r>
                </w:p>
              </w:tc>
              <w:tc>
                <w:tcPr>
                  <w:tcW w:w="1407" w:type="dxa"/>
                  <w:tcBorders>
                    <w:top w:val="nil"/>
                    <w:left w:val="nil"/>
                    <w:bottom w:val="single" w:sz="4" w:space="0" w:color="auto"/>
                    <w:right w:val="single" w:sz="4" w:space="0" w:color="auto"/>
                  </w:tcBorders>
                  <w:shd w:val="clear" w:color="000000" w:fill="FFFFFF"/>
                  <w:noWrap/>
                  <w:vAlign w:val="bottom"/>
                </w:tcPr>
                <w:p w14:paraId="051AD93B" w14:textId="77777777" w:rsidR="00B1007F" w:rsidRPr="00D0161E" w:rsidRDefault="00B1007F" w:rsidP="00D0161E">
                  <w:pPr>
                    <w:spacing w:line="480" w:lineRule="auto"/>
                    <w:rPr>
                      <w:color w:val="000000" w:themeColor="text1"/>
                    </w:rPr>
                  </w:pPr>
                  <w:r w:rsidRPr="00D0161E">
                    <w:rPr>
                      <w:color w:val="000000" w:themeColor="text1"/>
                      <w:szCs w:val="22"/>
                    </w:rPr>
                    <w:t>50</w:t>
                  </w:r>
                </w:p>
              </w:tc>
              <w:tc>
                <w:tcPr>
                  <w:tcW w:w="1909" w:type="dxa"/>
                  <w:tcBorders>
                    <w:top w:val="nil"/>
                    <w:left w:val="nil"/>
                    <w:bottom w:val="single" w:sz="4" w:space="0" w:color="auto"/>
                    <w:right w:val="single" w:sz="4" w:space="0" w:color="auto"/>
                  </w:tcBorders>
                  <w:shd w:val="clear" w:color="000000" w:fill="FFFFFF"/>
                  <w:noWrap/>
                  <w:vAlign w:val="bottom"/>
                </w:tcPr>
                <w:p w14:paraId="720C5AE3" w14:textId="77777777" w:rsidR="00B1007F" w:rsidRPr="00D0161E" w:rsidRDefault="00B1007F" w:rsidP="00D0161E">
                  <w:pPr>
                    <w:spacing w:line="480" w:lineRule="auto"/>
                    <w:rPr>
                      <w:color w:val="000000" w:themeColor="text1"/>
                    </w:rPr>
                  </w:pPr>
                  <w:r w:rsidRPr="00D0161E">
                    <w:rPr>
                      <w:color w:val="000000" w:themeColor="text1"/>
                      <w:szCs w:val="22"/>
                    </w:rPr>
                    <w:t>69.4</w:t>
                  </w:r>
                </w:p>
              </w:tc>
              <w:tc>
                <w:tcPr>
                  <w:tcW w:w="970" w:type="dxa"/>
                  <w:tcBorders>
                    <w:top w:val="nil"/>
                    <w:left w:val="nil"/>
                    <w:bottom w:val="single" w:sz="4" w:space="0" w:color="auto"/>
                    <w:right w:val="single" w:sz="4" w:space="0" w:color="auto"/>
                  </w:tcBorders>
                  <w:shd w:val="clear" w:color="000000" w:fill="FFFFFF"/>
                  <w:noWrap/>
                  <w:vAlign w:val="bottom"/>
                </w:tcPr>
                <w:p w14:paraId="5F07A7FB" w14:textId="77777777" w:rsidR="00B1007F" w:rsidRPr="00D0161E" w:rsidRDefault="00B1007F" w:rsidP="00D0161E">
                  <w:pPr>
                    <w:spacing w:line="480" w:lineRule="auto"/>
                    <w:rPr>
                      <w:color w:val="000000" w:themeColor="text1"/>
                    </w:rPr>
                  </w:pPr>
                  <w:r w:rsidRPr="00D0161E">
                    <w:rPr>
                      <w:color w:val="000000" w:themeColor="text1"/>
                      <w:szCs w:val="22"/>
                    </w:rPr>
                    <w:t>3</w:t>
                  </w:r>
                </w:p>
              </w:tc>
              <w:tc>
                <w:tcPr>
                  <w:tcW w:w="970" w:type="dxa"/>
                  <w:tcBorders>
                    <w:top w:val="nil"/>
                    <w:left w:val="nil"/>
                    <w:bottom w:val="single" w:sz="4" w:space="0" w:color="auto"/>
                    <w:right w:val="single" w:sz="4" w:space="0" w:color="auto"/>
                  </w:tcBorders>
                  <w:shd w:val="clear" w:color="000000" w:fill="FFFFFF"/>
                  <w:noWrap/>
                  <w:vAlign w:val="bottom"/>
                </w:tcPr>
                <w:p w14:paraId="43C42937" w14:textId="77777777" w:rsidR="00B1007F" w:rsidRPr="00D0161E" w:rsidRDefault="00B1007F" w:rsidP="00D0161E">
                  <w:pPr>
                    <w:spacing w:line="480" w:lineRule="auto"/>
                    <w:rPr>
                      <w:color w:val="000000" w:themeColor="text1"/>
                    </w:rPr>
                  </w:pPr>
                  <w:r w:rsidRPr="00D0161E">
                    <w:rPr>
                      <w:color w:val="000000" w:themeColor="text1"/>
                      <w:szCs w:val="22"/>
                    </w:rPr>
                    <w:t>12.2</w:t>
                  </w:r>
                </w:p>
              </w:tc>
              <w:tc>
                <w:tcPr>
                  <w:tcW w:w="970" w:type="dxa"/>
                  <w:tcBorders>
                    <w:top w:val="nil"/>
                    <w:left w:val="nil"/>
                    <w:bottom w:val="single" w:sz="4" w:space="0" w:color="auto"/>
                    <w:right w:val="single" w:sz="4" w:space="0" w:color="auto"/>
                  </w:tcBorders>
                  <w:shd w:val="clear" w:color="000000" w:fill="FFFFFF"/>
                  <w:noWrap/>
                  <w:vAlign w:val="bottom"/>
                </w:tcPr>
                <w:p w14:paraId="576E056F" w14:textId="77777777" w:rsidR="00B1007F" w:rsidRPr="00D0161E" w:rsidRDefault="00B1007F" w:rsidP="00D0161E">
                  <w:pPr>
                    <w:spacing w:line="480" w:lineRule="auto"/>
                    <w:rPr>
                      <w:color w:val="000000" w:themeColor="text1"/>
                    </w:rPr>
                  </w:pPr>
                  <w:r w:rsidRPr="00D0161E">
                    <w:rPr>
                      <w:color w:val="000000" w:themeColor="text1"/>
                      <w:szCs w:val="22"/>
                    </w:rPr>
                    <w:t>17.6</w:t>
                  </w:r>
                </w:p>
              </w:tc>
            </w:tr>
            <w:tr w:rsidR="00B1007F" w:rsidRPr="00D0161E" w14:paraId="5436F4F1" w14:textId="77777777">
              <w:trPr>
                <w:trHeight w:val="295"/>
              </w:trPr>
              <w:tc>
                <w:tcPr>
                  <w:tcW w:w="1634" w:type="dxa"/>
                  <w:tcBorders>
                    <w:top w:val="nil"/>
                    <w:left w:val="single" w:sz="4" w:space="0" w:color="auto"/>
                    <w:bottom w:val="single" w:sz="4" w:space="0" w:color="auto"/>
                    <w:right w:val="single" w:sz="4" w:space="0" w:color="auto"/>
                  </w:tcBorders>
                  <w:shd w:val="clear" w:color="000000" w:fill="FFFFFF"/>
                  <w:noWrap/>
                  <w:vAlign w:val="bottom"/>
                </w:tcPr>
                <w:p w14:paraId="7326A92E" w14:textId="77777777" w:rsidR="00B1007F" w:rsidRPr="00D0161E" w:rsidRDefault="00B1007F" w:rsidP="00D0161E">
                  <w:pPr>
                    <w:spacing w:line="480" w:lineRule="auto"/>
                    <w:rPr>
                      <w:color w:val="000000" w:themeColor="text1"/>
                    </w:rPr>
                  </w:pPr>
                  <w:r w:rsidRPr="00D0161E">
                    <w:rPr>
                      <w:color w:val="000000" w:themeColor="text1"/>
                      <w:szCs w:val="22"/>
                    </w:rPr>
                    <w:t>Etofenprox</w:t>
                  </w:r>
                </w:p>
              </w:tc>
              <w:tc>
                <w:tcPr>
                  <w:tcW w:w="1504" w:type="dxa"/>
                  <w:tcBorders>
                    <w:top w:val="nil"/>
                    <w:left w:val="nil"/>
                    <w:bottom w:val="single" w:sz="4" w:space="0" w:color="auto"/>
                    <w:right w:val="single" w:sz="4" w:space="0" w:color="auto"/>
                  </w:tcBorders>
                  <w:shd w:val="clear" w:color="000000" w:fill="FFFFFF"/>
                  <w:noWrap/>
                  <w:vAlign w:val="bottom"/>
                </w:tcPr>
                <w:p w14:paraId="2D354305" w14:textId="77777777" w:rsidR="00B1007F" w:rsidRPr="00D0161E" w:rsidRDefault="00B1007F" w:rsidP="00D0161E">
                  <w:pPr>
                    <w:spacing w:line="480" w:lineRule="auto"/>
                    <w:rPr>
                      <w:color w:val="000000" w:themeColor="text1"/>
                    </w:rPr>
                  </w:pPr>
                  <w:r w:rsidRPr="00D0161E">
                    <w:rPr>
                      <w:color w:val="000000" w:themeColor="text1"/>
                      <w:szCs w:val="22"/>
                    </w:rPr>
                    <w:t>E</w:t>
                  </w:r>
                </w:p>
              </w:tc>
              <w:tc>
                <w:tcPr>
                  <w:tcW w:w="1407" w:type="dxa"/>
                  <w:tcBorders>
                    <w:top w:val="nil"/>
                    <w:left w:val="nil"/>
                    <w:bottom w:val="single" w:sz="4" w:space="0" w:color="auto"/>
                    <w:right w:val="single" w:sz="4" w:space="0" w:color="auto"/>
                  </w:tcBorders>
                  <w:shd w:val="clear" w:color="000000" w:fill="FFFFFF"/>
                  <w:noWrap/>
                  <w:vAlign w:val="bottom"/>
                </w:tcPr>
                <w:p w14:paraId="6F58F3A6" w14:textId="77777777" w:rsidR="00B1007F" w:rsidRPr="00D0161E" w:rsidRDefault="00B1007F" w:rsidP="00D0161E">
                  <w:pPr>
                    <w:spacing w:line="480" w:lineRule="auto"/>
                    <w:rPr>
                      <w:color w:val="000000" w:themeColor="text1"/>
                    </w:rPr>
                  </w:pPr>
                  <w:r w:rsidRPr="00D0161E">
                    <w:rPr>
                      <w:color w:val="000000" w:themeColor="text1"/>
                      <w:szCs w:val="22"/>
                    </w:rPr>
                    <w:t>200</w:t>
                  </w:r>
                </w:p>
              </w:tc>
              <w:tc>
                <w:tcPr>
                  <w:tcW w:w="1909" w:type="dxa"/>
                  <w:tcBorders>
                    <w:top w:val="nil"/>
                    <w:left w:val="nil"/>
                    <w:bottom w:val="single" w:sz="4" w:space="0" w:color="auto"/>
                    <w:right w:val="single" w:sz="4" w:space="0" w:color="auto"/>
                  </w:tcBorders>
                  <w:shd w:val="clear" w:color="000000" w:fill="FFFFFF"/>
                  <w:noWrap/>
                  <w:vAlign w:val="bottom"/>
                </w:tcPr>
                <w:p w14:paraId="42882988" w14:textId="77777777" w:rsidR="00B1007F" w:rsidRPr="00D0161E" w:rsidRDefault="00B1007F" w:rsidP="00D0161E">
                  <w:pPr>
                    <w:spacing w:line="480" w:lineRule="auto"/>
                    <w:rPr>
                      <w:color w:val="000000" w:themeColor="text1"/>
                    </w:rPr>
                  </w:pPr>
                  <w:r w:rsidRPr="00D0161E">
                    <w:rPr>
                      <w:color w:val="000000" w:themeColor="text1"/>
                      <w:szCs w:val="22"/>
                    </w:rPr>
                    <w:t>196.5</w:t>
                  </w:r>
                </w:p>
              </w:tc>
              <w:tc>
                <w:tcPr>
                  <w:tcW w:w="970" w:type="dxa"/>
                  <w:tcBorders>
                    <w:top w:val="nil"/>
                    <w:left w:val="nil"/>
                    <w:bottom w:val="single" w:sz="4" w:space="0" w:color="auto"/>
                    <w:right w:val="single" w:sz="4" w:space="0" w:color="auto"/>
                  </w:tcBorders>
                  <w:shd w:val="clear" w:color="000000" w:fill="FFFFFF"/>
                  <w:noWrap/>
                  <w:vAlign w:val="bottom"/>
                </w:tcPr>
                <w:p w14:paraId="7CAE148E" w14:textId="77777777" w:rsidR="00B1007F" w:rsidRPr="00D0161E" w:rsidRDefault="00B1007F" w:rsidP="00D0161E">
                  <w:pPr>
                    <w:spacing w:line="480" w:lineRule="auto"/>
                    <w:rPr>
                      <w:color w:val="000000" w:themeColor="text1"/>
                    </w:rPr>
                  </w:pPr>
                  <w:r w:rsidRPr="00D0161E">
                    <w:rPr>
                      <w:color w:val="000000" w:themeColor="text1"/>
                      <w:szCs w:val="22"/>
                    </w:rPr>
                    <w:t>3</w:t>
                  </w:r>
                </w:p>
              </w:tc>
              <w:tc>
                <w:tcPr>
                  <w:tcW w:w="970" w:type="dxa"/>
                  <w:tcBorders>
                    <w:top w:val="nil"/>
                    <w:left w:val="nil"/>
                    <w:bottom w:val="single" w:sz="4" w:space="0" w:color="auto"/>
                    <w:right w:val="single" w:sz="4" w:space="0" w:color="auto"/>
                  </w:tcBorders>
                  <w:shd w:val="clear" w:color="000000" w:fill="FFFFFF"/>
                  <w:noWrap/>
                  <w:vAlign w:val="bottom"/>
                </w:tcPr>
                <w:p w14:paraId="3D5776BC" w14:textId="77777777" w:rsidR="00B1007F" w:rsidRPr="00D0161E" w:rsidRDefault="00B1007F" w:rsidP="00D0161E">
                  <w:pPr>
                    <w:spacing w:line="480" w:lineRule="auto"/>
                    <w:rPr>
                      <w:color w:val="000000" w:themeColor="text1"/>
                    </w:rPr>
                  </w:pPr>
                  <w:r w:rsidRPr="00D0161E">
                    <w:rPr>
                      <w:color w:val="000000" w:themeColor="text1"/>
                      <w:szCs w:val="22"/>
                    </w:rPr>
                    <w:t>42.3</w:t>
                  </w:r>
                </w:p>
              </w:tc>
              <w:tc>
                <w:tcPr>
                  <w:tcW w:w="970" w:type="dxa"/>
                  <w:tcBorders>
                    <w:top w:val="nil"/>
                    <w:left w:val="nil"/>
                    <w:bottom w:val="single" w:sz="4" w:space="0" w:color="auto"/>
                    <w:right w:val="single" w:sz="4" w:space="0" w:color="auto"/>
                  </w:tcBorders>
                  <w:shd w:val="clear" w:color="000000" w:fill="FFFFFF"/>
                  <w:noWrap/>
                  <w:vAlign w:val="bottom"/>
                </w:tcPr>
                <w:p w14:paraId="5F72DA8B" w14:textId="77777777" w:rsidR="00B1007F" w:rsidRPr="00D0161E" w:rsidRDefault="00B1007F" w:rsidP="00D0161E">
                  <w:pPr>
                    <w:spacing w:line="480" w:lineRule="auto"/>
                    <w:rPr>
                      <w:color w:val="000000" w:themeColor="text1"/>
                    </w:rPr>
                  </w:pPr>
                  <w:r w:rsidRPr="00D0161E">
                    <w:rPr>
                      <w:color w:val="000000" w:themeColor="text1"/>
                      <w:szCs w:val="22"/>
                    </w:rPr>
                    <w:t>21.5</w:t>
                  </w:r>
                </w:p>
              </w:tc>
            </w:tr>
          </w:tbl>
          <w:p w14:paraId="5B5F9159" w14:textId="77777777" w:rsidR="001261BC" w:rsidRPr="00D0161E" w:rsidRDefault="001261BC" w:rsidP="00D0161E">
            <w:pPr>
              <w:spacing w:line="480" w:lineRule="auto"/>
              <w:rPr>
                <w:color w:val="000000" w:themeColor="text1"/>
              </w:rPr>
            </w:pPr>
          </w:p>
          <w:p w14:paraId="7C57EE54" w14:textId="7912C9C9" w:rsidR="006C52A4" w:rsidRDefault="001261BC" w:rsidP="00D0161E">
            <w:pPr>
              <w:spacing w:line="480" w:lineRule="auto"/>
              <w:rPr>
                <w:rFonts w:cstheme="minorHAnsi"/>
                <w:b/>
                <w:bCs/>
                <w:color w:val="000000" w:themeColor="text1"/>
              </w:rPr>
            </w:pPr>
            <w:r w:rsidRPr="00D0161E">
              <w:rPr>
                <w:rFonts w:cstheme="minorHAnsi"/>
                <w:b/>
                <w:bCs/>
                <w:color w:val="000000" w:themeColor="text1"/>
              </w:rPr>
              <w:t xml:space="preserve">Supplementary Table </w:t>
            </w:r>
            <w:proofErr w:type="gramStart"/>
            <w:r w:rsidR="00B1007F" w:rsidRPr="00D0161E">
              <w:rPr>
                <w:rFonts w:cstheme="minorHAnsi"/>
                <w:b/>
                <w:bCs/>
                <w:color w:val="000000" w:themeColor="text1"/>
              </w:rPr>
              <w:t>3</w:t>
            </w:r>
            <w:r w:rsidR="006C52A4">
              <w:rPr>
                <w:rFonts w:cstheme="minorHAnsi"/>
                <w:b/>
                <w:bCs/>
                <w:color w:val="000000" w:themeColor="text1"/>
              </w:rPr>
              <w:t xml:space="preserve"> </w:t>
            </w:r>
            <w:r w:rsidRPr="00D0161E">
              <w:rPr>
                <w:rFonts w:cstheme="minorHAnsi"/>
                <w:b/>
                <w:bCs/>
                <w:color w:val="000000" w:themeColor="text1"/>
              </w:rPr>
              <w:t xml:space="preserve"> Ag</w:t>
            </w:r>
            <w:proofErr w:type="gramEnd"/>
            <w:r w:rsidRPr="00D0161E">
              <w:rPr>
                <w:rFonts w:cstheme="minorHAnsi"/>
                <w:b/>
                <w:bCs/>
                <w:color w:val="000000" w:themeColor="text1"/>
              </w:rPr>
              <w:t xml:space="preserve">1000 </w:t>
            </w:r>
            <w:proofErr w:type="spellStart"/>
            <w:r w:rsidRPr="00D0161E">
              <w:rPr>
                <w:rFonts w:cstheme="minorHAnsi"/>
                <w:b/>
                <w:bCs/>
                <w:color w:val="000000" w:themeColor="text1"/>
              </w:rPr>
              <w:t>freqeuncies</w:t>
            </w:r>
            <w:proofErr w:type="spellEnd"/>
            <w:r w:rsidRPr="00D0161E">
              <w:rPr>
                <w:rFonts w:cstheme="minorHAnsi"/>
                <w:b/>
                <w:bCs/>
                <w:color w:val="000000" w:themeColor="text1"/>
              </w:rPr>
              <w:t xml:space="preserve"> for all non-synonymous mutations in the </w:t>
            </w:r>
            <w:proofErr w:type="spellStart"/>
            <w:r w:rsidRPr="00D0161E">
              <w:rPr>
                <w:rFonts w:cstheme="minorHAnsi"/>
                <w:b/>
                <w:bCs/>
                <w:color w:val="000000" w:themeColor="text1"/>
              </w:rPr>
              <w:t>Rdl</w:t>
            </w:r>
            <w:proofErr w:type="spellEnd"/>
            <w:r w:rsidRPr="00D0161E">
              <w:rPr>
                <w:rFonts w:cstheme="minorHAnsi"/>
                <w:b/>
                <w:bCs/>
                <w:color w:val="000000" w:themeColor="text1"/>
              </w:rPr>
              <w:t xml:space="preserve"> GABA receptor</w:t>
            </w:r>
          </w:p>
          <w:p w14:paraId="545EF50A" w14:textId="60D42B0A" w:rsidR="001261BC" w:rsidRPr="00025A3F" w:rsidRDefault="00BD1AEC" w:rsidP="00D0161E">
            <w:pPr>
              <w:spacing w:line="480" w:lineRule="auto"/>
              <w:rPr>
                <w:rFonts w:cstheme="minorHAnsi"/>
                <w:bCs/>
                <w:color w:val="000000" w:themeColor="text1"/>
              </w:rPr>
            </w:pPr>
            <w:proofErr w:type="spellStart"/>
            <w:r w:rsidRPr="00025A3F">
              <w:rPr>
                <w:rFonts w:cstheme="minorHAnsi"/>
                <w:bCs/>
                <w:color w:val="000000" w:themeColor="text1"/>
              </w:rPr>
              <w:t>Chromsome</w:t>
            </w:r>
            <w:proofErr w:type="spellEnd"/>
            <w:r w:rsidRPr="00025A3F">
              <w:rPr>
                <w:rFonts w:cstheme="minorHAnsi"/>
                <w:bCs/>
                <w:color w:val="000000" w:themeColor="text1"/>
              </w:rPr>
              <w:t>, chromosomal position, reference allele, SNP, nucleotide change and position and the amino acid change and position is shown for each non-synonymous SNP, frequencies are then shown by column for each country.</w:t>
            </w:r>
          </w:p>
          <w:p w14:paraId="59EB6975" w14:textId="77777777" w:rsidR="001261BC" w:rsidRPr="00D0161E" w:rsidRDefault="00BD1AEC" w:rsidP="00D0161E">
            <w:pPr>
              <w:spacing w:line="480" w:lineRule="auto"/>
              <w:rPr>
                <w:rFonts w:cstheme="minorHAnsi"/>
                <w:color w:val="000000" w:themeColor="text1"/>
              </w:rPr>
            </w:pPr>
            <w:r w:rsidRPr="00025A3F">
              <w:rPr>
                <w:rFonts w:cstheme="minorHAnsi"/>
                <w:color w:val="000000" w:themeColor="text1"/>
                <w:highlight w:val="green"/>
              </w:rPr>
              <w:t>TABLE PROVIDED AS A SEPARATE FILE</w:t>
            </w:r>
            <w:r w:rsidR="001261BC" w:rsidRPr="00D0161E">
              <w:rPr>
                <w:rFonts w:cstheme="minorHAnsi"/>
                <w:color w:val="000000" w:themeColor="text1"/>
              </w:rPr>
              <w:t>.</w:t>
            </w:r>
          </w:p>
          <w:p w14:paraId="37398BC4" w14:textId="77777777" w:rsidR="001261BC" w:rsidRPr="00D0161E" w:rsidRDefault="001261BC" w:rsidP="00D0161E">
            <w:pPr>
              <w:spacing w:line="480" w:lineRule="auto"/>
              <w:rPr>
                <w:rFonts w:cstheme="minorHAnsi"/>
                <w:color w:val="000000" w:themeColor="text1"/>
              </w:rPr>
            </w:pPr>
          </w:p>
        </w:tc>
      </w:tr>
    </w:tbl>
    <w:p w14:paraId="47CE3084" w14:textId="77777777" w:rsidR="0095004D" w:rsidRPr="00D0161E" w:rsidRDefault="0095004D" w:rsidP="00D0161E">
      <w:pPr>
        <w:spacing w:line="480" w:lineRule="auto"/>
        <w:rPr>
          <w:color w:val="000000" w:themeColor="text1"/>
        </w:rPr>
        <w:sectPr w:rsidR="0095004D" w:rsidRPr="00D0161E">
          <w:pgSz w:w="11906" w:h="16838"/>
          <w:pgMar w:top="1440" w:right="1440" w:bottom="1440" w:left="1440" w:header="709" w:footer="709" w:gutter="0"/>
          <w:cols w:space="708"/>
          <w:docGrid w:linePitch="360"/>
        </w:sectPr>
      </w:pPr>
    </w:p>
    <w:p w14:paraId="4C281C48" w14:textId="77777777" w:rsidR="0095004D" w:rsidRPr="00D0161E" w:rsidRDefault="00994C95" w:rsidP="00D0161E">
      <w:pPr>
        <w:spacing w:line="480" w:lineRule="auto"/>
        <w:rPr>
          <w:color w:val="000000" w:themeColor="text1"/>
        </w:rPr>
      </w:pPr>
      <w:r w:rsidRPr="00D0161E">
        <w:rPr>
          <w:noProof/>
          <w:color w:val="000000" w:themeColor="text1"/>
          <w:lang w:val="en-US" w:eastAsia="en-US"/>
        </w:rPr>
        <w:drawing>
          <wp:inline distT="0" distB="0" distL="0" distR="0" wp14:anchorId="036ED635" wp14:editId="4E1C56D1">
            <wp:extent cx="5784850" cy="4135324"/>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525" t="2952" r="2273" b="3472"/>
                    <a:stretch/>
                  </pic:blipFill>
                  <pic:spPr bwMode="auto">
                    <a:xfrm>
                      <a:off x="0" y="0"/>
                      <a:ext cx="5792872" cy="4141058"/>
                    </a:xfrm>
                    <a:prstGeom prst="rect">
                      <a:avLst/>
                    </a:prstGeom>
                    <a:noFill/>
                    <a:ln>
                      <a:noFill/>
                    </a:ln>
                    <a:extLst>
                      <a:ext uri="{53640926-AAD7-44D8-BBD7-CCE9431645EC}">
                        <a14:shadowObscured xmlns:a14="http://schemas.microsoft.com/office/drawing/2010/main"/>
                      </a:ext>
                    </a:extLst>
                  </pic:spPr>
                </pic:pic>
              </a:graphicData>
            </a:graphic>
          </wp:inline>
        </w:drawing>
      </w:r>
      <w:r w:rsidR="0095004D" w:rsidRPr="00D0161E">
        <w:rPr>
          <w:noProof/>
          <w:color w:val="000000" w:themeColor="text1"/>
          <w:lang w:val="en-US" w:eastAsia="en-US"/>
        </w:rPr>
        <w:drawing>
          <wp:inline distT="0" distB="0" distL="0" distR="0" wp14:anchorId="303B662B" wp14:editId="71CB5C14">
            <wp:extent cx="2428647" cy="54760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426" t="78200" r="21731" b="4190"/>
                    <a:stretch/>
                  </pic:blipFill>
                  <pic:spPr bwMode="auto">
                    <a:xfrm>
                      <a:off x="0" y="0"/>
                      <a:ext cx="2455158" cy="553578"/>
                    </a:xfrm>
                    <a:prstGeom prst="rect">
                      <a:avLst/>
                    </a:prstGeom>
                    <a:noFill/>
                    <a:ln>
                      <a:noFill/>
                    </a:ln>
                    <a:extLst>
                      <a:ext uri="{53640926-AAD7-44D8-BBD7-CCE9431645EC}">
                        <a14:shadowObscured xmlns:a14="http://schemas.microsoft.com/office/drawing/2010/main"/>
                      </a:ext>
                    </a:extLst>
                  </pic:spPr>
                </pic:pic>
              </a:graphicData>
            </a:graphic>
          </wp:inline>
        </w:drawing>
      </w:r>
    </w:p>
    <w:p w14:paraId="39D1D850" w14:textId="0646CEF3" w:rsidR="006C52A4" w:rsidRPr="00025A3F" w:rsidRDefault="00BD1AEC" w:rsidP="00D0161E">
      <w:pPr>
        <w:spacing w:line="480" w:lineRule="auto"/>
        <w:rPr>
          <w:b/>
          <w:color w:val="000000" w:themeColor="text1"/>
        </w:rPr>
      </w:pPr>
      <w:r w:rsidRPr="00025A3F">
        <w:rPr>
          <w:b/>
          <w:color w:val="000000" w:themeColor="text1"/>
        </w:rPr>
        <w:t xml:space="preserve">Supplementary Fig. </w:t>
      </w:r>
      <w:proofErr w:type="gramStart"/>
      <w:r w:rsidRPr="00025A3F">
        <w:rPr>
          <w:b/>
          <w:color w:val="000000" w:themeColor="text1"/>
        </w:rPr>
        <w:t>1  Residual</w:t>
      </w:r>
      <w:proofErr w:type="gramEnd"/>
      <w:r w:rsidRPr="00025A3F">
        <w:rPr>
          <w:b/>
          <w:color w:val="000000" w:themeColor="text1"/>
        </w:rPr>
        <w:t xml:space="preserve"> activity of</w:t>
      </w:r>
      <w:r w:rsidR="00D54567">
        <w:rPr>
          <w:b/>
          <w:color w:val="000000" w:themeColor="text1"/>
        </w:rPr>
        <w:t xml:space="preserve"> </w:t>
      </w:r>
      <w:proofErr w:type="spellStart"/>
      <w:r w:rsidR="00D54567">
        <w:rPr>
          <w:b/>
          <w:color w:val="000000" w:themeColor="text1"/>
        </w:rPr>
        <w:t>Tenebenal</w:t>
      </w:r>
      <w:r w:rsidR="001160AD" w:rsidRPr="006C52A4">
        <w:rPr>
          <w:b/>
          <w:bCs/>
          <w:color w:val="000000" w:themeColor="text1"/>
          <w:vertAlign w:val="superscript"/>
        </w:rPr>
        <w:t>TM</w:t>
      </w:r>
      <w:proofErr w:type="spellEnd"/>
      <w:r w:rsidRPr="00025A3F">
        <w:rPr>
          <w:b/>
          <w:color w:val="000000" w:themeColor="text1"/>
        </w:rPr>
        <w:t xml:space="preserve"> WP applied in four concentrations as a prototype WP IRS to four surface materials, in comparison to an untreated control, measured as mortality in adult female </w:t>
      </w:r>
      <w:r w:rsidRPr="00025A3F">
        <w:rPr>
          <w:b/>
          <w:i/>
          <w:color w:val="000000" w:themeColor="text1"/>
        </w:rPr>
        <w:t xml:space="preserve">Anopheles gambiae </w:t>
      </w:r>
      <w:r w:rsidRPr="00025A3F">
        <w:rPr>
          <w:b/>
          <w:color w:val="000000" w:themeColor="text1"/>
        </w:rPr>
        <w:t>of the Kisumu strain 48 hours after exposure</w:t>
      </w:r>
    </w:p>
    <w:p w14:paraId="42644CF4" w14:textId="69D87DB9" w:rsidR="001160AD" w:rsidRDefault="001160AD" w:rsidP="00D0161E">
      <w:pPr>
        <w:spacing w:line="480" w:lineRule="auto"/>
        <w:rPr>
          <w:color w:val="000000" w:themeColor="text1"/>
        </w:rPr>
      </w:pPr>
      <w:r w:rsidRPr="00D0161E">
        <w:rPr>
          <w:color w:val="000000" w:themeColor="text1"/>
        </w:rPr>
        <w:t xml:space="preserve">Mosquitoes were exposed to mud, cement, ceramic tiles or wood treated with 0.025, 0.05, 0.1 or 0.2% solutions of </w:t>
      </w:r>
      <w:proofErr w:type="spellStart"/>
      <w:r w:rsidR="00D54567">
        <w:rPr>
          <w:color w:val="000000" w:themeColor="text1"/>
        </w:rPr>
        <w:t>Tenebenal</w:t>
      </w:r>
      <w:r w:rsidR="00D54567" w:rsidRPr="00D0161E">
        <w:rPr>
          <w:b/>
          <w:bCs/>
          <w:color w:val="000000" w:themeColor="text1"/>
          <w:vertAlign w:val="superscript"/>
        </w:rPr>
        <w:t>TM</w:t>
      </w:r>
      <w:proofErr w:type="spellEnd"/>
      <w:r w:rsidR="00D54567" w:rsidRPr="00D0161E">
        <w:rPr>
          <w:color w:val="000000" w:themeColor="text1"/>
        </w:rPr>
        <w:t xml:space="preserve"> </w:t>
      </w:r>
      <w:r w:rsidRPr="00D0161E">
        <w:rPr>
          <w:color w:val="000000" w:themeColor="text1"/>
        </w:rPr>
        <w:t xml:space="preserve">WP or an untreated negative control, and mortality observed 24 hours after exposure. Values shown are average mortality in 30 mosquitoes, 10 exposed to each of three replicate tiles. </w:t>
      </w:r>
      <w:r w:rsidRPr="00D0161E">
        <w:rPr>
          <w:noProof/>
          <w:color w:val="000000" w:themeColor="text1"/>
        </w:rPr>
        <w:t>Mud tiles with 0.025 and 0.05% were withdrawn after month 14 due to low activity, but assays were continued with higher concentrations until month 20.</w:t>
      </w:r>
      <w:r w:rsidRPr="00D0161E">
        <w:rPr>
          <w:color w:val="000000" w:themeColor="text1"/>
        </w:rPr>
        <w:t xml:space="preserve"> Mortality in the negative control ceramic tile for month 10 was anomalously high but returned to expected value at subsequent time points; this datapoint is omitted from the </w:t>
      </w:r>
      <w:r w:rsidR="006C52A4">
        <w:rPr>
          <w:color w:val="000000" w:themeColor="text1"/>
        </w:rPr>
        <w:t>F</w:t>
      </w:r>
      <w:r w:rsidRPr="00D0161E">
        <w:rPr>
          <w:color w:val="000000" w:themeColor="text1"/>
        </w:rPr>
        <w:t>igure.</w:t>
      </w:r>
    </w:p>
    <w:p w14:paraId="1CE908F4" w14:textId="77777777" w:rsidR="006C52A4" w:rsidRDefault="006C52A4">
      <w:pPr>
        <w:spacing w:after="160" w:line="259" w:lineRule="auto"/>
        <w:rPr>
          <w:color w:val="000000" w:themeColor="text1"/>
        </w:rPr>
      </w:pPr>
      <w:r>
        <w:rPr>
          <w:color w:val="000000" w:themeColor="text1"/>
        </w:rPr>
        <w:br w:type="page"/>
      </w:r>
    </w:p>
    <w:p w14:paraId="33094A17" w14:textId="77777777" w:rsidR="006C52A4" w:rsidRPr="00D0161E" w:rsidRDefault="006C52A4" w:rsidP="00D0161E">
      <w:pPr>
        <w:spacing w:line="480" w:lineRule="auto"/>
        <w:rPr>
          <w:color w:val="000000" w:themeColor="text1"/>
        </w:rPr>
      </w:pPr>
    </w:p>
    <w:p w14:paraId="066C18D8" w14:textId="77777777" w:rsidR="001160AD" w:rsidRPr="00D0161E" w:rsidRDefault="003C5EA8" w:rsidP="00D0161E">
      <w:pPr>
        <w:spacing w:line="480" w:lineRule="auto"/>
        <w:rPr>
          <w:color w:val="000000" w:themeColor="text1"/>
        </w:rPr>
      </w:pPr>
      <w:r w:rsidRPr="00D0161E">
        <w:rPr>
          <w:noProof/>
          <w:color w:val="000000" w:themeColor="text1"/>
          <w:lang w:val="en-US" w:eastAsia="en-US"/>
        </w:rPr>
        <w:drawing>
          <wp:inline distT="0" distB="0" distL="0" distR="0" wp14:anchorId="21987104" wp14:editId="703462C5">
            <wp:extent cx="5391150" cy="3894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78" t="2432" r="2651" b="3645"/>
                    <a:stretch/>
                  </pic:blipFill>
                  <pic:spPr bwMode="auto">
                    <a:xfrm>
                      <a:off x="0" y="0"/>
                      <a:ext cx="5396348" cy="3897762"/>
                    </a:xfrm>
                    <a:prstGeom prst="rect">
                      <a:avLst/>
                    </a:prstGeom>
                    <a:noFill/>
                    <a:ln>
                      <a:noFill/>
                    </a:ln>
                    <a:extLst>
                      <a:ext uri="{53640926-AAD7-44D8-BBD7-CCE9431645EC}">
                        <a14:shadowObscured xmlns:a14="http://schemas.microsoft.com/office/drawing/2010/main"/>
                      </a:ext>
                    </a:extLst>
                  </pic:spPr>
                </pic:pic>
              </a:graphicData>
            </a:graphic>
          </wp:inline>
        </w:drawing>
      </w:r>
    </w:p>
    <w:p w14:paraId="7C01CAB1" w14:textId="77777777" w:rsidR="00B03B91" w:rsidRPr="00D0161E" w:rsidRDefault="00B03B91" w:rsidP="00D0161E">
      <w:pPr>
        <w:spacing w:line="480" w:lineRule="auto"/>
        <w:rPr>
          <w:color w:val="000000" w:themeColor="text1"/>
        </w:rPr>
      </w:pPr>
      <w:r w:rsidRPr="00D0161E">
        <w:rPr>
          <w:noProof/>
          <w:color w:val="000000" w:themeColor="text1"/>
          <w:lang w:val="en-US" w:eastAsia="en-US"/>
        </w:rPr>
        <w:drawing>
          <wp:inline distT="0" distB="0" distL="0" distR="0" wp14:anchorId="24BE01E0" wp14:editId="285AADD7">
            <wp:extent cx="2428647" cy="54760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426" t="78200" r="21731" b="4190"/>
                    <a:stretch/>
                  </pic:blipFill>
                  <pic:spPr bwMode="auto">
                    <a:xfrm>
                      <a:off x="0" y="0"/>
                      <a:ext cx="2455158" cy="553578"/>
                    </a:xfrm>
                    <a:prstGeom prst="rect">
                      <a:avLst/>
                    </a:prstGeom>
                    <a:noFill/>
                    <a:ln>
                      <a:noFill/>
                    </a:ln>
                    <a:extLst>
                      <a:ext uri="{53640926-AAD7-44D8-BBD7-CCE9431645EC}">
                        <a14:shadowObscured xmlns:a14="http://schemas.microsoft.com/office/drawing/2010/main"/>
                      </a:ext>
                    </a:extLst>
                  </pic:spPr>
                </pic:pic>
              </a:graphicData>
            </a:graphic>
          </wp:inline>
        </w:drawing>
      </w:r>
    </w:p>
    <w:p w14:paraId="6BC9D94A" w14:textId="2AF4A9F0" w:rsidR="006C52A4" w:rsidRPr="00025A3F" w:rsidRDefault="00BD1AEC" w:rsidP="00D0161E">
      <w:pPr>
        <w:spacing w:line="480" w:lineRule="auto"/>
        <w:rPr>
          <w:b/>
          <w:color w:val="000000" w:themeColor="text1"/>
        </w:rPr>
      </w:pPr>
      <w:r w:rsidRPr="00025A3F">
        <w:rPr>
          <w:b/>
          <w:color w:val="000000" w:themeColor="text1"/>
        </w:rPr>
        <w:t xml:space="preserve">Supplementary Fig. </w:t>
      </w:r>
      <w:proofErr w:type="gramStart"/>
      <w:r w:rsidRPr="00025A3F">
        <w:rPr>
          <w:b/>
          <w:color w:val="000000" w:themeColor="text1"/>
        </w:rPr>
        <w:t>2  Residual</w:t>
      </w:r>
      <w:proofErr w:type="gramEnd"/>
      <w:r w:rsidRPr="00025A3F">
        <w:rPr>
          <w:b/>
          <w:color w:val="000000" w:themeColor="text1"/>
        </w:rPr>
        <w:t xml:space="preserve"> activity of </w:t>
      </w:r>
      <w:proofErr w:type="spellStart"/>
      <w:r w:rsidR="00D54567" w:rsidRPr="00D54567">
        <w:rPr>
          <w:b/>
          <w:color w:val="000000" w:themeColor="text1"/>
        </w:rPr>
        <w:t>Tenebenal</w:t>
      </w:r>
      <w:r w:rsidR="0095004D" w:rsidRPr="006C52A4">
        <w:rPr>
          <w:b/>
          <w:bCs/>
          <w:color w:val="000000" w:themeColor="text1"/>
          <w:vertAlign w:val="superscript"/>
        </w:rPr>
        <w:t>TM</w:t>
      </w:r>
      <w:proofErr w:type="spellEnd"/>
      <w:r w:rsidRPr="00025A3F">
        <w:rPr>
          <w:b/>
          <w:color w:val="000000" w:themeColor="text1"/>
        </w:rPr>
        <w:t xml:space="preserve"> WP applied in four concentrations as a prototype WP IRS to four surface materials, in comparison to an untreated control, measured as mortality in adult female </w:t>
      </w:r>
      <w:r w:rsidRPr="00025A3F">
        <w:rPr>
          <w:b/>
          <w:i/>
          <w:color w:val="000000" w:themeColor="text1"/>
        </w:rPr>
        <w:t xml:space="preserve">Anopheles gambiae </w:t>
      </w:r>
      <w:r w:rsidRPr="00025A3F">
        <w:rPr>
          <w:b/>
          <w:color w:val="000000" w:themeColor="text1"/>
        </w:rPr>
        <w:t>of the Kisumu strain 72 hours after exposure</w:t>
      </w:r>
    </w:p>
    <w:p w14:paraId="39A1E8CA" w14:textId="5139C352" w:rsidR="001160AD" w:rsidRDefault="0095004D" w:rsidP="00D0161E">
      <w:pPr>
        <w:spacing w:line="480" w:lineRule="auto"/>
        <w:rPr>
          <w:color w:val="000000" w:themeColor="text1"/>
        </w:rPr>
      </w:pPr>
      <w:r w:rsidRPr="00D0161E">
        <w:rPr>
          <w:color w:val="000000" w:themeColor="text1"/>
        </w:rPr>
        <w:t xml:space="preserve">Mosquitoes were exposed to mud, cement, ceramic tiles or wood treated with 0.025, 0.05, 0.1 or 0.2% solutions of </w:t>
      </w:r>
      <w:proofErr w:type="spellStart"/>
      <w:r w:rsidR="00D54567">
        <w:rPr>
          <w:color w:val="000000" w:themeColor="text1"/>
        </w:rPr>
        <w:t>Tenebenal</w:t>
      </w:r>
      <w:r w:rsidRPr="00D0161E">
        <w:rPr>
          <w:b/>
          <w:bCs/>
          <w:color w:val="000000" w:themeColor="text1"/>
          <w:vertAlign w:val="superscript"/>
        </w:rPr>
        <w:t>TM</w:t>
      </w:r>
      <w:proofErr w:type="spellEnd"/>
      <w:r w:rsidRPr="00D0161E">
        <w:rPr>
          <w:color w:val="000000" w:themeColor="text1"/>
        </w:rPr>
        <w:t xml:space="preserve"> WP or an untreated negative control, and mortality observed 24 hours after exposure. Values shown are average mortality in 30 mosquitoes, 10 exposed to each of three replicate tiles. </w:t>
      </w:r>
      <w:r w:rsidRPr="00D0161E">
        <w:rPr>
          <w:noProof/>
          <w:color w:val="000000" w:themeColor="text1"/>
        </w:rPr>
        <w:t>Mud tiles with 0.025 and 0.05% were withdrawn after month 14 due to low activity, but assays were continued with higher concentrations until month 20.</w:t>
      </w:r>
      <w:r w:rsidRPr="00D0161E">
        <w:rPr>
          <w:color w:val="000000" w:themeColor="text1"/>
        </w:rPr>
        <w:t xml:space="preserve"> </w:t>
      </w:r>
      <w:r w:rsidR="003C5EA8" w:rsidRPr="00D0161E">
        <w:rPr>
          <w:color w:val="000000" w:themeColor="text1"/>
        </w:rPr>
        <w:t xml:space="preserve">Mortality in the negative control ceramic tile for month 10 was anomalously high but returned to expected value at subsequent time points; this datapoint is omitted from the </w:t>
      </w:r>
      <w:r w:rsidR="006C52A4">
        <w:rPr>
          <w:color w:val="000000" w:themeColor="text1"/>
        </w:rPr>
        <w:t>F</w:t>
      </w:r>
      <w:r w:rsidR="003C5EA8" w:rsidRPr="00D0161E">
        <w:rPr>
          <w:color w:val="000000" w:themeColor="text1"/>
        </w:rPr>
        <w:t>igure.</w:t>
      </w:r>
    </w:p>
    <w:p w14:paraId="136C5F6F" w14:textId="77777777" w:rsidR="006C52A4" w:rsidRDefault="006C52A4">
      <w:pPr>
        <w:spacing w:after="160" w:line="259" w:lineRule="auto"/>
        <w:rPr>
          <w:color w:val="000000" w:themeColor="text1"/>
        </w:rPr>
      </w:pPr>
      <w:r>
        <w:rPr>
          <w:color w:val="000000" w:themeColor="text1"/>
        </w:rPr>
        <w:br w:type="page"/>
      </w:r>
    </w:p>
    <w:p w14:paraId="3F95D4D4" w14:textId="77777777" w:rsidR="006C52A4" w:rsidRPr="00D0161E" w:rsidRDefault="006C52A4" w:rsidP="00D0161E">
      <w:pPr>
        <w:spacing w:line="480" w:lineRule="auto"/>
        <w:rPr>
          <w:color w:val="000000" w:themeColor="text1"/>
        </w:rPr>
      </w:pPr>
    </w:p>
    <w:p w14:paraId="7212A8FF" w14:textId="77777777" w:rsidR="0095004D" w:rsidRPr="00D0161E" w:rsidRDefault="00B03B91" w:rsidP="00D0161E">
      <w:pPr>
        <w:spacing w:line="480" w:lineRule="auto"/>
        <w:rPr>
          <w:color w:val="000000" w:themeColor="text1"/>
        </w:rPr>
      </w:pPr>
      <w:r w:rsidRPr="00D0161E">
        <w:rPr>
          <w:noProof/>
          <w:color w:val="000000" w:themeColor="text1"/>
          <w:lang w:val="en-US" w:eastAsia="en-US"/>
        </w:rPr>
        <w:drawing>
          <wp:inline distT="0" distB="0" distL="0" distR="0" wp14:anchorId="39CBE52D" wp14:editId="5E23C18B">
            <wp:extent cx="5511800" cy="3987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99" t="2604" r="2651" b="2952"/>
                    <a:stretch/>
                  </pic:blipFill>
                  <pic:spPr bwMode="auto">
                    <a:xfrm>
                      <a:off x="0" y="0"/>
                      <a:ext cx="5517198" cy="3991165"/>
                    </a:xfrm>
                    <a:prstGeom prst="rect">
                      <a:avLst/>
                    </a:prstGeom>
                    <a:noFill/>
                    <a:ln>
                      <a:noFill/>
                    </a:ln>
                    <a:extLst>
                      <a:ext uri="{53640926-AAD7-44D8-BBD7-CCE9431645EC}">
                        <a14:shadowObscured xmlns:a14="http://schemas.microsoft.com/office/drawing/2010/main"/>
                      </a:ext>
                    </a:extLst>
                  </pic:spPr>
                </pic:pic>
              </a:graphicData>
            </a:graphic>
          </wp:inline>
        </w:drawing>
      </w:r>
    </w:p>
    <w:p w14:paraId="50EA32A0" w14:textId="77777777" w:rsidR="00B03B91" w:rsidRPr="00D0161E" w:rsidRDefault="00B03B91" w:rsidP="00D0161E">
      <w:pPr>
        <w:spacing w:line="480" w:lineRule="auto"/>
        <w:rPr>
          <w:color w:val="000000" w:themeColor="text1"/>
        </w:rPr>
      </w:pPr>
      <w:r w:rsidRPr="00D0161E">
        <w:rPr>
          <w:noProof/>
          <w:color w:val="000000" w:themeColor="text1"/>
          <w:lang w:val="en-US" w:eastAsia="en-US"/>
        </w:rPr>
        <w:drawing>
          <wp:inline distT="0" distB="0" distL="0" distR="0" wp14:anchorId="1CC4D54E" wp14:editId="4637C2B7">
            <wp:extent cx="2428647" cy="54760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426" t="78200" r="21731" b="4190"/>
                    <a:stretch/>
                  </pic:blipFill>
                  <pic:spPr bwMode="auto">
                    <a:xfrm>
                      <a:off x="0" y="0"/>
                      <a:ext cx="2455158" cy="553578"/>
                    </a:xfrm>
                    <a:prstGeom prst="rect">
                      <a:avLst/>
                    </a:prstGeom>
                    <a:noFill/>
                    <a:ln>
                      <a:noFill/>
                    </a:ln>
                    <a:extLst>
                      <a:ext uri="{53640926-AAD7-44D8-BBD7-CCE9431645EC}">
                        <a14:shadowObscured xmlns:a14="http://schemas.microsoft.com/office/drawing/2010/main"/>
                      </a:ext>
                    </a:extLst>
                  </pic:spPr>
                </pic:pic>
              </a:graphicData>
            </a:graphic>
          </wp:inline>
        </w:drawing>
      </w:r>
    </w:p>
    <w:p w14:paraId="43A504DC" w14:textId="06D212ED" w:rsidR="006C52A4" w:rsidRPr="00025A3F" w:rsidRDefault="00BD1AEC" w:rsidP="00D0161E">
      <w:pPr>
        <w:spacing w:line="480" w:lineRule="auto"/>
        <w:rPr>
          <w:b/>
          <w:color w:val="000000" w:themeColor="text1"/>
        </w:rPr>
      </w:pPr>
      <w:r w:rsidRPr="00025A3F">
        <w:rPr>
          <w:b/>
          <w:color w:val="000000" w:themeColor="text1"/>
        </w:rPr>
        <w:t xml:space="preserve">Supplementary Fig. </w:t>
      </w:r>
      <w:proofErr w:type="gramStart"/>
      <w:r w:rsidRPr="00025A3F">
        <w:rPr>
          <w:b/>
          <w:color w:val="000000" w:themeColor="text1"/>
        </w:rPr>
        <w:t>3  Residual</w:t>
      </w:r>
      <w:proofErr w:type="gramEnd"/>
      <w:r w:rsidRPr="00025A3F">
        <w:rPr>
          <w:b/>
          <w:color w:val="000000" w:themeColor="text1"/>
        </w:rPr>
        <w:t xml:space="preserve"> activity of </w:t>
      </w:r>
      <w:proofErr w:type="spellStart"/>
      <w:r w:rsidR="00D54567" w:rsidRPr="00D54567">
        <w:rPr>
          <w:b/>
          <w:color w:val="000000" w:themeColor="text1"/>
        </w:rPr>
        <w:t>Tenebenal</w:t>
      </w:r>
      <w:r w:rsidR="0095004D" w:rsidRPr="006C52A4">
        <w:rPr>
          <w:b/>
          <w:bCs/>
          <w:color w:val="000000" w:themeColor="text1"/>
          <w:vertAlign w:val="superscript"/>
        </w:rPr>
        <w:t>TM</w:t>
      </w:r>
      <w:proofErr w:type="spellEnd"/>
      <w:r w:rsidRPr="00025A3F">
        <w:rPr>
          <w:b/>
          <w:color w:val="000000" w:themeColor="text1"/>
        </w:rPr>
        <w:t xml:space="preserve"> WP applied in four concentrations as a prototype WP IRS to four surface materials, in comparison to an untreated control, measured as knock down in adult female </w:t>
      </w:r>
      <w:r w:rsidRPr="00025A3F">
        <w:rPr>
          <w:b/>
          <w:i/>
          <w:color w:val="000000" w:themeColor="text1"/>
        </w:rPr>
        <w:t xml:space="preserve">Anopheles gambiae </w:t>
      </w:r>
      <w:r w:rsidRPr="00025A3F">
        <w:rPr>
          <w:b/>
          <w:color w:val="000000" w:themeColor="text1"/>
        </w:rPr>
        <w:t>of the Kisumu strain observed immediately after exposure</w:t>
      </w:r>
    </w:p>
    <w:p w14:paraId="24D0FC15" w14:textId="0816EBA0" w:rsidR="003B734B" w:rsidRPr="00D0161E" w:rsidRDefault="0095004D" w:rsidP="00D0161E">
      <w:pPr>
        <w:spacing w:line="480" w:lineRule="auto"/>
        <w:rPr>
          <w:color w:val="000000" w:themeColor="text1"/>
        </w:rPr>
      </w:pPr>
      <w:r w:rsidRPr="00D0161E">
        <w:rPr>
          <w:color w:val="000000" w:themeColor="text1"/>
        </w:rPr>
        <w:t xml:space="preserve">Mosquitoes were exposed to mud, cement, ceramic tiles or wood treated with 0.025, 0.05, 0.1 or 0.2% solutions of </w:t>
      </w:r>
      <w:proofErr w:type="spellStart"/>
      <w:r w:rsidR="00D54567">
        <w:rPr>
          <w:color w:val="000000" w:themeColor="text1"/>
        </w:rPr>
        <w:t>Tenebenal</w:t>
      </w:r>
      <w:r w:rsidRPr="00D0161E">
        <w:rPr>
          <w:b/>
          <w:bCs/>
          <w:color w:val="000000" w:themeColor="text1"/>
          <w:vertAlign w:val="superscript"/>
        </w:rPr>
        <w:t>TM</w:t>
      </w:r>
      <w:proofErr w:type="spellEnd"/>
      <w:r w:rsidRPr="00D0161E">
        <w:rPr>
          <w:color w:val="000000" w:themeColor="text1"/>
        </w:rPr>
        <w:t xml:space="preserve"> WP or an untreated negative control, and mortality observed 24 hours after exposure. Values shown are average mortality in 30 mosquitoes, 10 exposed to each of three replicate tiles.  </w:t>
      </w:r>
      <w:r w:rsidRPr="00D0161E">
        <w:rPr>
          <w:noProof/>
          <w:color w:val="000000" w:themeColor="text1"/>
        </w:rPr>
        <w:t>Mud tiles with 0.025 and 0.05% were withdrawn after month 14 due to low activity, but assays were continued with higher concentrations until month 20.</w:t>
      </w:r>
      <w:r w:rsidRPr="00D0161E">
        <w:rPr>
          <w:color w:val="000000" w:themeColor="text1"/>
        </w:rPr>
        <w:t xml:space="preserve"> </w:t>
      </w:r>
      <w:r w:rsidR="003B734B" w:rsidRPr="00D0161E">
        <w:rPr>
          <w:color w:val="000000" w:themeColor="text1"/>
        </w:rPr>
        <w:br w:type="page"/>
      </w:r>
    </w:p>
    <w:p w14:paraId="00636C4D" w14:textId="77777777" w:rsidR="0095004D" w:rsidRPr="00D0161E" w:rsidRDefault="0095004D" w:rsidP="00D0161E">
      <w:pPr>
        <w:spacing w:line="480" w:lineRule="auto"/>
        <w:rPr>
          <w:color w:val="000000" w:themeColor="text1"/>
        </w:rPr>
      </w:pPr>
    </w:p>
    <w:p w14:paraId="013E8212" w14:textId="77777777" w:rsidR="0095004D" w:rsidRPr="00D0161E" w:rsidRDefault="0095004D" w:rsidP="00D0161E">
      <w:pPr>
        <w:spacing w:line="480" w:lineRule="auto"/>
        <w:rPr>
          <w:noProof/>
          <w:color w:val="000000" w:themeColor="text1"/>
        </w:rPr>
      </w:pPr>
      <w:r w:rsidRPr="00D0161E">
        <w:rPr>
          <w:noProof/>
          <w:color w:val="000000" w:themeColor="text1"/>
          <w:szCs w:val="20"/>
          <w:lang w:val="en-US" w:eastAsia="en-US"/>
        </w:rPr>
        <w:drawing>
          <wp:inline distT="0" distB="0" distL="0" distR="0" wp14:anchorId="6435B4DB" wp14:editId="7B680F3F">
            <wp:extent cx="5581650" cy="4001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l="2080" t="3377" r="2458" b="2597"/>
                    <a:stretch/>
                  </pic:blipFill>
                  <pic:spPr bwMode="auto">
                    <a:xfrm>
                      <a:off x="0" y="0"/>
                      <a:ext cx="5619400" cy="4028164"/>
                    </a:xfrm>
                    <a:prstGeom prst="rect">
                      <a:avLst/>
                    </a:prstGeom>
                    <a:noFill/>
                    <a:ln>
                      <a:noFill/>
                    </a:ln>
                    <a:extLst>
                      <a:ext uri="{53640926-AAD7-44D8-BBD7-CCE9431645EC}">
                        <a14:shadowObscured xmlns:a14="http://schemas.microsoft.com/office/drawing/2010/main"/>
                      </a:ext>
                    </a:extLst>
                  </pic:spPr>
                </pic:pic>
              </a:graphicData>
            </a:graphic>
          </wp:inline>
        </w:drawing>
      </w:r>
    </w:p>
    <w:p w14:paraId="56109394" w14:textId="77777777" w:rsidR="0095004D" w:rsidRPr="00D0161E" w:rsidRDefault="0095004D" w:rsidP="00D0161E">
      <w:pPr>
        <w:spacing w:line="480" w:lineRule="auto"/>
        <w:rPr>
          <w:color w:val="000000" w:themeColor="text1"/>
          <w:highlight w:val="yellow"/>
        </w:rPr>
      </w:pPr>
      <w:r w:rsidRPr="00D0161E">
        <w:rPr>
          <w:noProof/>
          <w:color w:val="000000" w:themeColor="text1"/>
          <w:lang w:val="en-US" w:eastAsia="en-US"/>
        </w:rPr>
        <w:drawing>
          <wp:inline distT="0" distB="0" distL="0" distR="0" wp14:anchorId="621DCDFC" wp14:editId="2C741E2E">
            <wp:extent cx="5715000" cy="7468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t="82031"/>
                    <a:stretch/>
                  </pic:blipFill>
                  <pic:spPr bwMode="auto">
                    <a:xfrm>
                      <a:off x="0" y="0"/>
                      <a:ext cx="5996656" cy="783654"/>
                    </a:xfrm>
                    <a:prstGeom prst="rect">
                      <a:avLst/>
                    </a:prstGeom>
                    <a:noFill/>
                    <a:ln>
                      <a:noFill/>
                    </a:ln>
                    <a:extLst>
                      <a:ext uri="{53640926-AAD7-44D8-BBD7-CCE9431645EC}">
                        <a14:shadowObscured xmlns:a14="http://schemas.microsoft.com/office/drawing/2010/main"/>
                      </a:ext>
                    </a:extLst>
                  </pic:spPr>
                </pic:pic>
              </a:graphicData>
            </a:graphic>
          </wp:inline>
        </w:drawing>
      </w:r>
    </w:p>
    <w:p w14:paraId="54FA6EF7" w14:textId="0150AC54" w:rsidR="006C52A4" w:rsidRPr="00025A3F" w:rsidRDefault="00BD1AEC" w:rsidP="00D0161E">
      <w:pPr>
        <w:spacing w:line="480" w:lineRule="auto"/>
        <w:rPr>
          <w:b/>
          <w:color w:val="000000" w:themeColor="text1"/>
        </w:rPr>
      </w:pPr>
      <w:r w:rsidRPr="00025A3F">
        <w:rPr>
          <w:b/>
          <w:color w:val="000000" w:themeColor="text1"/>
        </w:rPr>
        <w:t xml:space="preserve">Supplementary Fig. </w:t>
      </w:r>
      <w:proofErr w:type="gramStart"/>
      <w:r w:rsidRPr="00025A3F">
        <w:rPr>
          <w:b/>
          <w:color w:val="000000" w:themeColor="text1"/>
        </w:rPr>
        <w:t>4  Residual</w:t>
      </w:r>
      <w:proofErr w:type="gramEnd"/>
      <w:r w:rsidRPr="00025A3F">
        <w:rPr>
          <w:b/>
          <w:color w:val="000000" w:themeColor="text1"/>
        </w:rPr>
        <w:t xml:space="preserve"> efficacy of three standard IRS formulations applied to four substrates, in comparison to an untreated control, measured as mortality in adult female </w:t>
      </w:r>
      <w:r w:rsidRPr="00025A3F">
        <w:rPr>
          <w:b/>
          <w:i/>
          <w:color w:val="000000" w:themeColor="text1"/>
        </w:rPr>
        <w:t xml:space="preserve">Anopheles gambiae </w:t>
      </w:r>
      <w:r w:rsidRPr="00025A3F">
        <w:rPr>
          <w:b/>
          <w:color w:val="000000" w:themeColor="text1"/>
        </w:rPr>
        <w:t>of the Kisumu strain 24 hours after exposure</w:t>
      </w:r>
    </w:p>
    <w:p w14:paraId="267FE2DB" w14:textId="1DA888AD" w:rsidR="0095004D" w:rsidRPr="00D0161E" w:rsidRDefault="0095004D" w:rsidP="00D0161E">
      <w:pPr>
        <w:spacing w:line="480" w:lineRule="auto"/>
        <w:rPr>
          <w:color w:val="000000" w:themeColor="text1"/>
        </w:rPr>
      </w:pPr>
      <w:r w:rsidRPr="00D0161E">
        <w:rPr>
          <w:color w:val="000000" w:themeColor="text1"/>
        </w:rPr>
        <w:t xml:space="preserve">Mosquitoes were exposed to mud, cement, ceramic tile or wood treated with 0.4% bendiocarb WP, 0.025% deltamethrin WG, 0.1% etofenprox WP (manufacturers’ recommended application rates), or an untreated negative control, and mortality observed 24 hours after exposure. Values shown are average mortality in 30 mosquitoes, 10 exposed to each of three replicate tiles.  </w:t>
      </w:r>
    </w:p>
    <w:p w14:paraId="132EBF55" w14:textId="77777777" w:rsidR="0095004D" w:rsidRPr="00D0161E" w:rsidRDefault="0095004D" w:rsidP="00D0161E">
      <w:pPr>
        <w:spacing w:line="480" w:lineRule="auto"/>
        <w:rPr>
          <w:b/>
          <w:bCs/>
          <w:color w:val="000000" w:themeColor="text1"/>
        </w:rPr>
      </w:pPr>
    </w:p>
    <w:sectPr w:rsidR="0095004D" w:rsidRPr="00D0161E" w:rsidSect="000C16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00139" w14:textId="77777777" w:rsidR="00CF079A" w:rsidRDefault="00CF079A" w:rsidP="009D04AC">
      <w:r>
        <w:separator/>
      </w:r>
    </w:p>
  </w:endnote>
  <w:endnote w:type="continuationSeparator" w:id="0">
    <w:p w14:paraId="50229F2B" w14:textId="77777777" w:rsidR="00CF079A" w:rsidRDefault="00CF079A" w:rsidP="009D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8A03" w14:textId="0470C703" w:rsidR="00CC52E9" w:rsidRDefault="00CC52E9">
    <w:pPr>
      <w:pStyle w:val="Footer"/>
      <w:jc w:val="right"/>
    </w:pPr>
  </w:p>
  <w:p w14:paraId="4A054724" w14:textId="77777777" w:rsidR="00CC52E9" w:rsidRDefault="00CC5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F066" w14:textId="77777777" w:rsidR="00CF079A" w:rsidRDefault="00CF079A" w:rsidP="009D04AC">
      <w:r>
        <w:separator/>
      </w:r>
    </w:p>
  </w:footnote>
  <w:footnote w:type="continuationSeparator" w:id="0">
    <w:p w14:paraId="493141D0" w14:textId="77777777" w:rsidR="00CF079A" w:rsidRDefault="00CF079A" w:rsidP="009D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005"/>
    <w:multiLevelType w:val="multilevel"/>
    <w:tmpl w:val="093CAB8A"/>
    <w:lvl w:ilvl="0">
      <w:start w:val="1"/>
      <w:numFmt w:val="decimal"/>
      <w:pStyle w:val="Style1"/>
      <w:lvlText w:val="%1.0"/>
      <w:lvlJc w:val="left"/>
      <w:pPr>
        <w:ind w:left="720" w:hanging="720"/>
      </w:pPr>
      <w:rPr>
        <w:rFonts w:hint="default"/>
        <w:b/>
      </w:rPr>
    </w:lvl>
    <w:lvl w:ilvl="1">
      <w:start w:val="1"/>
      <w:numFmt w:val="decimal"/>
      <w:lvlText w:val="%1.%2"/>
      <w:lvlJc w:val="left"/>
      <w:pPr>
        <w:ind w:left="1440" w:hanging="720"/>
      </w:pPr>
      <w:rPr>
        <w:rFonts w:hint="default"/>
        <w:i/>
        <w:sz w:val="22"/>
        <w:szCs w:val="22"/>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A115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28258D"/>
    <w:multiLevelType w:val="hybridMultilevel"/>
    <w:tmpl w:val="BE3EDA48"/>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0EB14F1D"/>
    <w:multiLevelType w:val="multilevel"/>
    <w:tmpl w:val="A14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F29C3"/>
    <w:multiLevelType w:val="hybridMultilevel"/>
    <w:tmpl w:val="BF0A5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D78FF"/>
    <w:multiLevelType w:val="hybridMultilevel"/>
    <w:tmpl w:val="3CF8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2764C"/>
    <w:multiLevelType w:val="hybridMultilevel"/>
    <w:tmpl w:val="0062EBC0"/>
    <w:lvl w:ilvl="0" w:tplc="2E32C18A">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925BA"/>
    <w:multiLevelType w:val="hybridMultilevel"/>
    <w:tmpl w:val="2D14C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C23729"/>
    <w:multiLevelType w:val="hybridMultilevel"/>
    <w:tmpl w:val="0C2E8B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453BF"/>
    <w:multiLevelType w:val="hybridMultilevel"/>
    <w:tmpl w:val="FA26353E"/>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0" w15:restartNumberingAfterBreak="0">
    <w:nsid w:val="340B4808"/>
    <w:multiLevelType w:val="hybridMultilevel"/>
    <w:tmpl w:val="31FA8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D7F69"/>
    <w:multiLevelType w:val="hybridMultilevel"/>
    <w:tmpl w:val="5E488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E3730"/>
    <w:multiLevelType w:val="hybridMultilevel"/>
    <w:tmpl w:val="4CA4B608"/>
    <w:lvl w:ilvl="0" w:tplc="BB16E51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23C36"/>
    <w:multiLevelType w:val="hybridMultilevel"/>
    <w:tmpl w:val="0C2E8B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6397B"/>
    <w:multiLevelType w:val="multilevel"/>
    <w:tmpl w:val="CFF6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867C4"/>
    <w:multiLevelType w:val="hybridMultilevel"/>
    <w:tmpl w:val="4EFA5132"/>
    <w:lvl w:ilvl="0" w:tplc="2E32C18A">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10D24"/>
    <w:multiLevelType w:val="hybridMultilevel"/>
    <w:tmpl w:val="C636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D2001"/>
    <w:multiLevelType w:val="hybridMultilevel"/>
    <w:tmpl w:val="0C2E8B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815EF"/>
    <w:multiLevelType w:val="multilevel"/>
    <w:tmpl w:val="72C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B23DF"/>
    <w:multiLevelType w:val="hybridMultilevel"/>
    <w:tmpl w:val="09403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037400"/>
    <w:multiLevelType w:val="hybridMultilevel"/>
    <w:tmpl w:val="FBDE0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D2B01"/>
    <w:multiLevelType w:val="multilevel"/>
    <w:tmpl w:val="ED04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B4F8D"/>
    <w:multiLevelType w:val="hybridMultilevel"/>
    <w:tmpl w:val="0C2E8B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860B4"/>
    <w:multiLevelType w:val="hybridMultilevel"/>
    <w:tmpl w:val="09403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AB50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D829B9"/>
    <w:multiLevelType w:val="hybridMultilevel"/>
    <w:tmpl w:val="9DFE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74584"/>
    <w:multiLevelType w:val="hybridMultilevel"/>
    <w:tmpl w:val="46BA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71C3B"/>
    <w:multiLevelType w:val="hybridMultilevel"/>
    <w:tmpl w:val="F144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11"/>
  </w:num>
  <w:num w:numId="4">
    <w:abstractNumId w:val="26"/>
  </w:num>
  <w:num w:numId="5">
    <w:abstractNumId w:val="18"/>
  </w:num>
  <w:num w:numId="6">
    <w:abstractNumId w:val="14"/>
  </w:num>
  <w:num w:numId="7">
    <w:abstractNumId w:val="2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5"/>
  </w:num>
  <w:num w:numId="12">
    <w:abstractNumId w:val="7"/>
  </w:num>
  <w:num w:numId="13">
    <w:abstractNumId w:val="4"/>
  </w:num>
  <w:num w:numId="14">
    <w:abstractNumId w:val="1"/>
  </w:num>
  <w:num w:numId="15">
    <w:abstractNumId w:val="2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15"/>
  </w:num>
  <w:num w:numId="20">
    <w:abstractNumId w:val="2"/>
  </w:num>
  <w:num w:numId="21">
    <w:abstractNumId w:val="20"/>
  </w:num>
  <w:num w:numId="22">
    <w:abstractNumId w:val="27"/>
  </w:num>
  <w:num w:numId="23">
    <w:abstractNumId w:val="6"/>
  </w:num>
  <w:num w:numId="24">
    <w:abstractNumId w:val="17"/>
  </w:num>
  <w:num w:numId="25">
    <w:abstractNumId w:val="23"/>
  </w:num>
  <w:num w:numId="26">
    <w:abstractNumId w:val="19"/>
  </w:num>
  <w:num w:numId="27">
    <w:abstractNumId w:val="12"/>
  </w:num>
  <w:num w:numId="28">
    <w:abstractNumId w:val="22"/>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Mzc2NDK1NLS0tDBQ0lEKTi0uzszPAykwrAUAGIh0XiwAAAA="/>
  </w:docVars>
  <w:rsids>
    <w:rsidRoot w:val="003648EC"/>
    <w:rsid w:val="0000151A"/>
    <w:rsid w:val="000015D7"/>
    <w:rsid w:val="00003493"/>
    <w:rsid w:val="000036DA"/>
    <w:rsid w:val="0000464A"/>
    <w:rsid w:val="000075CC"/>
    <w:rsid w:val="00010179"/>
    <w:rsid w:val="00012117"/>
    <w:rsid w:val="000121E0"/>
    <w:rsid w:val="00015897"/>
    <w:rsid w:val="00016988"/>
    <w:rsid w:val="000205F6"/>
    <w:rsid w:val="0002152C"/>
    <w:rsid w:val="00021972"/>
    <w:rsid w:val="00025A3F"/>
    <w:rsid w:val="00027731"/>
    <w:rsid w:val="000278E4"/>
    <w:rsid w:val="00027C92"/>
    <w:rsid w:val="00031D2F"/>
    <w:rsid w:val="00036C9E"/>
    <w:rsid w:val="00036FC5"/>
    <w:rsid w:val="00042C62"/>
    <w:rsid w:val="0004328A"/>
    <w:rsid w:val="00047CB6"/>
    <w:rsid w:val="00047FF9"/>
    <w:rsid w:val="00053F01"/>
    <w:rsid w:val="0005592E"/>
    <w:rsid w:val="00055EBF"/>
    <w:rsid w:val="00055FFA"/>
    <w:rsid w:val="000625F5"/>
    <w:rsid w:val="0006276E"/>
    <w:rsid w:val="00063EE3"/>
    <w:rsid w:val="00064A16"/>
    <w:rsid w:val="00067623"/>
    <w:rsid w:val="00067860"/>
    <w:rsid w:val="0007281B"/>
    <w:rsid w:val="000729AB"/>
    <w:rsid w:val="000733F2"/>
    <w:rsid w:val="00073CD2"/>
    <w:rsid w:val="00073D53"/>
    <w:rsid w:val="00076E4E"/>
    <w:rsid w:val="00077B3E"/>
    <w:rsid w:val="00081C34"/>
    <w:rsid w:val="00082F0E"/>
    <w:rsid w:val="00084994"/>
    <w:rsid w:val="00085C04"/>
    <w:rsid w:val="00092E5C"/>
    <w:rsid w:val="00093595"/>
    <w:rsid w:val="0009434C"/>
    <w:rsid w:val="0009533B"/>
    <w:rsid w:val="000A198B"/>
    <w:rsid w:val="000A2032"/>
    <w:rsid w:val="000A21AE"/>
    <w:rsid w:val="000A579B"/>
    <w:rsid w:val="000B26A0"/>
    <w:rsid w:val="000B597A"/>
    <w:rsid w:val="000B7E33"/>
    <w:rsid w:val="000C167F"/>
    <w:rsid w:val="000C5BFA"/>
    <w:rsid w:val="000C7D25"/>
    <w:rsid w:val="000D1C57"/>
    <w:rsid w:val="000D2756"/>
    <w:rsid w:val="000D422C"/>
    <w:rsid w:val="000D42A6"/>
    <w:rsid w:val="000E31B4"/>
    <w:rsid w:val="000F1500"/>
    <w:rsid w:val="000F16FC"/>
    <w:rsid w:val="000F17C7"/>
    <w:rsid w:val="000F3A08"/>
    <w:rsid w:val="000F409B"/>
    <w:rsid w:val="000F7918"/>
    <w:rsid w:val="001000C9"/>
    <w:rsid w:val="00100679"/>
    <w:rsid w:val="0010306D"/>
    <w:rsid w:val="00105B8A"/>
    <w:rsid w:val="00114AD6"/>
    <w:rsid w:val="001160AD"/>
    <w:rsid w:val="00116F03"/>
    <w:rsid w:val="001173D1"/>
    <w:rsid w:val="00120E6C"/>
    <w:rsid w:val="0012172B"/>
    <w:rsid w:val="00122A77"/>
    <w:rsid w:val="001261BC"/>
    <w:rsid w:val="00135520"/>
    <w:rsid w:val="0013756C"/>
    <w:rsid w:val="0013767D"/>
    <w:rsid w:val="001413C5"/>
    <w:rsid w:val="00142490"/>
    <w:rsid w:val="001442CD"/>
    <w:rsid w:val="00153022"/>
    <w:rsid w:val="00157B47"/>
    <w:rsid w:val="001609A4"/>
    <w:rsid w:val="00160A76"/>
    <w:rsid w:val="00160B72"/>
    <w:rsid w:val="00160C4D"/>
    <w:rsid w:val="00160DA7"/>
    <w:rsid w:val="001614E9"/>
    <w:rsid w:val="00161677"/>
    <w:rsid w:val="00166E40"/>
    <w:rsid w:val="00167E17"/>
    <w:rsid w:val="001729AC"/>
    <w:rsid w:val="001735E9"/>
    <w:rsid w:val="00173FD4"/>
    <w:rsid w:val="00176AF8"/>
    <w:rsid w:val="0017775D"/>
    <w:rsid w:val="00180ADB"/>
    <w:rsid w:val="0018188F"/>
    <w:rsid w:val="00190184"/>
    <w:rsid w:val="00190A7F"/>
    <w:rsid w:val="00191827"/>
    <w:rsid w:val="00193A2A"/>
    <w:rsid w:val="00194460"/>
    <w:rsid w:val="00195714"/>
    <w:rsid w:val="001A1365"/>
    <w:rsid w:val="001A1F16"/>
    <w:rsid w:val="001A2D2C"/>
    <w:rsid w:val="001A3469"/>
    <w:rsid w:val="001A3703"/>
    <w:rsid w:val="001A4679"/>
    <w:rsid w:val="001A4DD2"/>
    <w:rsid w:val="001B168A"/>
    <w:rsid w:val="001B1E37"/>
    <w:rsid w:val="001B31E8"/>
    <w:rsid w:val="001C0144"/>
    <w:rsid w:val="001C2053"/>
    <w:rsid w:val="001C20D2"/>
    <w:rsid w:val="001C310B"/>
    <w:rsid w:val="001C3547"/>
    <w:rsid w:val="001C44DC"/>
    <w:rsid w:val="001C5268"/>
    <w:rsid w:val="001C5681"/>
    <w:rsid w:val="001C6A3A"/>
    <w:rsid w:val="001C7CD7"/>
    <w:rsid w:val="001D437E"/>
    <w:rsid w:val="001D63EE"/>
    <w:rsid w:val="001E016C"/>
    <w:rsid w:val="001E29A9"/>
    <w:rsid w:val="001E2DB5"/>
    <w:rsid w:val="001E4967"/>
    <w:rsid w:val="001E4C2E"/>
    <w:rsid w:val="001E5404"/>
    <w:rsid w:val="001F59B9"/>
    <w:rsid w:val="001F5FAA"/>
    <w:rsid w:val="00202BE2"/>
    <w:rsid w:val="0021138E"/>
    <w:rsid w:val="0021256A"/>
    <w:rsid w:val="002141A5"/>
    <w:rsid w:val="00214F48"/>
    <w:rsid w:val="00215C54"/>
    <w:rsid w:val="00216709"/>
    <w:rsid w:val="002213FC"/>
    <w:rsid w:val="00223E64"/>
    <w:rsid w:val="00225E66"/>
    <w:rsid w:val="0022639D"/>
    <w:rsid w:val="00232D04"/>
    <w:rsid w:val="00240B7F"/>
    <w:rsid w:val="00245723"/>
    <w:rsid w:val="0024657A"/>
    <w:rsid w:val="0025085A"/>
    <w:rsid w:val="0025383B"/>
    <w:rsid w:val="00254536"/>
    <w:rsid w:val="00256699"/>
    <w:rsid w:val="00257B0E"/>
    <w:rsid w:val="00257B20"/>
    <w:rsid w:val="00264195"/>
    <w:rsid w:val="00264353"/>
    <w:rsid w:val="00271280"/>
    <w:rsid w:val="0027278A"/>
    <w:rsid w:val="00275D72"/>
    <w:rsid w:val="00276DEB"/>
    <w:rsid w:val="00284FD5"/>
    <w:rsid w:val="002870B0"/>
    <w:rsid w:val="00287C34"/>
    <w:rsid w:val="00290C1B"/>
    <w:rsid w:val="00292E57"/>
    <w:rsid w:val="00297D11"/>
    <w:rsid w:val="00297D5A"/>
    <w:rsid w:val="002A031A"/>
    <w:rsid w:val="002A1AF2"/>
    <w:rsid w:val="002A2C05"/>
    <w:rsid w:val="002A4CDF"/>
    <w:rsid w:val="002A5484"/>
    <w:rsid w:val="002B1226"/>
    <w:rsid w:val="002B1662"/>
    <w:rsid w:val="002C22B5"/>
    <w:rsid w:val="002C34DD"/>
    <w:rsid w:val="002C3B47"/>
    <w:rsid w:val="002C3BA9"/>
    <w:rsid w:val="002C5492"/>
    <w:rsid w:val="002D1353"/>
    <w:rsid w:val="002D30F5"/>
    <w:rsid w:val="002D7E7D"/>
    <w:rsid w:val="002E14F4"/>
    <w:rsid w:val="002E6E84"/>
    <w:rsid w:val="002F35EB"/>
    <w:rsid w:val="002F5640"/>
    <w:rsid w:val="002F58A4"/>
    <w:rsid w:val="002F7466"/>
    <w:rsid w:val="00300EBE"/>
    <w:rsid w:val="00302555"/>
    <w:rsid w:val="00302D55"/>
    <w:rsid w:val="00302E9F"/>
    <w:rsid w:val="00306AD0"/>
    <w:rsid w:val="00310C01"/>
    <w:rsid w:val="00310D2F"/>
    <w:rsid w:val="00311E73"/>
    <w:rsid w:val="00312330"/>
    <w:rsid w:val="00312466"/>
    <w:rsid w:val="00312633"/>
    <w:rsid w:val="003126E6"/>
    <w:rsid w:val="00314CF5"/>
    <w:rsid w:val="00317B71"/>
    <w:rsid w:val="00325CFD"/>
    <w:rsid w:val="00331CA5"/>
    <w:rsid w:val="00333C73"/>
    <w:rsid w:val="0033646D"/>
    <w:rsid w:val="0033686F"/>
    <w:rsid w:val="0033763D"/>
    <w:rsid w:val="0034351B"/>
    <w:rsid w:val="003514D1"/>
    <w:rsid w:val="00351EAE"/>
    <w:rsid w:val="00353235"/>
    <w:rsid w:val="00354549"/>
    <w:rsid w:val="003610F5"/>
    <w:rsid w:val="0036250E"/>
    <w:rsid w:val="003648EC"/>
    <w:rsid w:val="00365287"/>
    <w:rsid w:val="0036769E"/>
    <w:rsid w:val="003676B9"/>
    <w:rsid w:val="0036788A"/>
    <w:rsid w:val="00367D44"/>
    <w:rsid w:val="00370616"/>
    <w:rsid w:val="003719E1"/>
    <w:rsid w:val="003767CF"/>
    <w:rsid w:val="0038053F"/>
    <w:rsid w:val="00381EB8"/>
    <w:rsid w:val="00384CCE"/>
    <w:rsid w:val="003911B6"/>
    <w:rsid w:val="003925BA"/>
    <w:rsid w:val="003952C8"/>
    <w:rsid w:val="003954B7"/>
    <w:rsid w:val="003A16EA"/>
    <w:rsid w:val="003A193E"/>
    <w:rsid w:val="003A35F5"/>
    <w:rsid w:val="003B052F"/>
    <w:rsid w:val="003B44AA"/>
    <w:rsid w:val="003B46E3"/>
    <w:rsid w:val="003B4AD7"/>
    <w:rsid w:val="003B724F"/>
    <w:rsid w:val="003B734B"/>
    <w:rsid w:val="003C05F5"/>
    <w:rsid w:val="003C08B5"/>
    <w:rsid w:val="003C0BC6"/>
    <w:rsid w:val="003C0DC4"/>
    <w:rsid w:val="003C263B"/>
    <w:rsid w:val="003C2A62"/>
    <w:rsid w:val="003C2D91"/>
    <w:rsid w:val="003C2DBA"/>
    <w:rsid w:val="003C3A6D"/>
    <w:rsid w:val="003C4A4C"/>
    <w:rsid w:val="003C567A"/>
    <w:rsid w:val="003C5EA8"/>
    <w:rsid w:val="003D03AB"/>
    <w:rsid w:val="003D1475"/>
    <w:rsid w:val="003D19D7"/>
    <w:rsid w:val="003D2C17"/>
    <w:rsid w:val="003D360B"/>
    <w:rsid w:val="003D3A2B"/>
    <w:rsid w:val="003D55DB"/>
    <w:rsid w:val="003D57ED"/>
    <w:rsid w:val="003E0C64"/>
    <w:rsid w:val="003E1843"/>
    <w:rsid w:val="003E2FD0"/>
    <w:rsid w:val="003E3706"/>
    <w:rsid w:val="003F7972"/>
    <w:rsid w:val="00400804"/>
    <w:rsid w:val="0040258A"/>
    <w:rsid w:val="00406B2C"/>
    <w:rsid w:val="00406CBD"/>
    <w:rsid w:val="00407A6D"/>
    <w:rsid w:val="00412F08"/>
    <w:rsid w:val="00414C77"/>
    <w:rsid w:val="00415368"/>
    <w:rsid w:val="00416062"/>
    <w:rsid w:val="004206F0"/>
    <w:rsid w:val="0042129A"/>
    <w:rsid w:val="004230E3"/>
    <w:rsid w:val="00423BCB"/>
    <w:rsid w:val="00425154"/>
    <w:rsid w:val="004262C8"/>
    <w:rsid w:val="004277A2"/>
    <w:rsid w:val="00430C12"/>
    <w:rsid w:val="00430C73"/>
    <w:rsid w:val="0043123C"/>
    <w:rsid w:val="00432E12"/>
    <w:rsid w:val="00433888"/>
    <w:rsid w:val="00433F67"/>
    <w:rsid w:val="004362C5"/>
    <w:rsid w:val="00440647"/>
    <w:rsid w:val="00440CA4"/>
    <w:rsid w:val="0044196C"/>
    <w:rsid w:val="00444972"/>
    <w:rsid w:val="00446BE1"/>
    <w:rsid w:val="00447907"/>
    <w:rsid w:val="00450A19"/>
    <w:rsid w:val="00451571"/>
    <w:rsid w:val="00453806"/>
    <w:rsid w:val="00454D52"/>
    <w:rsid w:val="004569CB"/>
    <w:rsid w:val="00457234"/>
    <w:rsid w:val="00457380"/>
    <w:rsid w:val="00460051"/>
    <w:rsid w:val="00460E6D"/>
    <w:rsid w:val="004611A1"/>
    <w:rsid w:val="004631AC"/>
    <w:rsid w:val="00464D53"/>
    <w:rsid w:val="004734D0"/>
    <w:rsid w:val="00473576"/>
    <w:rsid w:val="00473787"/>
    <w:rsid w:val="0047417F"/>
    <w:rsid w:val="00474EE8"/>
    <w:rsid w:val="004753F7"/>
    <w:rsid w:val="00476F61"/>
    <w:rsid w:val="00477C8C"/>
    <w:rsid w:val="00481FB2"/>
    <w:rsid w:val="004820F5"/>
    <w:rsid w:val="0048418E"/>
    <w:rsid w:val="00485486"/>
    <w:rsid w:val="00487224"/>
    <w:rsid w:val="004877E0"/>
    <w:rsid w:val="00487A24"/>
    <w:rsid w:val="00487D4A"/>
    <w:rsid w:val="00490274"/>
    <w:rsid w:val="00490655"/>
    <w:rsid w:val="004911B1"/>
    <w:rsid w:val="00493AB2"/>
    <w:rsid w:val="004957AC"/>
    <w:rsid w:val="00497390"/>
    <w:rsid w:val="004A05C3"/>
    <w:rsid w:val="004A234F"/>
    <w:rsid w:val="004A71D6"/>
    <w:rsid w:val="004B0132"/>
    <w:rsid w:val="004B305E"/>
    <w:rsid w:val="004B4EF8"/>
    <w:rsid w:val="004B50D5"/>
    <w:rsid w:val="004B5A96"/>
    <w:rsid w:val="004B6123"/>
    <w:rsid w:val="004B683E"/>
    <w:rsid w:val="004B776F"/>
    <w:rsid w:val="004B7BFE"/>
    <w:rsid w:val="004C29C4"/>
    <w:rsid w:val="004C2EBA"/>
    <w:rsid w:val="004C3625"/>
    <w:rsid w:val="004C4F8D"/>
    <w:rsid w:val="004C7E5C"/>
    <w:rsid w:val="004D2EE9"/>
    <w:rsid w:val="004D604F"/>
    <w:rsid w:val="004D7D4B"/>
    <w:rsid w:val="004E0C30"/>
    <w:rsid w:val="004E59A1"/>
    <w:rsid w:val="004F1800"/>
    <w:rsid w:val="004F215D"/>
    <w:rsid w:val="004F3753"/>
    <w:rsid w:val="004F4E3F"/>
    <w:rsid w:val="004F638E"/>
    <w:rsid w:val="00504076"/>
    <w:rsid w:val="00504B2D"/>
    <w:rsid w:val="00506896"/>
    <w:rsid w:val="005068E8"/>
    <w:rsid w:val="0051033C"/>
    <w:rsid w:val="00510931"/>
    <w:rsid w:val="0051161D"/>
    <w:rsid w:val="005116F7"/>
    <w:rsid w:val="00512705"/>
    <w:rsid w:val="005176F4"/>
    <w:rsid w:val="00517A14"/>
    <w:rsid w:val="00521549"/>
    <w:rsid w:val="00525BF6"/>
    <w:rsid w:val="005262CB"/>
    <w:rsid w:val="005276FF"/>
    <w:rsid w:val="0053085D"/>
    <w:rsid w:val="005326E8"/>
    <w:rsid w:val="00534888"/>
    <w:rsid w:val="00536144"/>
    <w:rsid w:val="005364AE"/>
    <w:rsid w:val="005407D8"/>
    <w:rsid w:val="0054092F"/>
    <w:rsid w:val="00541330"/>
    <w:rsid w:val="00542828"/>
    <w:rsid w:val="00543893"/>
    <w:rsid w:val="0054416B"/>
    <w:rsid w:val="005459BE"/>
    <w:rsid w:val="005500B1"/>
    <w:rsid w:val="00551494"/>
    <w:rsid w:val="00552BFB"/>
    <w:rsid w:val="00553968"/>
    <w:rsid w:val="00555BA4"/>
    <w:rsid w:val="00557990"/>
    <w:rsid w:val="0056258A"/>
    <w:rsid w:val="00563093"/>
    <w:rsid w:val="005671CB"/>
    <w:rsid w:val="005671F0"/>
    <w:rsid w:val="00570394"/>
    <w:rsid w:val="00570491"/>
    <w:rsid w:val="00571028"/>
    <w:rsid w:val="00580879"/>
    <w:rsid w:val="00580FCE"/>
    <w:rsid w:val="00582169"/>
    <w:rsid w:val="00582B85"/>
    <w:rsid w:val="00584738"/>
    <w:rsid w:val="00585D37"/>
    <w:rsid w:val="00591439"/>
    <w:rsid w:val="005920F0"/>
    <w:rsid w:val="005933AA"/>
    <w:rsid w:val="00596681"/>
    <w:rsid w:val="00597F7E"/>
    <w:rsid w:val="005A03F3"/>
    <w:rsid w:val="005A17F8"/>
    <w:rsid w:val="005A298A"/>
    <w:rsid w:val="005A41F6"/>
    <w:rsid w:val="005A5637"/>
    <w:rsid w:val="005A6F35"/>
    <w:rsid w:val="005B1F27"/>
    <w:rsid w:val="005B50AB"/>
    <w:rsid w:val="005B6919"/>
    <w:rsid w:val="005C0E20"/>
    <w:rsid w:val="005D2822"/>
    <w:rsid w:val="005D330C"/>
    <w:rsid w:val="005D740F"/>
    <w:rsid w:val="005E03F1"/>
    <w:rsid w:val="005E2577"/>
    <w:rsid w:val="005E2DAF"/>
    <w:rsid w:val="005E39C8"/>
    <w:rsid w:val="005E57D7"/>
    <w:rsid w:val="005E595D"/>
    <w:rsid w:val="005E67E0"/>
    <w:rsid w:val="005F2873"/>
    <w:rsid w:val="00600E30"/>
    <w:rsid w:val="006012C0"/>
    <w:rsid w:val="006013F2"/>
    <w:rsid w:val="00603200"/>
    <w:rsid w:val="00606B46"/>
    <w:rsid w:val="00606F0E"/>
    <w:rsid w:val="0061503E"/>
    <w:rsid w:val="0061665D"/>
    <w:rsid w:val="00625905"/>
    <w:rsid w:val="00625D38"/>
    <w:rsid w:val="006268EC"/>
    <w:rsid w:val="00627216"/>
    <w:rsid w:val="006304CA"/>
    <w:rsid w:val="00634512"/>
    <w:rsid w:val="006416CF"/>
    <w:rsid w:val="00642972"/>
    <w:rsid w:val="0064415E"/>
    <w:rsid w:val="006451A6"/>
    <w:rsid w:val="006477ED"/>
    <w:rsid w:val="00651BFF"/>
    <w:rsid w:val="0065319C"/>
    <w:rsid w:val="0065348A"/>
    <w:rsid w:val="00654A42"/>
    <w:rsid w:val="006562AB"/>
    <w:rsid w:val="00665DFE"/>
    <w:rsid w:val="00667E96"/>
    <w:rsid w:val="006744BF"/>
    <w:rsid w:val="00675BC1"/>
    <w:rsid w:val="0067689C"/>
    <w:rsid w:val="00683597"/>
    <w:rsid w:val="00684AF4"/>
    <w:rsid w:val="006A5294"/>
    <w:rsid w:val="006A79B9"/>
    <w:rsid w:val="006B5743"/>
    <w:rsid w:val="006B688A"/>
    <w:rsid w:val="006C0774"/>
    <w:rsid w:val="006C1090"/>
    <w:rsid w:val="006C224B"/>
    <w:rsid w:val="006C33D6"/>
    <w:rsid w:val="006C4A36"/>
    <w:rsid w:val="006C52A4"/>
    <w:rsid w:val="006C5457"/>
    <w:rsid w:val="006C57CA"/>
    <w:rsid w:val="006C76E1"/>
    <w:rsid w:val="006D01E9"/>
    <w:rsid w:val="006E01CE"/>
    <w:rsid w:val="006E08C9"/>
    <w:rsid w:val="006E0900"/>
    <w:rsid w:val="006E0C53"/>
    <w:rsid w:val="006E118A"/>
    <w:rsid w:val="006E19F4"/>
    <w:rsid w:val="006E3A38"/>
    <w:rsid w:val="006E3CD4"/>
    <w:rsid w:val="006E4901"/>
    <w:rsid w:val="006E5201"/>
    <w:rsid w:val="006E55AE"/>
    <w:rsid w:val="006E567C"/>
    <w:rsid w:val="006F07C6"/>
    <w:rsid w:val="006F3AC6"/>
    <w:rsid w:val="006F7C7C"/>
    <w:rsid w:val="007045DB"/>
    <w:rsid w:val="00704AC6"/>
    <w:rsid w:val="00707C9D"/>
    <w:rsid w:val="00711499"/>
    <w:rsid w:val="007139F3"/>
    <w:rsid w:val="00720460"/>
    <w:rsid w:val="00721827"/>
    <w:rsid w:val="007242EE"/>
    <w:rsid w:val="00727458"/>
    <w:rsid w:val="00730AB7"/>
    <w:rsid w:val="00732EA0"/>
    <w:rsid w:val="007334F3"/>
    <w:rsid w:val="00734BD3"/>
    <w:rsid w:val="00735919"/>
    <w:rsid w:val="007372E5"/>
    <w:rsid w:val="00740E75"/>
    <w:rsid w:val="00744E04"/>
    <w:rsid w:val="00746737"/>
    <w:rsid w:val="0075074B"/>
    <w:rsid w:val="007507CD"/>
    <w:rsid w:val="00751126"/>
    <w:rsid w:val="00753FBE"/>
    <w:rsid w:val="007544A7"/>
    <w:rsid w:val="00754F6C"/>
    <w:rsid w:val="0075523E"/>
    <w:rsid w:val="007556AB"/>
    <w:rsid w:val="00755D55"/>
    <w:rsid w:val="00760124"/>
    <w:rsid w:val="007606F9"/>
    <w:rsid w:val="00762EFE"/>
    <w:rsid w:val="00763DD9"/>
    <w:rsid w:val="0076446B"/>
    <w:rsid w:val="0076521B"/>
    <w:rsid w:val="007709BF"/>
    <w:rsid w:val="00770C8E"/>
    <w:rsid w:val="007714B3"/>
    <w:rsid w:val="00771C6F"/>
    <w:rsid w:val="0077202C"/>
    <w:rsid w:val="007734D8"/>
    <w:rsid w:val="00774790"/>
    <w:rsid w:val="007748A0"/>
    <w:rsid w:val="00776B20"/>
    <w:rsid w:val="00776D57"/>
    <w:rsid w:val="0078262A"/>
    <w:rsid w:val="007832CD"/>
    <w:rsid w:val="00786913"/>
    <w:rsid w:val="007966FA"/>
    <w:rsid w:val="00796A00"/>
    <w:rsid w:val="007A0C34"/>
    <w:rsid w:val="007A1FB8"/>
    <w:rsid w:val="007A2EBD"/>
    <w:rsid w:val="007A3382"/>
    <w:rsid w:val="007A5E54"/>
    <w:rsid w:val="007B435A"/>
    <w:rsid w:val="007B45BB"/>
    <w:rsid w:val="007B668B"/>
    <w:rsid w:val="007C0CD9"/>
    <w:rsid w:val="007C112A"/>
    <w:rsid w:val="007C329B"/>
    <w:rsid w:val="007C563E"/>
    <w:rsid w:val="007C58A2"/>
    <w:rsid w:val="007C61D3"/>
    <w:rsid w:val="007C688A"/>
    <w:rsid w:val="007C7BFF"/>
    <w:rsid w:val="007C7E39"/>
    <w:rsid w:val="007D0850"/>
    <w:rsid w:val="007D1A79"/>
    <w:rsid w:val="007D33E3"/>
    <w:rsid w:val="007D420F"/>
    <w:rsid w:val="007D42D3"/>
    <w:rsid w:val="007E4D04"/>
    <w:rsid w:val="007E5B81"/>
    <w:rsid w:val="007E7851"/>
    <w:rsid w:val="007F12A0"/>
    <w:rsid w:val="007F1F74"/>
    <w:rsid w:val="007F2180"/>
    <w:rsid w:val="007F25A9"/>
    <w:rsid w:val="007F3023"/>
    <w:rsid w:val="007F34D6"/>
    <w:rsid w:val="007F3AA3"/>
    <w:rsid w:val="007F3BAA"/>
    <w:rsid w:val="007F3DE7"/>
    <w:rsid w:val="007F4958"/>
    <w:rsid w:val="007F4A1C"/>
    <w:rsid w:val="007F7697"/>
    <w:rsid w:val="00811E26"/>
    <w:rsid w:val="00811E6C"/>
    <w:rsid w:val="00814028"/>
    <w:rsid w:val="00821111"/>
    <w:rsid w:val="00823517"/>
    <w:rsid w:val="00823580"/>
    <w:rsid w:val="00823841"/>
    <w:rsid w:val="008345C5"/>
    <w:rsid w:val="00835B41"/>
    <w:rsid w:val="00842147"/>
    <w:rsid w:val="00842713"/>
    <w:rsid w:val="008433E1"/>
    <w:rsid w:val="0084365D"/>
    <w:rsid w:val="008436C1"/>
    <w:rsid w:val="00850529"/>
    <w:rsid w:val="00851F02"/>
    <w:rsid w:val="00853109"/>
    <w:rsid w:val="008546EE"/>
    <w:rsid w:val="00855297"/>
    <w:rsid w:val="00860269"/>
    <w:rsid w:val="0086036D"/>
    <w:rsid w:val="0086060C"/>
    <w:rsid w:val="008625B9"/>
    <w:rsid w:val="00863807"/>
    <w:rsid w:val="00864E11"/>
    <w:rsid w:val="00865099"/>
    <w:rsid w:val="00865EB9"/>
    <w:rsid w:val="00866E8C"/>
    <w:rsid w:val="00867335"/>
    <w:rsid w:val="00870D31"/>
    <w:rsid w:val="00871529"/>
    <w:rsid w:val="00873750"/>
    <w:rsid w:val="00886C15"/>
    <w:rsid w:val="00890CAC"/>
    <w:rsid w:val="00893467"/>
    <w:rsid w:val="0089602B"/>
    <w:rsid w:val="0089686B"/>
    <w:rsid w:val="0089795A"/>
    <w:rsid w:val="008A0ADB"/>
    <w:rsid w:val="008A580D"/>
    <w:rsid w:val="008B2125"/>
    <w:rsid w:val="008B366C"/>
    <w:rsid w:val="008B3D06"/>
    <w:rsid w:val="008B755E"/>
    <w:rsid w:val="008B7ABD"/>
    <w:rsid w:val="008C20F8"/>
    <w:rsid w:val="008C4B07"/>
    <w:rsid w:val="008C79E0"/>
    <w:rsid w:val="008D06AE"/>
    <w:rsid w:val="008D0BF8"/>
    <w:rsid w:val="008D259C"/>
    <w:rsid w:val="008E2F88"/>
    <w:rsid w:val="008E5737"/>
    <w:rsid w:val="008F1BD6"/>
    <w:rsid w:val="008F2D7C"/>
    <w:rsid w:val="008F3414"/>
    <w:rsid w:val="00903223"/>
    <w:rsid w:val="009063D9"/>
    <w:rsid w:val="009073B3"/>
    <w:rsid w:val="00910A62"/>
    <w:rsid w:val="00911D82"/>
    <w:rsid w:val="009125DB"/>
    <w:rsid w:val="0091281E"/>
    <w:rsid w:val="00917783"/>
    <w:rsid w:val="00917CC2"/>
    <w:rsid w:val="00920A84"/>
    <w:rsid w:val="00921964"/>
    <w:rsid w:val="00921A84"/>
    <w:rsid w:val="00921EC3"/>
    <w:rsid w:val="00922A02"/>
    <w:rsid w:val="00923B34"/>
    <w:rsid w:val="00924139"/>
    <w:rsid w:val="00930AA8"/>
    <w:rsid w:val="00932219"/>
    <w:rsid w:val="009420D4"/>
    <w:rsid w:val="00944F86"/>
    <w:rsid w:val="00945A6E"/>
    <w:rsid w:val="009467E6"/>
    <w:rsid w:val="009474E5"/>
    <w:rsid w:val="0095004D"/>
    <w:rsid w:val="00953471"/>
    <w:rsid w:val="00955703"/>
    <w:rsid w:val="00957264"/>
    <w:rsid w:val="00961036"/>
    <w:rsid w:val="00961889"/>
    <w:rsid w:val="00965032"/>
    <w:rsid w:val="009654F2"/>
    <w:rsid w:val="009675BC"/>
    <w:rsid w:val="009705E6"/>
    <w:rsid w:val="009711E3"/>
    <w:rsid w:val="0097389B"/>
    <w:rsid w:val="0097401E"/>
    <w:rsid w:val="00974DE5"/>
    <w:rsid w:val="009769AC"/>
    <w:rsid w:val="00977213"/>
    <w:rsid w:val="0099015E"/>
    <w:rsid w:val="009911A2"/>
    <w:rsid w:val="0099169D"/>
    <w:rsid w:val="00993418"/>
    <w:rsid w:val="00994C95"/>
    <w:rsid w:val="00996B5F"/>
    <w:rsid w:val="009A0A4A"/>
    <w:rsid w:val="009A1CE5"/>
    <w:rsid w:val="009A2C9E"/>
    <w:rsid w:val="009A4E07"/>
    <w:rsid w:val="009A73B3"/>
    <w:rsid w:val="009B5C02"/>
    <w:rsid w:val="009B7238"/>
    <w:rsid w:val="009B7979"/>
    <w:rsid w:val="009C0E46"/>
    <w:rsid w:val="009C1712"/>
    <w:rsid w:val="009C405C"/>
    <w:rsid w:val="009C51B2"/>
    <w:rsid w:val="009D04AC"/>
    <w:rsid w:val="009D068C"/>
    <w:rsid w:val="009D2530"/>
    <w:rsid w:val="009D6E82"/>
    <w:rsid w:val="009E233D"/>
    <w:rsid w:val="009E2FB3"/>
    <w:rsid w:val="009E4314"/>
    <w:rsid w:val="009E475E"/>
    <w:rsid w:val="009E4D05"/>
    <w:rsid w:val="009E7B2A"/>
    <w:rsid w:val="009F24BC"/>
    <w:rsid w:val="00A03250"/>
    <w:rsid w:val="00A036E5"/>
    <w:rsid w:val="00A05500"/>
    <w:rsid w:val="00A06BBF"/>
    <w:rsid w:val="00A11FF3"/>
    <w:rsid w:val="00A14308"/>
    <w:rsid w:val="00A14E1F"/>
    <w:rsid w:val="00A20A8D"/>
    <w:rsid w:val="00A23DB9"/>
    <w:rsid w:val="00A2621A"/>
    <w:rsid w:val="00A31006"/>
    <w:rsid w:val="00A32373"/>
    <w:rsid w:val="00A32411"/>
    <w:rsid w:val="00A340CB"/>
    <w:rsid w:val="00A35A46"/>
    <w:rsid w:val="00A35A99"/>
    <w:rsid w:val="00A3734F"/>
    <w:rsid w:val="00A37CA8"/>
    <w:rsid w:val="00A37D70"/>
    <w:rsid w:val="00A407E5"/>
    <w:rsid w:val="00A42EC6"/>
    <w:rsid w:val="00A43071"/>
    <w:rsid w:val="00A43BBD"/>
    <w:rsid w:val="00A5360E"/>
    <w:rsid w:val="00A600A5"/>
    <w:rsid w:val="00A605D7"/>
    <w:rsid w:val="00A60E93"/>
    <w:rsid w:val="00A63066"/>
    <w:rsid w:val="00A637D8"/>
    <w:rsid w:val="00A67E34"/>
    <w:rsid w:val="00A743C5"/>
    <w:rsid w:val="00A82344"/>
    <w:rsid w:val="00A827BE"/>
    <w:rsid w:val="00A847FC"/>
    <w:rsid w:val="00A87262"/>
    <w:rsid w:val="00A91ADB"/>
    <w:rsid w:val="00A921B2"/>
    <w:rsid w:val="00A92C13"/>
    <w:rsid w:val="00A9330F"/>
    <w:rsid w:val="00A947B0"/>
    <w:rsid w:val="00AA0998"/>
    <w:rsid w:val="00AA0FD8"/>
    <w:rsid w:val="00AA1129"/>
    <w:rsid w:val="00AA1147"/>
    <w:rsid w:val="00AA11EA"/>
    <w:rsid w:val="00AA1697"/>
    <w:rsid w:val="00AA2B9F"/>
    <w:rsid w:val="00AA3976"/>
    <w:rsid w:val="00AA66DA"/>
    <w:rsid w:val="00AA6F0C"/>
    <w:rsid w:val="00AA7A2C"/>
    <w:rsid w:val="00AB0496"/>
    <w:rsid w:val="00AB07A9"/>
    <w:rsid w:val="00AB1865"/>
    <w:rsid w:val="00AB1C7D"/>
    <w:rsid w:val="00AB2864"/>
    <w:rsid w:val="00AB305B"/>
    <w:rsid w:val="00AB5CDC"/>
    <w:rsid w:val="00AC1C3C"/>
    <w:rsid w:val="00AC4FFC"/>
    <w:rsid w:val="00AC635E"/>
    <w:rsid w:val="00AC6A4F"/>
    <w:rsid w:val="00AD20ED"/>
    <w:rsid w:val="00AD26D4"/>
    <w:rsid w:val="00AD65AE"/>
    <w:rsid w:val="00AE05EC"/>
    <w:rsid w:val="00AE0FAE"/>
    <w:rsid w:val="00AE107F"/>
    <w:rsid w:val="00AE4266"/>
    <w:rsid w:val="00AE7BF8"/>
    <w:rsid w:val="00AF1D00"/>
    <w:rsid w:val="00AF3B8B"/>
    <w:rsid w:val="00AF5970"/>
    <w:rsid w:val="00AF6840"/>
    <w:rsid w:val="00B022E5"/>
    <w:rsid w:val="00B03B91"/>
    <w:rsid w:val="00B04424"/>
    <w:rsid w:val="00B052A6"/>
    <w:rsid w:val="00B05C0D"/>
    <w:rsid w:val="00B1007F"/>
    <w:rsid w:val="00B12A80"/>
    <w:rsid w:val="00B15485"/>
    <w:rsid w:val="00B162CD"/>
    <w:rsid w:val="00B21FBE"/>
    <w:rsid w:val="00B23ED7"/>
    <w:rsid w:val="00B26FB1"/>
    <w:rsid w:val="00B26FDA"/>
    <w:rsid w:val="00B30A9D"/>
    <w:rsid w:val="00B30B8F"/>
    <w:rsid w:val="00B32A60"/>
    <w:rsid w:val="00B32F54"/>
    <w:rsid w:val="00B34BBB"/>
    <w:rsid w:val="00B3715B"/>
    <w:rsid w:val="00B427F0"/>
    <w:rsid w:val="00B43BE2"/>
    <w:rsid w:val="00B4452E"/>
    <w:rsid w:val="00B464D7"/>
    <w:rsid w:val="00B465B9"/>
    <w:rsid w:val="00B4690E"/>
    <w:rsid w:val="00B46FA6"/>
    <w:rsid w:val="00B505E1"/>
    <w:rsid w:val="00B514A6"/>
    <w:rsid w:val="00B519B5"/>
    <w:rsid w:val="00B51C59"/>
    <w:rsid w:val="00B55A4F"/>
    <w:rsid w:val="00B55C11"/>
    <w:rsid w:val="00B57899"/>
    <w:rsid w:val="00B60D61"/>
    <w:rsid w:val="00B63A44"/>
    <w:rsid w:val="00B643F9"/>
    <w:rsid w:val="00B651FB"/>
    <w:rsid w:val="00B65273"/>
    <w:rsid w:val="00B725CF"/>
    <w:rsid w:val="00B72EB8"/>
    <w:rsid w:val="00B734D4"/>
    <w:rsid w:val="00B742FD"/>
    <w:rsid w:val="00B80012"/>
    <w:rsid w:val="00B80662"/>
    <w:rsid w:val="00B849BB"/>
    <w:rsid w:val="00B861DD"/>
    <w:rsid w:val="00B86E65"/>
    <w:rsid w:val="00B87F3E"/>
    <w:rsid w:val="00B9025D"/>
    <w:rsid w:val="00B90AF4"/>
    <w:rsid w:val="00B94B60"/>
    <w:rsid w:val="00B96E5F"/>
    <w:rsid w:val="00BA1B94"/>
    <w:rsid w:val="00BA1E03"/>
    <w:rsid w:val="00BA2C6C"/>
    <w:rsid w:val="00BA5DE1"/>
    <w:rsid w:val="00BA5FCA"/>
    <w:rsid w:val="00BB39A1"/>
    <w:rsid w:val="00BB4795"/>
    <w:rsid w:val="00BB5881"/>
    <w:rsid w:val="00BB66E0"/>
    <w:rsid w:val="00BB6F30"/>
    <w:rsid w:val="00BB76AB"/>
    <w:rsid w:val="00BC3160"/>
    <w:rsid w:val="00BC3F83"/>
    <w:rsid w:val="00BC4EE8"/>
    <w:rsid w:val="00BC5C5D"/>
    <w:rsid w:val="00BD1AEC"/>
    <w:rsid w:val="00BD2A2C"/>
    <w:rsid w:val="00BD2D98"/>
    <w:rsid w:val="00BD3934"/>
    <w:rsid w:val="00BD5FE3"/>
    <w:rsid w:val="00BD6076"/>
    <w:rsid w:val="00BD7F80"/>
    <w:rsid w:val="00BE03A3"/>
    <w:rsid w:val="00BE1684"/>
    <w:rsid w:val="00BE1C1C"/>
    <w:rsid w:val="00BE42C8"/>
    <w:rsid w:val="00BE4BD6"/>
    <w:rsid w:val="00BE5981"/>
    <w:rsid w:val="00BE712E"/>
    <w:rsid w:val="00BF26EA"/>
    <w:rsid w:val="00BF40FA"/>
    <w:rsid w:val="00BF5068"/>
    <w:rsid w:val="00BF5712"/>
    <w:rsid w:val="00BF6C80"/>
    <w:rsid w:val="00BF71CC"/>
    <w:rsid w:val="00BF7F31"/>
    <w:rsid w:val="00C00B4A"/>
    <w:rsid w:val="00C018E6"/>
    <w:rsid w:val="00C02395"/>
    <w:rsid w:val="00C0310F"/>
    <w:rsid w:val="00C05B60"/>
    <w:rsid w:val="00C149FF"/>
    <w:rsid w:val="00C15656"/>
    <w:rsid w:val="00C16A41"/>
    <w:rsid w:val="00C2147F"/>
    <w:rsid w:val="00C2163A"/>
    <w:rsid w:val="00C239A6"/>
    <w:rsid w:val="00C27290"/>
    <w:rsid w:val="00C3399B"/>
    <w:rsid w:val="00C34C49"/>
    <w:rsid w:val="00C36D91"/>
    <w:rsid w:val="00C43283"/>
    <w:rsid w:val="00C4521B"/>
    <w:rsid w:val="00C47915"/>
    <w:rsid w:val="00C47A50"/>
    <w:rsid w:val="00C50C63"/>
    <w:rsid w:val="00C50F35"/>
    <w:rsid w:val="00C53159"/>
    <w:rsid w:val="00C537E0"/>
    <w:rsid w:val="00C6149C"/>
    <w:rsid w:val="00C63AA3"/>
    <w:rsid w:val="00C73EFD"/>
    <w:rsid w:val="00C75D84"/>
    <w:rsid w:val="00C76E06"/>
    <w:rsid w:val="00C77102"/>
    <w:rsid w:val="00C84605"/>
    <w:rsid w:val="00C855A9"/>
    <w:rsid w:val="00C85B39"/>
    <w:rsid w:val="00C907D7"/>
    <w:rsid w:val="00C90F56"/>
    <w:rsid w:val="00C92924"/>
    <w:rsid w:val="00C969A5"/>
    <w:rsid w:val="00C96F7D"/>
    <w:rsid w:val="00CA52B4"/>
    <w:rsid w:val="00CA5E8D"/>
    <w:rsid w:val="00CA63D8"/>
    <w:rsid w:val="00CC2A57"/>
    <w:rsid w:val="00CC3217"/>
    <w:rsid w:val="00CC3647"/>
    <w:rsid w:val="00CC52E9"/>
    <w:rsid w:val="00CC7CBF"/>
    <w:rsid w:val="00CD1501"/>
    <w:rsid w:val="00CD4740"/>
    <w:rsid w:val="00CD7828"/>
    <w:rsid w:val="00CE3D56"/>
    <w:rsid w:val="00CF079A"/>
    <w:rsid w:val="00CF092E"/>
    <w:rsid w:val="00CF1BEF"/>
    <w:rsid w:val="00CF211D"/>
    <w:rsid w:val="00CF246E"/>
    <w:rsid w:val="00CF2D87"/>
    <w:rsid w:val="00CF54A9"/>
    <w:rsid w:val="00CF7B3B"/>
    <w:rsid w:val="00D0161E"/>
    <w:rsid w:val="00D0332C"/>
    <w:rsid w:val="00D0393C"/>
    <w:rsid w:val="00D057CA"/>
    <w:rsid w:val="00D10105"/>
    <w:rsid w:val="00D1339C"/>
    <w:rsid w:val="00D133AA"/>
    <w:rsid w:val="00D134D0"/>
    <w:rsid w:val="00D1495F"/>
    <w:rsid w:val="00D1745C"/>
    <w:rsid w:val="00D17DC3"/>
    <w:rsid w:val="00D25D17"/>
    <w:rsid w:val="00D331C4"/>
    <w:rsid w:val="00D33644"/>
    <w:rsid w:val="00D34FCD"/>
    <w:rsid w:val="00D35172"/>
    <w:rsid w:val="00D370B3"/>
    <w:rsid w:val="00D4091B"/>
    <w:rsid w:val="00D409F8"/>
    <w:rsid w:val="00D429F7"/>
    <w:rsid w:val="00D47BF8"/>
    <w:rsid w:val="00D54567"/>
    <w:rsid w:val="00D54800"/>
    <w:rsid w:val="00D56783"/>
    <w:rsid w:val="00D56E6B"/>
    <w:rsid w:val="00D60CD0"/>
    <w:rsid w:val="00D6242A"/>
    <w:rsid w:val="00D66869"/>
    <w:rsid w:val="00D67179"/>
    <w:rsid w:val="00D70DAF"/>
    <w:rsid w:val="00D75980"/>
    <w:rsid w:val="00D770E1"/>
    <w:rsid w:val="00D77260"/>
    <w:rsid w:val="00D77911"/>
    <w:rsid w:val="00D8193C"/>
    <w:rsid w:val="00D83BF5"/>
    <w:rsid w:val="00D8413C"/>
    <w:rsid w:val="00D84CF5"/>
    <w:rsid w:val="00D85797"/>
    <w:rsid w:val="00D87C9A"/>
    <w:rsid w:val="00D90932"/>
    <w:rsid w:val="00D92315"/>
    <w:rsid w:val="00DA055C"/>
    <w:rsid w:val="00DA3ED3"/>
    <w:rsid w:val="00DA6DA5"/>
    <w:rsid w:val="00DB0126"/>
    <w:rsid w:val="00DB1C98"/>
    <w:rsid w:val="00DB6ED4"/>
    <w:rsid w:val="00DB77B0"/>
    <w:rsid w:val="00DC08B8"/>
    <w:rsid w:val="00DC1668"/>
    <w:rsid w:val="00DC23FE"/>
    <w:rsid w:val="00DC28A8"/>
    <w:rsid w:val="00DC3971"/>
    <w:rsid w:val="00DC72CB"/>
    <w:rsid w:val="00DD0F5D"/>
    <w:rsid w:val="00DD23A4"/>
    <w:rsid w:val="00DD3E29"/>
    <w:rsid w:val="00DE1185"/>
    <w:rsid w:val="00DE6704"/>
    <w:rsid w:val="00DF04B4"/>
    <w:rsid w:val="00DF448A"/>
    <w:rsid w:val="00DF79F6"/>
    <w:rsid w:val="00DF7D06"/>
    <w:rsid w:val="00E0556E"/>
    <w:rsid w:val="00E06D51"/>
    <w:rsid w:val="00E123A2"/>
    <w:rsid w:val="00E14016"/>
    <w:rsid w:val="00E142B8"/>
    <w:rsid w:val="00E2306D"/>
    <w:rsid w:val="00E27154"/>
    <w:rsid w:val="00E31890"/>
    <w:rsid w:val="00E31D6F"/>
    <w:rsid w:val="00E33B89"/>
    <w:rsid w:val="00E342C8"/>
    <w:rsid w:val="00E45B08"/>
    <w:rsid w:val="00E503F3"/>
    <w:rsid w:val="00E514B0"/>
    <w:rsid w:val="00E51DA2"/>
    <w:rsid w:val="00E52335"/>
    <w:rsid w:val="00E54C3B"/>
    <w:rsid w:val="00E56B3F"/>
    <w:rsid w:val="00E57C90"/>
    <w:rsid w:val="00E602AC"/>
    <w:rsid w:val="00E63725"/>
    <w:rsid w:val="00E64CF1"/>
    <w:rsid w:val="00E661D6"/>
    <w:rsid w:val="00E76ADA"/>
    <w:rsid w:val="00E76F09"/>
    <w:rsid w:val="00E777A8"/>
    <w:rsid w:val="00E77B83"/>
    <w:rsid w:val="00E83BD1"/>
    <w:rsid w:val="00E843EC"/>
    <w:rsid w:val="00E84E36"/>
    <w:rsid w:val="00E8662A"/>
    <w:rsid w:val="00E91D27"/>
    <w:rsid w:val="00E96414"/>
    <w:rsid w:val="00E97EC4"/>
    <w:rsid w:val="00EA42D4"/>
    <w:rsid w:val="00EA44AA"/>
    <w:rsid w:val="00EA4B21"/>
    <w:rsid w:val="00EB3DAF"/>
    <w:rsid w:val="00EB5CD5"/>
    <w:rsid w:val="00EB798E"/>
    <w:rsid w:val="00EB7C1E"/>
    <w:rsid w:val="00EC18E8"/>
    <w:rsid w:val="00EC1D6C"/>
    <w:rsid w:val="00EC5035"/>
    <w:rsid w:val="00EC6EB9"/>
    <w:rsid w:val="00EC794A"/>
    <w:rsid w:val="00ED29A5"/>
    <w:rsid w:val="00EE4C3A"/>
    <w:rsid w:val="00EE67F9"/>
    <w:rsid w:val="00EE767E"/>
    <w:rsid w:val="00EE7A0F"/>
    <w:rsid w:val="00EF1162"/>
    <w:rsid w:val="00EF1FAF"/>
    <w:rsid w:val="00EF2A3B"/>
    <w:rsid w:val="00EF5DAF"/>
    <w:rsid w:val="00EF6DED"/>
    <w:rsid w:val="00F01885"/>
    <w:rsid w:val="00F0318F"/>
    <w:rsid w:val="00F049AD"/>
    <w:rsid w:val="00F0528B"/>
    <w:rsid w:val="00F10E08"/>
    <w:rsid w:val="00F11939"/>
    <w:rsid w:val="00F13EA7"/>
    <w:rsid w:val="00F15514"/>
    <w:rsid w:val="00F16523"/>
    <w:rsid w:val="00F17240"/>
    <w:rsid w:val="00F36CC1"/>
    <w:rsid w:val="00F37D17"/>
    <w:rsid w:val="00F406B1"/>
    <w:rsid w:val="00F43AAD"/>
    <w:rsid w:val="00F44B75"/>
    <w:rsid w:val="00F51964"/>
    <w:rsid w:val="00F5238C"/>
    <w:rsid w:val="00F52B94"/>
    <w:rsid w:val="00F548D5"/>
    <w:rsid w:val="00F55004"/>
    <w:rsid w:val="00F61403"/>
    <w:rsid w:val="00F615FA"/>
    <w:rsid w:val="00F6181B"/>
    <w:rsid w:val="00F62A4D"/>
    <w:rsid w:val="00F6454A"/>
    <w:rsid w:val="00F660A7"/>
    <w:rsid w:val="00F72088"/>
    <w:rsid w:val="00F732C8"/>
    <w:rsid w:val="00F73CDF"/>
    <w:rsid w:val="00F7531B"/>
    <w:rsid w:val="00F77405"/>
    <w:rsid w:val="00F810A1"/>
    <w:rsid w:val="00F81F87"/>
    <w:rsid w:val="00F82A7F"/>
    <w:rsid w:val="00F831AD"/>
    <w:rsid w:val="00F8403A"/>
    <w:rsid w:val="00F84611"/>
    <w:rsid w:val="00F93B97"/>
    <w:rsid w:val="00F93BC7"/>
    <w:rsid w:val="00F95CDA"/>
    <w:rsid w:val="00F96AE4"/>
    <w:rsid w:val="00FA08DF"/>
    <w:rsid w:val="00FA0E9C"/>
    <w:rsid w:val="00FA4F03"/>
    <w:rsid w:val="00FA6C33"/>
    <w:rsid w:val="00FB5690"/>
    <w:rsid w:val="00FB7125"/>
    <w:rsid w:val="00FD0A73"/>
    <w:rsid w:val="00FD0A9A"/>
    <w:rsid w:val="00FD4D9D"/>
    <w:rsid w:val="00FE11A3"/>
    <w:rsid w:val="00FE1AFC"/>
    <w:rsid w:val="00FE1E29"/>
    <w:rsid w:val="00FE311C"/>
    <w:rsid w:val="00FF1636"/>
    <w:rsid w:val="00FF1F84"/>
    <w:rsid w:val="00FF3401"/>
    <w:rsid w:val="00FF71C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3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85797"/>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D85797"/>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930AA8"/>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930AA8"/>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7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579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1C6A3A"/>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D04AC"/>
    <w:pPr>
      <w:spacing w:before="100" w:beforeAutospacing="1" w:after="100" w:afterAutospacing="1"/>
    </w:pPr>
  </w:style>
  <w:style w:type="character" w:styleId="Hyperlink">
    <w:name w:val="Hyperlink"/>
    <w:basedOn w:val="DefaultParagraphFont"/>
    <w:uiPriority w:val="99"/>
    <w:unhideWhenUsed/>
    <w:rsid w:val="009D04AC"/>
    <w:rPr>
      <w:color w:val="0000FF"/>
      <w:u w:val="single"/>
    </w:rPr>
  </w:style>
  <w:style w:type="character" w:styleId="Strong">
    <w:name w:val="Strong"/>
    <w:basedOn w:val="DefaultParagraphFont"/>
    <w:uiPriority w:val="22"/>
    <w:qFormat/>
    <w:rsid w:val="009D04AC"/>
    <w:rPr>
      <w:b/>
      <w:bCs/>
    </w:rPr>
  </w:style>
  <w:style w:type="paragraph" w:styleId="Header">
    <w:name w:val="header"/>
    <w:basedOn w:val="Normal"/>
    <w:link w:val="HeaderChar"/>
    <w:uiPriority w:val="99"/>
    <w:unhideWhenUsed/>
    <w:rsid w:val="009D04A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04AC"/>
  </w:style>
  <w:style w:type="paragraph" w:styleId="Footer">
    <w:name w:val="footer"/>
    <w:basedOn w:val="Normal"/>
    <w:link w:val="FooterChar"/>
    <w:uiPriority w:val="99"/>
    <w:unhideWhenUsed/>
    <w:rsid w:val="009D04A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04AC"/>
  </w:style>
  <w:style w:type="character" w:styleId="LineNumber">
    <w:name w:val="line number"/>
    <w:basedOn w:val="DefaultParagraphFont"/>
    <w:uiPriority w:val="99"/>
    <w:semiHidden/>
    <w:unhideWhenUsed/>
    <w:rsid w:val="009D04AC"/>
  </w:style>
  <w:style w:type="paragraph" w:styleId="BalloonText">
    <w:name w:val="Balloon Text"/>
    <w:basedOn w:val="Normal"/>
    <w:link w:val="BalloonTextChar"/>
    <w:uiPriority w:val="99"/>
    <w:semiHidden/>
    <w:unhideWhenUsed/>
    <w:rsid w:val="00C239A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239A6"/>
    <w:rPr>
      <w:rFonts w:ascii="Segoe UI" w:hAnsi="Segoe UI" w:cs="Segoe UI"/>
      <w:sz w:val="18"/>
      <w:szCs w:val="18"/>
    </w:rPr>
  </w:style>
  <w:style w:type="character" w:styleId="Emphasis">
    <w:name w:val="Emphasis"/>
    <w:basedOn w:val="DefaultParagraphFont"/>
    <w:uiPriority w:val="20"/>
    <w:qFormat/>
    <w:rsid w:val="00C05B60"/>
    <w:rPr>
      <w:i/>
      <w:iCs/>
    </w:rPr>
  </w:style>
  <w:style w:type="character" w:styleId="CommentReference">
    <w:name w:val="annotation reference"/>
    <w:basedOn w:val="DefaultParagraphFont"/>
    <w:uiPriority w:val="99"/>
    <w:semiHidden/>
    <w:unhideWhenUsed/>
    <w:rsid w:val="00930AA8"/>
    <w:rPr>
      <w:sz w:val="16"/>
      <w:szCs w:val="16"/>
    </w:rPr>
  </w:style>
  <w:style w:type="paragraph" w:styleId="CommentText">
    <w:name w:val="annotation text"/>
    <w:basedOn w:val="Normal"/>
    <w:link w:val="CommentTextChar"/>
    <w:uiPriority w:val="99"/>
    <w:unhideWhenUsed/>
    <w:rsid w:val="00930AA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30AA8"/>
    <w:rPr>
      <w:sz w:val="20"/>
      <w:szCs w:val="20"/>
    </w:rPr>
  </w:style>
  <w:style w:type="paragraph" w:styleId="CommentSubject">
    <w:name w:val="annotation subject"/>
    <w:basedOn w:val="CommentText"/>
    <w:next w:val="CommentText"/>
    <w:link w:val="CommentSubjectChar"/>
    <w:uiPriority w:val="99"/>
    <w:semiHidden/>
    <w:unhideWhenUsed/>
    <w:rsid w:val="00930AA8"/>
    <w:rPr>
      <w:b/>
      <w:bCs/>
    </w:rPr>
  </w:style>
  <w:style w:type="character" w:customStyle="1" w:styleId="CommentSubjectChar">
    <w:name w:val="Comment Subject Char"/>
    <w:basedOn w:val="CommentTextChar"/>
    <w:link w:val="CommentSubject"/>
    <w:uiPriority w:val="99"/>
    <w:semiHidden/>
    <w:rsid w:val="00930AA8"/>
    <w:rPr>
      <w:b/>
      <w:bCs/>
      <w:sz w:val="20"/>
      <w:szCs w:val="20"/>
    </w:rPr>
  </w:style>
  <w:style w:type="character" w:customStyle="1" w:styleId="Heading3Char">
    <w:name w:val="Heading 3 Char"/>
    <w:basedOn w:val="DefaultParagraphFont"/>
    <w:link w:val="Heading3"/>
    <w:uiPriority w:val="9"/>
    <w:rsid w:val="00930A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30AA8"/>
    <w:rPr>
      <w:rFonts w:asciiTheme="majorHAnsi" w:eastAsiaTheme="majorEastAsia" w:hAnsiTheme="majorHAnsi" w:cstheme="majorBidi"/>
      <w:i/>
      <w:iCs/>
      <w:color w:val="2F5496" w:themeColor="accent1" w:themeShade="BF"/>
    </w:rPr>
  </w:style>
  <w:style w:type="character" w:customStyle="1" w:styleId="highlight">
    <w:name w:val="highlight"/>
    <w:basedOn w:val="DefaultParagraphFont"/>
    <w:rsid w:val="00930AA8"/>
  </w:style>
  <w:style w:type="paragraph" w:customStyle="1" w:styleId="Style1">
    <w:name w:val="Style1"/>
    <w:basedOn w:val="ListParagraph"/>
    <w:link w:val="Style1Char"/>
    <w:rsid w:val="00AB2864"/>
    <w:pPr>
      <w:keepNext/>
      <w:keepLines/>
      <w:numPr>
        <w:numId w:val="10"/>
      </w:numPr>
      <w:autoSpaceDE w:val="0"/>
      <w:autoSpaceDN w:val="0"/>
      <w:adjustRightInd w:val="0"/>
      <w:spacing w:before="120" w:after="0" w:line="240" w:lineRule="auto"/>
      <w:contextualSpacing w:val="0"/>
    </w:pPr>
    <w:rPr>
      <w:rFonts w:ascii="Calibri" w:eastAsia="Calibri" w:hAnsi="Calibri" w:cs="Helvetica"/>
      <w:b/>
      <w:sz w:val="24"/>
      <w:szCs w:val="24"/>
      <w:lang w:val="en-US" w:eastAsia="en-GB"/>
    </w:rPr>
  </w:style>
  <w:style w:type="character" w:customStyle="1" w:styleId="Style1Char">
    <w:name w:val="Style1 Char"/>
    <w:basedOn w:val="DefaultParagraphFont"/>
    <w:link w:val="Style1"/>
    <w:rsid w:val="00AB2864"/>
    <w:rPr>
      <w:rFonts w:ascii="Calibri" w:eastAsia="Calibri" w:hAnsi="Calibri" w:cs="Helvetica"/>
      <w:b/>
      <w:sz w:val="24"/>
      <w:szCs w:val="24"/>
      <w:lang w:val="en-US" w:eastAsia="en-GB"/>
    </w:rPr>
  </w:style>
  <w:style w:type="character" w:customStyle="1" w:styleId="ListParagraphChar">
    <w:name w:val="List Paragraph Char"/>
    <w:basedOn w:val="DefaultParagraphFont"/>
    <w:link w:val="ListParagraph"/>
    <w:uiPriority w:val="34"/>
    <w:rsid w:val="00160B72"/>
  </w:style>
  <w:style w:type="paragraph" w:styleId="FootnoteText">
    <w:name w:val="footnote text"/>
    <w:basedOn w:val="Normal"/>
    <w:link w:val="FootnoteTextChar"/>
    <w:uiPriority w:val="99"/>
    <w:semiHidden/>
    <w:unhideWhenUsed/>
    <w:rsid w:val="007A1FB8"/>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A1FB8"/>
    <w:rPr>
      <w:rFonts w:eastAsiaTheme="minorEastAsia"/>
      <w:sz w:val="20"/>
      <w:szCs w:val="20"/>
      <w:lang w:eastAsia="en-GB"/>
    </w:rPr>
  </w:style>
  <w:style w:type="character" w:styleId="FootnoteReference">
    <w:name w:val="footnote reference"/>
    <w:basedOn w:val="DefaultParagraphFont"/>
    <w:uiPriority w:val="99"/>
    <w:semiHidden/>
    <w:unhideWhenUsed/>
    <w:rsid w:val="007A1FB8"/>
    <w:rPr>
      <w:vertAlign w:val="superscript"/>
    </w:rPr>
  </w:style>
  <w:style w:type="paragraph" w:styleId="PlainText">
    <w:name w:val="Plain Text"/>
    <w:basedOn w:val="Normal"/>
    <w:link w:val="PlainTextChar"/>
    <w:uiPriority w:val="99"/>
    <w:semiHidden/>
    <w:unhideWhenUsed/>
    <w:rsid w:val="001C20D2"/>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1C20D2"/>
    <w:rPr>
      <w:rFonts w:ascii="Calibri" w:hAnsi="Calibri" w:cs="Consolas"/>
      <w:szCs w:val="21"/>
    </w:rPr>
  </w:style>
  <w:style w:type="character" w:styleId="PlaceholderText">
    <w:name w:val="Placeholder Text"/>
    <w:basedOn w:val="DefaultParagraphFont"/>
    <w:uiPriority w:val="99"/>
    <w:semiHidden/>
    <w:rsid w:val="00571028"/>
    <w:rPr>
      <w:color w:val="808080"/>
    </w:rPr>
  </w:style>
  <w:style w:type="character" w:customStyle="1" w:styleId="citation">
    <w:name w:val="citation"/>
    <w:basedOn w:val="DefaultParagraphFont"/>
    <w:rsid w:val="00225E66"/>
  </w:style>
  <w:style w:type="character" w:customStyle="1" w:styleId="article-title-and-info">
    <w:name w:val="article-title-and-info"/>
    <w:basedOn w:val="DefaultParagraphFont"/>
    <w:rsid w:val="00225E66"/>
  </w:style>
  <w:style w:type="paragraph" w:customStyle="1" w:styleId="RLogan">
    <w:name w:val="RLogan"/>
    <w:basedOn w:val="Normal"/>
    <w:link w:val="RLoganChar"/>
    <w:qFormat/>
    <w:rsid w:val="006C76E1"/>
    <w:pPr>
      <w:spacing w:after="160" w:line="259" w:lineRule="auto"/>
    </w:pPr>
    <w:rPr>
      <w:rFonts w:asciiTheme="minorHAnsi" w:eastAsiaTheme="minorHAnsi" w:hAnsiTheme="minorHAnsi" w:cstheme="minorBidi"/>
      <w:sz w:val="22"/>
      <w:szCs w:val="22"/>
      <w:lang w:eastAsia="en-US"/>
    </w:rPr>
  </w:style>
  <w:style w:type="character" w:customStyle="1" w:styleId="RLoganChar">
    <w:name w:val="RLogan Char"/>
    <w:basedOn w:val="DefaultParagraphFont"/>
    <w:link w:val="RLogan"/>
    <w:rsid w:val="006C76E1"/>
  </w:style>
  <w:style w:type="character" w:customStyle="1" w:styleId="person">
    <w:name w:val="person"/>
    <w:basedOn w:val="DefaultParagraphFont"/>
    <w:rsid w:val="00317B71"/>
  </w:style>
  <w:style w:type="character" w:customStyle="1" w:styleId="personname">
    <w:name w:val="person_name"/>
    <w:basedOn w:val="DefaultParagraphFont"/>
    <w:rsid w:val="00317B71"/>
  </w:style>
  <w:style w:type="table" w:styleId="LightShading">
    <w:name w:val="Light Shading"/>
    <w:basedOn w:val="TableNormal"/>
    <w:uiPriority w:val="60"/>
    <w:semiHidden/>
    <w:unhideWhenUsed/>
    <w:rsid w:val="006416CF"/>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E6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7E96"/>
    <w:rPr>
      <w:color w:val="954F72" w:themeColor="followedHyperlink"/>
      <w:u w:val="single"/>
    </w:rPr>
  </w:style>
  <w:style w:type="character" w:customStyle="1" w:styleId="js-article-title">
    <w:name w:val="js-article-title"/>
    <w:basedOn w:val="DefaultParagraphFont"/>
    <w:rsid w:val="00460E6D"/>
  </w:style>
  <w:style w:type="character" w:customStyle="1" w:styleId="UnresolvedMention1">
    <w:name w:val="Unresolved Mention1"/>
    <w:basedOn w:val="DefaultParagraphFont"/>
    <w:uiPriority w:val="99"/>
    <w:semiHidden/>
    <w:unhideWhenUsed/>
    <w:rsid w:val="00F82A7F"/>
    <w:rPr>
      <w:color w:val="605E5C"/>
      <w:shd w:val="clear" w:color="auto" w:fill="E1DFDD"/>
    </w:rPr>
  </w:style>
  <w:style w:type="character" w:customStyle="1" w:styleId="e24kjd">
    <w:name w:val="e24kjd"/>
    <w:basedOn w:val="DefaultParagraphFont"/>
    <w:rsid w:val="009474E5"/>
  </w:style>
  <w:style w:type="paragraph" w:styleId="Revision">
    <w:name w:val="Revision"/>
    <w:hidden/>
    <w:uiPriority w:val="99"/>
    <w:semiHidden/>
    <w:rsid w:val="00015897"/>
    <w:pPr>
      <w:spacing w:after="0" w:line="240" w:lineRule="auto"/>
    </w:pPr>
  </w:style>
  <w:style w:type="character" w:customStyle="1" w:styleId="title-text">
    <w:name w:val="title-text"/>
    <w:basedOn w:val="DefaultParagraphFont"/>
    <w:rsid w:val="006304CA"/>
  </w:style>
  <w:style w:type="character" w:customStyle="1" w:styleId="mi">
    <w:name w:val="mi"/>
    <w:basedOn w:val="DefaultParagraphFont"/>
    <w:rsid w:val="005E595D"/>
  </w:style>
  <w:style w:type="character" w:customStyle="1" w:styleId="mo">
    <w:name w:val="mo"/>
    <w:basedOn w:val="DefaultParagraphFont"/>
    <w:rsid w:val="005E595D"/>
  </w:style>
  <w:style w:type="character" w:customStyle="1" w:styleId="mn">
    <w:name w:val="mn"/>
    <w:basedOn w:val="DefaultParagraphFont"/>
    <w:rsid w:val="005E595D"/>
  </w:style>
  <w:style w:type="character" w:customStyle="1" w:styleId="mjxassistivemathml">
    <w:name w:val="mjx_assistive_mathml"/>
    <w:basedOn w:val="DefaultParagraphFont"/>
    <w:rsid w:val="005E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299">
      <w:bodyDiv w:val="1"/>
      <w:marLeft w:val="0"/>
      <w:marRight w:val="0"/>
      <w:marTop w:val="0"/>
      <w:marBottom w:val="0"/>
      <w:divBdr>
        <w:top w:val="none" w:sz="0" w:space="0" w:color="auto"/>
        <w:left w:val="none" w:sz="0" w:space="0" w:color="auto"/>
        <w:bottom w:val="none" w:sz="0" w:space="0" w:color="auto"/>
        <w:right w:val="none" w:sz="0" w:space="0" w:color="auto"/>
      </w:divBdr>
    </w:div>
    <w:div w:id="24790710">
      <w:bodyDiv w:val="1"/>
      <w:marLeft w:val="0"/>
      <w:marRight w:val="0"/>
      <w:marTop w:val="0"/>
      <w:marBottom w:val="0"/>
      <w:divBdr>
        <w:top w:val="none" w:sz="0" w:space="0" w:color="auto"/>
        <w:left w:val="none" w:sz="0" w:space="0" w:color="auto"/>
        <w:bottom w:val="none" w:sz="0" w:space="0" w:color="auto"/>
        <w:right w:val="none" w:sz="0" w:space="0" w:color="auto"/>
      </w:divBdr>
    </w:div>
    <w:div w:id="32848582">
      <w:bodyDiv w:val="1"/>
      <w:marLeft w:val="0"/>
      <w:marRight w:val="0"/>
      <w:marTop w:val="0"/>
      <w:marBottom w:val="0"/>
      <w:divBdr>
        <w:top w:val="none" w:sz="0" w:space="0" w:color="auto"/>
        <w:left w:val="none" w:sz="0" w:space="0" w:color="auto"/>
        <w:bottom w:val="none" w:sz="0" w:space="0" w:color="auto"/>
        <w:right w:val="none" w:sz="0" w:space="0" w:color="auto"/>
      </w:divBdr>
    </w:div>
    <w:div w:id="77337229">
      <w:bodyDiv w:val="1"/>
      <w:marLeft w:val="0"/>
      <w:marRight w:val="0"/>
      <w:marTop w:val="0"/>
      <w:marBottom w:val="0"/>
      <w:divBdr>
        <w:top w:val="none" w:sz="0" w:space="0" w:color="auto"/>
        <w:left w:val="none" w:sz="0" w:space="0" w:color="auto"/>
        <w:bottom w:val="none" w:sz="0" w:space="0" w:color="auto"/>
        <w:right w:val="none" w:sz="0" w:space="0" w:color="auto"/>
      </w:divBdr>
    </w:div>
    <w:div w:id="127676088">
      <w:bodyDiv w:val="1"/>
      <w:marLeft w:val="0"/>
      <w:marRight w:val="0"/>
      <w:marTop w:val="0"/>
      <w:marBottom w:val="0"/>
      <w:divBdr>
        <w:top w:val="none" w:sz="0" w:space="0" w:color="auto"/>
        <w:left w:val="none" w:sz="0" w:space="0" w:color="auto"/>
        <w:bottom w:val="none" w:sz="0" w:space="0" w:color="auto"/>
        <w:right w:val="none" w:sz="0" w:space="0" w:color="auto"/>
      </w:divBdr>
    </w:div>
    <w:div w:id="156189881">
      <w:bodyDiv w:val="1"/>
      <w:marLeft w:val="0"/>
      <w:marRight w:val="0"/>
      <w:marTop w:val="0"/>
      <w:marBottom w:val="0"/>
      <w:divBdr>
        <w:top w:val="none" w:sz="0" w:space="0" w:color="auto"/>
        <w:left w:val="none" w:sz="0" w:space="0" w:color="auto"/>
        <w:bottom w:val="none" w:sz="0" w:space="0" w:color="auto"/>
        <w:right w:val="none" w:sz="0" w:space="0" w:color="auto"/>
      </w:divBdr>
    </w:div>
    <w:div w:id="158424056">
      <w:bodyDiv w:val="1"/>
      <w:marLeft w:val="0"/>
      <w:marRight w:val="0"/>
      <w:marTop w:val="0"/>
      <w:marBottom w:val="0"/>
      <w:divBdr>
        <w:top w:val="none" w:sz="0" w:space="0" w:color="auto"/>
        <w:left w:val="none" w:sz="0" w:space="0" w:color="auto"/>
        <w:bottom w:val="none" w:sz="0" w:space="0" w:color="auto"/>
        <w:right w:val="none" w:sz="0" w:space="0" w:color="auto"/>
      </w:divBdr>
    </w:div>
    <w:div w:id="239145845">
      <w:bodyDiv w:val="1"/>
      <w:marLeft w:val="0"/>
      <w:marRight w:val="0"/>
      <w:marTop w:val="0"/>
      <w:marBottom w:val="0"/>
      <w:divBdr>
        <w:top w:val="none" w:sz="0" w:space="0" w:color="auto"/>
        <w:left w:val="none" w:sz="0" w:space="0" w:color="auto"/>
        <w:bottom w:val="none" w:sz="0" w:space="0" w:color="auto"/>
        <w:right w:val="none" w:sz="0" w:space="0" w:color="auto"/>
      </w:divBdr>
    </w:div>
    <w:div w:id="242616524">
      <w:bodyDiv w:val="1"/>
      <w:marLeft w:val="0"/>
      <w:marRight w:val="0"/>
      <w:marTop w:val="0"/>
      <w:marBottom w:val="0"/>
      <w:divBdr>
        <w:top w:val="none" w:sz="0" w:space="0" w:color="auto"/>
        <w:left w:val="none" w:sz="0" w:space="0" w:color="auto"/>
        <w:bottom w:val="none" w:sz="0" w:space="0" w:color="auto"/>
        <w:right w:val="none" w:sz="0" w:space="0" w:color="auto"/>
      </w:divBdr>
    </w:div>
    <w:div w:id="262887160">
      <w:bodyDiv w:val="1"/>
      <w:marLeft w:val="0"/>
      <w:marRight w:val="0"/>
      <w:marTop w:val="0"/>
      <w:marBottom w:val="0"/>
      <w:divBdr>
        <w:top w:val="none" w:sz="0" w:space="0" w:color="auto"/>
        <w:left w:val="none" w:sz="0" w:space="0" w:color="auto"/>
        <w:bottom w:val="none" w:sz="0" w:space="0" w:color="auto"/>
        <w:right w:val="none" w:sz="0" w:space="0" w:color="auto"/>
      </w:divBdr>
    </w:div>
    <w:div w:id="268898214">
      <w:bodyDiv w:val="1"/>
      <w:marLeft w:val="0"/>
      <w:marRight w:val="0"/>
      <w:marTop w:val="0"/>
      <w:marBottom w:val="0"/>
      <w:divBdr>
        <w:top w:val="none" w:sz="0" w:space="0" w:color="auto"/>
        <w:left w:val="none" w:sz="0" w:space="0" w:color="auto"/>
        <w:bottom w:val="none" w:sz="0" w:space="0" w:color="auto"/>
        <w:right w:val="none" w:sz="0" w:space="0" w:color="auto"/>
      </w:divBdr>
    </w:div>
    <w:div w:id="270282418">
      <w:bodyDiv w:val="1"/>
      <w:marLeft w:val="0"/>
      <w:marRight w:val="0"/>
      <w:marTop w:val="0"/>
      <w:marBottom w:val="0"/>
      <w:divBdr>
        <w:top w:val="none" w:sz="0" w:space="0" w:color="auto"/>
        <w:left w:val="none" w:sz="0" w:space="0" w:color="auto"/>
        <w:bottom w:val="none" w:sz="0" w:space="0" w:color="auto"/>
        <w:right w:val="none" w:sz="0" w:space="0" w:color="auto"/>
      </w:divBdr>
    </w:div>
    <w:div w:id="301034807">
      <w:bodyDiv w:val="1"/>
      <w:marLeft w:val="0"/>
      <w:marRight w:val="0"/>
      <w:marTop w:val="0"/>
      <w:marBottom w:val="0"/>
      <w:divBdr>
        <w:top w:val="none" w:sz="0" w:space="0" w:color="auto"/>
        <w:left w:val="none" w:sz="0" w:space="0" w:color="auto"/>
        <w:bottom w:val="none" w:sz="0" w:space="0" w:color="auto"/>
        <w:right w:val="none" w:sz="0" w:space="0" w:color="auto"/>
      </w:divBdr>
    </w:div>
    <w:div w:id="327632700">
      <w:bodyDiv w:val="1"/>
      <w:marLeft w:val="0"/>
      <w:marRight w:val="0"/>
      <w:marTop w:val="0"/>
      <w:marBottom w:val="0"/>
      <w:divBdr>
        <w:top w:val="none" w:sz="0" w:space="0" w:color="auto"/>
        <w:left w:val="none" w:sz="0" w:space="0" w:color="auto"/>
        <w:bottom w:val="none" w:sz="0" w:space="0" w:color="auto"/>
        <w:right w:val="none" w:sz="0" w:space="0" w:color="auto"/>
      </w:divBdr>
    </w:div>
    <w:div w:id="333143339">
      <w:bodyDiv w:val="1"/>
      <w:marLeft w:val="0"/>
      <w:marRight w:val="0"/>
      <w:marTop w:val="0"/>
      <w:marBottom w:val="0"/>
      <w:divBdr>
        <w:top w:val="none" w:sz="0" w:space="0" w:color="auto"/>
        <w:left w:val="none" w:sz="0" w:space="0" w:color="auto"/>
        <w:bottom w:val="none" w:sz="0" w:space="0" w:color="auto"/>
        <w:right w:val="none" w:sz="0" w:space="0" w:color="auto"/>
      </w:divBdr>
    </w:div>
    <w:div w:id="340477511">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1403681459">
          <w:marLeft w:val="0"/>
          <w:marRight w:val="0"/>
          <w:marTop w:val="120"/>
          <w:marBottom w:val="0"/>
          <w:divBdr>
            <w:top w:val="none" w:sz="0" w:space="0" w:color="auto"/>
            <w:left w:val="none" w:sz="0" w:space="0" w:color="auto"/>
            <w:bottom w:val="none" w:sz="0" w:space="0" w:color="auto"/>
            <w:right w:val="none" w:sz="0" w:space="0" w:color="auto"/>
          </w:divBdr>
        </w:div>
        <w:div w:id="1145053394">
          <w:marLeft w:val="0"/>
          <w:marRight w:val="0"/>
          <w:marTop w:val="120"/>
          <w:marBottom w:val="0"/>
          <w:divBdr>
            <w:top w:val="none" w:sz="0" w:space="0" w:color="auto"/>
            <w:left w:val="none" w:sz="0" w:space="0" w:color="auto"/>
            <w:bottom w:val="none" w:sz="0" w:space="0" w:color="auto"/>
            <w:right w:val="none" w:sz="0" w:space="0" w:color="auto"/>
          </w:divBdr>
        </w:div>
      </w:divsChild>
    </w:div>
    <w:div w:id="524297117">
      <w:bodyDiv w:val="1"/>
      <w:marLeft w:val="0"/>
      <w:marRight w:val="0"/>
      <w:marTop w:val="0"/>
      <w:marBottom w:val="0"/>
      <w:divBdr>
        <w:top w:val="none" w:sz="0" w:space="0" w:color="auto"/>
        <w:left w:val="none" w:sz="0" w:space="0" w:color="auto"/>
        <w:bottom w:val="none" w:sz="0" w:space="0" w:color="auto"/>
        <w:right w:val="none" w:sz="0" w:space="0" w:color="auto"/>
      </w:divBdr>
    </w:div>
    <w:div w:id="524713205">
      <w:bodyDiv w:val="1"/>
      <w:marLeft w:val="0"/>
      <w:marRight w:val="0"/>
      <w:marTop w:val="0"/>
      <w:marBottom w:val="0"/>
      <w:divBdr>
        <w:top w:val="none" w:sz="0" w:space="0" w:color="auto"/>
        <w:left w:val="none" w:sz="0" w:space="0" w:color="auto"/>
        <w:bottom w:val="none" w:sz="0" w:space="0" w:color="auto"/>
        <w:right w:val="none" w:sz="0" w:space="0" w:color="auto"/>
      </w:divBdr>
    </w:div>
    <w:div w:id="573782485">
      <w:bodyDiv w:val="1"/>
      <w:marLeft w:val="0"/>
      <w:marRight w:val="0"/>
      <w:marTop w:val="0"/>
      <w:marBottom w:val="0"/>
      <w:divBdr>
        <w:top w:val="none" w:sz="0" w:space="0" w:color="auto"/>
        <w:left w:val="none" w:sz="0" w:space="0" w:color="auto"/>
        <w:bottom w:val="none" w:sz="0" w:space="0" w:color="auto"/>
        <w:right w:val="none" w:sz="0" w:space="0" w:color="auto"/>
      </w:divBdr>
    </w:div>
    <w:div w:id="581913107">
      <w:bodyDiv w:val="1"/>
      <w:marLeft w:val="0"/>
      <w:marRight w:val="0"/>
      <w:marTop w:val="0"/>
      <w:marBottom w:val="0"/>
      <w:divBdr>
        <w:top w:val="none" w:sz="0" w:space="0" w:color="auto"/>
        <w:left w:val="none" w:sz="0" w:space="0" w:color="auto"/>
        <w:bottom w:val="none" w:sz="0" w:space="0" w:color="auto"/>
        <w:right w:val="none" w:sz="0" w:space="0" w:color="auto"/>
      </w:divBdr>
    </w:div>
    <w:div w:id="680670274">
      <w:bodyDiv w:val="1"/>
      <w:marLeft w:val="0"/>
      <w:marRight w:val="0"/>
      <w:marTop w:val="0"/>
      <w:marBottom w:val="0"/>
      <w:divBdr>
        <w:top w:val="none" w:sz="0" w:space="0" w:color="auto"/>
        <w:left w:val="none" w:sz="0" w:space="0" w:color="auto"/>
        <w:bottom w:val="none" w:sz="0" w:space="0" w:color="auto"/>
        <w:right w:val="none" w:sz="0" w:space="0" w:color="auto"/>
      </w:divBdr>
      <w:divsChild>
        <w:div w:id="479003592">
          <w:marLeft w:val="0"/>
          <w:marRight w:val="0"/>
          <w:marTop w:val="120"/>
          <w:marBottom w:val="0"/>
          <w:divBdr>
            <w:top w:val="none" w:sz="0" w:space="0" w:color="auto"/>
            <w:left w:val="none" w:sz="0" w:space="0" w:color="auto"/>
            <w:bottom w:val="none" w:sz="0" w:space="0" w:color="auto"/>
            <w:right w:val="none" w:sz="0" w:space="0" w:color="auto"/>
          </w:divBdr>
        </w:div>
        <w:div w:id="718551792">
          <w:marLeft w:val="0"/>
          <w:marRight w:val="0"/>
          <w:marTop w:val="120"/>
          <w:marBottom w:val="0"/>
          <w:divBdr>
            <w:top w:val="none" w:sz="0" w:space="0" w:color="auto"/>
            <w:left w:val="none" w:sz="0" w:space="0" w:color="auto"/>
            <w:bottom w:val="none" w:sz="0" w:space="0" w:color="auto"/>
            <w:right w:val="none" w:sz="0" w:space="0" w:color="auto"/>
          </w:divBdr>
        </w:div>
      </w:divsChild>
    </w:div>
    <w:div w:id="684290903">
      <w:bodyDiv w:val="1"/>
      <w:marLeft w:val="0"/>
      <w:marRight w:val="0"/>
      <w:marTop w:val="0"/>
      <w:marBottom w:val="0"/>
      <w:divBdr>
        <w:top w:val="none" w:sz="0" w:space="0" w:color="auto"/>
        <w:left w:val="none" w:sz="0" w:space="0" w:color="auto"/>
        <w:bottom w:val="none" w:sz="0" w:space="0" w:color="auto"/>
        <w:right w:val="none" w:sz="0" w:space="0" w:color="auto"/>
      </w:divBdr>
    </w:div>
    <w:div w:id="816798382">
      <w:bodyDiv w:val="1"/>
      <w:marLeft w:val="0"/>
      <w:marRight w:val="0"/>
      <w:marTop w:val="0"/>
      <w:marBottom w:val="0"/>
      <w:divBdr>
        <w:top w:val="none" w:sz="0" w:space="0" w:color="auto"/>
        <w:left w:val="none" w:sz="0" w:space="0" w:color="auto"/>
        <w:bottom w:val="none" w:sz="0" w:space="0" w:color="auto"/>
        <w:right w:val="none" w:sz="0" w:space="0" w:color="auto"/>
      </w:divBdr>
    </w:div>
    <w:div w:id="834152083">
      <w:bodyDiv w:val="1"/>
      <w:marLeft w:val="0"/>
      <w:marRight w:val="0"/>
      <w:marTop w:val="0"/>
      <w:marBottom w:val="0"/>
      <w:divBdr>
        <w:top w:val="none" w:sz="0" w:space="0" w:color="auto"/>
        <w:left w:val="none" w:sz="0" w:space="0" w:color="auto"/>
        <w:bottom w:val="none" w:sz="0" w:space="0" w:color="auto"/>
        <w:right w:val="none" w:sz="0" w:space="0" w:color="auto"/>
      </w:divBdr>
    </w:div>
    <w:div w:id="847212977">
      <w:bodyDiv w:val="1"/>
      <w:marLeft w:val="0"/>
      <w:marRight w:val="0"/>
      <w:marTop w:val="0"/>
      <w:marBottom w:val="0"/>
      <w:divBdr>
        <w:top w:val="none" w:sz="0" w:space="0" w:color="auto"/>
        <w:left w:val="none" w:sz="0" w:space="0" w:color="auto"/>
        <w:bottom w:val="none" w:sz="0" w:space="0" w:color="auto"/>
        <w:right w:val="none" w:sz="0" w:space="0" w:color="auto"/>
      </w:divBdr>
    </w:div>
    <w:div w:id="857155843">
      <w:bodyDiv w:val="1"/>
      <w:marLeft w:val="0"/>
      <w:marRight w:val="0"/>
      <w:marTop w:val="0"/>
      <w:marBottom w:val="0"/>
      <w:divBdr>
        <w:top w:val="none" w:sz="0" w:space="0" w:color="auto"/>
        <w:left w:val="none" w:sz="0" w:space="0" w:color="auto"/>
        <w:bottom w:val="none" w:sz="0" w:space="0" w:color="auto"/>
        <w:right w:val="none" w:sz="0" w:space="0" w:color="auto"/>
      </w:divBdr>
    </w:div>
    <w:div w:id="868643037">
      <w:bodyDiv w:val="1"/>
      <w:marLeft w:val="0"/>
      <w:marRight w:val="0"/>
      <w:marTop w:val="0"/>
      <w:marBottom w:val="0"/>
      <w:divBdr>
        <w:top w:val="none" w:sz="0" w:space="0" w:color="auto"/>
        <w:left w:val="none" w:sz="0" w:space="0" w:color="auto"/>
        <w:bottom w:val="none" w:sz="0" w:space="0" w:color="auto"/>
        <w:right w:val="none" w:sz="0" w:space="0" w:color="auto"/>
      </w:divBdr>
    </w:div>
    <w:div w:id="920138285">
      <w:bodyDiv w:val="1"/>
      <w:marLeft w:val="0"/>
      <w:marRight w:val="0"/>
      <w:marTop w:val="0"/>
      <w:marBottom w:val="0"/>
      <w:divBdr>
        <w:top w:val="none" w:sz="0" w:space="0" w:color="auto"/>
        <w:left w:val="none" w:sz="0" w:space="0" w:color="auto"/>
        <w:bottom w:val="none" w:sz="0" w:space="0" w:color="auto"/>
        <w:right w:val="none" w:sz="0" w:space="0" w:color="auto"/>
      </w:divBdr>
    </w:div>
    <w:div w:id="936134897">
      <w:bodyDiv w:val="1"/>
      <w:marLeft w:val="0"/>
      <w:marRight w:val="0"/>
      <w:marTop w:val="0"/>
      <w:marBottom w:val="0"/>
      <w:divBdr>
        <w:top w:val="none" w:sz="0" w:space="0" w:color="auto"/>
        <w:left w:val="none" w:sz="0" w:space="0" w:color="auto"/>
        <w:bottom w:val="none" w:sz="0" w:space="0" w:color="auto"/>
        <w:right w:val="none" w:sz="0" w:space="0" w:color="auto"/>
      </w:divBdr>
    </w:div>
    <w:div w:id="944847713">
      <w:bodyDiv w:val="1"/>
      <w:marLeft w:val="0"/>
      <w:marRight w:val="0"/>
      <w:marTop w:val="0"/>
      <w:marBottom w:val="0"/>
      <w:divBdr>
        <w:top w:val="none" w:sz="0" w:space="0" w:color="auto"/>
        <w:left w:val="none" w:sz="0" w:space="0" w:color="auto"/>
        <w:bottom w:val="none" w:sz="0" w:space="0" w:color="auto"/>
        <w:right w:val="none" w:sz="0" w:space="0" w:color="auto"/>
      </w:divBdr>
    </w:div>
    <w:div w:id="1127968332">
      <w:bodyDiv w:val="1"/>
      <w:marLeft w:val="0"/>
      <w:marRight w:val="0"/>
      <w:marTop w:val="0"/>
      <w:marBottom w:val="0"/>
      <w:divBdr>
        <w:top w:val="none" w:sz="0" w:space="0" w:color="auto"/>
        <w:left w:val="none" w:sz="0" w:space="0" w:color="auto"/>
        <w:bottom w:val="none" w:sz="0" w:space="0" w:color="auto"/>
        <w:right w:val="none" w:sz="0" w:space="0" w:color="auto"/>
      </w:divBdr>
    </w:div>
    <w:div w:id="1148014696">
      <w:bodyDiv w:val="1"/>
      <w:marLeft w:val="0"/>
      <w:marRight w:val="0"/>
      <w:marTop w:val="0"/>
      <w:marBottom w:val="0"/>
      <w:divBdr>
        <w:top w:val="none" w:sz="0" w:space="0" w:color="auto"/>
        <w:left w:val="none" w:sz="0" w:space="0" w:color="auto"/>
        <w:bottom w:val="none" w:sz="0" w:space="0" w:color="auto"/>
        <w:right w:val="none" w:sz="0" w:space="0" w:color="auto"/>
      </w:divBdr>
    </w:div>
    <w:div w:id="1152674047">
      <w:bodyDiv w:val="1"/>
      <w:marLeft w:val="0"/>
      <w:marRight w:val="0"/>
      <w:marTop w:val="0"/>
      <w:marBottom w:val="0"/>
      <w:divBdr>
        <w:top w:val="none" w:sz="0" w:space="0" w:color="auto"/>
        <w:left w:val="none" w:sz="0" w:space="0" w:color="auto"/>
        <w:bottom w:val="none" w:sz="0" w:space="0" w:color="auto"/>
        <w:right w:val="none" w:sz="0" w:space="0" w:color="auto"/>
      </w:divBdr>
    </w:div>
    <w:div w:id="1201287765">
      <w:bodyDiv w:val="1"/>
      <w:marLeft w:val="0"/>
      <w:marRight w:val="0"/>
      <w:marTop w:val="0"/>
      <w:marBottom w:val="0"/>
      <w:divBdr>
        <w:top w:val="none" w:sz="0" w:space="0" w:color="auto"/>
        <w:left w:val="none" w:sz="0" w:space="0" w:color="auto"/>
        <w:bottom w:val="none" w:sz="0" w:space="0" w:color="auto"/>
        <w:right w:val="none" w:sz="0" w:space="0" w:color="auto"/>
      </w:divBdr>
    </w:div>
    <w:div w:id="1208370224">
      <w:bodyDiv w:val="1"/>
      <w:marLeft w:val="0"/>
      <w:marRight w:val="0"/>
      <w:marTop w:val="0"/>
      <w:marBottom w:val="0"/>
      <w:divBdr>
        <w:top w:val="none" w:sz="0" w:space="0" w:color="auto"/>
        <w:left w:val="none" w:sz="0" w:space="0" w:color="auto"/>
        <w:bottom w:val="none" w:sz="0" w:space="0" w:color="auto"/>
        <w:right w:val="none" w:sz="0" w:space="0" w:color="auto"/>
      </w:divBdr>
    </w:div>
    <w:div w:id="1220821903">
      <w:bodyDiv w:val="1"/>
      <w:marLeft w:val="0"/>
      <w:marRight w:val="0"/>
      <w:marTop w:val="0"/>
      <w:marBottom w:val="0"/>
      <w:divBdr>
        <w:top w:val="none" w:sz="0" w:space="0" w:color="auto"/>
        <w:left w:val="none" w:sz="0" w:space="0" w:color="auto"/>
        <w:bottom w:val="none" w:sz="0" w:space="0" w:color="auto"/>
        <w:right w:val="none" w:sz="0" w:space="0" w:color="auto"/>
      </w:divBdr>
    </w:div>
    <w:div w:id="1243223542">
      <w:bodyDiv w:val="1"/>
      <w:marLeft w:val="0"/>
      <w:marRight w:val="0"/>
      <w:marTop w:val="0"/>
      <w:marBottom w:val="0"/>
      <w:divBdr>
        <w:top w:val="none" w:sz="0" w:space="0" w:color="auto"/>
        <w:left w:val="none" w:sz="0" w:space="0" w:color="auto"/>
        <w:bottom w:val="none" w:sz="0" w:space="0" w:color="auto"/>
        <w:right w:val="none" w:sz="0" w:space="0" w:color="auto"/>
      </w:divBdr>
    </w:div>
    <w:div w:id="1243444685">
      <w:bodyDiv w:val="1"/>
      <w:marLeft w:val="0"/>
      <w:marRight w:val="0"/>
      <w:marTop w:val="0"/>
      <w:marBottom w:val="0"/>
      <w:divBdr>
        <w:top w:val="none" w:sz="0" w:space="0" w:color="auto"/>
        <w:left w:val="none" w:sz="0" w:space="0" w:color="auto"/>
        <w:bottom w:val="none" w:sz="0" w:space="0" w:color="auto"/>
        <w:right w:val="none" w:sz="0" w:space="0" w:color="auto"/>
      </w:divBdr>
    </w:div>
    <w:div w:id="1258514653">
      <w:bodyDiv w:val="1"/>
      <w:marLeft w:val="0"/>
      <w:marRight w:val="0"/>
      <w:marTop w:val="0"/>
      <w:marBottom w:val="0"/>
      <w:divBdr>
        <w:top w:val="none" w:sz="0" w:space="0" w:color="auto"/>
        <w:left w:val="none" w:sz="0" w:space="0" w:color="auto"/>
        <w:bottom w:val="none" w:sz="0" w:space="0" w:color="auto"/>
        <w:right w:val="none" w:sz="0" w:space="0" w:color="auto"/>
      </w:divBdr>
    </w:div>
    <w:div w:id="1261374203">
      <w:bodyDiv w:val="1"/>
      <w:marLeft w:val="0"/>
      <w:marRight w:val="0"/>
      <w:marTop w:val="0"/>
      <w:marBottom w:val="0"/>
      <w:divBdr>
        <w:top w:val="none" w:sz="0" w:space="0" w:color="auto"/>
        <w:left w:val="none" w:sz="0" w:space="0" w:color="auto"/>
        <w:bottom w:val="none" w:sz="0" w:space="0" w:color="auto"/>
        <w:right w:val="none" w:sz="0" w:space="0" w:color="auto"/>
      </w:divBdr>
    </w:div>
    <w:div w:id="1269846294">
      <w:bodyDiv w:val="1"/>
      <w:marLeft w:val="0"/>
      <w:marRight w:val="0"/>
      <w:marTop w:val="0"/>
      <w:marBottom w:val="0"/>
      <w:divBdr>
        <w:top w:val="none" w:sz="0" w:space="0" w:color="auto"/>
        <w:left w:val="none" w:sz="0" w:space="0" w:color="auto"/>
        <w:bottom w:val="none" w:sz="0" w:space="0" w:color="auto"/>
        <w:right w:val="none" w:sz="0" w:space="0" w:color="auto"/>
      </w:divBdr>
    </w:div>
    <w:div w:id="1289778674">
      <w:bodyDiv w:val="1"/>
      <w:marLeft w:val="0"/>
      <w:marRight w:val="0"/>
      <w:marTop w:val="0"/>
      <w:marBottom w:val="0"/>
      <w:divBdr>
        <w:top w:val="none" w:sz="0" w:space="0" w:color="auto"/>
        <w:left w:val="none" w:sz="0" w:space="0" w:color="auto"/>
        <w:bottom w:val="none" w:sz="0" w:space="0" w:color="auto"/>
        <w:right w:val="none" w:sz="0" w:space="0" w:color="auto"/>
      </w:divBdr>
      <w:divsChild>
        <w:div w:id="1732119908">
          <w:marLeft w:val="0"/>
          <w:marRight w:val="0"/>
          <w:marTop w:val="0"/>
          <w:marBottom w:val="0"/>
          <w:divBdr>
            <w:top w:val="none" w:sz="0" w:space="0" w:color="auto"/>
            <w:left w:val="none" w:sz="0" w:space="0" w:color="auto"/>
            <w:bottom w:val="none" w:sz="0" w:space="0" w:color="auto"/>
            <w:right w:val="none" w:sz="0" w:space="0" w:color="auto"/>
          </w:divBdr>
        </w:div>
      </w:divsChild>
    </w:div>
    <w:div w:id="1365523847">
      <w:bodyDiv w:val="1"/>
      <w:marLeft w:val="0"/>
      <w:marRight w:val="0"/>
      <w:marTop w:val="0"/>
      <w:marBottom w:val="0"/>
      <w:divBdr>
        <w:top w:val="none" w:sz="0" w:space="0" w:color="auto"/>
        <w:left w:val="none" w:sz="0" w:space="0" w:color="auto"/>
        <w:bottom w:val="none" w:sz="0" w:space="0" w:color="auto"/>
        <w:right w:val="none" w:sz="0" w:space="0" w:color="auto"/>
      </w:divBdr>
    </w:div>
    <w:div w:id="1401757504">
      <w:bodyDiv w:val="1"/>
      <w:marLeft w:val="0"/>
      <w:marRight w:val="0"/>
      <w:marTop w:val="0"/>
      <w:marBottom w:val="0"/>
      <w:divBdr>
        <w:top w:val="none" w:sz="0" w:space="0" w:color="auto"/>
        <w:left w:val="none" w:sz="0" w:space="0" w:color="auto"/>
        <w:bottom w:val="none" w:sz="0" w:space="0" w:color="auto"/>
        <w:right w:val="none" w:sz="0" w:space="0" w:color="auto"/>
      </w:divBdr>
    </w:div>
    <w:div w:id="1410150221">
      <w:bodyDiv w:val="1"/>
      <w:marLeft w:val="0"/>
      <w:marRight w:val="0"/>
      <w:marTop w:val="0"/>
      <w:marBottom w:val="0"/>
      <w:divBdr>
        <w:top w:val="none" w:sz="0" w:space="0" w:color="auto"/>
        <w:left w:val="none" w:sz="0" w:space="0" w:color="auto"/>
        <w:bottom w:val="none" w:sz="0" w:space="0" w:color="auto"/>
        <w:right w:val="none" w:sz="0" w:space="0" w:color="auto"/>
      </w:divBdr>
    </w:div>
    <w:div w:id="1413702276">
      <w:bodyDiv w:val="1"/>
      <w:marLeft w:val="0"/>
      <w:marRight w:val="0"/>
      <w:marTop w:val="0"/>
      <w:marBottom w:val="0"/>
      <w:divBdr>
        <w:top w:val="none" w:sz="0" w:space="0" w:color="auto"/>
        <w:left w:val="none" w:sz="0" w:space="0" w:color="auto"/>
        <w:bottom w:val="none" w:sz="0" w:space="0" w:color="auto"/>
        <w:right w:val="none" w:sz="0" w:space="0" w:color="auto"/>
      </w:divBdr>
    </w:div>
    <w:div w:id="1420636160">
      <w:bodyDiv w:val="1"/>
      <w:marLeft w:val="0"/>
      <w:marRight w:val="0"/>
      <w:marTop w:val="0"/>
      <w:marBottom w:val="0"/>
      <w:divBdr>
        <w:top w:val="none" w:sz="0" w:space="0" w:color="auto"/>
        <w:left w:val="none" w:sz="0" w:space="0" w:color="auto"/>
        <w:bottom w:val="none" w:sz="0" w:space="0" w:color="auto"/>
        <w:right w:val="none" w:sz="0" w:space="0" w:color="auto"/>
      </w:divBdr>
    </w:div>
    <w:div w:id="1442602806">
      <w:bodyDiv w:val="1"/>
      <w:marLeft w:val="0"/>
      <w:marRight w:val="0"/>
      <w:marTop w:val="0"/>
      <w:marBottom w:val="0"/>
      <w:divBdr>
        <w:top w:val="none" w:sz="0" w:space="0" w:color="auto"/>
        <w:left w:val="none" w:sz="0" w:space="0" w:color="auto"/>
        <w:bottom w:val="none" w:sz="0" w:space="0" w:color="auto"/>
        <w:right w:val="none" w:sz="0" w:space="0" w:color="auto"/>
      </w:divBdr>
    </w:div>
    <w:div w:id="1451893095">
      <w:bodyDiv w:val="1"/>
      <w:marLeft w:val="0"/>
      <w:marRight w:val="0"/>
      <w:marTop w:val="0"/>
      <w:marBottom w:val="0"/>
      <w:divBdr>
        <w:top w:val="none" w:sz="0" w:space="0" w:color="auto"/>
        <w:left w:val="none" w:sz="0" w:space="0" w:color="auto"/>
        <w:bottom w:val="none" w:sz="0" w:space="0" w:color="auto"/>
        <w:right w:val="none" w:sz="0" w:space="0" w:color="auto"/>
      </w:divBdr>
    </w:div>
    <w:div w:id="1461876414">
      <w:bodyDiv w:val="1"/>
      <w:marLeft w:val="0"/>
      <w:marRight w:val="0"/>
      <w:marTop w:val="0"/>
      <w:marBottom w:val="0"/>
      <w:divBdr>
        <w:top w:val="none" w:sz="0" w:space="0" w:color="auto"/>
        <w:left w:val="none" w:sz="0" w:space="0" w:color="auto"/>
        <w:bottom w:val="none" w:sz="0" w:space="0" w:color="auto"/>
        <w:right w:val="none" w:sz="0" w:space="0" w:color="auto"/>
      </w:divBdr>
    </w:div>
    <w:div w:id="1465386528">
      <w:bodyDiv w:val="1"/>
      <w:marLeft w:val="0"/>
      <w:marRight w:val="0"/>
      <w:marTop w:val="0"/>
      <w:marBottom w:val="0"/>
      <w:divBdr>
        <w:top w:val="none" w:sz="0" w:space="0" w:color="auto"/>
        <w:left w:val="none" w:sz="0" w:space="0" w:color="auto"/>
        <w:bottom w:val="none" w:sz="0" w:space="0" w:color="auto"/>
        <w:right w:val="none" w:sz="0" w:space="0" w:color="auto"/>
      </w:divBdr>
    </w:div>
    <w:div w:id="1471943428">
      <w:bodyDiv w:val="1"/>
      <w:marLeft w:val="0"/>
      <w:marRight w:val="0"/>
      <w:marTop w:val="0"/>
      <w:marBottom w:val="0"/>
      <w:divBdr>
        <w:top w:val="none" w:sz="0" w:space="0" w:color="auto"/>
        <w:left w:val="none" w:sz="0" w:space="0" w:color="auto"/>
        <w:bottom w:val="none" w:sz="0" w:space="0" w:color="auto"/>
        <w:right w:val="none" w:sz="0" w:space="0" w:color="auto"/>
      </w:divBdr>
    </w:div>
    <w:div w:id="1474324377">
      <w:bodyDiv w:val="1"/>
      <w:marLeft w:val="0"/>
      <w:marRight w:val="0"/>
      <w:marTop w:val="0"/>
      <w:marBottom w:val="0"/>
      <w:divBdr>
        <w:top w:val="none" w:sz="0" w:space="0" w:color="auto"/>
        <w:left w:val="none" w:sz="0" w:space="0" w:color="auto"/>
        <w:bottom w:val="none" w:sz="0" w:space="0" w:color="auto"/>
        <w:right w:val="none" w:sz="0" w:space="0" w:color="auto"/>
      </w:divBdr>
    </w:div>
    <w:div w:id="1478838540">
      <w:bodyDiv w:val="1"/>
      <w:marLeft w:val="0"/>
      <w:marRight w:val="0"/>
      <w:marTop w:val="0"/>
      <w:marBottom w:val="0"/>
      <w:divBdr>
        <w:top w:val="none" w:sz="0" w:space="0" w:color="auto"/>
        <w:left w:val="none" w:sz="0" w:space="0" w:color="auto"/>
        <w:bottom w:val="none" w:sz="0" w:space="0" w:color="auto"/>
        <w:right w:val="none" w:sz="0" w:space="0" w:color="auto"/>
      </w:divBdr>
    </w:div>
    <w:div w:id="1492063158">
      <w:bodyDiv w:val="1"/>
      <w:marLeft w:val="0"/>
      <w:marRight w:val="0"/>
      <w:marTop w:val="0"/>
      <w:marBottom w:val="0"/>
      <w:divBdr>
        <w:top w:val="none" w:sz="0" w:space="0" w:color="auto"/>
        <w:left w:val="none" w:sz="0" w:space="0" w:color="auto"/>
        <w:bottom w:val="none" w:sz="0" w:space="0" w:color="auto"/>
        <w:right w:val="none" w:sz="0" w:space="0" w:color="auto"/>
      </w:divBdr>
    </w:div>
    <w:div w:id="1532494270">
      <w:bodyDiv w:val="1"/>
      <w:marLeft w:val="0"/>
      <w:marRight w:val="0"/>
      <w:marTop w:val="0"/>
      <w:marBottom w:val="0"/>
      <w:divBdr>
        <w:top w:val="none" w:sz="0" w:space="0" w:color="auto"/>
        <w:left w:val="none" w:sz="0" w:space="0" w:color="auto"/>
        <w:bottom w:val="none" w:sz="0" w:space="0" w:color="auto"/>
        <w:right w:val="none" w:sz="0" w:space="0" w:color="auto"/>
      </w:divBdr>
    </w:div>
    <w:div w:id="1537547925">
      <w:bodyDiv w:val="1"/>
      <w:marLeft w:val="0"/>
      <w:marRight w:val="0"/>
      <w:marTop w:val="0"/>
      <w:marBottom w:val="0"/>
      <w:divBdr>
        <w:top w:val="none" w:sz="0" w:space="0" w:color="auto"/>
        <w:left w:val="none" w:sz="0" w:space="0" w:color="auto"/>
        <w:bottom w:val="none" w:sz="0" w:space="0" w:color="auto"/>
        <w:right w:val="none" w:sz="0" w:space="0" w:color="auto"/>
      </w:divBdr>
    </w:div>
    <w:div w:id="1544638993">
      <w:bodyDiv w:val="1"/>
      <w:marLeft w:val="0"/>
      <w:marRight w:val="0"/>
      <w:marTop w:val="0"/>
      <w:marBottom w:val="0"/>
      <w:divBdr>
        <w:top w:val="none" w:sz="0" w:space="0" w:color="auto"/>
        <w:left w:val="none" w:sz="0" w:space="0" w:color="auto"/>
        <w:bottom w:val="none" w:sz="0" w:space="0" w:color="auto"/>
        <w:right w:val="none" w:sz="0" w:space="0" w:color="auto"/>
      </w:divBdr>
    </w:div>
    <w:div w:id="1558320864">
      <w:bodyDiv w:val="1"/>
      <w:marLeft w:val="0"/>
      <w:marRight w:val="0"/>
      <w:marTop w:val="0"/>
      <w:marBottom w:val="0"/>
      <w:divBdr>
        <w:top w:val="none" w:sz="0" w:space="0" w:color="auto"/>
        <w:left w:val="none" w:sz="0" w:space="0" w:color="auto"/>
        <w:bottom w:val="none" w:sz="0" w:space="0" w:color="auto"/>
        <w:right w:val="none" w:sz="0" w:space="0" w:color="auto"/>
      </w:divBdr>
    </w:div>
    <w:div w:id="1567036190">
      <w:bodyDiv w:val="1"/>
      <w:marLeft w:val="0"/>
      <w:marRight w:val="0"/>
      <w:marTop w:val="0"/>
      <w:marBottom w:val="0"/>
      <w:divBdr>
        <w:top w:val="none" w:sz="0" w:space="0" w:color="auto"/>
        <w:left w:val="none" w:sz="0" w:space="0" w:color="auto"/>
        <w:bottom w:val="none" w:sz="0" w:space="0" w:color="auto"/>
        <w:right w:val="none" w:sz="0" w:space="0" w:color="auto"/>
      </w:divBdr>
    </w:div>
    <w:div w:id="1604415647">
      <w:bodyDiv w:val="1"/>
      <w:marLeft w:val="0"/>
      <w:marRight w:val="0"/>
      <w:marTop w:val="0"/>
      <w:marBottom w:val="0"/>
      <w:divBdr>
        <w:top w:val="none" w:sz="0" w:space="0" w:color="auto"/>
        <w:left w:val="none" w:sz="0" w:space="0" w:color="auto"/>
        <w:bottom w:val="none" w:sz="0" w:space="0" w:color="auto"/>
        <w:right w:val="none" w:sz="0" w:space="0" w:color="auto"/>
      </w:divBdr>
    </w:div>
    <w:div w:id="1628320911">
      <w:bodyDiv w:val="1"/>
      <w:marLeft w:val="0"/>
      <w:marRight w:val="0"/>
      <w:marTop w:val="0"/>
      <w:marBottom w:val="0"/>
      <w:divBdr>
        <w:top w:val="none" w:sz="0" w:space="0" w:color="auto"/>
        <w:left w:val="none" w:sz="0" w:space="0" w:color="auto"/>
        <w:bottom w:val="none" w:sz="0" w:space="0" w:color="auto"/>
        <w:right w:val="none" w:sz="0" w:space="0" w:color="auto"/>
      </w:divBdr>
    </w:div>
    <w:div w:id="1656908378">
      <w:bodyDiv w:val="1"/>
      <w:marLeft w:val="0"/>
      <w:marRight w:val="0"/>
      <w:marTop w:val="0"/>
      <w:marBottom w:val="0"/>
      <w:divBdr>
        <w:top w:val="none" w:sz="0" w:space="0" w:color="auto"/>
        <w:left w:val="none" w:sz="0" w:space="0" w:color="auto"/>
        <w:bottom w:val="none" w:sz="0" w:space="0" w:color="auto"/>
        <w:right w:val="none" w:sz="0" w:space="0" w:color="auto"/>
      </w:divBdr>
    </w:div>
    <w:div w:id="1712610421">
      <w:bodyDiv w:val="1"/>
      <w:marLeft w:val="0"/>
      <w:marRight w:val="0"/>
      <w:marTop w:val="0"/>
      <w:marBottom w:val="0"/>
      <w:divBdr>
        <w:top w:val="none" w:sz="0" w:space="0" w:color="auto"/>
        <w:left w:val="none" w:sz="0" w:space="0" w:color="auto"/>
        <w:bottom w:val="none" w:sz="0" w:space="0" w:color="auto"/>
        <w:right w:val="none" w:sz="0" w:space="0" w:color="auto"/>
      </w:divBdr>
    </w:div>
    <w:div w:id="1727871574">
      <w:bodyDiv w:val="1"/>
      <w:marLeft w:val="0"/>
      <w:marRight w:val="0"/>
      <w:marTop w:val="0"/>
      <w:marBottom w:val="0"/>
      <w:divBdr>
        <w:top w:val="none" w:sz="0" w:space="0" w:color="auto"/>
        <w:left w:val="none" w:sz="0" w:space="0" w:color="auto"/>
        <w:bottom w:val="none" w:sz="0" w:space="0" w:color="auto"/>
        <w:right w:val="none" w:sz="0" w:space="0" w:color="auto"/>
      </w:divBdr>
    </w:div>
    <w:div w:id="1745687243">
      <w:bodyDiv w:val="1"/>
      <w:marLeft w:val="0"/>
      <w:marRight w:val="0"/>
      <w:marTop w:val="0"/>
      <w:marBottom w:val="0"/>
      <w:divBdr>
        <w:top w:val="none" w:sz="0" w:space="0" w:color="auto"/>
        <w:left w:val="none" w:sz="0" w:space="0" w:color="auto"/>
        <w:bottom w:val="none" w:sz="0" w:space="0" w:color="auto"/>
        <w:right w:val="none" w:sz="0" w:space="0" w:color="auto"/>
      </w:divBdr>
    </w:div>
    <w:div w:id="1802989844">
      <w:bodyDiv w:val="1"/>
      <w:marLeft w:val="0"/>
      <w:marRight w:val="0"/>
      <w:marTop w:val="0"/>
      <w:marBottom w:val="0"/>
      <w:divBdr>
        <w:top w:val="none" w:sz="0" w:space="0" w:color="auto"/>
        <w:left w:val="none" w:sz="0" w:space="0" w:color="auto"/>
        <w:bottom w:val="none" w:sz="0" w:space="0" w:color="auto"/>
        <w:right w:val="none" w:sz="0" w:space="0" w:color="auto"/>
      </w:divBdr>
      <w:divsChild>
        <w:div w:id="720640475">
          <w:marLeft w:val="0"/>
          <w:marRight w:val="0"/>
          <w:marTop w:val="0"/>
          <w:marBottom w:val="360"/>
          <w:divBdr>
            <w:top w:val="none" w:sz="0" w:space="0" w:color="auto"/>
            <w:left w:val="none" w:sz="0" w:space="0" w:color="auto"/>
            <w:bottom w:val="none" w:sz="0" w:space="0" w:color="auto"/>
            <w:right w:val="none" w:sz="0" w:space="0" w:color="auto"/>
          </w:divBdr>
        </w:div>
      </w:divsChild>
    </w:div>
    <w:div w:id="1835753127">
      <w:bodyDiv w:val="1"/>
      <w:marLeft w:val="0"/>
      <w:marRight w:val="0"/>
      <w:marTop w:val="0"/>
      <w:marBottom w:val="0"/>
      <w:divBdr>
        <w:top w:val="none" w:sz="0" w:space="0" w:color="auto"/>
        <w:left w:val="none" w:sz="0" w:space="0" w:color="auto"/>
        <w:bottom w:val="none" w:sz="0" w:space="0" w:color="auto"/>
        <w:right w:val="none" w:sz="0" w:space="0" w:color="auto"/>
      </w:divBdr>
    </w:div>
    <w:div w:id="1872379081">
      <w:bodyDiv w:val="1"/>
      <w:marLeft w:val="0"/>
      <w:marRight w:val="0"/>
      <w:marTop w:val="0"/>
      <w:marBottom w:val="0"/>
      <w:divBdr>
        <w:top w:val="none" w:sz="0" w:space="0" w:color="auto"/>
        <w:left w:val="none" w:sz="0" w:space="0" w:color="auto"/>
        <w:bottom w:val="none" w:sz="0" w:space="0" w:color="auto"/>
        <w:right w:val="none" w:sz="0" w:space="0" w:color="auto"/>
      </w:divBdr>
    </w:div>
    <w:div w:id="1876039447">
      <w:bodyDiv w:val="1"/>
      <w:marLeft w:val="0"/>
      <w:marRight w:val="0"/>
      <w:marTop w:val="0"/>
      <w:marBottom w:val="0"/>
      <w:divBdr>
        <w:top w:val="none" w:sz="0" w:space="0" w:color="auto"/>
        <w:left w:val="none" w:sz="0" w:space="0" w:color="auto"/>
        <w:bottom w:val="none" w:sz="0" w:space="0" w:color="auto"/>
        <w:right w:val="none" w:sz="0" w:space="0" w:color="auto"/>
      </w:divBdr>
      <w:divsChild>
        <w:div w:id="1879271945">
          <w:marLeft w:val="0"/>
          <w:marRight w:val="0"/>
          <w:marTop w:val="34"/>
          <w:marBottom w:val="34"/>
          <w:divBdr>
            <w:top w:val="none" w:sz="0" w:space="0" w:color="auto"/>
            <w:left w:val="none" w:sz="0" w:space="0" w:color="auto"/>
            <w:bottom w:val="none" w:sz="0" w:space="0" w:color="auto"/>
            <w:right w:val="none" w:sz="0" w:space="0" w:color="auto"/>
          </w:divBdr>
        </w:div>
      </w:divsChild>
    </w:div>
    <w:div w:id="1973828513">
      <w:bodyDiv w:val="1"/>
      <w:marLeft w:val="0"/>
      <w:marRight w:val="0"/>
      <w:marTop w:val="0"/>
      <w:marBottom w:val="0"/>
      <w:divBdr>
        <w:top w:val="none" w:sz="0" w:space="0" w:color="auto"/>
        <w:left w:val="none" w:sz="0" w:space="0" w:color="auto"/>
        <w:bottom w:val="none" w:sz="0" w:space="0" w:color="auto"/>
        <w:right w:val="none" w:sz="0" w:space="0" w:color="auto"/>
      </w:divBdr>
    </w:div>
    <w:div w:id="2018729066">
      <w:bodyDiv w:val="1"/>
      <w:marLeft w:val="0"/>
      <w:marRight w:val="0"/>
      <w:marTop w:val="0"/>
      <w:marBottom w:val="0"/>
      <w:divBdr>
        <w:top w:val="none" w:sz="0" w:space="0" w:color="auto"/>
        <w:left w:val="none" w:sz="0" w:space="0" w:color="auto"/>
        <w:bottom w:val="none" w:sz="0" w:space="0" w:color="auto"/>
        <w:right w:val="none" w:sz="0" w:space="0" w:color="auto"/>
      </w:divBdr>
    </w:div>
    <w:div w:id="2075158274">
      <w:bodyDiv w:val="1"/>
      <w:marLeft w:val="0"/>
      <w:marRight w:val="0"/>
      <w:marTop w:val="0"/>
      <w:marBottom w:val="0"/>
      <w:divBdr>
        <w:top w:val="none" w:sz="0" w:space="0" w:color="auto"/>
        <w:left w:val="none" w:sz="0" w:space="0" w:color="auto"/>
        <w:bottom w:val="none" w:sz="0" w:space="0" w:color="auto"/>
        <w:right w:val="none" w:sz="0" w:space="0" w:color="auto"/>
      </w:divBdr>
    </w:div>
    <w:div w:id="2098596012">
      <w:bodyDiv w:val="1"/>
      <w:marLeft w:val="0"/>
      <w:marRight w:val="0"/>
      <w:marTop w:val="0"/>
      <w:marBottom w:val="0"/>
      <w:divBdr>
        <w:top w:val="none" w:sz="0" w:space="0" w:color="auto"/>
        <w:left w:val="none" w:sz="0" w:space="0" w:color="auto"/>
        <w:bottom w:val="none" w:sz="0" w:space="0" w:color="auto"/>
        <w:right w:val="none" w:sz="0" w:space="0" w:color="auto"/>
      </w:divBdr>
    </w:div>
    <w:div w:id="2102529341">
      <w:bodyDiv w:val="1"/>
      <w:marLeft w:val="0"/>
      <w:marRight w:val="0"/>
      <w:marTop w:val="0"/>
      <w:marBottom w:val="0"/>
      <w:divBdr>
        <w:top w:val="none" w:sz="0" w:space="0" w:color="auto"/>
        <w:left w:val="none" w:sz="0" w:space="0" w:color="auto"/>
        <w:bottom w:val="none" w:sz="0" w:space="0" w:color="auto"/>
        <w:right w:val="none" w:sz="0" w:space="0" w:color="auto"/>
      </w:divBdr>
    </w:div>
    <w:div w:id="21430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cid:image006.png@01D623CE.7412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7451-5D24-4BC5-B713-A2D3C58D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37489</Words>
  <Characters>213688</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2020-11-06T16:28:00Z</dcterms:created>
  <dcterms:modified xsi:type="dcterms:W3CDTF">2020-11-06T16:28:00Z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http://www.zotero.org/styles/malaria-journal</vt:lpwstr>
  </property>
  <property fmtid="{D5CDD505-2E9C-101B-9397-08002B2CF9AE}" pid="13" name="Mendeley Recent Style Name 5_1">
    <vt:lpwstr>Malaria Journal</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a12312e2-0e8c-33a8-a3c4-79d80251778d</vt:lpwstr>
  </property>
  <property fmtid="{D5CDD505-2E9C-101B-9397-08002B2CF9AE}" pid="24" name="Mendeley Citation Style_1">
    <vt:lpwstr>http://www.zotero.org/styles/malaria-journal</vt:lpwstr>
  </property>
</Properties>
</file>