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AD91" w14:textId="420C24F6" w:rsidR="00426B3B" w:rsidRPr="00426B3B" w:rsidRDefault="00426B3B" w:rsidP="00426B3B">
      <w:pPr>
        <w:jc w:val="center"/>
        <w:rPr>
          <w:b/>
          <w:u w:val="single"/>
        </w:rPr>
      </w:pPr>
      <w:bookmarkStart w:id="0" w:name="_GoBack"/>
      <w:bookmarkEnd w:id="0"/>
      <w:r w:rsidRPr="00426B3B">
        <w:rPr>
          <w:b/>
          <w:u w:val="single"/>
        </w:rPr>
        <w:t>SUPPLEMENTARY INFORMATION</w:t>
      </w:r>
    </w:p>
    <w:p w14:paraId="479E66D9" w14:textId="478CC6B5" w:rsidR="00426B3B" w:rsidRDefault="00426B3B" w:rsidP="00426B3B">
      <w:pPr>
        <w:rPr>
          <w:b/>
        </w:rPr>
      </w:pPr>
    </w:p>
    <w:p w14:paraId="7EAFFAEC" w14:textId="09752B1F" w:rsidR="00426B3B" w:rsidRDefault="00426B3B" w:rsidP="00426B3B">
      <w:pPr>
        <w:rPr>
          <w:b/>
        </w:rPr>
      </w:pPr>
    </w:p>
    <w:p w14:paraId="6F03F1AA" w14:textId="7074E873" w:rsidR="00426B3B" w:rsidRPr="00426B3B" w:rsidRDefault="00426B3B" w:rsidP="00426B3B">
      <w:pPr>
        <w:rPr>
          <w:b/>
          <w:u w:val="single"/>
        </w:rPr>
      </w:pPr>
      <w:r w:rsidRPr="00426B3B">
        <w:rPr>
          <w:b/>
          <w:u w:val="single"/>
        </w:rPr>
        <w:t>Supplementary Figures</w:t>
      </w:r>
    </w:p>
    <w:p w14:paraId="22DC5E23" w14:textId="2AC5C6DE" w:rsidR="00426B3B" w:rsidRDefault="00426B3B" w:rsidP="00426B3B"/>
    <w:p w14:paraId="006B04A0" w14:textId="77777777" w:rsidR="00426B3B" w:rsidRDefault="00426B3B" w:rsidP="00426B3B"/>
    <w:p w14:paraId="7B142D3E" w14:textId="77777777" w:rsidR="00426B3B" w:rsidRDefault="00426B3B" w:rsidP="00426B3B">
      <w:pPr>
        <w:jc w:val="center"/>
      </w:pPr>
      <w:r w:rsidRPr="00DE7BF5">
        <w:rPr>
          <w:noProof/>
        </w:rPr>
        <w:drawing>
          <wp:inline distT="0" distB="0" distL="0" distR="0" wp14:anchorId="3471B436" wp14:editId="091B48CC">
            <wp:extent cx="4143375" cy="4586605"/>
            <wp:effectExtent l="0" t="0" r="0" b="0"/>
            <wp:docPr id="7" name="Picture 11" descr="A close up of text on a white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9D22" w14:textId="77777777" w:rsidR="00426B3B" w:rsidRDefault="00426B3B" w:rsidP="00426B3B">
      <w:pPr>
        <w:spacing w:line="480" w:lineRule="auto"/>
        <w:jc w:val="both"/>
        <w:rPr>
          <w:b/>
        </w:rPr>
      </w:pPr>
    </w:p>
    <w:p w14:paraId="5B50F3B2" w14:textId="3A91C058" w:rsidR="00426B3B" w:rsidRPr="00426B3B" w:rsidRDefault="00426B3B" w:rsidP="00426B3B">
      <w:pPr>
        <w:spacing w:line="480" w:lineRule="auto"/>
        <w:jc w:val="both"/>
        <w:rPr>
          <w:b/>
        </w:rPr>
      </w:pPr>
      <w:r>
        <w:rPr>
          <w:b/>
          <w:bCs/>
        </w:rPr>
        <w:t xml:space="preserve">Supplementary </w:t>
      </w:r>
      <w:r w:rsidRPr="003234C0">
        <w:rPr>
          <w:b/>
        </w:rPr>
        <w:t>Fig. 1. Chemical structures of the small molecule toxin inhibitors used in this study.</w:t>
      </w:r>
      <w:r>
        <w:t xml:space="preserve"> </w:t>
      </w:r>
      <w:r w:rsidRPr="003234C0">
        <w:rPr>
          <w:b/>
        </w:rPr>
        <w:t>(A)</w:t>
      </w:r>
      <w:r>
        <w:t xml:space="preserve"> Snake venom metalloproteinase (SVMP)-inhibitors: the metal ion chelators, DMPS (unithiol) and dimercaprol, and the peptidomimetic hydroxamate inhibitors, </w:t>
      </w:r>
      <w:proofErr w:type="spellStart"/>
      <w:r>
        <w:t>marimastat</w:t>
      </w:r>
      <w:proofErr w:type="spellEnd"/>
      <w:r>
        <w:t xml:space="preserve"> and </w:t>
      </w:r>
      <w:proofErr w:type="spellStart"/>
      <w:r>
        <w:t>batimastat</w:t>
      </w:r>
      <w:proofErr w:type="spellEnd"/>
      <w:r>
        <w:t xml:space="preserve">. </w:t>
      </w:r>
      <w:r w:rsidRPr="003234C0">
        <w:rPr>
          <w:b/>
        </w:rPr>
        <w:t>(B)</w:t>
      </w:r>
      <w:r>
        <w:t xml:space="preserve"> The secretory phospholipase A</w:t>
      </w:r>
      <w:r w:rsidRPr="003234C0">
        <w:rPr>
          <w:vertAlign w:val="subscript"/>
        </w:rPr>
        <w:t>2</w:t>
      </w:r>
      <w:r>
        <w:t xml:space="preserve"> (PLA</w:t>
      </w:r>
      <w:r w:rsidRPr="003234C0">
        <w:rPr>
          <w:vertAlign w:val="subscript"/>
        </w:rPr>
        <w:t>2</w:t>
      </w:r>
      <w:r>
        <w:t xml:space="preserve">)-inhibitor, varespladib. </w:t>
      </w:r>
      <w:r w:rsidRPr="003234C0">
        <w:rPr>
          <w:b/>
        </w:rPr>
        <w:t>(C)</w:t>
      </w:r>
      <w:r>
        <w:t xml:space="preserve"> The serine protease-inhibitor, </w:t>
      </w:r>
      <w:proofErr w:type="spellStart"/>
      <w:r>
        <w:t>nafamostat</w:t>
      </w:r>
      <w:proofErr w:type="spellEnd"/>
      <w:r>
        <w:t>.</w:t>
      </w:r>
    </w:p>
    <w:p w14:paraId="4BA1E568" w14:textId="77777777" w:rsidR="00426B3B" w:rsidRDefault="00426B3B" w:rsidP="00426B3B"/>
    <w:p w14:paraId="1CEA9648" w14:textId="77777777" w:rsidR="00426B3B" w:rsidRDefault="00426B3B" w:rsidP="00426B3B">
      <w:pPr>
        <w:jc w:val="center"/>
      </w:pPr>
      <w:r w:rsidRPr="00B36839">
        <w:rPr>
          <w:noProof/>
        </w:rPr>
        <w:lastRenderedPageBreak/>
        <w:drawing>
          <wp:inline distT="0" distB="0" distL="0" distR="0" wp14:anchorId="76C47107" wp14:editId="69311F36">
            <wp:extent cx="5729605" cy="5379085"/>
            <wp:effectExtent l="0" t="0" r="0" b="0"/>
            <wp:docPr id="8" name="Picture 4" descr="A close up of a map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53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1747" w14:textId="77777777" w:rsidR="00426B3B" w:rsidRDefault="00426B3B" w:rsidP="00426B3B">
      <w:pPr>
        <w:spacing w:line="480" w:lineRule="auto"/>
        <w:jc w:val="both"/>
        <w:rPr>
          <w:b/>
          <w:bCs/>
        </w:rPr>
      </w:pPr>
    </w:p>
    <w:p w14:paraId="424DF7CD" w14:textId="32A9F091" w:rsidR="00426B3B" w:rsidRPr="004F1A64" w:rsidRDefault="00426B3B" w:rsidP="00426B3B">
      <w:pPr>
        <w:spacing w:line="480" w:lineRule="auto"/>
        <w:jc w:val="both"/>
        <w:rPr>
          <w:b/>
        </w:rPr>
      </w:pPr>
      <w:r>
        <w:rPr>
          <w:b/>
          <w:bCs/>
        </w:rPr>
        <w:t xml:space="preserve">Supplementary </w:t>
      </w:r>
      <w:r w:rsidRPr="000C7FBC">
        <w:rPr>
          <w:b/>
          <w:bCs/>
        </w:rPr>
        <w:t>Fig. 2</w:t>
      </w:r>
      <w:r>
        <w:rPr>
          <w:b/>
          <w:bCs/>
        </w:rPr>
        <w:t xml:space="preserve">. </w:t>
      </w:r>
      <w:r>
        <w:rPr>
          <w:b/>
        </w:rPr>
        <w:t>The inhibitory effects of marimastat and varespladib against procoagulant and anticoagulant toxins fractionated from Russell’s viper (</w:t>
      </w:r>
      <w:r>
        <w:rPr>
          <w:b/>
          <w:i/>
        </w:rPr>
        <w:t>D. russelii</w:t>
      </w:r>
      <w:r>
        <w:rPr>
          <w:b/>
        </w:rPr>
        <w:t>) venom.</w:t>
      </w:r>
      <w:r>
        <w:t xml:space="preserve"> </w:t>
      </w:r>
      <w:r w:rsidRPr="00DB7CC3">
        <w:rPr>
          <w:b/>
        </w:rPr>
        <w:t>(A)</w:t>
      </w:r>
      <w:r>
        <w:t xml:space="preserve"> Representative nanofractionation chromatograms showing the neutralizing potency of marimastat and varespladib against the pro- and anti-coagulant activities of </w:t>
      </w:r>
      <w:r>
        <w:rPr>
          <w:i/>
        </w:rPr>
        <w:t xml:space="preserve">D. </w:t>
      </w:r>
      <w:proofErr w:type="spellStart"/>
      <w:r>
        <w:rPr>
          <w:i/>
        </w:rPr>
        <w:t>russelli</w:t>
      </w:r>
      <w:proofErr w:type="spellEnd"/>
      <w:r>
        <w:rPr>
          <w:i/>
        </w:rPr>
        <w:t xml:space="preserve"> </w:t>
      </w:r>
      <w:r>
        <w:t>venom, respectively.</w:t>
      </w:r>
      <w:r>
        <w:rPr>
          <w:lang w:val="en-US"/>
        </w:rPr>
        <w:t xml:space="preserve"> The data is plotted separately for ‘very fast coagulation’, ‘medium coagulation’ and ‘anticoagulation’, based on the slopes of the 0-5 min and 0-20 min readings, and the single endpoint reading at 180 min. </w:t>
      </w:r>
      <w:r>
        <w:t>The tested inhibitor concentrations are color-coded and presented alongside the chromatograms.</w:t>
      </w:r>
      <w:r w:rsidRPr="00DB7CC3">
        <w:rPr>
          <w:b/>
          <w:lang w:val="en-US"/>
        </w:rPr>
        <w:t xml:space="preserve"> (B)</w:t>
      </w:r>
      <w:r>
        <w:rPr>
          <w:lang w:val="en-US"/>
        </w:rPr>
        <w:t xml:space="preserve"> The interplay between </w:t>
      </w:r>
      <w:proofErr w:type="spellStart"/>
      <w:r>
        <w:rPr>
          <w:lang w:val="en-US"/>
        </w:rPr>
        <w:t>marimastat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varespladib</w:t>
      </w:r>
      <w:proofErr w:type="spellEnd"/>
      <w:r>
        <w:rPr>
          <w:lang w:val="en-US"/>
        </w:rPr>
        <w:t xml:space="preserve"> in neutralizing coagulation-related activities of </w:t>
      </w:r>
      <w:r w:rsidRPr="006C0400">
        <w:rPr>
          <w:i/>
          <w:lang w:val="en-US"/>
        </w:rPr>
        <w:t>D</w:t>
      </w:r>
      <w:r>
        <w:rPr>
          <w:i/>
          <w:lang w:val="en-US"/>
        </w:rPr>
        <w:t xml:space="preserve">. </w:t>
      </w:r>
      <w:r w:rsidRPr="006C0400">
        <w:rPr>
          <w:i/>
          <w:lang w:val="en-US"/>
        </w:rPr>
        <w:t>russelii</w:t>
      </w:r>
      <w:r>
        <w:rPr>
          <w:lang w:val="en-US"/>
        </w:rPr>
        <w:t xml:space="preserve"> venom across a 150 </w:t>
      </w:r>
      <w:r>
        <w:rPr>
          <w:rFonts w:ascii="Calibri" w:hAnsi="Calibri"/>
          <w:lang w:val="en-US"/>
        </w:rPr>
        <w:t>µ</w:t>
      </w:r>
      <w:r>
        <w:rPr>
          <w:lang w:val="en-US"/>
        </w:rPr>
        <w:t>M-</w:t>
      </w:r>
      <w:r>
        <w:rPr>
          <w:lang w:val="en-US"/>
        </w:rPr>
        <w:lastRenderedPageBreak/>
        <w:t xml:space="preserve">150 </w:t>
      </w:r>
      <w:proofErr w:type="spellStart"/>
      <w:r>
        <w:rPr>
          <w:lang w:val="en-US"/>
        </w:rPr>
        <w:t>nM</w:t>
      </w:r>
      <w:proofErr w:type="spellEnd"/>
      <w:r>
        <w:rPr>
          <w:lang w:val="en-US"/>
        </w:rPr>
        <w:t xml:space="preserve"> concentration range. Inhibitors are color-coded: </w:t>
      </w:r>
      <w:proofErr w:type="spellStart"/>
      <w:r>
        <w:rPr>
          <w:lang w:val="en-US"/>
        </w:rPr>
        <w:t>marimastat</w:t>
      </w:r>
      <w:proofErr w:type="spellEnd"/>
      <w:r>
        <w:rPr>
          <w:lang w:val="en-US"/>
        </w:rPr>
        <w:t xml:space="preserve">, turquoise; </w:t>
      </w:r>
      <w:proofErr w:type="spellStart"/>
      <w:r>
        <w:rPr>
          <w:lang w:val="en-US"/>
        </w:rPr>
        <w:t>varespladib</w:t>
      </w:r>
      <w:proofErr w:type="spellEnd"/>
      <w:r>
        <w:rPr>
          <w:lang w:val="en-US"/>
        </w:rPr>
        <w:t xml:space="preserve">, blue, </w:t>
      </w:r>
      <w:proofErr w:type="spellStart"/>
      <w:r>
        <w:rPr>
          <w:lang w:val="en-US"/>
        </w:rPr>
        <w:t>marimastat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varespladib</w:t>
      </w:r>
      <w:proofErr w:type="spellEnd"/>
      <w:r>
        <w:rPr>
          <w:lang w:val="en-US"/>
        </w:rPr>
        <w:t xml:space="preserve">, orange. </w:t>
      </w:r>
      <w:r w:rsidRPr="00E87E8D">
        <w:t xml:space="preserve">The data is </w:t>
      </w:r>
      <w:r>
        <w:t>presented as the maximal clotting velocity at each concentration, and represents means of t</w:t>
      </w:r>
      <w:r w:rsidRPr="00E87E8D">
        <w:t xml:space="preserve">riplicate independent repeats with SEMs, where each technical repeat represents the </w:t>
      </w:r>
      <w:r>
        <w:t>mean</w:t>
      </w:r>
      <w:r w:rsidRPr="00E87E8D">
        <w:t xml:space="preserve"> of n≥2 technical replicates</w:t>
      </w:r>
      <w:r>
        <w:t>. T</w:t>
      </w:r>
      <w:r w:rsidRPr="00E87E8D">
        <w:t xml:space="preserve">he venom-only </w:t>
      </w:r>
      <w:r>
        <w:t>control</w:t>
      </w:r>
      <w:r w:rsidRPr="00E87E8D">
        <w:t xml:space="preserve"> (d</w:t>
      </w:r>
      <w:r>
        <w:t>ashed</w:t>
      </w:r>
      <w:r w:rsidRPr="00E87E8D">
        <w:t xml:space="preserve"> red line</w:t>
      </w:r>
      <w:r>
        <w:t>s</w:t>
      </w:r>
      <w:r w:rsidRPr="00E87E8D">
        <w:t>)</w:t>
      </w:r>
      <w:r>
        <w:t xml:space="preserve"> and</w:t>
      </w:r>
      <w:r w:rsidRPr="00E87E8D">
        <w:t xml:space="preserve"> </w:t>
      </w:r>
      <w:r>
        <w:t>t</w:t>
      </w:r>
      <w:r w:rsidRPr="00E87E8D">
        <w:t>he negative control (d</w:t>
      </w:r>
      <w:r>
        <w:t>ashed</w:t>
      </w:r>
      <w:r w:rsidRPr="00E87E8D">
        <w:t xml:space="preserve"> black lines) </w:t>
      </w:r>
      <w:r>
        <w:t>are</w:t>
      </w:r>
      <w:r w:rsidRPr="00E87E8D">
        <w:t xml:space="preserve"> presented as interval</w:t>
      </w:r>
      <w:r>
        <w:t>s</w:t>
      </w:r>
      <w:r w:rsidRPr="00E87E8D">
        <w:t xml:space="preserve"> and represent the </w:t>
      </w:r>
      <w:r>
        <w:t>average ± SEM observed for the venom-only and PBS controls across all datasets and replicates</w:t>
      </w:r>
      <w:r w:rsidRPr="00E87E8D">
        <w:t>.</w:t>
      </w:r>
      <w:r>
        <w:t xml:space="preserve"> </w:t>
      </w:r>
      <w:r w:rsidR="00F52F18">
        <w:t>Source data provided in Data S1.</w:t>
      </w:r>
    </w:p>
    <w:p w14:paraId="44285ACD" w14:textId="77777777" w:rsidR="00426B3B" w:rsidRDefault="00426B3B" w:rsidP="00426B3B">
      <w:pPr>
        <w:rPr>
          <w:b/>
          <w:bCs/>
        </w:rPr>
      </w:pPr>
    </w:p>
    <w:p w14:paraId="5B303074" w14:textId="77777777" w:rsidR="00426B3B" w:rsidRDefault="00426B3B" w:rsidP="00426B3B">
      <w:pPr>
        <w:rPr>
          <w:b/>
          <w:bCs/>
        </w:rPr>
      </w:pPr>
      <w:r>
        <w:rPr>
          <w:b/>
          <w:bCs/>
        </w:rPr>
        <w:br w:type="page"/>
      </w:r>
    </w:p>
    <w:p w14:paraId="62BFC501" w14:textId="77777777" w:rsidR="00426B3B" w:rsidRDefault="00426B3B" w:rsidP="00426B3B">
      <w:pPr>
        <w:jc w:val="center"/>
        <w:rPr>
          <w:b/>
          <w:bCs/>
        </w:rPr>
      </w:pPr>
      <w:r w:rsidRPr="00724413">
        <w:rPr>
          <w:b/>
          <w:noProof/>
        </w:rPr>
        <w:lastRenderedPageBreak/>
        <w:drawing>
          <wp:inline distT="0" distB="0" distL="0" distR="0" wp14:anchorId="1C875C9F" wp14:editId="0FF8F8DC">
            <wp:extent cx="2264410" cy="3057525"/>
            <wp:effectExtent l="0" t="0" r="0" b="0"/>
            <wp:docPr id="9" name="Picture 3" descr="A picture containing cloc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5A2A8" w14:textId="77777777" w:rsidR="00426B3B" w:rsidRDefault="00426B3B" w:rsidP="00426B3B">
      <w:pPr>
        <w:spacing w:line="480" w:lineRule="auto"/>
        <w:jc w:val="both"/>
        <w:rPr>
          <w:b/>
          <w:bCs/>
        </w:rPr>
      </w:pPr>
    </w:p>
    <w:p w14:paraId="776E0B6D" w14:textId="1B70CB6A" w:rsidR="00426B3B" w:rsidRPr="003234C0" w:rsidRDefault="00426B3B" w:rsidP="00426B3B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Supplementary </w:t>
      </w:r>
      <w:r w:rsidRPr="00B12958">
        <w:rPr>
          <w:b/>
          <w:bCs/>
        </w:rPr>
        <w:t xml:space="preserve">Fig. </w:t>
      </w:r>
      <w:r>
        <w:rPr>
          <w:b/>
          <w:bCs/>
        </w:rPr>
        <w:t xml:space="preserve">3. The serine protease-inhibitor </w:t>
      </w:r>
      <w:proofErr w:type="spellStart"/>
      <w:r>
        <w:rPr>
          <w:b/>
          <w:bCs/>
        </w:rPr>
        <w:t>nafamostat</w:t>
      </w:r>
      <w:proofErr w:type="spellEnd"/>
      <w:r>
        <w:rPr>
          <w:b/>
          <w:bCs/>
        </w:rPr>
        <w:t xml:space="preserve"> inhibits normal plasma clotting. </w:t>
      </w:r>
      <w:r w:rsidRPr="00200C1B">
        <w:t xml:space="preserve">Comparison </w:t>
      </w:r>
      <w:r>
        <w:t xml:space="preserve">of normal clotting (i.e. in the absence of venom and inhibitors via recalcification) and clotting in the presence of the generic serine protease-inhibitor </w:t>
      </w:r>
      <w:proofErr w:type="spellStart"/>
      <w:r>
        <w:t>nafamostat</w:t>
      </w:r>
      <w:proofErr w:type="spellEnd"/>
      <w:r>
        <w:t xml:space="preserve">. At high doses (150 </w:t>
      </w:r>
      <w:r>
        <w:rPr>
          <w:rFonts w:ascii="Calibri" w:hAnsi="Calibri"/>
        </w:rPr>
        <w:t>µ</w:t>
      </w:r>
      <w:r>
        <w:t xml:space="preserve">M), </w:t>
      </w:r>
      <w:proofErr w:type="spellStart"/>
      <w:r>
        <w:t>nafamostat</w:t>
      </w:r>
      <w:proofErr w:type="spellEnd"/>
      <w:r>
        <w:t xml:space="preserve"> dramatically inhibits plasma coagulation. The anticoagulant effect of this drug is expressed as a percentage of the plasma-only activity.</w:t>
      </w:r>
    </w:p>
    <w:p w14:paraId="53B9534D" w14:textId="77777777" w:rsidR="00426B3B" w:rsidRDefault="00426B3B" w:rsidP="00426B3B">
      <w:pPr>
        <w:pStyle w:val="ListParagraph"/>
        <w:ind w:left="0"/>
      </w:pPr>
    </w:p>
    <w:p w14:paraId="07BD90CF" w14:textId="77777777" w:rsidR="00426B3B" w:rsidRDefault="00426B3B" w:rsidP="00426B3B">
      <w:pPr>
        <w:pStyle w:val="ListParagraph"/>
        <w:ind w:left="0"/>
      </w:pPr>
    </w:p>
    <w:p w14:paraId="0E6914E4" w14:textId="77777777" w:rsidR="00426B3B" w:rsidRDefault="00426B3B" w:rsidP="00426B3B">
      <w:r>
        <w:br w:type="page"/>
      </w:r>
    </w:p>
    <w:p w14:paraId="70533170" w14:textId="77777777" w:rsidR="00426B3B" w:rsidRDefault="00426B3B" w:rsidP="00426B3B">
      <w:pPr>
        <w:pStyle w:val="ListParagraph"/>
        <w:ind w:left="0"/>
      </w:pPr>
      <w:r w:rsidRPr="00AE0302">
        <w:rPr>
          <w:noProof/>
        </w:rPr>
        <w:lastRenderedPageBreak/>
        <w:drawing>
          <wp:inline distT="0" distB="0" distL="0" distR="0" wp14:anchorId="5D6FD322" wp14:editId="26039692">
            <wp:extent cx="5729605" cy="5229225"/>
            <wp:effectExtent l="0" t="0" r="0" b="0"/>
            <wp:docPr id="10" name="Picture 62" descr="A close up of a map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C81E2" w14:textId="77777777" w:rsidR="00426B3B" w:rsidRDefault="00426B3B" w:rsidP="00426B3B">
      <w:pPr>
        <w:pStyle w:val="ListParagraph"/>
        <w:ind w:left="0"/>
      </w:pPr>
    </w:p>
    <w:p w14:paraId="092FA009" w14:textId="35EB9282" w:rsidR="00426B3B" w:rsidRDefault="00426B3B" w:rsidP="00426B3B">
      <w:pPr>
        <w:pStyle w:val="ListParagraph"/>
        <w:spacing w:line="480" w:lineRule="auto"/>
        <w:ind w:left="0"/>
        <w:jc w:val="both"/>
      </w:pPr>
      <w:r>
        <w:rPr>
          <w:b/>
          <w:bCs/>
        </w:rPr>
        <w:t xml:space="preserve">Supplementary </w:t>
      </w:r>
      <w:r w:rsidRPr="008E29C6">
        <w:rPr>
          <w:b/>
          <w:bCs/>
        </w:rPr>
        <w:t>Fig. 4</w:t>
      </w:r>
      <w:r>
        <w:rPr>
          <w:b/>
          <w:bCs/>
        </w:rPr>
        <w:t xml:space="preserve">. Soluble thrombomodulin is a valuable biomarker for </w:t>
      </w:r>
      <w:proofErr w:type="spellStart"/>
      <w:r w:rsidRPr="008E29C6">
        <w:rPr>
          <w:b/>
          <w:bCs/>
          <w:i/>
          <w:iCs/>
        </w:rPr>
        <w:t>Bothrops</w:t>
      </w:r>
      <w:proofErr w:type="spellEnd"/>
      <w:r w:rsidRPr="008E29C6">
        <w:rPr>
          <w:b/>
          <w:bCs/>
          <w:i/>
          <w:iCs/>
        </w:rPr>
        <w:t xml:space="preserve"> asper</w:t>
      </w:r>
      <w:r>
        <w:rPr>
          <w:b/>
          <w:bCs/>
        </w:rPr>
        <w:t xml:space="preserve"> envenoming. </w:t>
      </w:r>
      <w:r>
        <w:t>Quantified levels of soluble thrombomodulin determined by ELISA experiments using mouse plasma collected from experimental animals challenged with venoms ± inhibitors via the intravenous (iv) and intraperitoneal (</w:t>
      </w:r>
      <w:proofErr w:type="spellStart"/>
      <w:r>
        <w:t>ip</w:t>
      </w:r>
      <w:proofErr w:type="spellEnd"/>
      <w:r>
        <w:t xml:space="preserve">) routes. </w:t>
      </w:r>
      <w:bookmarkStart w:id="1" w:name="OLE_LINK1"/>
      <w:r>
        <w:t>Quantified s</w:t>
      </w:r>
      <w:r w:rsidRPr="008E29C6">
        <w:t xml:space="preserve">oluble thrombomodulin levels in animals </w:t>
      </w:r>
      <w:r>
        <w:t>that received</w:t>
      </w:r>
      <w:r w:rsidRPr="008E29C6">
        <w:t xml:space="preserve"> venom iv</w:t>
      </w:r>
      <w:bookmarkEnd w:id="1"/>
      <w:r>
        <w:t xml:space="preserve"> </w:t>
      </w:r>
      <w:r w:rsidRPr="00CB6995">
        <w:rPr>
          <w:b/>
        </w:rPr>
        <w:t xml:space="preserve">(A) </w:t>
      </w:r>
      <w:r>
        <w:t xml:space="preserve">and </w:t>
      </w:r>
      <w:proofErr w:type="spellStart"/>
      <w:r>
        <w:t>ip</w:t>
      </w:r>
      <w:proofErr w:type="spellEnd"/>
      <w:r>
        <w:t xml:space="preserve"> </w:t>
      </w:r>
      <w:r w:rsidRPr="00CB6995">
        <w:rPr>
          <w:b/>
        </w:rPr>
        <w:t>(B)</w:t>
      </w:r>
      <w:r>
        <w:t xml:space="preserve"> reveal elevations caused by </w:t>
      </w:r>
      <w:r>
        <w:rPr>
          <w:i/>
        </w:rPr>
        <w:t xml:space="preserve">B. asper </w:t>
      </w:r>
      <w:r>
        <w:t xml:space="preserve">venom. </w:t>
      </w:r>
      <w:r w:rsidRPr="008E29C6">
        <w:rPr>
          <w:b/>
          <w:bCs/>
        </w:rPr>
        <w:t>(C)</w:t>
      </w:r>
      <w:r>
        <w:t xml:space="preserve"> Treatment with the marimastat and varespladib dual combination therapy (MV) reduces </w:t>
      </w:r>
      <w:r>
        <w:rPr>
          <w:i/>
        </w:rPr>
        <w:t>B. asper-</w:t>
      </w:r>
      <w:r>
        <w:t xml:space="preserve">elevated soluble thrombomodulin levels to values comparable with the control. </w:t>
      </w:r>
      <w:r w:rsidRPr="003234C0">
        <w:t>Where the time of death was the same within experimental groups (e.g. early deaths or complete survival)</w:t>
      </w:r>
      <w:r>
        <w:t xml:space="preserve"> thrombomodulin </w:t>
      </w:r>
      <w:r w:rsidRPr="003234C0">
        <w:t xml:space="preserve">levels were quantified for n=3, and </w:t>
      </w:r>
      <w:r w:rsidRPr="003234C0">
        <w:lastRenderedPageBreak/>
        <w:t>where times of death varied, n=5. The data displayed represents means of the duplicate technical repeats plus SDs.</w:t>
      </w:r>
      <w:r w:rsidR="00F52F18" w:rsidRPr="00F52F18">
        <w:t xml:space="preserve"> </w:t>
      </w:r>
      <w:r w:rsidR="00F52F18">
        <w:t>Source data provided in Data S1.</w:t>
      </w:r>
    </w:p>
    <w:p w14:paraId="77EBCC7F" w14:textId="77777777" w:rsidR="00426B3B" w:rsidRDefault="00426B3B">
      <w:r>
        <w:br w:type="page"/>
      </w:r>
    </w:p>
    <w:p w14:paraId="031B2016" w14:textId="77777777" w:rsidR="00426B3B" w:rsidRDefault="00426B3B" w:rsidP="00426B3B">
      <w:pPr>
        <w:pStyle w:val="ListParagraph"/>
        <w:ind w:left="0"/>
        <w:jc w:val="center"/>
      </w:pPr>
      <w:r w:rsidRPr="00401AF6">
        <w:rPr>
          <w:noProof/>
        </w:rPr>
        <w:lastRenderedPageBreak/>
        <w:drawing>
          <wp:inline distT="0" distB="0" distL="0" distR="0" wp14:anchorId="72B422FF" wp14:editId="03AF872D">
            <wp:extent cx="4500880" cy="3307715"/>
            <wp:effectExtent l="0" t="0" r="0" b="0"/>
            <wp:docPr id="11" name="Picture 1" descr="A picture containing sitting, computer, computer, mete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A2EA" w14:textId="77777777" w:rsidR="00426B3B" w:rsidRDefault="00426B3B" w:rsidP="00426B3B">
      <w:pPr>
        <w:pStyle w:val="ListParagraph"/>
        <w:spacing w:line="480" w:lineRule="auto"/>
        <w:ind w:left="0"/>
        <w:rPr>
          <w:b/>
          <w:bCs/>
        </w:rPr>
      </w:pPr>
    </w:p>
    <w:p w14:paraId="2738CA52" w14:textId="7732C03B" w:rsidR="00426B3B" w:rsidRDefault="00426B3B" w:rsidP="00426B3B">
      <w:pPr>
        <w:pStyle w:val="ListParagraph"/>
        <w:spacing w:line="480" w:lineRule="auto"/>
        <w:ind w:left="0"/>
        <w:jc w:val="both"/>
      </w:pPr>
      <w:r>
        <w:rPr>
          <w:b/>
          <w:bCs/>
        </w:rPr>
        <w:t xml:space="preserve">Supplementary </w:t>
      </w:r>
      <w:r w:rsidRPr="00113AC6">
        <w:rPr>
          <w:b/>
          <w:bCs/>
        </w:rPr>
        <w:t>Fig. 5</w:t>
      </w:r>
      <w:r>
        <w:rPr>
          <w:b/>
          <w:bCs/>
        </w:rPr>
        <w:t xml:space="preserve">. The therapeutic combination of marimastat and varespladib outperforms the licensed metal chelator </w:t>
      </w:r>
      <w:proofErr w:type="gramStart"/>
      <w:r>
        <w:rPr>
          <w:b/>
          <w:bCs/>
        </w:rPr>
        <w:t>DMPS, and</w:t>
      </w:r>
      <w:proofErr w:type="gramEnd"/>
      <w:r>
        <w:rPr>
          <w:b/>
          <w:bCs/>
        </w:rPr>
        <w:t xml:space="preserve"> shows equipotency with a combination of DMPS and conventional antivenom in a ‘challenge then treat’ model of envenoming.</w:t>
      </w:r>
      <w:r>
        <w:t xml:space="preserve"> </w:t>
      </w:r>
      <w:r w:rsidRPr="00292D3C">
        <w:t xml:space="preserve">Kaplan-Meier survival graphs for experimental animals (n=5) </w:t>
      </w:r>
      <w:r>
        <w:t xml:space="preserve">that </w:t>
      </w:r>
      <w:r w:rsidRPr="00292D3C">
        <w:t>receiv</w:t>
      </w:r>
      <w:r>
        <w:t xml:space="preserve">ed </w:t>
      </w:r>
      <w:r>
        <w:rPr>
          <w:i/>
        </w:rPr>
        <w:t>E. ocellatus</w:t>
      </w:r>
      <w:r w:rsidRPr="00292D3C">
        <w:t xml:space="preserve"> venom (intraperitoneal administration</w:t>
      </w:r>
      <w:r>
        <w:t xml:space="preserve"> of 90 µg;</w:t>
      </w:r>
      <w:r w:rsidRPr="000A1186">
        <w:t xml:space="preserve"> 5 </w:t>
      </w:r>
      <w:r>
        <w:rPr>
          <w:lang w:val="en-US"/>
        </w:rPr>
        <w:sym w:font="Symbol" w:char="F0B4"/>
      </w:r>
      <w:r w:rsidRPr="000A1186">
        <w:t xml:space="preserve"> iv. LD</w:t>
      </w:r>
      <w:r w:rsidRPr="000A1186">
        <w:rPr>
          <w:vertAlign w:val="subscript"/>
        </w:rPr>
        <w:t>50</w:t>
      </w:r>
      <w:r w:rsidRPr="00292D3C">
        <w:t>), followed by delayed drug treatment</w:t>
      </w:r>
      <w:r>
        <w:t xml:space="preserve"> intraperitoneally 15 mins later</w:t>
      </w:r>
      <w:r w:rsidRPr="00292D3C">
        <w:t>.</w:t>
      </w:r>
      <w:r>
        <w:t xml:space="preserve"> Drug doses were kept constant at 120 </w:t>
      </w:r>
      <w:r>
        <w:rPr>
          <w:rFonts w:ascii="Calibri" w:hAnsi="Calibri"/>
        </w:rPr>
        <w:t>µ</w:t>
      </w:r>
      <w:r>
        <w:t xml:space="preserve">g for each inhibitor used in the solo DMPS (D) treatment group and the marimastat and varespladib combination therapy (MV) group. For the DMPS and antivenom (D + AV) group, experimental animals received 120 </w:t>
      </w:r>
      <w:r>
        <w:rPr>
          <w:rFonts w:ascii="Calibri" w:hAnsi="Calibri"/>
        </w:rPr>
        <w:t>µ</w:t>
      </w:r>
      <w:r>
        <w:t xml:space="preserve">g of DMPS 15 mins after venom, and intravenous antivenom (168 µl of the </w:t>
      </w:r>
      <w:r>
        <w:rPr>
          <w:i/>
        </w:rPr>
        <w:t xml:space="preserve">E. </w:t>
      </w:r>
      <w:proofErr w:type="spellStart"/>
      <w:r>
        <w:rPr>
          <w:i/>
        </w:rPr>
        <w:t>ocellatus</w:t>
      </w:r>
      <w:proofErr w:type="spellEnd"/>
      <w:r>
        <w:rPr>
          <w:i/>
        </w:rPr>
        <w:t xml:space="preserve"> </w:t>
      </w:r>
      <w:r>
        <w:t xml:space="preserve">monospecific antivenom </w:t>
      </w:r>
      <w:proofErr w:type="spellStart"/>
      <w:r>
        <w:t>EchiTAbG</w:t>
      </w:r>
      <w:proofErr w:type="spellEnd"/>
      <w:r>
        <w:t xml:space="preserve">, </w:t>
      </w:r>
      <w:proofErr w:type="spellStart"/>
      <w:r>
        <w:t>MicroPharm</w:t>
      </w:r>
      <w:proofErr w:type="spellEnd"/>
      <w:r>
        <w:t xml:space="preserve"> Ltd, UK) 1 hr after venom delivery. All DMPS data presented is taken from Albulescu et al.</w:t>
      </w:r>
      <w:r>
        <w:rPr>
          <w:noProof/>
          <w:vertAlign w:val="superscript"/>
        </w:rPr>
        <w:t>1</w:t>
      </w:r>
      <w:r>
        <w:t>.</w:t>
      </w:r>
      <w:r w:rsidR="00F52F18">
        <w:t xml:space="preserve"> Source data provided in Data S1.</w:t>
      </w:r>
    </w:p>
    <w:p w14:paraId="48B67811" w14:textId="77777777" w:rsidR="00426B3B" w:rsidRDefault="00426B3B" w:rsidP="00426B3B">
      <w:pPr>
        <w:pStyle w:val="ListParagraph"/>
        <w:spacing w:line="480" w:lineRule="auto"/>
        <w:ind w:left="0"/>
        <w:jc w:val="both"/>
      </w:pPr>
    </w:p>
    <w:p w14:paraId="1B28FA92" w14:textId="77777777" w:rsidR="00426B3B" w:rsidRDefault="00426B3B" w:rsidP="00426B3B">
      <w:pPr>
        <w:pStyle w:val="ListParagraph"/>
        <w:spacing w:line="480" w:lineRule="auto"/>
        <w:ind w:left="0"/>
        <w:jc w:val="both"/>
      </w:pPr>
    </w:p>
    <w:p w14:paraId="34E1EB0C" w14:textId="77777777" w:rsidR="00426B3B" w:rsidRDefault="00426B3B" w:rsidP="00426B3B">
      <w:pPr>
        <w:pStyle w:val="ListParagraph"/>
        <w:spacing w:line="480" w:lineRule="auto"/>
        <w:ind w:left="0"/>
        <w:jc w:val="both"/>
      </w:pPr>
    </w:p>
    <w:p w14:paraId="3C9898FD" w14:textId="1E0F2E9B" w:rsidR="00426B3B" w:rsidRDefault="00426B3B" w:rsidP="00426B3B">
      <w:pPr>
        <w:pStyle w:val="ListParagraph"/>
        <w:spacing w:line="480" w:lineRule="auto"/>
        <w:ind w:left="0"/>
        <w:jc w:val="both"/>
        <w:rPr>
          <w:b/>
          <w:bCs/>
          <w:u w:val="single"/>
        </w:rPr>
      </w:pPr>
      <w:r w:rsidRPr="00426B3B">
        <w:rPr>
          <w:b/>
          <w:bCs/>
          <w:u w:val="single"/>
        </w:rPr>
        <w:lastRenderedPageBreak/>
        <w:t>Supplementary References</w:t>
      </w:r>
    </w:p>
    <w:p w14:paraId="477BC401" w14:textId="77777777" w:rsidR="00426B3B" w:rsidRPr="00426B3B" w:rsidRDefault="00426B3B" w:rsidP="00426B3B">
      <w:pPr>
        <w:pStyle w:val="ListParagraph"/>
        <w:spacing w:line="480" w:lineRule="auto"/>
        <w:ind w:left="0"/>
        <w:jc w:val="both"/>
        <w:rPr>
          <w:b/>
          <w:bCs/>
          <w:u w:val="single"/>
        </w:rPr>
      </w:pPr>
    </w:p>
    <w:p w14:paraId="74184E0D" w14:textId="4438714F" w:rsidR="00426B3B" w:rsidRPr="00426B3B" w:rsidRDefault="00426B3B" w:rsidP="00426B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480" w:lineRule="auto"/>
        <w:jc w:val="both"/>
        <w:rPr>
          <w:noProof/>
          <w:lang w:val="en-US"/>
        </w:rPr>
      </w:pPr>
      <w:r w:rsidRPr="00426B3B">
        <w:rPr>
          <w:noProof/>
          <w:lang w:val="en-US"/>
        </w:rPr>
        <w:t xml:space="preserve">Albulescu, L.-O. </w:t>
      </w:r>
      <w:r w:rsidRPr="00426B3B">
        <w:rPr>
          <w:i/>
          <w:iCs/>
          <w:noProof/>
          <w:lang w:val="en-US"/>
        </w:rPr>
        <w:t>et al.</w:t>
      </w:r>
      <w:r w:rsidRPr="00426B3B">
        <w:rPr>
          <w:noProof/>
          <w:lang w:val="en-US"/>
        </w:rPr>
        <w:t xml:space="preserve"> Preclinical validation of a repurposed metal chelator as an early-intervention therapeutic for hemotoxic snakebite. </w:t>
      </w:r>
      <w:r w:rsidRPr="00426B3B">
        <w:rPr>
          <w:i/>
          <w:iCs/>
          <w:noProof/>
          <w:lang w:val="en-US"/>
        </w:rPr>
        <w:t xml:space="preserve">Sci. Trans. Med. </w:t>
      </w:r>
      <w:r w:rsidRPr="00426B3B">
        <w:rPr>
          <w:b/>
          <w:i/>
          <w:iCs/>
          <w:noProof/>
          <w:lang w:val="en-US"/>
        </w:rPr>
        <w:t>12,</w:t>
      </w:r>
      <w:r w:rsidRPr="00426B3B">
        <w:rPr>
          <w:i/>
          <w:iCs/>
          <w:noProof/>
          <w:lang w:val="en-US"/>
        </w:rPr>
        <w:t xml:space="preserve"> </w:t>
      </w:r>
      <w:r w:rsidRPr="00426B3B">
        <w:rPr>
          <w:iCs/>
          <w:noProof/>
          <w:lang w:val="en-US"/>
        </w:rPr>
        <w:t>eaay8314 (2020).</w:t>
      </w:r>
    </w:p>
    <w:p w14:paraId="2B908F88" w14:textId="77777777" w:rsidR="007860C9" w:rsidRDefault="007860C9"/>
    <w:sectPr w:rsidR="007860C9" w:rsidSect="006F3D80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732CF" w14:textId="77777777" w:rsidR="00E810A8" w:rsidRDefault="00E810A8">
      <w:r>
        <w:separator/>
      </w:r>
    </w:p>
  </w:endnote>
  <w:endnote w:type="continuationSeparator" w:id="0">
    <w:p w14:paraId="7624414B" w14:textId="77777777" w:rsidR="00E810A8" w:rsidRDefault="00E8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8A9B" w14:textId="77777777" w:rsidR="003C3EE6" w:rsidRDefault="00426B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A8F6488" w14:textId="77777777" w:rsidR="003C3EE6" w:rsidRDefault="00F41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2B38" w14:textId="77777777" w:rsidR="00E810A8" w:rsidRDefault="00E810A8">
      <w:r>
        <w:separator/>
      </w:r>
    </w:p>
  </w:footnote>
  <w:footnote w:type="continuationSeparator" w:id="0">
    <w:p w14:paraId="6CD7704B" w14:textId="77777777" w:rsidR="00E810A8" w:rsidRDefault="00E8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2A6F"/>
    <w:multiLevelType w:val="hybridMultilevel"/>
    <w:tmpl w:val="20721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3B"/>
    <w:rsid w:val="00426B3B"/>
    <w:rsid w:val="005647D9"/>
    <w:rsid w:val="005725E3"/>
    <w:rsid w:val="006F3D80"/>
    <w:rsid w:val="007860C9"/>
    <w:rsid w:val="00E810A8"/>
    <w:rsid w:val="00F41094"/>
    <w:rsid w:val="00F5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2F89"/>
  <w15:chartTrackingRefBased/>
  <w15:docId w15:val="{2B48C1ED-CBF7-CD49-9C76-7FA2716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6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B3B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426B3B"/>
  </w:style>
  <w:style w:type="paragraph" w:styleId="BalloonText">
    <w:name w:val="Balloon Text"/>
    <w:basedOn w:val="Normal"/>
    <w:link w:val="BalloonTextChar"/>
    <w:uiPriority w:val="99"/>
    <w:semiHidden/>
    <w:unhideWhenUsed/>
    <w:rsid w:val="00F52F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1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666</Words>
  <Characters>3798</Characters>
  <Application>Microsoft Office Word</Application>
  <DocSecurity>4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Casewell</dc:creator>
  <cp:keywords/>
  <dc:description/>
  <cp:lastModifiedBy>Mary Creegan</cp:lastModifiedBy>
  <cp:revision>2</cp:revision>
  <dcterms:created xsi:type="dcterms:W3CDTF">2020-11-12T14:29:00Z</dcterms:created>
  <dcterms:modified xsi:type="dcterms:W3CDTF">2020-11-12T14:29:00Z</dcterms:modified>
</cp:coreProperties>
</file>