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F4F2" w14:textId="6624FAC6" w:rsidR="00BE0597" w:rsidRPr="00D63468" w:rsidRDefault="00F21808" w:rsidP="00317681">
      <w:pPr>
        <w:pStyle w:val="Heading1"/>
      </w:pPr>
      <w:bookmarkStart w:id="0" w:name="_Hlk503774057"/>
      <w:r>
        <w:t>943</w:t>
      </w:r>
    </w:p>
    <w:p w14:paraId="2C5E653E" w14:textId="42363274" w:rsidR="00B061AF" w:rsidRPr="00B061AF" w:rsidRDefault="00B061AF" w:rsidP="00B061AF">
      <w:pPr>
        <w:rPr>
          <w:b/>
          <w:sz w:val="28"/>
          <w:szCs w:val="28"/>
        </w:rPr>
      </w:pPr>
      <w:bookmarkStart w:id="1" w:name="_Hlk12527376"/>
      <w:bookmarkEnd w:id="0"/>
      <w:r w:rsidRPr="00B061AF">
        <w:rPr>
          <w:b/>
          <w:sz w:val="28"/>
          <w:szCs w:val="28"/>
        </w:rPr>
        <w:t xml:space="preserve">Work based risk factors and quality of life in </w:t>
      </w:r>
      <w:r w:rsidR="0032015C">
        <w:rPr>
          <w:b/>
          <w:sz w:val="28"/>
          <w:szCs w:val="28"/>
        </w:rPr>
        <w:t xml:space="preserve">health </w:t>
      </w:r>
      <w:r w:rsidRPr="00B061AF">
        <w:rPr>
          <w:b/>
          <w:sz w:val="28"/>
          <w:szCs w:val="28"/>
        </w:rPr>
        <w:t>care workers</w:t>
      </w:r>
      <w:r w:rsidR="00D06908">
        <w:rPr>
          <w:b/>
          <w:sz w:val="28"/>
          <w:szCs w:val="28"/>
        </w:rPr>
        <w:t xml:space="preserve"> providing maternal and newborn care</w:t>
      </w:r>
      <w:r w:rsidRPr="00B061AF">
        <w:rPr>
          <w:b/>
          <w:sz w:val="28"/>
          <w:szCs w:val="28"/>
        </w:rPr>
        <w:t xml:space="preserve"> during the Sierra Leone Ebola epidemic: findings using the WHOQOL BREF and HSE Management Standards Tool</w:t>
      </w:r>
    </w:p>
    <w:p w14:paraId="19A09F10" w14:textId="77777777" w:rsidR="00050660" w:rsidRPr="00B061AF" w:rsidRDefault="00050660" w:rsidP="00317681">
      <w:pPr>
        <w:rPr>
          <w:b/>
          <w:sz w:val="28"/>
          <w:szCs w:val="28"/>
        </w:rPr>
      </w:pPr>
    </w:p>
    <w:bookmarkEnd w:id="1"/>
    <w:p w14:paraId="4BAF27BD" w14:textId="77777777" w:rsidR="007517F1" w:rsidRPr="00CC7196" w:rsidRDefault="007517F1" w:rsidP="00317681">
      <w:pPr>
        <w:rPr>
          <w:lang w:val="fr-FR"/>
        </w:rPr>
      </w:pPr>
    </w:p>
    <w:p w14:paraId="78B23C78" w14:textId="19B8C962" w:rsidR="000B0609" w:rsidRPr="00CC7196" w:rsidRDefault="000B0609" w:rsidP="00317681">
      <w:pPr>
        <w:rPr>
          <w:lang w:val="fr-FR"/>
        </w:rPr>
      </w:pPr>
    </w:p>
    <w:p w14:paraId="4AD643F8" w14:textId="3F2A7DB1" w:rsidR="00B061AF" w:rsidRPr="00D63468" w:rsidRDefault="00B061AF" w:rsidP="00B061AF">
      <w:pPr>
        <w:rPr>
          <w:color w:val="000000"/>
        </w:rPr>
      </w:pPr>
      <w:r w:rsidRPr="00D63468">
        <w:rPr>
          <w:color w:val="000000"/>
        </w:rPr>
        <w:t>Susan Jones</w:t>
      </w:r>
      <w:r w:rsidRPr="00D63468">
        <w:rPr>
          <w:color w:val="000000"/>
          <w:vertAlign w:val="superscript"/>
        </w:rPr>
        <w:t>a*</w:t>
      </w:r>
      <w:r w:rsidRPr="00D63468">
        <w:rPr>
          <w:color w:val="000000"/>
          <w:vertAlign w:val="subscript"/>
        </w:rPr>
        <w:t xml:space="preserve"> </w:t>
      </w:r>
      <w:r w:rsidRPr="00D63468">
        <w:rPr>
          <w:color w:val="000000"/>
        </w:rPr>
        <w:t>(</w:t>
      </w:r>
      <w:r w:rsidR="00D06908">
        <w:rPr>
          <w:color w:val="000000"/>
        </w:rPr>
        <w:t>Principle</w:t>
      </w:r>
      <w:r w:rsidRPr="00D63468">
        <w:rPr>
          <w:color w:val="000000"/>
        </w:rPr>
        <w:t xml:space="preserve"> </w:t>
      </w:r>
      <w:r>
        <w:rPr>
          <w:color w:val="000000"/>
        </w:rPr>
        <w:t>Lecturer</w:t>
      </w:r>
      <w:r w:rsidRPr="00D63468">
        <w:rPr>
          <w:color w:val="000000"/>
        </w:rPr>
        <w:t>)</w:t>
      </w:r>
      <w:r w:rsidRPr="00D63468">
        <w:rPr>
          <w:color w:val="000000"/>
          <w:vertAlign w:val="subscript"/>
        </w:rPr>
        <w:t xml:space="preserve"> </w:t>
      </w:r>
      <w:hyperlink r:id="rId8" w:history="1">
        <w:r w:rsidRPr="00B44C15">
          <w:rPr>
            <w:rStyle w:val="Hyperlink"/>
          </w:rPr>
          <w:t>s.jones@hud.ac.uk</w:t>
        </w:r>
      </w:hyperlink>
      <w:r>
        <w:rPr>
          <w:color w:val="000000"/>
        </w:rPr>
        <w:t xml:space="preserve"> </w:t>
      </w:r>
      <w:r w:rsidRPr="00D63468">
        <w:rPr>
          <w:color w:val="000000"/>
        </w:rPr>
        <w:t xml:space="preserve"> </w:t>
      </w:r>
    </w:p>
    <w:p w14:paraId="18FA5A7C" w14:textId="77777777" w:rsidR="00B061AF" w:rsidRPr="00F8719B" w:rsidRDefault="00B061AF" w:rsidP="00B061AF">
      <w:pPr>
        <w:rPr>
          <w:color w:val="000000"/>
        </w:rPr>
      </w:pPr>
      <w:r>
        <w:rPr>
          <w:color w:val="000000"/>
        </w:rPr>
        <w:t>Sarah White</w:t>
      </w:r>
      <w:r>
        <w:rPr>
          <w:color w:val="000000"/>
          <w:vertAlign w:val="superscript"/>
        </w:rPr>
        <w:t xml:space="preserve">b </w:t>
      </w:r>
      <w:r>
        <w:rPr>
          <w:color w:val="000000"/>
        </w:rPr>
        <w:t xml:space="preserve">(Senior Statistician) </w:t>
      </w:r>
      <w:hyperlink r:id="rId9" w:history="1">
        <w:r w:rsidRPr="00CB21C8">
          <w:rPr>
            <w:rStyle w:val="Hyperlink"/>
          </w:rPr>
          <w:t>Sarah.White@lstmed.ac.uk</w:t>
        </w:r>
      </w:hyperlink>
      <w:r>
        <w:rPr>
          <w:color w:val="000000"/>
        </w:rPr>
        <w:t xml:space="preserve"> </w:t>
      </w:r>
    </w:p>
    <w:p w14:paraId="576E1545" w14:textId="23674185" w:rsidR="00B061AF" w:rsidRDefault="00B061AF" w:rsidP="00B061AF">
      <w:pPr>
        <w:rPr>
          <w:color w:val="000000"/>
        </w:rPr>
      </w:pPr>
      <w:r>
        <w:rPr>
          <w:color w:val="000000"/>
        </w:rPr>
        <w:t>Judith Ormrod</w:t>
      </w:r>
      <w:r w:rsidRPr="0028429C">
        <w:rPr>
          <w:color w:val="000000"/>
          <w:vertAlign w:val="superscript"/>
        </w:rPr>
        <w:t>c</w:t>
      </w:r>
      <w:r w:rsidR="00D06908">
        <w:rPr>
          <w:color w:val="000000"/>
          <w:vertAlign w:val="superscript"/>
        </w:rPr>
        <w:t xml:space="preserve"> </w:t>
      </w:r>
      <w:r w:rsidRPr="00D63468">
        <w:rPr>
          <w:color w:val="000000"/>
        </w:rPr>
        <w:t>(Lecturer)</w:t>
      </w:r>
      <w:r>
        <w:rPr>
          <w:color w:val="000000"/>
          <w:vertAlign w:val="superscript"/>
        </w:rPr>
        <w:t>c</w:t>
      </w:r>
      <w:r w:rsidRPr="00D63468">
        <w:rPr>
          <w:color w:val="000000"/>
        </w:rPr>
        <w:t xml:space="preserve"> </w:t>
      </w:r>
      <w:hyperlink r:id="rId10" w:history="1">
        <w:r w:rsidRPr="00D63468">
          <w:rPr>
            <w:rStyle w:val="Hyperlink"/>
            <w:rFonts w:eastAsia="ヒラギノ角ゴ Pro W3" w:cs="Times New Roman"/>
          </w:rPr>
          <w:t>judith.ormrod@manchester.ac.uk</w:t>
        </w:r>
      </w:hyperlink>
      <w:r w:rsidRPr="00D63468">
        <w:rPr>
          <w:color w:val="000000"/>
        </w:rPr>
        <w:t xml:space="preserve"> </w:t>
      </w:r>
    </w:p>
    <w:p w14:paraId="3532EA2F" w14:textId="77777777" w:rsidR="00B061AF" w:rsidRPr="00D63468" w:rsidRDefault="00B061AF" w:rsidP="00B061AF">
      <w:pPr>
        <w:rPr>
          <w:color w:val="000000"/>
        </w:rPr>
      </w:pPr>
      <w:r w:rsidRPr="00D63468">
        <w:rPr>
          <w:color w:val="000000"/>
        </w:rPr>
        <w:t>Betty Sam</w:t>
      </w:r>
      <w:r>
        <w:rPr>
          <w:color w:val="000000"/>
          <w:vertAlign w:val="superscript"/>
        </w:rPr>
        <w:t>b</w:t>
      </w:r>
      <w:r w:rsidRPr="00D63468">
        <w:rPr>
          <w:color w:val="000000"/>
          <w:vertAlign w:val="superscript"/>
        </w:rPr>
        <w:t xml:space="preserve"> </w:t>
      </w:r>
      <w:r w:rsidRPr="00D63468">
        <w:rPr>
          <w:color w:val="000000"/>
        </w:rPr>
        <w:t xml:space="preserve">RM (Senior Technical Officer) </w:t>
      </w:r>
      <w:hyperlink r:id="rId11" w:history="1">
        <w:r w:rsidRPr="00D63468">
          <w:rPr>
            <w:rStyle w:val="Hyperlink"/>
            <w:rFonts w:eastAsia="ヒラギノ角ゴ Pro W3" w:cs="Times New Roman"/>
          </w:rPr>
          <w:t>Betty.Sam@lstmed.ac.uk</w:t>
        </w:r>
      </w:hyperlink>
      <w:r w:rsidRPr="00D63468">
        <w:rPr>
          <w:color w:val="000000"/>
        </w:rPr>
        <w:t xml:space="preserve"> </w:t>
      </w:r>
    </w:p>
    <w:p w14:paraId="7D4ED90C" w14:textId="77777777" w:rsidR="00B061AF" w:rsidRPr="00D63468" w:rsidRDefault="00B061AF" w:rsidP="00B061AF">
      <w:pPr>
        <w:rPr>
          <w:color w:val="000000"/>
        </w:rPr>
      </w:pPr>
      <w:r w:rsidRPr="00D63468">
        <w:rPr>
          <w:color w:val="000000"/>
        </w:rPr>
        <w:t>Florence Bull</w:t>
      </w:r>
      <w:r>
        <w:rPr>
          <w:color w:val="000000"/>
          <w:vertAlign w:val="superscript"/>
        </w:rPr>
        <w:t>b</w:t>
      </w:r>
      <w:r w:rsidRPr="00D63468">
        <w:rPr>
          <w:color w:val="000000"/>
        </w:rPr>
        <w:t xml:space="preserve"> MiPH (Technical Officer) </w:t>
      </w:r>
      <w:hyperlink r:id="rId12" w:history="1">
        <w:r w:rsidRPr="00D63468">
          <w:rPr>
            <w:rStyle w:val="Hyperlink"/>
            <w:rFonts w:eastAsia="ヒラギノ角ゴ Pro W3" w:cs="Times New Roman"/>
          </w:rPr>
          <w:t>Florence.Bull@lstmed.ac.uk</w:t>
        </w:r>
      </w:hyperlink>
      <w:r w:rsidRPr="00D63468">
        <w:rPr>
          <w:color w:val="000000"/>
        </w:rPr>
        <w:t xml:space="preserve"> </w:t>
      </w:r>
    </w:p>
    <w:p w14:paraId="54E9A89B" w14:textId="77777777" w:rsidR="00B061AF" w:rsidRDefault="00B061AF" w:rsidP="00B061AF">
      <w:pPr>
        <w:rPr>
          <w:color w:val="000000"/>
        </w:rPr>
      </w:pPr>
      <w:r w:rsidRPr="00D63468">
        <w:rPr>
          <w:color w:val="000000"/>
        </w:rPr>
        <w:t>Steven Bagie Pieh</w:t>
      </w:r>
      <w:r w:rsidRPr="00D63468">
        <w:rPr>
          <w:color w:val="000000"/>
          <w:vertAlign w:val="superscript"/>
        </w:rPr>
        <w:t>b</w:t>
      </w:r>
      <w:r w:rsidRPr="00D63468">
        <w:rPr>
          <w:color w:val="000000"/>
        </w:rPr>
        <w:t xml:space="preserve"> (M&amp;E Officer) </w:t>
      </w:r>
      <w:hyperlink r:id="rId13" w:history="1">
        <w:r w:rsidRPr="00D63468">
          <w:rPr>
            <w:rStyle w:val="Hyperlink"/>
            <w:rFonts w:eastAsia="ヒラギノ角ゴ Pro W3" w:cs="Times New Roman"/>
          </w:rPr>
          <w:t>stevenbpieh@gmail.com</w:t>
        </w:r>
      </w:hyperlink>
      <w:r w:rsidRPr="00D63468">
        <w:rPr>
          <w:color w:val="000000"/>
        </w:rPr>
        <w:t xml:space="preserve"> </w:t>
      </w:r>
    </w:p>
    <w:p w14:paraId="22F616E8" w14:textId="77777777" w:rsidR="00B061AF" w:rsidRDefault="00B061AF" w:rsidP="00B061AF">
      <w:pPr>
        <w:rPr>
          <w:rStyle w:val="Hyperlink"/>
          <w:rFonts w:eastAsia="ヒラギノ角ゴ Pro W3" w:cs="Times New Roman"/>
        </w:rPr>
      </w:pPr>
      <w:r w:rsidRPr="00D63468">
        <w:rPr>
          <w:color w:val="000000"/>
        </w:rPr>
        <w:t>Somasundari Gopalakrishnan</w:t>
      </w:r>
      <w:r>
        <w:rPr>
          <w:color w:val="000000"/>
          <w:vertAlign w:val="superscript"/>
        </w:rPr>
        <w:t>b</w:t>
      </w:r>
      <w:r w:rsidRPr="00D63468">
        <w:rPr>
          <w:color w:val="000000"/>
          <w:vertAlign w:val="superscript"/>
        </w:rPr>
        <w:t xml:space="preserve"> </w:t>
      </w:r>
      <w:r w:rsidRPr="00D63468">
        <w:rPr>
          <w:color w:val="000000"/>
        </w:rPr>
        <w:t xml:space="preserve">(Clinical Lecturer) </w:t>
      </w:r>
      <w:hyperlink r:id="rId14" w:history="1">
        <w:r w:rsidRPr="00D63468">
          <w:rPr>
            <w:rStyle w:val="Hyperlink"/>
            <w:rFonts w:eastAsia="ヒラギノ角ゴ Pro W3" w:cs="Times New Roman"/>
          </w:rPr>
          <w:t>Somla.Gopalakrishnan@lstmed.ac.uk</w:t>
        </w:r>
      </w:hyperlink>
    </w:p>
    <w:p w14:paraId="55D97887" w14:textId="77777777" w:rsidR="00B061AF" w:rsidRDefault="00B061AF" w:rsidP="00B061AF">
      <w:r w:rsidRPr="00D63468">
        <w:t>Nynke van den Broek</w:t>
      </w:r>
      <w:r w:rsidRPr="0028429C">
        <w:rPr>
          <w:vertAlign w:val="superscript"/>
        </w:rPr>
        <w:t xml:space="preserve">b </w:t>
      </w:r>
      <w:r w:rsidRPr="00D63468">
        <w:t xml:space="preserve">(Professor and Head of Centre) </w:t>
      </w:r>
      <w:hyperlink r:id="rId15" w:history="1">
        <w:r w:rsidRPr="00D63468">
          <w:rPr>
            <w:rStyle w:val="Hyperlink"/>
            <w:rFonts w:eastAsia="ヒラギノ角ゴ Pro W3" w:cs="Times New Roman"/>
          </w:rPr>
          <w:t>Nynke.vandenBroek@lstmed.ac.uk</w:t>
        </w:r>
      </w:hyperlink>
      <w:r w:rsidRPr="00D63468">
        <w:t xml:space="preserve"> </w:t>
      </w:r>
    </w:p>
    <w:p w14:paraId="12F1C05E" w14:textId="77777777" w:rsidR="00B061AF" w:rsidRPr="00D63468" w:rsidRDefault="00B061AF" w:rsidP="00B061AF"/>
    <w:p w14:paraId="5F6D8A26" w14:textId="34669B0A" w:rsidR="00B061AF" w:rsidRPr="0028429C" w:rsidRDefault="00B061AF" w:rsidP="00B061AF">
      <w:r>
        <w:rPr>
          <w:vertAlign w:val="superscript"/>
        </w:rPr>
        <w:t xml:space="preserve"> a </w:t>
      </w:r>
      <w:r w:rsidRPr="0028429C">
        <w:t>School of Nursing and Midwifery University of Huddersfield</w:t>
      </w:r>
      <w:r w:rsidR="00A9446F">
        <w:t>, Queensgate, HD1 3DH, UK</w:t>
      </w:r>
    </w:p>
    <w:p w14:paraId="0859AFE5" w14:textId="77777777" w:rsidR="00B061AF" w:rsidRPr="00D63468" w:rsidRDefault="00B061AF" w:rsidP="00B061AF">
      <w:r>
        <w:rPr>
          <w:vertAlign w:val="superscript"/>
        </w:rPr>
        <w:t>b</w:t>
      </w:r>
      <w:r w:rsidRPr="00D63468">
        <w:rPr>
          <w:vertAlign w:val="superscript"/>
        </w:rPr>
        <w:t xml:space="preserve"> </w:t>
      </w:r>
      <w:r w:rsidRPr="00D63468">
        <w:t>Centre for Maternal and Newborn Health, Liverpool School of Tropical Medicine,</w:t>
      </w:r>
      <w:r>
        <w:t xml:space="preserve"> Pembroke Place, </w:t>
      </w:r>
      <w:r w:rsidRPr="00D63468">
        <w:t xml:space="preserve">Liverpool </w:t>
      </w:r>
      <w:r>
        <w:t xml:space="preserve">L3 5QA, </w:t>
      </w:r>
      <w:r w:rsidRPr="00D63468">
        <w:t xml:space="preserve">UK </w:t>
      </w:r>
    </w:p>
    <w:p w14:paraId="73BDA0BB" w14:textId="77777777" w:rsidR="00B061AF" w:rsidRPr="00D63468" w:rsidRDefault="00B061AF" w:rsidP="00B061AF">
      <w:r w:rsidRPr="00D63468">
        <w:rPr>
          <w:vertAlign w:val="superscript"/>
        </w:rPr>
        <w:t xml:space="preserve"> </w:t>
      </w:r>
      <w:r w:rsidRPr="00D63468">
        <w:t>Liverpool School of Tropical Medicine.</w:t>
      </w:r>
    </w:p>
    <w:p w14:paraId="4CCC1D25" w14:textId="77777777" w:rsidR="00B061AF" w:rsidRPr="00D63468" w:rsidRDefault="00B061AF" w:rsidP="00B061AF">
      <w:r>
        <w:rPr>
          <w:vertAlign w:val="superscript"/>
        </w:rPr>
        <w:t>c</w:t>
      </w:r>
      <w:r w:rsidRPr="00D63468">
        <w:rPr>
          <w:vertAlign w:val="superscript"/>
        </w:rPr>
        <w:t xml:space="preserve"> </w:t>
      </w:r>
      <w:r w:rsidRPr="00D63468">
        <w:t>The School of Nursing Midwifery and Social Work</w:t>
      </w:r>
      <w:r>
        <w:t>, University of Manchester, Oxford Road, Manchester M13 9PL, UK</w:t>
      </w:r>
    </w:p>
    <w:p w14:paraId="4D86EDFB" w14:textId="77777777" w:rsidR="00B061AF" w:rsidRPr="00D63468" w:rsidRDefault="00B061AF" w:rsidP="00B061AF"/>
    <w:p w14:paraId="4C649258" w14:textId="77777777" w:rsidR="00B061AF" w:rsidRDefault="00B061AF" w:rsidP="00B061AF">
      <w:r w:rsidRPr="00D63468">
        <w:rPr>
          <w:b/>
        </w:rPr>
        <w:t>*Corresponding Author</w:t>
      </w:r>
      <w:r w:rsidRPr="00D63468">
        <w:t xml:space="preserve">: </w:t>
      </w:r>
      <w:r>
        <w:t>School of Nursing and Midwifery, University of Huddersfield, Queensgate, HD1 3DH, UK</w:t>
      </w:r>
    </w:p>
    <w:p w14:paraId="494F23D8" w14:textId="77777777" w:rsidR="00B061AF" w:rsidRPr="00CC7196" w:rsidRDefault="00B061AF" w:rsidP="00B061AF">
      <w:pPr>
        <w:rPr>
          <w:lang w:val="fr-FR"/>
        </w:rPr>
      </w:pPr>
      <w:r w:rsidRPr="00CC7196">
        <w:rPr>
          <w:lang w:val="fr-FR"/>
        </w:rPr>
        <w:t xml:space="preserve">email: </w:t>
      </w:r>
      <w:hyperlink r:id="rId16" w:history="1">
        <w:r w:rsidRPr="00B44C15">
          <w:rPr>
            <w:rStyle w:val="Hyperlink"/>
          </w:rPr>
          <w:t>s.jones@hud.ac.uk</w:t>
        </w:r>
      </w:hyperlink>
    </w:p>
    <w:p w14:paraId="7C1EE231" w14:textId="77777777" w:rsidR="00B061AF" w:rsidRPr="00CC7196" w:rsidRDefault="00B061AF" w:rsidP="00B061AF">
      <w:pPr>
        <w:rPr>
          <w:lang w:val="fr-FR"/>
        </w:rPr>
      </w:pPr>
    </w:p>
    <w:p w14:paraId="611286CC" w14:textId="1D8D5721" w:rsidR="000B0609" w:rsidRPr="00CC7196" w:rsidRDefault="000B0609" w:rsidP="00317681">
      <w:pPr>
        <w:rPr>
          <w:lang w:val="fr-FR"/>
        </w:rPr>
      </w:pPr>
    </w:p>
    <w:p w14:paraId="52544050" w14:textId="6CABE334" w:rsidR="000B0609" w:rsidRPr="00CC7196" w:rsidRDefault="000B0609" w:rsidP="00317681">
      <w:pPr>
        <w:rPr>
          <w:lang w:val="fr-FR"/>
        </w:rPr>
      </w:pPr>
    </w:p>
    <w:p w14:paraId="1938337C" w14:textId="3FF0AB6D" w:rsidR="000B0609" w:rsidRPr="00CC7196" w:rsidRDefault="000B0609" w:rsidP="00317681">
      <w:pPr>
        <w:rPr>
          <w:lang w:val="fr-FR"/>
        </w:rPr>
      </w:pPr>
    </w:p>
    <w:p w14:paraId="0EED593B" w14:textId="475460FC" w:rsidR="000B0609" w:rsidRPr="00CC7196" w:rsidRDefault="000B0609" w:rsidP="00317681">
      <w:pPr>
        <w:rPr>
          <w:lang w:val="fr-FR"/>
        </w:rPr>
      </w:pPr>
    </w:p>
    <w:p w14:paraId="0B198D46" w14:textId="04C78C96" w:rsidR="000B0609" w:rsidRPr="00CC7196" w:rsidRDefault="000B0609" w:rsidP="00317681">
      <w:pPr>
        <w:rPr>
          <w:lang w:val="fr-FR"/>
        </w:rPr>
      </w:pPr>
    </w:p>
    <w:p w14:paraId="76690997" w14:textId="418238DA" w:rsidR="000B0609" w:rsidRPr="00CC7196" w:rsidRDefault="000B0609" w:rsidP="00317681">
      <w:pPr>
        <w:rPr>
          <w:lang w:val="fr-FR"/>
        </w:rPr>
      </w:pPr>
    </w:p>
    <w:p w14:paraId="3BCBEAF9" w14:textId="474BA89A" w:rsidR="000B0609" w:rsidRPr="00CC7196" w:rsidRDefault="000B0609" w:rsidP="00317681">
      <w:pPr>
        <w:rPr>
          <w:lang w:val="fr-FR"/>
        </w:rPr>
      </w:pPr>
    </w:p>
    <w:p w14:paraId="3C900632" w14:textId="4FF5ACEE" w:rsidR="000B0609" w:rsidRPr="00CC7196" w:rsidRDefault="000B0609" w:rsidP="00317681">
      <w:pPr>
        <w:rPr>
          <w:lang w:val="fr-FR"/>
        </w:rPr>
      </w:pPr>
    </w:p>
    <w:p w14:paraId="1EF8149C" w14:textId="612ED8E8" w:rsidR="000B0609" w:rsidRPr="00CC7196" w:rsidRDefault="000B0609" w:rsidP="00317681">
      <w:pPr>
        <w:rPr>
          <w:lang w:val="fr-FR"/>
        </w:rPr>
      </w:pPr>
    </w:p>
    <w:p w14:paraId="5D4424F4" w14:textId="2765A190" w:rsidR="000B0609" w:rsidRPr="00CC7196" w:rsidRDefault="000B0609" w:rsidP="00317681">
      <w:pPr>
        <w:rPr>
          <w:lang w:val="fr-FR"/>
        </w:rPr>
      </w:pPr>
    </w:p>
    <w:p w14:paraId="00F3D594" w14:textId="38BA30A0" w:rsidR="000B0609" w:rsidRPr="00CC7196" w:rsidRDefault="000B0609" w:rsidP="00317681">
      <w:pPr>
        <w:rPr>
          <w:lang w:val="fr-FR"/>
        </w:rPr>
      </w:pPr>
    </w:p>
    <w:p w14:paraId="59E82D8F" w14:textId="6BCDD156" w:rsidR="000B0609" w:rsidRPr="00CC7196" w:rsidRDefault="000B0609" w:rsidP="00317681">
      <w:pPr>
        <w:rPr>
          <w:lang w:val="fr-FR"/>
        </w:rPr>
      </w:pPr>
    </w:p>
    <w:p w14:paraId="51E4AFB3" w14:textId="77777777" w:rsidR="000B0609" w:rsidRPr="00CC7196" w:rsidRDefault="000B0609" w:rsidP="00317681">
      <w:pPr>
        <w:rPr>
          <w:lang w:val="fr-FR"/>
        </w:rPr>
      </w:pPr>
    </w:p>
    <w:p w14:paraId="712D8649" w14:textId="77777777" w:rsidR="00184EDD" w:rsidRPr="00CC7196" w:rsidRDefault="00184EDD">
      <w:pPr>
        <w:spacing w:after="160"/>
        <w:jc w:val="left"/>
        <w:rPr>
          <w:rFonts w:eastAsiaTheme="majorEastAsia" w:cstheme="majorBidi"/>
          <w:b/>
          <w:sz w:val="28"/>
          <w:szCs w:val="28"/>
          <w:lang w:val="fr-FR"/>
        </w:rPr>
      </w:pPr>
      <w:r w:rsidRPr="00CC7196">
        <w:rPr>
          <w:lang w:val="fr-FR"/>
        </w:rPr>
        <w:br w:type="page"/>
      </w:r>
    </w:p>
    <w:p w14:paraId="731D9B4E" w14:textId="2B8321B3" w:rsidR="00BE0597" w:rsidRPr="00CC7196" w:rsidRDefault="001736E0" w:rsidP="00317681">
      <w:pPr>
        <w:pStyle w:val="Heading2"/>
        <w:rPr>
          <w:lang w:val="fr-FR"/>
        </w:rPr>
      </w:pPr>
      <w:r w:rsidRPr="00CC7196">
        <w:rPr>
          <w:lang w:val="fr-FR"/>
        </w:rPr>
        <w:lastRenderedPageBreak/>
        <w:t>Abstract</w:t>
      </w:r>
    </w:p>
    <w:p w14:paraId="36ADF554" w14:textId="77777777" w:rsidR="00CB7A7B" w:rsidRPr="00CC7196" w:rsidRDefault="00CB7A7B" w:rsidP="00317681">
      <w:pPr>
        <w:rPr>
          <w:lang w:val="fr-FR"/>
        </w:rPr>
      </w:pPr>
    </w:p>
    <w:p w14:paraId="51DBFAF8" w14:textId="0B672F82" w:rsidR="002D1721" w:rsidRPr="00D63468" w:rsidRDefault="00B061AF" w:rsidP="00317681">
      <w:pPr>
        <w:pStyle w:val="Heading3"/>
      </w:pPr>
      <w:r>
        <w:t>Int</w:t>
      </w:r>
      <w:r w:rsidR="00E93505">
        <w:t>ro</w:t>
      </w:r>
      <w:r>
        <w:t>duction</w:t>
      </w:r>
      <w:r w:rsidR="008C191D" w:rsidRPr="00D63468">
        <w:t xml:space="preserve"> </w:t>
      </w:r>
    </w:p>
    <w:p w14:paraId="7F37CAD7" w14:textId="4664B917" w:rsidR="002D1721" w:rsidRPr="00D63468" w:rsidRDefault="006D6656" w:rsidP="00317681">
      <w:r>
        <w:t xml:space="preserve">Before </w:t>
      </w:r>
      <w:r w:rsidR="005933D5">
        <w:t>t</w:t>
      </w:r>
      <w:r w:rsidR="0032015C">
        <w:t>he</w:t>
      </w:r>
      <w:r w:rsidR="0032015C" w:rsidRPr="0032015C">
        <w:t xml:space="preserve"> </w:t>
      </w:r>
      <w:r w:rsidR="0032015C">
        <w:t>2014</w:t>
      </w:r>
      <w:r>
        <w:t xml:space="preserve"> </w:t>
      </w:r>
      <w:r w:rsidR="0032015C">
        <w:t xml:space="preserve">Ebola </w:t>
      </w:r>
      <w:r w:rsidR="0032015C" w:rsidRPr="00D63468">
        <w:t>epidemic</w:t>
      </w:r>
      <w:r w:rsidR="0032015C">
        <w:t xml:space="preserve"> in Sierra Leone health care workers</w:t>
      </w:r>
      <w:r w:rsidR="005933D5">
        <w:t xml:space="preserve"> (HCWs) </w:t>
      </w:r>
      <w:r w:rsidR="0032015C">
        <w:t>faced</w:t>
      </w:r>
      <w:r w:rsidR="005933D5">
        <w:t xml:space="preserve"> </w:t>
      </w:r>
      <w:r w:rsidR="00FA5E36">
        <w:t xml:space="preserve">many </w:t>
      </w:r>
      <w:r w:rsidR="005933D5">
        <w:t>challeng</w:t>
      </w:r>
      <w:r w:rsidR="00FA5E36">
        <w:t>es.</w:t>
      </w:r>
      <w:r w:rsidR="005933D5">
        <w:t xml:space="preserve"> </w:t>
      </w:r>
      <w:r w:rsidR="00A81F39">
        <w:t>W</w:t>
      </w:r>
      <w:r w:rsidR="0032015C">
        <w:t xml:space="preserve">orkload </w:t>
      </w:r>
      <w:r w:rsidR="00FA5E36">
        <w:t xml:space="preserve">and personal risk </w:t>
      </w:r>
      <w:r>
        <w:t>of HCWs</w:t>
      </w:r>
      <w:r w:rsidR="00FA5E36">
        <w:t xml:space="preserve"> </w:t>
      </w:r>
      <w:r w:rsidR="005933D5">
        <w:t>increased</w:t>
      </w:r>
      <w:r>
        <w:t xml:space="preserve"> but t</w:t>
      </w:r>
      <w:r w:rsidR="005933D5">
        <w:t>he</w:t>
      </w:r>
      <w:r>
        <w:t>ir</w:t>
      </w:r>
      <w:r w:rsidR="005933D5">
        <w:t xml:space="preserve"> experiences </w:t>
      </w:r>
      <w:r>
        <w:t xml:space="preserve">of these </w:t>
      </w:r>
      <w:r w:rsidR="00FA5E36">
        <w:t xml:space="preserve">has </w:t>
      </w:r>
      <w:r w:rsidR="005933D5">
        <w:t>not been well explored</w:t>
      </w:r>
      <w:r w:rsidR="00FA5E36">
        <w:t xml:space="preserve">. </w:t>
      </w:r>
      <w:r w:rsidR="00A86F1D">
        <w:t xml:space="preserve">HCWs </w:t>
      </w:r>
      <w:r w:rsidR="00FA5E36">
        <w:t>evaluat</w:t>
      </w:r>
      <w:r w:rsidR="00A86F1D">
        <w:t>ion of</w:t>
      </w:r>
      <w:r w:rsidR="00FA5E36">
        <w:t xml:space="preserve"> their </w:t>
      </w:r>
      <w:r w:rsidR="00D875D4">
        <w:t xml:space="preserve">quality of life and risk factors for developing </w:t>
      </w:r>
      <w:r w:rsidR="00FA5E36">
        <w:t>work</w:t>
      </w:r>
      <w:r w:rsidR="00060EB5">
        <w:t>-</w:t>
      </w:r>
      <w:r w:rsidR="00FA5E36">
        <w:t>based</w:t>
      </w:r>
      <w:r w:rsidR="00D875D4">
        <w:t xml:space="preserve"> stress </w:t>
      </w:r>
      <w:r w:rsidR="00FA5E36">
        <w:t xml:space="preserve">is important in helping to develop a strong and committed workforce </w:t>
      </w:r>
      <w:r>
        <w:t xml:space="preserve">in </w:t>
      </w:r>
      <w:r w:rsidR="00FA5E36">
        <w:t xml:space="preserve">a resilient health system. </w:t>
      </w:r>
    </w:p>
    <w:p w14:paraId="7E5BB9F2" w14:textId="77777777" w:rsidR="00EE2174" w:rsidRPr="00D63468" w:rsidRDefault="00EE2174" w:rsidP="00317681"/>
    <w:p w14:paraId="1A6D96A4" w14:textId="77777777" w:rsidR="00DE4B49" w:rsidRPr="00D63468" w:rsidRDefault="00DE4B49" w:rsidP="00317681">
      <w:pPr>
        <w:pStyle w:val="Heading3"/>
      </w:pPr>
      <w:r w:rsidRPr="00D63468">
        <w:t>Methods</w:t>
      </w:r>
    </w:p>
    <w:p w14:paraId="7938C0DB" w14:textId="211D805F" w:rsidR="00DE4B49" w:rsidRPr="00D63468" w:rsidRDefault="006D6656" w:rsidP="00317681">
      <w:r>
        <w:t>C</w:t>
      </w:r>
      <w:r w:rsidR="00D875D4">
        <w:t xml:space="preserve">ross sectional study using </w:t>
      </w:r>
      <w:r w:rsidR="00A72C0E">
        <w:t>WHOQOLBREF and Health and Safety Executive</w:t>
      </w:r>
      <w:r w:rsidR="00271375">
        <w:t xml:space="preserve"> (HSE)</w:t>
      </w:r>
      <w:r w:rsidR="00A72C0E">
        <w:t xml:space="preserve"> Standards</w:t>
      </w:r>
      <w:r w:rsidR="00907D2C">
        <w:t xml:space="preserve"> </w:t>
      </w:r>
      <w:r w:rsidR="00A72C0E">
        <w:t>Tool</w:t>
      </w:r>
      <w:r w:rsidR="00995620">
        <w:t>s</w:t>
      </w:r>
      <w:r w:rsidR="00A72C0E">
        <w:t xml:space="preserve"> </w:t>
      </w:r>
      <w:r w:rsidR="00BF6A65">
        <w:t xml:space="preserve">in </w:t>
      </w:r>
      <w:r w:rsidR="006D3261">
        <w:t xml:space="preserve">13 </w:t>
      </w:r>
      <w:r w:rsidR="00AA4F58">
        <w:t>Emergency Obstetric Care</w:t>
      </w:r>
      <w:r w:rsidR="00D875D4">
        <w:t xml:space="preserve"> facilities</w:t>
      </w:r>
      <w:r>
        <w:t xml:space="preserve"> </w:t>
      </w:r>
      <w:r w:rsidR="00072B2A">
        <w:t>to</w:t>
      </w:r>
      <w:r w:rsidR="00A03B29">
        <w:t xml:space="preserve">; </w:t>
      </w:r>
      <w:r w:rsidR="00072B2A">
        <w:t xml:space="preserve">1) </w:t>
      </w:r>
      <w:r w:rsidR="00995620">
        <w:t>understand</w:t>
      </w:r>
      <w:r w:rsidR="00072B2A">
        <w:t xml:space="preserve"> the perceptions of </w:t>
      </w:r>
      <w:r w:rsidR="00CB0FF9">
        <w:t>HCW</w:t>
      </w:r>
      <w:r w:rsidR="005774EA">
        <w:t>s</w:t>
      </w:r>
      <w:r w:rsidR="00CB0FF9">
        <w:t xml:space="preserve"> </w:t>
      </w:r>
      <w:r w:rsidR="00072B2A">
        <w:t xml:space="preserve">regarding workplace risk factors for developing stress, 2) </w:t>
      </w:r>
      <w:r w:rsidR="00995620">
        <w:t>evaluate</w:t>
      </w:r>
      <w:r w:rsidR="00072B2A">
        <w:t xml:space="preserve"> </w:t>
      </w:r>
      <w:r w:rsidR="00CB0FF9">
        <w:t>HCWs</w:t>
      </w:r>
      <w:r w:rsidR="005774EA">
        <w:t xml:space="preserve"> </w:t>
      </w:r>
      <w:r w:rsidR="00072B2A">
        <w:t>perceptions of quality of life</w:t>
      </w:r>
      <w:r w:rsidR="00FC2629">
        <w:t xml:space="preserve"> (QoL)</w:t>
      </w:r>
      <w:r w:rsidR="00072B2A">
        <w:t xml:space="preserve"> and links to risk factors for workplace stress, 3) </w:t>
      </w:r>
      <w:r w:rsidR="006E1D08">
        <w:t xml:space="preserve">assess </w:t>
      </w:r>
      <w:r w:rsidR="0019759F">
        <w:t xml:space="preserve">changes in </w:t>
      </w:r>
      <w:r w:rsidR="00F11F58">
        <w:t>QoL and risk factors for stress</w:t>
      </w:r>
      <w:r w:rsidR="0019759F">
        <w:t xml:space="preserve"> </w:t>
      </w:r>
      <w:r w:rsidR="00F11F58">
        <w:t>after</w:t>
      </w:r>
      <w:r w:rsidR="0019759F">
        <w:t xml:space="preserve"> </w:t>
      </w:r>
      <w:r w:rsidR="00072B2A">
        <w:t xml:space="preserve">a stress management programme. </w:t>
      </w:r>
    </w:p>
    <w:p w14:paraId="6FF6F9C6" w14:textId="77777777" w:rsidR="00EE2174" w:rsidRPr="00D63468" w:rsidRDefault="00EE2174" w:rsidP="00317681"/>
    <w:p w14:paraId="114B8301" w14:textId="77777777" w:rsidR="00DE4B49" w:rsidRPr="00D63468" w:rsidRDefault="00DE4B49" w:rsidP="00317681">
      <w:pPr>
        <w:pStyle w:val="Heading3"/>
      </w:pPr>
      <w:r w:rsidRPr="00D63468">
        <w:t>Results</w:t>
      </w:r>
    </w:p>
    <w:p w14:paraId="7D42EA02" w14:textId="7397FBF7" w:rsidR="00995620" w:rsidRPr="005774EA" w:rsidRDefault="00062E35" w:rsidP="00995620">
      <w:pPr>
        <w:pStyle w:val="CommentText"/>
        <w:rPr>
          <w:sz w:val="22"/>
          <w:szCs w:val="22"/>
        </w:rPr>
      </w:pPr>
      <w:r>
        <w:rPr>
          <w:sz w:val="22"/>
          <w:szCs w:val="22"/>
        </w:rPr>
        <w:t xml:space="preserve">222 completed the survey at baseline and 156 at follow-up. </w:t>
      </w:r>
      <w:r w:rsidR="00B16BE4" w:rsidRPr="00995620">
        <w:rPr>
          <w:sz w:val="22"/>
          <w:szCs w:val="22"/>
        </w:rPr>
        <w:t xml:space="preserve">At baseline </w:t>
      </w:r>
      <w:r w:rsidR="00FC2629">
        <w:rPr>
          <w:sz w:val="22"/>
          <w:szCs w:val="22"/>
        </w:rPr>
        <w:t xml:space="preserve">HCWs QoL </w:t>
      </w:r>
      <w:r w:rsidR="009E199B" w:rsidRPr="00995620">
        <w:rPr>
          <w:sz w:val="22"/>
          <w:szCs w:val="22"/>
        </w:rPr>
        <w:t>was below international standards in all</w:t>
      </w:r>
      <w:r w:rsidR="00CB0FF9">
        <w:rPr>
          <w:sz w:val="22"/>
          <w:szCs w:val="22"/>
        </w:rPr>
        <w:t xml:space="preserve"> </w:t>
      </w:r>
      <w:r w:rsidR="00CB0FF9" w:rsidRPr="005774EA">
        <w:rPr>
          <w:sz w:val="22"/>
          <w:szCs w:val="22"/>
        </w:rPr>
        <w:t>domains</w:t>
      </w:r>
      <w:r w:rsidR="0031641D" w:rsidRPr="005774EA">
        <w:rPr>
          <w:sz w:val="22"/>
          <w:szCs w:val="22"/>
        </w:rPr>
        <w:t>.</w:t>
      </w:r>
      <w:r w:rsidR="00B16BE4" w:rsidRPr="005774EA">
        <w:rPr>
          <w:sz w:val="22"/>
          <w:szCs w:val="22"/>
        </w:rPr>
        <w:t xml:space="preserve"> </w:t>
      </w:r>
      <w:r w:rsidR="00C50F5C" w:rsidRPr="005774EA">
        <w:rPr>
          <w:sz w:val="22"/>
          <w:szCs w:val="22"/>
        </w:rPr>
        <w:t>There was a significant decrease in score for physical health and psychological well-being (mean decrease (95% CI); 2.3 (0.5 – 4.1) and 2.3 (0.4 – 4.1)). Lower cadres had significant decreases in scores for physical health and social</w:t>
      </w:r>
      <w:r w:rsidR="00F122C5" w:rsidRPr="005774EA">
        <w:rPr>
          <w:sz w:val="22"/>
          <w:szCs w:val="22"/>
        </w:rPr>
        <w:t xml:space="preserve"> relationships</w:t>
      </w:r>
      <w:r w:rsidR="00D875D4" w:rsidRPr="005774EA">
        <w:rPr>
          <w:sz w:val="22"/>
          <w:szCs w:val="22"/>
        </w:rPr>
        <w:t xml:space="preserve"> </w:t>
      </w:r>
      <w:r w:rsidR="00C50F5C" w:rsidRPr="005774EA">
        <w:rPr>
          <w:sz w:val="22"/>
          <w:szCs w:val="22"/>
        </w:rPr>
        <w:t>(13.0 (3.6 - 22.4) and, 14.4 (2.6 - 26.2)).</w:t>
      </w:r>
      <w:r w:rsidR="00B16BE4" w:rsidRPr="005774EA">
        <w:rPr>
          <w:sz w:val="22"/>
          <w:szCs w:val="22"/>
        </w:rPr>
        <w:t xml:space="preserve"> </w:t>
      </w:r>
      <w:r w:rsidR="00271375">
        <w:rPr>
          <w:sz w:val="22"/>
          <w:szCs w:val="22"/>
        </w:rPr>
        <w:t>On HSE p</w:t>
      </w:r>
      <w:r w:rsidR="0031641D" w:rsidRPr="005774EA">
        <w:rPr>
          <w:sz w:val="22"/>
          <w:szCs w:val="22"/>
        </w:rPr>
        <w:t xml:space="preserve">eer-support and </w:t>
      </w:r>
      <w:r w:rsidR="00CB0FF9" w:rsidRPr="005774EA">
        <w:rPr>
          <w:sz w:val="22"/>
          <w:szCs w:val="22"/>
        </w:rPr>
        <w:t xml:space="preserve">role </w:t>
      </w:r>
      <w:r w:rsidR="0031641D" w:rsidRPr="005774EA">
        <w:rPr>
          <w:sz w:val="22"/>
          <w:szCs w:val="22"/>
        </w:rPr>
        <w:t xml:space="preserve">understanding scored highly (mean scores 4.0 and 3.7 on HSE), workplace demands were average or high-risk factors (mean score 3.0). There was a significant </w:t>
      </w:r>
      <w:r w:rsidR="00A81F39">
        <w:rPr>
          <w:sz w:val="22"/>
          <w:szCs w:val="22"/>
        </w:rPr>
        <w:t xml:space="preserve">score reduction in </w:t>
      </w:r>
      <w:r w:rsidR="0031641D" w:rsidRPr="005774EA">
        <w:rPr>
          <w:sz w:val="22"/>
          <w:szCs w:val="22"/>
        </w:rPr>
        <w:t>the domains relationships and understanding of role (mean score reduction (95% CI) 0.16 (0.01 – 0.31) and; 0.11 (0.01 – 0.21))</w:t>
      </w:r>
      <w:r w:rsidR="00FC2629">
        <w:rPr>
          <w:sz w:val="22"/>
          <w:szCs w:val="22"/>
        </w:rPr>
        <w:t>, particularly amongst l</w:t>
      </w:r>
      <w:r w:rsidR="0031641D" w:rsidRPr="005774EA">
        <w:rPr>
          <w:sz w:val="22"/>
          <w:szCs w:val="22"/>
        </w:rPr>
        <w:t>ower cadres (0.83 (0.3 - 1.4)</w:t>
      </w:r>
      <w:r w:rsidR="00271375">
        <w:rPr>
          <w:sz w:val="22"/>
          <w:szCs w:val="22"/>
        </w:rPr>
        <w:t xml:space="preserve">. </w:t>
      </w:r>
    </w:p>
    <w:p w14:paraId="44EEFA8B" w14:textId="77777777" w:rsidR="005774EA" w:rsidRPr="005774EA" w:rsidRDefault="005774EA" w:rsidP="005774EA"/>
    <w:p w14:paraId="681A3942" w14:textId="6DFF3647" w:rsidR="00DE4B49" w:rsidRPr="00D63468" w:rsidRDefault="00DE4B49" w:rsidP="00317681">
      <w:pPr>
        <w:pStyle w:val="Heading3"/>
      </w:pPr>
      <w:r w:rsidRPr="00D63468">
        <w:t>Conclusion</w:t>
      </w:r>
    </w:p>
    <w:p w14:paraId="1736A32C" w14:textId="53C27405" w:rsidR="00EE2174" w:rsidRPr="00D63468" w:rsidRDefault="00CB0FF9" w:rsidP="00317681">
      <w:r>
        <w:t>HCWs</w:t>
      </w:r>
      <w:r w:rsidR="005774EA">
        <w:t xml:space="preserve"> </w:t>
      </w:r>
      <w:r w:rsidR="00E93505">
        <w:t>in low</w:t>
      </w:r>
      <w:r w:rsidR="00060EB5">
        <w:t>-resourced</w:t>
      </w:r>
      <w:r w:rsidR="00E93505">
        <w:t xml:space="preserve"> settings </w:t>
      </w:r>
      <w:r w:rsidR="003A07F4">
        <w:t xml:space="preserve">may </w:t>
      </w:r>
      <w:r w:rsidR="005774EA">
        <w:t xml:space="preserve">have </w:t>
      </w:r>
      <w:r w:rsidR="00E93505">
        <w:t xml:space="preserve">increased risk factors for developing </w:t>
      </w:r>
      <w:r w:rsidR="00215FA5">
        <w:t>workplace</w:t>
      </w:r>
      <w:r w:rsidR="00E93505">
        <w:t xml:space="preserve"> stress with low quality of life </w:t>
      </w:r>
      <w:r w:rsidR="00550AE3">
        <w:t>indicators</w:t>
      </w:r>
      <w:r w:rsidR="00060EB5">
        <w:t>, further</w:t>
      </w:r>
      <w:r w:rsidR="005774EA">
        <w:t xml:space="preserve"> exploration</w:t>
      </w:r>
      <w:r w:rsidR="00D85684">
        <w:t xml:space="preserve"> </w:t>
      </w:r>
      <w:r w:rsidR="00060EB5">
        <w:t xml:space="preserve">of this is needed </w:t>
      </w:r>
      <w:r w:rsidR="00D85684">
        <w:t xml:space="preserve">to support staff </w:t>
      </w:r>
      <w:r w:rsidR="00A86F1D">
        <w:t xml:space="preserve">and </w:t>
      </w:r>
      <w:r w:rsidR="00060EB5">
        <w:t xml:space="preserve">develop </w:t>
      </w:r>
      <w:r w:rsidR="00A86F1D">
        <w:t xml:space="preserve">their </w:t>
      </w:r>
      <w:r w:rsidR="00D85684">
        <w:t xml:space="preserve"> </w:t>
      </w:r>
      <w:r w:rsidR="00794E18">
        <w:t>contribut</w:t>
      </w:r>
      <w:r w:rsidR="00A86F1D">
        <w:t>ion</w:t>
      </w:r>
      <w:r w:rsidR="00D85684">
        <w:t xml:space="preserve"> to the development of resilient health system</w:t>
      </w:r>
      <w:r w:rsidR="00A86F1D">
        <w:t>s</w:t>
      </w:r>
      <w:r w:rsidR="00D85684">
        <w:t xml:space="preserve">. </w:t>
      </w:r>
    </w:p>
    <w:p w14:paraId="11328EC7" w14:textId="77777777" w:rsidR="00794E18" w:rsidRDefault="00794E18" w:rsidP="00317681">
      <w:pPr>
        <w:rPr>
          <w:b/>
        </w:rPr>
      </w:pPr>
    </w:p>
    <w:p w14:paraId="11B2BA30" w14:textId="20ACCC70" w:rsidR="008C191D" w:rsidRPr="00D63468" w:rsidRDefault="008C191D" w:rsidP="00317681">
      <w:r w:rsidRPr="00F8719B">
        <w:rPr>
          <w:b/>
        </w:rPr>
        <w:t>Word Count</w:t>
      </w:r>
      <w:r w:rsidRPr="00D63468">
        <w:t>:</w:t>
      </w:r>
      <w:r w:rsidR="006774A9">
        <w:t xml:space="preserve"> </w:t>
      </w:r>
      <w:r w:rsidR="00220DC4">
        <w:t>300</w:t>
      </w:r>
    </w:p>
    <w:p w14:paraId="1D4F3AAE" w14:textId="77777777" w:rsidR="008C191D" w:rsidRPr="00D63468" w:rsidRDefault="008C191D" w:rsidP="00317681"/>
    <w:p w14:paraId="6355650A" w14:textId="01E3A858" w:rsidR="00FF3C52" w:rsidRPr="00D63468" w:rsidRDefault="00050660" w:rsidP="00317681">
      <w:r w:rsidRPr="00D63468">
        <w:rPr>
          <w:b/>
        </w:rPr>
        <w:t>Keywords:</w:t>
      </w:r>
      <w:r w:rsidR="00615AA3">
        <w:rPr>
          <w:b/>
        </w:rPr>
        <w:t xml:space="preserve"> </w:t>
      </w:r>
      <w:r w:rsidR="00615AA3" w:rsidRPr="004267A2">
        <w:t xml:space="preserve">healthcare </w:t>
      </w:r>
      <w:r w:rsidR="00DC566F">
        <w:t xml:space="preserve">systems, </w:t>
      </w:r>
      <w:r w:rsidR="006D3261">
        <w:t>workplace stress</w:t>
      </w:r>
      <w:r w:rsidR="00615AA3">
        <w:t xml:space="preserve">, quality of life, Ebola Virus </w:t>
      </w:r>
    </w:p>
    <w:p w14:paraId="3035EF07" w14:textId="77777777" w:rsidR="00B64B1B" w:rsidRPr="00D63468" w:rsidRDefault="00B64B1B" w:rsidP="00317681">
      <w:r w:rsidRPr="00D63468">
        <w:br w:type="page"/>
      </w:r>
    </w:p>
    <w:p w14:paraId="1F072E6C" w14:textId="2ED0E505" w:rsidR="00D45287" w:rsidRDefault="00D45287" w:rsidP="00317681">
      <w:pPr>
        <w:rPr>
          <w:b/>
          <w:sz w:val="36"/>
          <w:szCs w:val="36"/>
        </w:rPr>
      </w:pPr>
      <w:r>
        <w:rPr>
          <w:b/>
          <w:sz w:val="36"/>
          <w:szCs w:val="36"/>
        </w:rPr>
        <w:lastRenderedPageBreak/>
        <w:t>Article Summary</w:t>
      </w:r>
    </w:p>
    <w:p w14:paraId="4A0C11E7" w14:textId="66541BCE" w:rsidR="00BD6766" w:rsidRPr="00C51DC6" w:rsidRDefault="00BD6766" w:rsidP="00BD6766">
      <w:pPr>
        <w:rPr>
          <w:i/>
        </w:rPr>
      </w:pPr>
      <w:r w:rsidRPr="00C51DC6">
        <w:rPr>
          <w:i/>
        </w:rPr>
        <w:t>Strengths</w:t>
      </w:r>
    </w:p>
    <w:p w14:paraId="037E5633" w14:textId="4F3FDD03" w:rsidR="00695E70" w:rsidRDefault="00695E70" w:rsidP="00C51DC6">
      <w:pPr>
        <w:pStyle w:val="ListParagraph"/>
        <w:numPr>
          <w:ilvl w:val="0"/>
          <w:numId w:val="13"/>
        </w:numPr>
      </w:pPr>
      <w:r>
        <w:t xml:space="preserve">The </w:t>
      </w:r>
      <w:r w:rsidR="005C0FEE">
        <w:t>is the first study to explore</w:t>
      </w:r>
      <w:r>
        <w:t xml:space="preserve"> the problem of work-based stress</w:t>
      </w:r>
      <w:r w:rsidR="005C0FEE">
        <w:t xml:space="preserve"> and quality of life</w:t>
      </w:r>
      <w:r>
        <w:t xml:space="preserve"> </w:t>
      </w:r>
      <w:r w:rsidR="005C0FEE" w:rsidRPr="00D63468">
        <w:t>among healthcare</w:t>
      </w:r>
      <w:r w:rsidR="005C0FEE">
        <w:t xml:space="preserve"> providers</w:t>
      </w:r>
      <w:r w:rsidR="005C0FEE" w:rsidRPr="00D63468">
        <w:t xml:space="preserve"> providing </w:t>
      </w:r>
      <w:r w:rsidR="005C0FEE">
        <w:t xml:space="preserve">emergency obstetric care (EmOC) in Sierra Leone. </w:t>
      </w:r>
    </w:p>
    <w:p w14:paraId="777265C9" w14:textId="09824887" w:rsidR="005C0FEE" w:rsidRDefault="00695E70" w:rsidP="005C0FEE">
      <w:pPr>
        <w:pStyle w:val="ListParagraph"/>
        <w:numPr>
          <w:ilvl w:val="0"/>
          <w:numId w:val="13"/>
        </w:numPr>
      </w:pPr>
      <w:r>
        <w:t xml:space="preserve">Using </w:t>
      </w:r>
      <w:r w:rsidR="00C51DC6">
        <w:t xml:space="preserve">both the HSE questionnaire and the WHOQOLBREF allowed assessment of </w:t>
      </w:r>
      <w:r w:rsidR="005C0FEE">
        <w:t>workplace</w:t>
      </w:r>
      <w:r w:rsidR="00C51DC6">
        <w:t xml:space="preserve"> risk factors for stress on workers</w:t>
      </w:r>
      <w:r>
        <w:t xml:space="preserve"> </w:t>
      </w:r>
      <w:r w:rsidR="00B859A3">
        <w:t>demonstrating high levels of stress amongst workers, limited support and overall low quality of life.</w:t>
      </w:r>
      <w:r w:rsidR="005C0FEE" w:rsidRPr="005C0FEE">
        <w:t xml:space="preserve"> </w:t>
      </w:r>
      <w:r w:rsidR="005C0FEE">
        <w:t>Findings from the study were used by the Ministry of Health and Sanitation and included in an induction programme for health care workers on managing work based stress</w:t>
      </w:r>
    </w:p>
    <w:p w14:paraId="2F21DF4A" w14:textId="598F5908" w:rsidR="00C51DC6" w:rsidRDefault="00C51DC6" w:rsidP="00AD179C">
      <w:pPr>
        <w:pStyle w:val="ListParagraph"/>
      </w:pPr>
    </w:p>
    <w:p w14:paraId="0E283450" w14:textId="376BA2C7" w:rsidR="00C51DC6" w:rsidRDefault="00C51DC6" w:rsidP="00BD6766"/>
    <w:p w14:paraId="37506B3C" w14:textId="6E6C55E2" w:rsidR="00C51DC6" w:rsidRPr="00C51DC6" w:rsidRDefault="00C51DC6" w:rsidP="00BD6766">
      <w:pPr>
        <w:rPr>
          <w:i/>
        </w:rPr>
      </w:pPr>
      <w:r w:rsidRPr="00C51DC6">
        <w:rPr>
          <w:i/>
        </w:rPr>
        <w:t>Limitations</w:t>
      </w:r>
    </w:p>
    <w:p w14:paraId="5FC5E4C3" w14:textId="5CD27868" w:rsidR="00B22812" w:rsidRDefault="00BD6766" w:rsidP="00C51DC6">
      <w:pPr>
        <w:pStyle w:val="ListParagraph"/>
        <w:numPr>
          <w:ilvl w:val="0"/>
          <w:numId w:val="14"/>
        </w:numPr>
      </w:pPr>
      <w:r w:rsidRPr="00D63468">
        <w:t>The timing between baseline and follow</w:t>
      </w:r>
      <w:r>
        <w:t>-</w:t>
      </w:r>
      <w:r w:rsidRPr="00D63468">
        <w:t xml:space="preserve">up was only eight weeks and it </w:t>
      </w:r>
      <w:r>
        <w:t>would</w:t>
      </w:r>
      <w:r w:rsidRPr="00D63468">
        <w:t xml:space="preserve"> have been useful to extend the study to assess </w:t>
      </w:r>
      <w:r>
        <w:t xml:space="preserve">effectiveness of the programme for at least </w:t>
      </w:r>
      <w:r w:rsidRPr="00D63468">
        <w:t>six months</w:t>
      </w:r>
      <w:r w:rsidR="00B22812">
        <w:t>.</w:t>
      </w:r>
    </w:p>
    <w:p w14:paraId="11621303" w14:textId="339D7418" w:rsidR="006A1591" w:rsidRDefault="006A1591" w:rsidP="00C51DC6">
      <w:pPr>
        <w:pStyle w:val="ListParagraph"/>
        <w:numPr>
          <w:ilvl w:val="0"/>
          <w:numId w:val="14"/>
        </w:numPr>
      </w:pPr>
      <w:r>
        <w:t>The study was completed during the Ebola epidemic which may have altered stress levels of health care workers compared with the period prior to the epidemic. No studies are available of the levels of stress amongst health care workers prior to the epidemic.</w:t>
      </w:r>
    </w:p>
    <w:p w14:paraId="3A7B9403" w14:textId="746E9386" w:rsidR="0019759F" w:rsidRDefault="0019759F" w:rsidP="00C51DC6">
      <w:pPr>
        <w:pStyle w:val="ListParagraph"/>
        <w:numPr>
          <w:ilvl w:val="0"/>
          <w:numId w:val="14"/>
        </w:numPr>
      </w:pPr>
      <w:bookmarkStart w:id="2" w:name="_Hlk39671038"/>
      <w:r>
        <w:t>We did not assess any changes within the working environment from baseline to follow up as the Ebola epidemic progressed</w:t>
      </w:r>
      <w:r w:rsidR="003575E2">
        <w:t>, or take account of external factors,</w:t>
      </w:r>
      <w:r w:rsidR="0042794E">
        <w:t xml:space="preserve"> and this may have impacted on the final results</w:t>
      </w:r>
      <w:r>
        <w:t>.</w:t>
      </w:r>
      <w:r w:rsidR="002D5D00" w:rsidRPr="002D5D00">
        <w:t xml:space="preserve"> </w:t>
      </w:r>
      <w:r w:rsidR="002D5D00">
        <w:t>The authors acknowledge that when using multiple tests of statistical significance there is an increased risk of spurious statistically significant findings</w:t>
      </w:r>
    </w:p>
    <w:p w14:paraId="48AC0ACC" w14:textId="77777777" w:rsidR="002D5D00" w:rsidRDefault="002D5D00" w:rsidP="00DC7CCF">
      <w:pPr>
        <w:pStyle w:val="ListParagraph"/>
      </w:pPr>
    </w:p>
    <w:p w14:paraId="2E2BC55E" w14:textId="77777777" w:rsidR="00B22812" w:rsidRDefault="00B22812" w:rsidP="00317681">
      <w:pPr>
        <w:rPr>
          <w:b/>
          <w:sz w:val="36"/>
          <w:szCs w:val="36"/>
        </w:rPr>
      </w:pPr>
    </w:p>
    <w:bookmarkEnd w:id="2"/>
    <w:p w14:paraId="187C65A8" w14:textId="45E5FB82" w:rsidR="00B061AF" w:rsidRPr="00B061AF" w:rsidRDefault="00B061AF" w:rsidP="0091327C">
      <w:pPr>
        <w:rPr>
          <w:b/>
          <w:sz w:val="36"/>
          <w:szCs w:val="36"/>
        </w:rPr>
      </w:pPr>
      <w:r w:rsidRPr="00B061AF">
        <w:rPr>
          <w:b/>
          <w:sz w:val="36"/>
          <w:szCs w:val="36"/>
        </w:rPr>
        <w:t>Introduction</w:t>
      </w:r>
    </w:p>
    <w:p w14:paraId="6E49E619" w14:textId="7A774C89" w:rsidR="008E3346" w:rsidRDefault="005676F6" w:rsidP="00317681">
      <w:pPr>
        <w:rPr>
          <w:rFonts w:ascii="Calibri" w:hAnsi="Calibri" w:cs="Arial"/>
        </w:rPr>
      </w:pPr>
      <w:r w:rsidRPr="00C06928">
        <w:t xml:space="preserve">Prior to the EVD epidemic Sierra Leone </w:t>
      </w:r>
      <w:r w:rsidR="005B1195" w:rsidRPr="00C06928">
        <w:t xml:space="preserve">already </w:t>
      </w:r>
      <w:r w:rsidRPr="00C06928">
        <w:t>faced many challenges in providing health care due to a lack of resources and a shortage of qualified healthcare workers, with just</w:t>
      </w:r>
      <w:r w:rsidRPr="00C06928">
        <w:rPr>
          <w:rFonts w:ascii="Calibri" w:hAnsi="Calibri" w:cs="Arial"/>
        </w:rPr>
        <w:t xml:space="preserve"> 0.22 nurses/midwives and 1.66 medical doctors per 10,000 population compared to the WHO recommendation of 23 doctors</w:t>
      </w:r>
      <w:r w:rsidR="00E45554" w:rsidRPr="00C06928">
        <w:rPr>
          <w:rFonts w:ascii="Calibri" w:hAnsi="Calibri" w:cs="Arial"/>
        </w:rPr>
        <w:t xml:space="preserve"> and </w:t>
      </w:r>
      <w:r w:rsidRPr="00C06928">
        <w:rPr>
          <w:rFonts w:ascii="Calibri" w:hAnsi="Calibri" w:cs="Arial"/>
        </w:rPr>
        <w:t xml:space="preserve">nurses/midwives per 10,000 population </w:t>
      </w:r>
      <w:r w:rsidR="009F1D91" w:rsidRPr="00C06928">
        <w:rPr>
          <w:rFonts w:ascii="Calibri" w:hAnsi="Calibri" w:cs="Arial"/>
        </w:rPr>
        <w:t>[</w:t>
      </w:r>
      <w:r w:rsidR="00844938">
        <w:rPr>
          <w:rFonts w:ascii="Calibri" w:hAnsi="Calibri" w:cs="Arial"/>
        </w:rPr>
        <w:t>1</w:t>
      </w:r>
      <w:r w:rsidR="009F1D91" w:rsidRPr="00C06928">
        <w:rPr>
          <w:rFonts w:ascii="Calibri" w:hAnsi="Calibri" w:cs="Arial"/>
        </w:rPr>
        <w:t>]</w:t>
      </w:r>
      <w:r w:rsidRPr="00C06928">
        <w:rPr>
          <w:rFonts w:ascii="Calibri" w:hAnsi="Calibri" w:cs="Arial"/>
        </w:rPr>
        <w:t>.</w:t>
      </w:r>
      <w:r w:rsidR="00674D7E" w:rsidRPr="00C06928">
        <w:rPr>
          <w:rFonts w:ascii="Calibri" w:hAnsi="Calibri" w:cs="Arial"/>
        </w:rPr>
        <w:t xml:space="preserve"> </w:t>
      </w:r>
      <w:r w:rsidR="00C043ED">
        <w:rPr>
          <w:rFonts w:ascii="Calibri" w:hAnsi="Calibri" w:cs="Arial"/>
        </w:rPr>
        <w:t xml:space="preserve">The lack of adequately trained </w:t>
      </w:r>
      <w:r w:rsidR="008E3346">
        <w:rPr>
          <w:rFonts w:ascii="Calibri" w:hAnsi="Calibri" w:cs="Arial"/>
        </w:rPr>
        <w:t>professionals</w:t>
      </w:r>
      <w:r w:rsidR="00C043ED">
        <w:rPr>
          <w:rFonts w:ascii="Calibri" w:hAnsi="Calibri" w:cs="Arial"/>
        </w:rPr>
        <w:t xml:space="preserve"> </w:t>
      </w:r>
      <w:r w:rsidR="008E3346">
        <w:rPr>
          <w:rFonts w:ascii="Calibri" w:hAnsi="Calibri" w:cs="Arial"/>
        </w:rPr>
        <w:t>means that both nurses and doctors frequently find themselves working in isolation, with minimal peer support yet required to provide care to both chronically and acutely ill patients. In addition to the low numbers of nurses and doctors there is also a lack of senior staff with post basic, specialist training and experience</w:t>
      </w:r>
      <w:r w:rsidR="00DD041C">
        <w:rPr>
          <w:rFonts w:ascii="Calibri" w:hAnsi="Calibri" w:cs="Arial"/>
        </w:rPr>
        <w:t>,</w:t>
      </w:r>
      <w:r w:rsidR="008E3346">
        <w:rPr>
          <w:rFonts w:ascii="Calibri" w:hAnsi="Calibri" w:cs="Arial"/>
        </w:rPr>
        <w:t xml:space="preserve"> resulting in junior or inexperienced staff</w:t>
      </w:r>
      <w:r w:rsidR="00D06908">
        <w:rPr>
          <w:rFonts w:ascii="Calibri" w:hAnsi="Calibri" w:cs="Arial"/>
        </w:rPr>
        <w:t xml:space="preserve"> tak</w:t>
      </w:r>
      <w:r w:rsidR="00DD041C">
        <w:rPr>
          <w:rFonts w:ascii="Calibri" w:hAnsi="Calibri" w:cs="Arial"/>
        </w:rPr>
        <w:t>ing</w:t>
      </w:r>
      <w:r w:rsidR="00D06908">
        <w:rPr>
          <w:rFonts w:ascii="Calibri" w:hAnsi="Calibri" w:cs="Arial"/>
        </w:rPr>
        <w:t xml:space="preserve"> on additional clinical skills that they may not be trained </w:t>
      </w:r>
      <w:r w:rsidR="00D06908" w:rsidRPr="002358EE">
        <w:rPr>
          <w:rFonts w:ascii="Calibri" w:hAnsi="Calibri" w:cs="Arial"/>
        </w:rPr>
        <w:t xml:space="preserve">for </w:t>
      </w:r>
      <w:r w:rsidR="0019174B" w:rsidRPr="002358EE">
        <w:rPr>
          <w:rFonts w:ascii="Calibri" w:hAnsi="Calibri" w:cs="Arial"/>
        </w:rPr>
        <w:t>[</w:t>
      </w:r>
      <w:r w:rsidR="00844938" w:rsidRPr="002358EE">
        <w:rPr>
          <w:rFonts w:ascii="Calibri" w:hAnsi="Calibri" w:cs="Arial"/>
        </w:rPr>
        <w:t>2</w:t>
      </w:r>
      <w:r w:rsidR="0019174B" w:rsidRPr="002358EE">
        <w:rPr>
          <w:rFonts w:ascii="Calibri" w:hAnsi="Calibri" w:cs="Arial"/>
        </w:rPr>
        <w:t>]</w:t>
      </w:r>
      <w:r w:rsidR="008E3346" w:rsidRPr="002358EE">
        <w:rPr>
          <w:rFonts w:ascii="Calibri" w:hAnsi="Calibri" w:cs="Arial"/>
        </w:rPr>
        <w:t>.</w:t>
      </w:r>
      <w:r w:rsidR="008E3346">
        <w:rPr>
          <w:rFonts w:ascii="Calibri" w:hAnsi="Calibri" w:cs="Arial"/>
        </w:rPr>
        <w:t xml:space="preserve"> </w:t>
      </w:r>
      <w:r w:rsidR="00D06908">
        <w:rPr>
          <w:rFonts w:ascii="Calibri" w:hAnsi="Calibri" w:cs="Arial"/>
        </w:rPr>
        <w:t>Working conditions for all cadres of staff in all grades of facilities</w:t>
      </w:r>
      <w:r w:rsidR="00DD041C">
        <w:rPr>
          <w:rFonts w:ascii="Calibri" w:hAnsi="Calibri" w:cs="Arial"/>
        </w:rPr>
        <w:t>,</w:t>
      </w:r>
      <w:r w:rsidR="00D06908">
        <w:rPr>
          <w:rFonts w:ascii="Calibri" w:hAnsi="Calibri" w:cs="Arial"/>
        </w:rPr>
        <w:t xml:space="preserve"> from primary to tertiary care</w:t>
      </w:r>
      <w:r w:rsidR="00844938">
        <w:rPr>
          <w:rFonts w:ascii="Calibri" w:hAnsi="Calibri" w:cs="Arial"/>
        </w:rPr>
        <w:t>,</w:t>
      </w:r>
      <w:r w:rsidR="00D06908">
        <w:rPr>
          <w:rFonts w:ascii="Calibri" w:hAnsi="Calibri" w:cs="Arial"/>
        </w:rPr>
        <w:t xml:space="preserve"> </w:t>
      </w:r>
      <w:r w:rsidR="00995EFE">
        <w:rPr>
          <w:rFonts w:ascii="Calibri" w:hAnsi="Calibri" w:cs="Arial"/>
        </w:rPr>
        <w:t>are</w:t>
      </w:r>
      <w:r w:rsidR="00D06908">
        <w:rPr>
          <w:rFonts w:ascii="Calibri" w:hAnsi="Calibri" w:cs="Arial"/>
        </w:rPr>
        <w:t xml:space="preserve"> poor, with</w:t>
      </w:r>
      <w:r w:rsidR="00DD041C">
        <w:rPr>
          <w:rFonts w:ascii="Calibri" w:hAnsi="Calibri" w:cs="Arial"/>
        </w:rPr>
        <w:t>out a regular supply of electivity and/or</w:t>
      </w:r>
      <w:r w:rsidR="00D06908">
        <w:rPr>
          <w:rFonts w:ascii="Calibri" w:hAnsi="Calibri" w:cs="Arial"/>
        </w:rPr>
        <w:t xml:space="preserve"> running water, and a chronic shortage of medicines and clinical supplies. As a consequence of this staff </w:t>
      </w:r>
      <w:r w:rsidR="00995EFE">
        <w:rPr>
          <w:rFonts w:ascii="Calibri" w:hAnsi="Calibri" w:cs="Arial"/>
        </w:rPr>
        <w:t>are</w:t>
      </w:r>
      <w:r w:rsidR="00D06908">
        <w:rPr>
          <w:rFonts w:ascii="Calibri" w:hAnsi="Calibri" w:cs="Arial"/>
        </w:rPr>
        <w:t xml:space="preserve"> unable to provide the optimum, and sometimes even the most basic, level of patient care.</w:t>
      </w:r>
    </w:p>
    <w:p w14:paraId="113EA7A5" w14:textId="2BB22E5F" w:rsidR="00DD041C" w:rsidRDefault="00DD041C" w:rsidP="00317681">
      <w:pPr>
        <w:rPr>
          <w:rFonts w:ascii="Calibri" w:hAnsi="Calibri" w:cs="Arial"/>
        </w:rPr>
      </w:pPr>
    </w:p>
    <w:p w14:paraId="3DE349F2" w14:textId="4AB0545F" w:rsidR="00844938" w:rsidRDefault="00DD041C" w:rsidP="00DD041C">
      <w:r w:rsidRPr="00C06928">
        <w:t>The scale of the 2014-2015 Ebola virus disease (EVD) epidemic across West Africa was unprecedented with a total of 27,049 cases and 11,149 deaths across the three countries worst affected (Sierra Leone, Guinea and Liberia) [</w:t>
      </w:r>
      <w:r w:rsidR="00844938">
        <w:t>3</w:t>
      </w:r>
      <w:r w:rsidRPr="00C06928">
        <w:t xml:space="preserve">]. Sierra Leone reported 8704 confirmed cases and 3589 deaths. Healthcare workers in Sierra Leone were severely affected with a 74% case fatality rate amongst healthcare workers who contracted EVD (296 cases, 221 deaths) compared to an overall case fatality rate of 41% in the general population. </w:t>
      </w:r>
    </w:p>
    <w:p w14:paraId="2CAD69B2" w14:textId="77777777" w:rsidR="00907D2C" w:rsidRPr="00C06928" w:rsidRDefault="00907D2C" w:rsidP="00DD041C"/>
    <w:p w14:paraId="57AAC760" w14:textId="138306C6" w:rsidR="00072B2A" w:rsidRPr="00995620" w:rsidRDefault="00674D7E" w:rsidP="00AD179C">
      <w:pPr>
        <w:pStyle w:val="CommentText"/>
        <w:rPr>
          <w:rFonts w:cs="Arial"/>
        </w:rPr>
      </w:pPr>
      <w:r w:rsidRPr="00995620">
        <w:rPr>
          <w:rFonts w:ascii="Calibri" w:hAnsi="Calibri" w:cs="Arial"/>
          <w:sz w:val="22"/>
          <w:szCs w:val="22"/>
        </w:rPr>
        <w:t>The continuing fragile state of the Sierra Leone</w:t>
      </w:r>
      <w:r w:rsidR="005B1195" w:rsidRPr="00995620">
        <w:rPr>
          <w:rFonts w:ascii="Calibri" w:hAnsi="Calibri" w:cs="Arial"/>
          <w:sz w:val="22"/>
          <w:szCs w:val="22"/>
        </w:rPr>
        <w:t>an</w:t>
      </w:r>
      <w:r w:rsidRPr="00995620">
        <w:rPr>
          <w:rFonts w:ascii="Calibri" w:hAnsi="Calibri" w:cs="Arial"/>
          <w:sz w:val="22"/>
          <w:szCs w:val="22"/>
        </w:rPr>
        <w:t xml:space="preserve"> health system </w:t>
      </w:r>
      <w:r w:rsidR="00BA0234" w:rsidRPr="00995620">
        <w:rPr>
          <w:rFonts w:ascii="Calibri" w:hAnsi="Calibri" w:cs="Arial"/>
          <w:sz w:val="22"/>
          <w:szCs w:val="22"/>
        </w:rPr>
        <w:t>following</w:t>
      </w:r>
      <w:r w:rsidRPr="00995620">
        <w:rPr>
          <w:rFonts w:ascii="Calibri" w:hAnsi="Calibri" w:cs="Arial"/>
          <w:sz w:val="22"/>
          <w:szCs w:val="22"/>
        </w:rPr>
        <w:t xml:space="preserve"> the end of the civil war meant that the country was ill</w:t>
      </w:r>
      <w:r w:rsidR="00BA0234" w:rsidRPr="00995620">
        <w:rPr>
          <w:rFonts w:ascii="Calibri" w:hAnsi="Calibri" w:cs="Arial"/>
          <w:sz w:val="22"/>
          <w:szCs w:val="22"/>
        </w:rPr>
        <w:t>-</w:t>
      </w:r>
      <w:r w:rsidRPr="00995620">
        <w:rPr>
          <w:rFonts w:ascii="Calibri" w:hAnsi="Calibri" w:cs="Arial"/>
          <w:sz w:val="22"/>
          <w:szCs w:val="22"/>
        </w:rPr>
        <w:t xml:space="preserve">prepared to manage </w:t>
      </w:r>
      <w:r w:rsidR="00DD041C" w:rsidRPr="00995620">
        <w:rPr>
          <w:rFonts w:ascii="Calibri" w:hAnsi="Calibri" w:cs="Arial"/>
          <w:sz w:val="22"/>
          <w:szCs w:val="22"/>
        </w:rPr>
        <w:t>such a large scale</w:t>
      </w:r>
      <w:r w:rsidR="00AA3C12" w:rsidRPr="00995620">
        <w:rPr>
          <w:rFonts w:ascii="Calibri" w:hAnsi="Calibri" w:cs="Arial"/>
          <w:sz w:val="22"/>
          <w:szCs w:val="22"/>
        </w:rPr>
        <w:t xml:space="preserve"> </w:t>
      </w:r>
      <w:r w:rsidR="00DD041C" w:rsidRPr="00995620">
        <w:rPr>
          <w:rFonts w:ascii="Calibri" w:hAnsi="Calibri" w:cs="Arial"/>
          <w:sz w:val="22"/>
          <w:szCs w:val="22"/>
        </w:rPr>
        <w:t>health emergency</w:t>
      </w:r>
      <w:r w:rsidRPr="00995620">
        <w:rPr>
          <w:rFonts w:ascii="Calibri" w:hAnsi="Calibri" w:cs="Arial"/>
          <w:sz w:val="22"/>
          <w:szCs w:val="22"/>
        </w:rPr>
        <w:t xml:space="preserve"> </w:t>
      </w:r>
      <w:r w:rsidR="009F1D91" w:rsidRPr="00995620">
        <w:rPr>
          <w:rFonts w:ascii="Calibri" w:hAnsi="Calibri" w:cs="Arial"/>
          <w:sz w:val="22"/>
          <w:szCs w:val="22"/>
        </w:rPr>
        <w:t>[</w:t>
      </w:r>
      <w:r w:rsidR="00A269E8" w:rsidRPr="00995620">
        <w:rPr>
          <w:rFonts w:ascii="Calibri" w:hAnsi="Calibri" w:cs="Arial"/>
          <w:sz w:val="22"/>
          <w:szCs w:val="22"/>
        </w:rPr>
        <w:t>4</w:t>
      </w:r>
      <w:r w:rsidR="009F1D91" w:rsidRPr="00995620">
        <w:rPr>
          <w:rFonts w:ascii="Calibri" w:hAnsi="Calibri" w:cs="Arial"/>
          <w:sz w:val="22"/>
          <w:szCs w:val="22"/>
        </w:rPr>
        <w:t>]</w:t>
      </w:r>
      <w:r w:rsidRPr="00995620">
        <w:rPr>
          <w:rFonts w:ascii="Calibri" w:hAnsi="Calibri" w:cs="Arial"/>
          <w:sz w:val="22"/>
          <w:szCs w:val="22"/>
        </w:rPr>
        <w:t xml:space="preserve">. </w:t>
      </w:r>
      <w:r w:rsidR="005676F6" w:rsidRPr="00995620">
        <w:rPr>
          <w:rFonts w:ascii="Calibri" w:hAnsi="Calibri" w:cs="Arial"/>
          <w:sz w:val="22"/>
          <w:szCs w:val="22"/>
        </w:rPr>
        <w:t xml:space="preserve">During </w:t>
      </w:r>
      <w:r w:rsidR="005676F6" w:rsidRPr="00995620">
        <w:rPr>
          <w:rFonts w:ascii="Calibri" w:hAnsi="Calibri" w:cs="Arial"/>
          <w:sz w:val="22"/>
          <w:szCs w:val="22"/>
        </w:rPr>
        <w:lastRenderedPageBreak/>
        <w:t xml:space="preserve">the epidemic healthcare workers </w:t>
      </w:r>
      <w:r w:rsidR="00B64B1B" w:rsidRPr="00995620">
        <w:rPr>
          <w:rFonts w:ascii="Calibri" w:hAnsi="Calibri" w:cs="Arial"/>
          <w:sz w:val="22"/>
          <w:szCs w:val="22"/>
        </w:rPr>
        <w:t xml:space="preserve">experienced </w:t>
      </w:r>
      <w:r w:rsidR="000C4CE1" w:rsidRPr="00995620">
        <w:rPr>
          <w:rFonts w:ascii="Calibri" w:hAnsi="Calibri" w:cs="Arial"/>
          <w:sz w:val="22"/>
          <w:szCs w:val="22"/>
        </w:rPr>
        <w:t>several</w:t>
      </w:r>
      <w:r w:rsidR="00B64B1B" w:rsidRPr="00995620">
        <w:rPr>
          <w:rFonts w:ascii="Calibri" w:hAnsi="Calibri" w:cs="Arial"/>
          <w:sz w:val="22"/>
          <w:szCs w:val="22"/>
        </w:rPr>
        <w:t xml:space="preserve"> additional challenges</w:t>
      </w:r>
      <w:r w:rsidR="00ED612F" w:rsidRPr="00995620">
        <w:rPr>
          <w:rFonts w:ascii="Calibri" w:hAnsi="Calibri" w:cs="Arial"/>
          <w:sz w:val="22"/>
          <w:szCs w:val="22"/>
        </w:rPr>
        <w:t xml:space="preserve"> to those faced in their normal working life. These</w:t>
      </w:r>
      <w:r w:rsidR="00B64B1B" w:rsidRPr="00995620">
        <w:rPr>
          <w:rFonts w:ascii="Calibri" w:hAnsi="Calibri" w:cs="Arial"/>
          <w:sz w:val="22"/>
          <w:szCs w:val="22"/>
        </w:rPr>
        <w:t xml:space="preserve"> includ</w:t>
      </w:r>
      <w:r w:rsidR="00ED612F" w:rsidRPr="00995620">
        <w:rPr>
          <w:rFonts w:ascii="Calibri" w:hAnsi="Calibri" w:cs="Arial"/>
          <w:sz w:val="22"/>
          <w:szCs w:val="22"/>
        </w:rPr>
        <w:t>ed an</w:t>
      </w:r>
      <w:r w:rsidR="00B64B1B" w:rsidRPr="00995620">
        <w:rPr>
          <w:rFonts w:ascii="Calibri" w:hAnsi="Calibri" w:cs="Arial"/>
          <w:sz w:val="22"/>
          <w:szCs w:val="22"/>
        </w:rPr>
        <w:t xml:space="preserve"> </w:t>
      </w:r>
      <w:r w:rsidR="005676F6" w:rsidRPr="00995620">
        <w:rPr>
          <w:rFonts w:ascii="Calibri" w:hAnsi="Calibri" w:cs="Arial"/>
          <w:sz w:val="22"/>
          <w:szCs w:val="22"/>
        </w:rPr>
        <w:t xml:space="preserve">increased risk to their own health, </w:t>
      </w:r>
      <w:r w:rsidR="00FF4308" w:rsidRPr="00995620">
        <w:rPr>
          <w:rFonts w:ascii="Calibri" w:hAnsi="Calibri" w:cs="Arial"/>
          <w:sz w:val="22"/>
          <w:szCs w:val="22"/>
        </w:rPr>
        <w:t>concerns for the safet</w:t>
      </w:r>
      <w:r w:rsidR="005676F6" w:rsidRPr="00995620">
        <w:rPr>
          <w:rFonts w:ascii="Calibri" w:hAnsi="Calibri" w:cs="Arial"/>
          <w:sz w:val="22"/>
          <w:szCs w:val="22"/>
        </w:rPr>
        <w:t xml:space="preserve">y of their families and community, </w:t>
      </w:r>
      <w:r w:rsidR="00FF4308" w:rsidRPr="00995620">
        <w:rPr>
          <w:rFonts w:ascii="Calibri" w:hAnsi="Calibri" w:cs="Arial"/>
          <w:sz w:val="22"/>
          <w:szCs w:val="22"/>
        </w:rPr>
        <w:t>loss</w:t>
      </w:r>
      <w:r w:rsidR="005676F6" w:rsidRPr="00995620">
        <w:rPr>
          <w:rFonts w:ascii="Calibri" w:hAnsi="Calibri" w:cs="Arial"/>
          <w:sz w:val="22"/>
          <w:szCs w:val="22"/>
        </w:rPr>
        <w:t xml:space="preserve"> of colleagues and</w:t>
      </w:r>
      <w:r w:rsidR="00B64B1B" w:rsidRPr="00995620">
        <w:rPr>
          <w:rFonts w:ascii="Calibri" w:hAnsi="Calibri" w:cs="Arial"/>
          <w:sz w:val="22"/>
          <w:szCs w:val="22"/>
        </w:rPr>
        <w:t xml:space="preserve"> a further</w:t>
      </w:r>
      <w:r w:rsidR="005B1195" w:rsidRPr="00995620">
        <w:rPr>
          <w:rFonts w:ascii="Calibri" w:hAnsi="Calibri" w:cs="Arial"/>
          <w:sz w:val="22"/>
          <w:szCs w:val="22"/>
        </w:rPr>
        <w:t xml:space="preserve"> increased work</w:t>
      </w:r>
      <w:r w:rsidR="005676F6" w:rsidRPr="00995620">
        <w:rPr>
          <w:rFonts w:ascii="Calibri" w:hAnsi="Calibri" w:cs="Arial"/>
          <w:sz w:val="22"/>
          <w:szCs w:val="22"/>
        </w:rPr>
        <w:t>load</w:t>
      </w:r>
      <w:r w:rsidR="00072B2A" w:rsidRPr="00995620">
        <w:rPr>
          <w:rFonts w:ascii="Calibri" w:hAnsi="Calibri" w:cs="Arial"/>
          <w:sz w:val="22"/>
          <w:szCs w:val="22"/>
        </w:rPr>
        <w:t xml:space="preserve"> </w:t>
      </w:r>
      <w:r w:rsidR="00207C66" w:rsidRPr="00995620">
        <w:rPr>
          <w:rFonts w:cs="Arial"/>
          <w:sz w:val="22"/>
          <w:szCs w:val="22"/>
        </w:rPr>
        <w:t>[5]</w:t>
      </w:r>
      <w:r w:rsidR="00072B2A" w:rsidRPr="00995620">
        <w:rPr>
          <w:rFonts w:cs="Arial"/>
          <w:sz w:val="22"/>
          <w:szCs w:val="22"/>
        </w:rPr>
        <w:t>.</w:t>
      </w:r>
      <w:r w:rsidR="00F07333" w:rsidRPr="00995620">
        <w:rPr>
          <w:rFonts w:ascii="Calibri" w:hAnsi="Calibri" w:cs="Arial"/>
          <w:sz w:val="22"/>
          <w:szCs w:val="22"/>
        </w:rPr>
        <w:t xml:space="preserve"> All of these are likely to</w:t>
      </w:r>
      <w:r w:rsidR="00E2540F" w:rsidRPr="00995620">
        <w:rPr>
          <w:rFonts w:ascii="Calibri" w:hAnsi="Calibri" w:cs="Arial"/>
          <w:sz w:val="22"/>
          <w:szCs w:val="22"/>
        </w:rPr>
        <w:t xml:space="preserve"> have contributed to increasing levels of </w:t>
      </w:r>
      <w:r w:rsidR="00B32B57" w:rsidRPr="00995620">
        <w:rPr>
          <w:rFonts w:ascii="Calibri" w:hAnsi="Calibri" w:cs="Arial"/>
          <w:sz w:val="22"/>
          <w:szCs w:val="22"/>
        </w:rPr>
        <w:t xml:space="preserve">workplace </w:t>
      </w:r>
      <w:r w:rsidR="00E2540F" w:rsidRPr="00995620">
        <w:rPr>
          <w:rFonts w:ascii="Calibri" w:hAnsi="Calibri" w:cs="Arial"/>
          <w:sz w:val="22"/>
          <w:szCs w:val="22"/>
        </w:rPr>
        <w:t>stress</w:t>
      </w:r>
      <w:r w:rsidR="00FF4308" w:rsidRPr="00995620">
        <w:rPr>
          <w:rFonts w:ascii="Calibri" w:hAnsi="Calibri" w:cs="Arial"/>
          <w:sz w:val="22"/>
          <w:szCs w:val="22"/>
        </w:rPr>
        <w:t>.</w:t>
      </w:r>
      <w:r w:rsidR="00FF4308" w:rsidRPr="00D63468">
        <w:rPr>
          <w:rFonts w:ascii="Calibri" w:hAnsi="Calibri" w:cs="Arial"/>
        </w:rPr>
        <w:t xml:space="preserve"> </w:t>
      </w:r>
      <w:r w:rsidR="00995620" w:rsidRPr="00995620">
        <w:rPr>
          <w:sz w:val="22"/>
          <w:szCs w:val="22"/>
        </w:rPr>
        <w:t>When caring for highly infectious Ebola patients, there is evidence to show that staff are able to cope better if there are adequate resources and training.</w:t>
      </w:r>
      <w:r w:rsidR="00995620">
        <w:rPr>
          <w:sz w:val="22"/>
          <w:szCs w:val="22"/>
        </w:rPr>
        <w:t xml:space="preserve"> </w:t>
      </w:r>
      <w:r w:rsidR="00207C66" w:rsidRPr="00995620">
        <w:rPr>
          <w:rFonts w:cs="Arial"/>
          <w:sz w:val="22"/>
          <w:szCs w:val="22"/>
        </w:rPr>
        <w:t>[6, 7]</w:t>
      </w:r>
      <w:r w:rsidR="00072B2A" w:rsidRPr="00995620">
        <w:rPr>
          <w:rFonts w:cs="Arial"/>
          <w:sz w:val="22"/>
          <w:szCs w:val="22"/>
        </w:rPr>
        <w:t xml:space="preserve">. </w:t>
      </w:r>
      <w:bookmarkStart w:id="3" w:name="_Hlk47174721"/>
      <w:r w:rsidR="004F46E9">
        <w:rPr>
          <w:rFonts w:cs="Arial"/>
          <w:sz w:val="22"/>
          <w:szCs w:val="22"/>
        </w:rPr>
        <w:t>However, i</w:t>
      </w:r>
      <w:r w:rsidR="00072B2A" w:rsidRPr="00995620">
        <w:rPr>
          <w:rFonts w:cs="Arial"/>
          <w:sz w:val="22"/>
          <w:szCs w:val="22"/>
        </w:rPr>
        <w:t>n</w:t>
      </w:r>
      <w:r w:rsidR="004F46E9">
        <w:rPr>
          <w:rFonts w:cs="Arial"/>
          <w:sz w:val="22"/>
          <w:szCs w:val="22"/>
        </w:rPr>
        <w:t xml:space="preserve"> a low resourced setting</w:t>
      </w:r>
      <w:r w:rsidR="00072B2A" w:rsidRPr="00995620">
        <w:rPr>
          <w:rFonts w:cs="Arial"/>
          <w:sz w:val="22"/>
          <w:szCs w:val="22"/>
        </w:rPr>
        <w:t xml:space="preserve"> </w:t>
      </w:r>
      <w:r w:rsidR="00513AED">
        <w:rPr>
          <w:rFonts w:cs="Arial"/>
          <w:sz w:val="22"/>
          <w:szCs w:val="22"/>
        </w:rPr>
        <w:t>adequate levels of training and resources may not be available</w:t>
      </w:r>
      <w:r w:rsidR="00072B2A" w:rsidRPr="00995620">
        <w:rPr>
          <w:rFonts w:cs="Arial"/>
          <w:sz w:val="22"/>
          <w:szCs w:val="22"/>
        </w:rPr>
        <w:t>.</w:t>
      </w:r>
      <w:bookmarkEnd w:id="3"/>
    </w:p>
    <w:p w14:paraId="0DFE4EF4" w14:textId="350DF05B" w:rsidR="00A04C81" w:rsidRDefault="00A04C81" w:rsidP="00317681">
      <w:pPr>
        <w:rPr>
          <w:rFonts w:ascii="Calibri" w:hAnsi="Calibri" w:cs="Arial"/>
        </w:rPr>
      </w:pPr>
    </w:p>
    <w:p w14:paraId="178D0483" w14:textId="449D037E" w:rsidR="00B8337C" w:rsidRDefault="00ED612F" w:rsidP="00B8337C">
      <w:r>
        <w:t>Stress has been defined as a state in which individuals are unable to bridge the gap between what is expected and required of them and what they can achieve [</w:t>
      </w:r>
      <w:r w:rsidR="00140F2D">
        <w:t>8</w:t>
      </w:r>
      <w:r>
        <w:t>]. However, prolonged stress can lead to reduced effectiveness at work and even cause ill-health [</w:t>
      </w:r>
      <w:r w:rsidR="00140F2D">
        <w:t>8</w:t>
      </w:r>
      <w:r>
        <w:t xml:space="preserve">]. </w:t>
      </w:r>
      <w:r w:rsidR="00B8337C">
        <w:t>T</w:t>
      </w:r>
      <w:r w:rsidR="00B8337C" w:rsidRPr="00C06928">
        <w:t>he Job-Demand Resources (JD-R) model describes work-related stress as being the result of the inability to meet demands placed on an individual within the context of their work role [</w:t>
      </w:r>
      <w:r w:rsidR="00FC00BB">
        <w:t>9</w:t>
      </w:r>
      <w:r w:rsidR="00B8337C">
        <w:t>, 1</w:t>
      </w:r>
      <w:r w:rsidR="00FC00BB">
        <w:t>0</w:t>
      </w:r>
      <w:r w:rsidR="00B8337C" w:rsidRPr="00C06928">
        <w:t xml:space="preserve">]. Demands such as the overall workload and the time set for completing this combined with the degree of control over the working day are determinants of job-related anxiety, psychological strain, ill health and burnout </w:t>
      </w:r>
      <w:r w:rsidR="00B8337C" w:rsidRPr="00A269E8">
        <w:t>[</w:t>
      </w:r>
      <w:r w:rsidR="00FC00BB">
        <w:t>9</w:t>
      </w:r>
      <w:r w:rsidR="00B8337C">
        <w:t>, 1</w:t>
      </w:r>
      <w:r w:rsidR="00FC00BB">
        <w:t>0</w:t>
      </w:r>
      <w:r w:rsidR="00B8337C" w:rsidRPr="00A269E8">
        <w:t>].</w:t>
      </w:r>
      <w:r w:rsidR="00B8337C" w:rsidRPr="00C06928">
        <w:t xml:space="preserve"> In the JD-R model, “demands” encompass all those physical and/or psychological aspects of the job which require effort on the part of the worker. Alternative theories of workplace stress consider the ‘’effort and reward imbalance’’ (ERI) rather than the demands and control [</w:t>
      </w:r>
      <w:r w:rsidR="00B8337C">
        <w:t>8</w:t>
      </w:r>
      <w:r w:rsidR="00B8337C" w:rsidRPr="00C06928">
        <w:t>]. The ERI model assumes that where there is an imbalance between effort (work demands and intrinsic motivation) and reward (salary, job security, career opportunities) then job strain will occur. This strain can then lead on to ill health and burnout [</w:t>
      </w:r>
      <w:r w:rsidR="00B8337C">
        <w:t>1</w:t>
      </w:r>
      <w:r w:rsidR="00FC00BB">
        <w:t>1</w:t>
      </w:r>
      <w:r w:rsidR="00B8337C" w:rsidRPr="00C06928">
        <w:t>].</w:t>
      </w:r>
    </w:p>
    <w:p w14:paraId="11725052" w14:textId="77777777" w:rsidR="00B8337C" w:rsidRPr="00C06928" w:rsidRDefault="00B8337C" w:rsidP="00B8337C"/>
    <w:p w14:paraId="29F7FD1D" w14:textId="30BC2C7C" w:rsidR="00ED612F" w:rsidRPr="00C06928" w:rsidRDefault="00ED612F" w:rsidP="00ED612F">
      <w:r>
        <w:t xml:space="preserve">Finding ways to help workers to better cope with stressful environments has led some researchers to look at the role of resilience within </w:t>
      </w:r>
      <w:r w:rsidR="00215FA5">
        <w:t>workplace</w:t>
      </w:r>
      <w:r>
        <w:t xml:space="preserve">. </w:t>
      </w:r>
      <w:r w:rsidRPr="00C06928">
        <w:t xml:space="preserve">Resilience has been defined as ‘the ability to adapt to </w:t>
      </w:r>
      <w:r w:rsidRPr="002358EE">
        <w:t>adversity’, [</w:t>
      </w:r>
      <w:r w:rsidR="00FC00BB">
        <w:t>12</w:t>
      </w:r>
      <w:r w:rsidRPr="00C06928">
        <w:t>] or the ‘ability to rebound or ‘bounce back’ from adversity’</w:t>
      </w:r>
      <w:r w:rsidRPr="002358EE">
        <w:rPr>
          <w:color w:val="C00000"/>
        </w:rPr>
        <w:t xml:space="preserve"> </w:t>
      </w:r>
      <w:r w:rsidRPr="002358EE">
        <w:t>[</w:t>
      </w:r>
      <w:r w:rsidR="00440962" w:rsidRPr="002358EE">
        <w:t>1</w:t>
      </w:r>
      <w:r w:rsidR="00FC00BB">
        <w:t>3</w:t>
      </w:r>
      <w:r w:rsidRPr="002358EE">
        <w:t xml:space="preserve">]. </w:t>
      </w:r>
      <w:r w:rsidRPr="00C06928">
        <w:t xml:space="preserve">Early work on </w:t>
      </w:r>
      <w:r w:rsidR="00F0696C">
        <w:t xml:space="preserve">work-based </w:t>
      </w:r>
      <w:r w:rsidRPr="00C06928">
        <w:t xml:space="preserve">resilience focused on individual resilience (especially with regard to vulnerable children), community and family resilience. More recent research has considered how both employees and organisations themselves can impact on resilience. Resilience is seen as a positive organisational factor which can help individuals and organisations (especially healthcare organisations) reduce absenteeism, improve well-being of healthcare workers and patient </w:t>
      </w:r>
      <w:r w:rsidRPr="002358EE">
        <w:t>care [1</w:t>
      </w:r>
      <w:r w:rsidR="00FC00BB">
        <w:t>4</w:t>
      </w:r>
      <w:r w:rsidRPr="002358EE">
        <w:t>]</w:t>
      </w:r>
      <w:r w:rsidR="00F0696C" w:rsidRPr="002358EE">
        <w:t>.</w:t>
      </w:r>
      <w:r w:rsidRPr="00C06928">
        <w:t xml:space="preserve"> Predictors of resilience include adaptability, psychological attributes, finding meaning in adversity, having a positive identity, positive coping skills, social support and spiritual connection [1</w:t>
      </w:r>
      <w:r w:rsidR="00F94739">
        <w:t>5</w:t>
      </w:r>
      <w:r w:rsidRPr="00C06928">
        <w:t xml:space="preserve">]. </w:t>
      </w:r>
      <w:r w:rsidR="00F0696C">
        <w:t xml:space="preserve">A lack of resilience in the </w:t>
      </w:r>
      <w:r w:rsidR="00215FA5">
        <w:t>workplace</w:t>
      </w:r>
      <w:r w:rsidR="00F0696C">
        <w:t xml:space="preserve"> and increased work-based stress levels may also impact on overall quality of life negatively impacting not just on the individual but the wider family group</w:t>
      </w:r>
      <w:r w:rsidR="00513AED">
        <w:t xml:space="preserve"> and community</w:t>
      </w:r>
      <w:r w:rsidR="0048462F">
        <w:t xml:space="preserve"> [1</w:t>
      </w:r>
      <w:r w:rsidR="00F94739">
        <w:t>5</w:t>
      </w:r>
      <w:r w:rsidR="0048462F">
        <w:t>]</w:t>
      </w:r>
      <w:r w:rsidR="00F0696C">
        <w:t>.</w:t>
      </w:r>
    </w:p>
    <w:p w14:paraId="6A5646E1" w14:textId="77777777" w:rsidR="00ED612F" w:rsidRPr="00D63468" w:rsidRDefault="00ED612F" w:rsidP="00317681">
      <w:pPr>
        <w:rPr>
          <w:rFonts w:ascii="Calibri" w:hAnsi="Calibri" w:cs="Arial"/>
        </w:rPr>
      </w:pPr>
    </w:p>
    <w:p w14:paraId="56B8F9D3" w14:textId="77777777" w:rsidR="00406EF8" w:rsidRPr="00C06928" w:rsidRDefault="00406EF8" w:rsidP="00CA7744"/>
    <w:p w14:paraId="05682AD9" w14:textId="23DD9B80" w:rsidR="009E3450" w:rsidRPr="00C06928" w:rsidRDefault="00F0696C" w:rsidP="009E3450">
      <w:pPr>
        <w:rPr>
          <w:rFonts w:cs="Arial"/>
        </w:rPr>
      </w:pPr>
      <w:r>
        <w:rPr>
          <w:rFonts w:cs="Arial"/>
          <w:spacing w:val="-2"/>
        </w:rPr>
        <w:t>The above concepts of w</w:t>
      </w:r>
      <w:r w:rsidR="00CA7744" w:rsidRPr="00C06928">
        <w:rPr>
          <w:rFonts w:cs="Arial"/>
          <w:spacing w:val="-2"/>
        </w:rPr>
        <w:t xml:space="preserve">ork-related stress amongst healthcare workers </w:t>
      </w:r>
      <w:r>
        <w:rPr>
          <w:rFonts w:cs="Arial"/>
          <w:spacing w:val="-2"/>
        </w:rPr>
        <w:t>are</w:t>
      </w:r>
      <w:r w:rsidR="00CA7744" w:rsidRPr="00C06928">
        <w:rPr>
          <w:rFonts w:cs="Arial"/>
          <w:spacing w:val="-2"/>
        </w:rPr>
        <w:t xml:space="preserve"> well-recognised phenomenon in high-income settings and it is known that midwives, nurses and doctors have specific operational pressures that are exacerbated by the dynamic working environment of healthcare </w:t>
      </w:r>
      <w:r w:rsidR="00CA7744" w:rsidRPr="002358EE">
        <w:rPr>
          <w:rFonts w:cs="Arial"/>
          <w:spacing w:val="-2"/>
        </w:rPr>
        <w:t>provision</w:t>
      </w:r>
      <w:r w:rsidR="00072B2A" w:rsidRPr="002358EE">
        <w:rPr>
          <w:rFonts w:cs="Arial"/>
          <w:spacing w:val="-2"/>
        </w:rPr>
        <w:t xml:space="preserve"> </w:t>
      </w:r>
      <w:r w:rsidR="004C0A3E" w:rsidRPr="002358EE">
        <w:rPr>
          <w:rFonts w:cs="Arial"/>
        </w:rPr>
        <w:t>[</w:t>
      </w:r>
      <w:r w:rsidR="00F71D10" w:rsidRPr="002358EE">
        <w:rPr>
          <w:rFonts w:cs="Arial"/>
        </w:rPr>
        <w:t>1</w:t>
      </w:r>
      <w:r w:rsidR="00F94739">
        <w:rPr>
          <w:rFonts w:cs="Arial"/>
        </w:rPr>
        <w:t>1</w:t>
      </w:r>
      <w:r w:rsidR="004C0A3E" w:rsidRPr="002358EE">
        <w:rPr>
          <w:rFonts w:cs="Arial"/>
        </w:rPr>
        <w:t>]</w:t>
      </w:r>
      <w:r w:rsidR="00CA7744" w:rsidRPr="002358EE">
        <w:rPr>
          <w:rFonts w:cs="Arial"/>
        </w:rPr>
        <w:t>.</w:t>
      </w:r>
      <w:r w:rsidR="009E3450" w:rsidRPr="009E3450">
        <w:rPr>
          <w:rFonts w:cs="Arial"/>
        </w:rPr>
        <w:t xml:space="preserve"> </w:t>
      </w:r>
      <w:r w:rsidR="009E3450">
        <w:rPr>
          <w:rFonts w:cs="Arial"/>
        </w:rPr>
        <w:t xml:space="preserve">Issues such as workload, job satisfaction and engagement with work have been shown to impact </w:t>
      </w:r>
      <w:r w:rsidR="00D820C3">
        <w:rPr>
          <w:rFonts w:cs="Arial"/>
        </w:rPr>
        <w:t xml:space="preserve">on </w:t>
      </w:r>
      <w:r w:rsidR="00263EC3">
        <w:rPr>
          <w:rFonts w:cs="Arial"/>
        </w:rPr>
        <w:t>nurse’s</w:t>
      </w:r>
      <w:r w:rsidR="00D820C3">
        <w:rPr>
          <w:rFonts w:cs="Arial"/>
        </w:rPr>
        <w:t xml:space="preserve"> psychological health</w:t>
      </w:r>
      <w:r w:rsidR="00566945">
        <w:rPr>
          <w:rFonts w:cs="Arial"/>
        </w:rPr>
        <w:t xml:space="preserve">, demonstrating that both personal and </w:t>
      </w:r>
      <w:r w:rsidR="00215FA5">
        <w:rPr>
          <w:rFonts w:cs="Arial"/>
        </w:rPr>
        <w:t>workplace</w:t>
      </w:r>
      <w:r w:rsidR="00566945">
        <w:rPr>
          <w:rFonts w:cs="Arial"/>
        </w:rPr>
        <w:t xml:space="preserve"> factors can influence stress levels </w:t>
      </w:r>
      <w:r w:rsidR="00F71D10">
        <w:rPr>
          <w:rFonts w:cs="Arial"/>
        </w:rPr>
        <w:t>[</w:t>
      </w:r>
      <w:r w:rsidR="00F71D10" w:rsidRPr="002358EE">
        <w:rPr>
          <w:rFonts w:cs="Arial"/>
        </w:rPr>
        <w:t>16</w:t>
      </w:r>
      <w:r w:rsidR="00F71D10">
        <w:rPr>
          <w:rFonts w:cs="Arial"/>
        </w:rPr>
        <w:t>]</w:t>
      </w:r>
      <w:r w:rsidR="00263EC3" w:rsidRPr="002358EE">
        <w:rPr>
          <w:rFonts w:cs="Arial"/>
        </w:rPr>
        <w:t>.</w:t>
      </w:r>
      <w:r w:rsidR="00BD7D64">
        <w:rPr>
          <w:rFonts w:cs="Arial"/>
        </w:rPr>
        <w:t xml:space="preserve"> </w:t>
      </w:r>
    </w:p>
    <w:p w14:paraId="3D5ED2D0" w14:textId="382BEC93" w:rsidR="00263EC3" w:rsidRDefault="00263EC3" w:rsidP="00CA7744">
      <w:pPr>
        <w:rPr>
          <w:rFonts w:cs="Arial"/>
        </w:rPr>
      </w:pPr>
    </w:p>
    <w:p w14:paraId="4CDA8A7A" w14:textId="6272A47E" w:rsidR="00BA0234" w:rsidRDefault="00026009" w:rsidP="00CA7744">
      <w:r>
        <w:rPr>
          <w:rFonts w:cs="Arial"/>
          <w:spacing w:val="-2"/>
        </w:rPr>
        <w:t>I</w:t>
      </w:r>
      <w:r w:rsidR="00CA7744" w:rsidRPr="00C06928">
        <w:rPr>
          <w:rFonts w:cs="Arial"/>
          <w:spacing w:val="-2"/>
        </w:rPr>
        <w:t xml:space="preserve">ncreased levels of stress can lead to poor performance at work and in health care this may affect patient outcomes </w:t>
      </w:r>
      <w:r w:rsidR="004C0A3E" w:rsidRPr="00C06928">
        <w:rPr>
          <w:rFonts w:cs="Arial"/>
          <w:spacing w:val="-2"/>
        </w:rPr>
        <w:t>[</w:t>
      </w:r>
      <w:r w:rsidR="00F71D10">
        <w:rPr>
          <w:rFonts w:cs="Arial"/>
          <w:spacing w:val="-2"/>
        </w:rPr>
        <w:t>9, 15</w:t>
      </w:r>
      <w:r w:rsidR="000C4977">
        <w:rPr>
          <w:rFonts w:cs="Arial"/>
          <w:spacing w:val="-2"/>
        </w:rPr>
        <w:t>, 17</w:t>
      </w:r>
      <w:r w:rsidR="004C0A3E" w:rsidRPr="00C06928">
        <w:rPr>
          <w:rFonts w:cs="Arial"/>
          <w:spacing w:val="-2"/>
        </w:rPr>
        <w:t>]</w:t>
      </w:r>
      <w:r w:rsidR="00CA7744" w:rsidRPr="00C06928">
        <w:rPr>
          <w:rFonts w:cs="Arial"/>
          <w:spacing w:val="-2"/>
        </w:rPr>
        <w:t>. However, there is</w:t>
      </w:r>
      <w:r w:rsidR="00406EF8" w:rsidRPr="00C06928">
        <w:rPr>
          <w:rFonts w:cs="Arial"/>
          <w:spacing w:val="-2"/>
        </w:rPr>
        <w:t xml:space="preserve"> </w:t>
      </w:r>
      <w:r w:rsidR="00CA7744" w:rsidRPr="00C06928">
        <w:rPr>
          <w:rFonts w:cs="Arial"/>
          <w:spacing w:val="-2"/>
        </w:rPr>
        <w:t xml:space="preserve">little information available from low- and middle-income countries regarding </w:t>
      </w:r>
      <w:r w:rsidR="002B4C29">
        <w:rPr>
          <w:rFonts w:cs="Arial"/>
          <w:spacing w:val="-2"/>
        </w:rPr>
        <w:t xml:space="preserve">the </w:t>
      </w:r>
      <w:r w:rsidR="00BA0234" w:rsidRPr="00C06928">
        <w:rPr>
          <w:rFonts w:cs="Arial"/>
          <w:spacing w:val="-2"/>
        </w:rPr>
        <w:t>understanding, experiences, and,</w:t>
      </w:r>
      <w:r w:rsidR="00CA7744" w:rsidRPr="00C06928">
        <w:rPr>
          <w:rFonts w:cs="Arial"/>
          <w:spacing w:val="-2"/>
        </w:rPr>
        <w:t xml:space="preserve"> effect of stress on job satisfaction and the ability of healthcare workers to fulfil their roles</w:t>
      </w:r>
      <w:r>
        <w:rPr>
          <w:rFonts w:cs="Arial"/>
          <w:spacing w:val="-2"/>
        </w:rPr>
        <w:t>,</w:t>
      </w:r>
      <w:r w:rsidR="00CA7744" w:rsidRPr="00C06928">
        <w:rPr>
          <w:rFonts w:cs="Arial"/>
          <w:spacing w:val="-2"/>
        </w:rPr>
        <w:t xml:space="preserve"> or not</w:t>
      </w:r>
      <w:r w:rsidR="00A2149D" w:rsidRPr="00C06928">
        <w:rPr>
          <w:rFonts w:cs="Arial"/>
          <w:spacing w:val="-2"/>
        </w:rPr>
        <w:t xml:space="preserve"> </w:t>
      </w:r>
      <w:r w:rsidR="00373564" w:rsidRPr="00C06928">
        <w:rPr>
          <w:rFonts w:cs="Arial"/>
          <w:spacing w:val="-2"/>
        </w:rPr>
        <w:t>[</w:t>
      </w:r>
      <w:r w:rsidR="00697C85">
        <w:rPr>
          <w:rFonts w:cs="Arial"/>
          <w:spacing w:val="-2"/>
        </w:rPr>
        <w:t>18</w:t>
      </w:r>
      <w:r w:rsidR="00373564" w:rsidRPr="00C06928">
        <w:rPr>
          <w:rFonts w:cs="Arial"/>
          <w:spacing w:val="-2"/>
        </w:rPr>
        <w:t>]</w:t>
      </w:r>
      <w:r w:rsidR="00CA7744" w:rsidRPr="00C06928">
        <w:rPr>
          <w:rFonts w:cs="Arial"/>
          <w:spacing w:val="-2"/>
        </w:rPr>
        <w:t>.</w:t>
      </w:r>
      <w:r w:rsidR="00CA7744" w:rsidRPr="00D63468">
        <w:t xml:space="preserve"> </w:t>
      </w:r>
      <w:r w:rsidR="00BD7D64">
        <w:t xml:space="preserve">What evidence there is from </w:t>
      </w:r>
      <w:r>
        <w:t>low- and middle-income</w:t>
      </w:r>
      <w:r w:rsidR="00BD7D64">
        <w:t xml:space="preserve"> countries shows that</w:t>
      </w:r>
      <w:r w:rsidR="002B4C29">
        <w:t>,</w:t>
      </w:r>
      <w:r w:rsidR="00BD7D64">
        <w:t xml:space="preserve"> rather than concentrating on the numbers of available health </w:t>
      </w:r>
      <w:r w:rsidR="00BD7D64">
        <w:lastRenderedPageBreak/>
        <w:t xml:space="preserve">care workers, </w:t>
      </w:r>
      <w:r>
        <w:t>there needs to be a focus</w:t>
      </w:r>
      <w:r w:rsidR="00BD7D64">
        <w:t xml:space="preserve"> on the work climate and job satisfaction to help develop productive workers </w:t>
      </w:r>
      <w:r w:rsidR="009D6244">
        <w:t xml:space="preserve">and reduce risk factors for stress </w:t>
      </w:r>
      <w:r w:rsidR="00697C85">
        <w:t>[</w:t>
      </w:r>
      <w:r w:rsidR="00697C85" w:rsidRPr="002358EE">
        <w:t>19</w:t>
      </w:r>
      <w:r w:rsidR="00697C85">
        <w:t>]</w:t>
      </w:r>
      <w:r w:rsidR="00BD7D64" w:rsidRPr="002358EE">
        <w:t>.</w:t>
      </w:r>
      <w:r w:rsidR="002B4C29">
        <w:t xml:space="preserve"> </w:t>
      </w:r>
      <w:r w:rsidR="00683E12">
        <w:t xml:space="preserve">Providing interventions to limit </w:t>
      </w:r>
      <w:r w:rsidR="00215FA5">
        <w:t>workplace</w:t>
      </w:r>
      <w:r w:rsidR="00683E12">
        <w:t xml:space="preserve"> risk factors for stress may help to prevent burnout amongst workers, which can lead to emotional exhaustion, disconnect from the </w:t>
      </w:r>
      <w:r w:rsidR="00215FA5">
        <w:t>workplace</w:t>
      </w:r>
      <w:r w:rsidR="00683E12">
        <w:t xml:space="preserve">, a lack of personal accomplishment and lead to poor patient care </w:t>
      </w:r>
      <w:r w:rsidR="00697C85">
        <w:t>[</w:t>
      </w:r>
      <w:r w:rsidR="00697C85" w:rsidRPr="002358EE">
        <w:t>20]</w:t>
      </w:r>
    </w:p>
    <w:p w14:paraId="3AE0BF51" w14:textId="3041D2B0" w:rsidR="00BA0234" w:rsidRDefault="00BA0234" w:rsidP="00CA7744"/>
    <w:p w14:paraId="700DF2A4" w14:textId="0D419436" w:rsidR="00FF4308" w:rsidRDefault="0086030B" w:rsidP="00317681">
      <w:r w:rsidRPr="00C06928">
        <w:t xml:space="preserve">In the context of the EVD outbreak in Sierra Leone there were </w:t>
      </w:r>
      <w:r w:rsidR="0058689E" w:rsidRPr="00C06928">
        <w:t xml:space="preserve">new and additional </w:t>
      </w:r>
      <w:r w:rsidRPr="00C06928">
        <w:t xml:space="preserve">expectations </w:t>
      </w:r>
      <w:r w:rsidR="0058689E" w:rsidRPr="00C06928">
        <w:t xml:space="preserve">placed </w:t>
      </w:r>
      <w:r w:rsidRPr="00C06928">
        <w:t>on healthcare workers</w:t>
      </w:r>
      <w:r w:rsidR="00D63468" w:rsidRPr="00C06928">
        <w:t xml:space="preserve">. </w:t>
      </w:r>
      <w:r w:rsidR="00F07333" w:rsidRPr="00C06928">
        <w:t>Healthcare workers</w:t>
      </w:r>
      <w:r w:rsidR="00A25C0D" w:rsidRPr="00C06928">
        <w:t xml:space="preserve"> were expected</w:t>
      </w:r>
      <w:r w:rsidRPr="00C06928">
        <w:t xml:space="preserve"> to manage patients with a disease that was previously unknown within the country</w:t>
      </w:r>
      <w:r w:rsidR="00E2540F" w:rsidRPr="00C06928">
        <w:t xml:space="preserve"> while continuing </w:t>
      </w:r>
      <w:r w:rsidR="00A25C0D" w:rsidRPr="00C06928">
        <w:t xml:space="preserve">work in an environment with </w:t>
      </w:r>
      <w:r w:rsidRPr="00C06928">
        <w:t>inadequate resources</w:t>
      </w:r>
      <w:r w:rsidR="00A25C0D" w:rsidRPr="00C06928">
        <w:t xml:space="preserve"> </w:t>
      </w:r>
      <w:r w:rsidR="00E2540F" w:rsidRPr="00C06928">
        <w:t xml:space="preserve">to do this </w:t>
      </w:r>
      <w:r w:rsidR="00E2540F" w:rsidRPr="002358EE">
        <w:t xml:space="preserve">safely </w:t>
      </w:r>
      <w:r w:rsidR="00373564" w:rsidRPr="002358EE">
        <w:t>[</w:t>
      </w:r>
      <w:r w:rsidR="00A33831" w:rsidRPr="002358EE">
        <w:t>21</w:t>
      </w:r>
      <w:r w:rsidR="00373564" w:rsidRPr="002358EE">
        <w:t>]</w:t>
      </w:r>
      <w:r w:rsidRPr="002358EE">
        <w:t>.</w:t>
      </w:r>
      <w:r w:rsidR="00724BC4" w:rsidRPr="00C06928">
        <w:t xml:space="preserve"> The risk</w:t>
      </w:r>
      <w:r w:rsidR="00F3237C" w:rsidRPr="00C06928">
        <w:t xml:space="preserve"> of infection for healthcare </w:t>
      </w:r>
      <w:r w:rsidR="007517F1" w:rsidRPr="00C06928">
        <w:t>work</w:t>
      </w:r>
      <w:r w:rsidR="00F3237C" w:rsidRPr="00C06928">
        <w:t xml:space="preserve">ers </w:t>
      </w:r>
      <w:r w:rsidR="007517F1" w:rsidRPr="00C06928">
        <w:t>in</w:t>
      </w:r>
      <w:r w:rsidR="00F3237C" w:rsidRPr="00C06928">
        <w:t xml:space="preserve"> maternity care areas was</w:t>
      </w:r>
      <w:r w:rsidR="00724BC4" w:rsidRPr="00C06928">
        <w:t xml:space="preserve"> further exacerbated because of the frequent </w:t>
      </w:r>
      <w:r w:rsidR="00F07333" w:rsidRPr="00C06928">
        <w:t xml:space="preserve">risk of </w:t>
      </w:r>
      <w:r w:rsidR="00724BC4" w:rsidRPr="00C06928">
        <w:t xml:space="preserve">contact with bodily fluids </w:t>
      </w:r>
      <w:r w:rsidR="00F07333" w:rsidRPr="00C06928">
        <w:t xml:space="preserve">when caring for women </w:t>
      </w:r>
      <w:r w:rsidR="00724BC4" w:rsidRPr="00C06928">
        <w:t>during the various stages of pregnancy,</w:t>
      </w:r>
      <w:r w:rsidR="00F07333" w:rsidRPr="00C06928">
        <w:t xml:space="preserve"> and</w:t>
      </w:r>
      <w:r w:rsidR="00724BC4" w:rsidRPr="00C06928">
        <w:t xml:space="preserve"> particularly during birth </w:t>
      </w:r>
      <w:r w:rsidR="00373564" w:rsidRPr="00C06928">
        <w:t>[</w:t>
      </w:r>
      <w:r w:rsidR="00C06928" w:rsidRPr="00C06928">
        <w:t>1</w:t>
      </w:r>
      <w:r w:rsidR="00A33831">
        <w:t>8</w:t>
      </w:r>
      <w:r w:rsidR="00373564" w:rsidRPr="00C06928">
        <w:t>]</w:t>
      </w:r>
      <w:r w:rsidR="00724BC4" w:rsidRPr="00C06928">
        <w:t xml:space="preserve">. </w:t>
      </w:r>
      <w:r w:rsidR="00F07333" w:rsidRPr="00C06928">
        <w:t>In addition, it is known that t</w:t>
      </w:r>
      <w:r w:rsidR="00AE2998" w:rsidRPr="00C06928">
        <w:t>he signs and symptoms of o</w:t>
      </w:r>
      <w:r w:rsidR="00E2540F" w:rsidRPr="00C06928">
        <w:t>bstetric emergencies such as haemorrhage or sepsis</w:t>
      </w:r>
      <w:r w:rsidR="00724BC4" w:rsidRPr="00C06928">
        <w:t xml:space="preserve"> mirror those of EVD</w:t>
      </w:r>
      <w:r w:rsidR="00AE2998" w:rsidRPr="00C06928">
        <w:t xml:space="preserve"> and this can make it difficult to differentiate between women who require emergency obstetric care in a standard maternity care setting</w:t>
      </w:r>
      <w:r w:rsidR="00BA0234" w:rsidRPr="00C06928">
        <w:t>,</w:t>
      </w:r>
      <w:r w:rsidR="00F07333" w:rsidRPr="00C06928">
        <w:t xml:space="preserve"> and</w:t>
      </w:r>
      <w:r w:rsidR="00BA0234" w:rsidRPr="00C06928">
        <w:t>,</w:t>
      </w:r>
      <w:r w:rsidR="00F07333" w:rsidRPr="00C06928">
        <w:t xml:space="preserve"> women who have signs and symptoms of EVD and require managemen</w:t>
      </w:r>
      <w:r w:rsidR="0012785D" w:rsidRPr="00C06928">
        <w:t>t in separate specialised areas</w:t>
      </w:r>
      <w:r w:rsidR="00724BC4" w:rsidRPr="00C06928">
        <w:t xml:space="preserve"> </w:t>
      </w:r>
      <w:r w:rsidR="00373564" w:rsidRPr="00C06928">
        <w:t>[</w:t>
      </w:r>
      <w:r w:rsidR="00C06928" w:rsidRPr="00C06928">
        <w:t>1</w:t>
      </w:r>
      <w:r w:rsidR="00A33831">
        <w:t>8</w:t>
      </w:r>
      <w:r w:rsidR="00373564" w:rsidRPr="00C06928">
        <w:t>]</w:t>
      </w:r>
      <w:r w:rsidR="00A25C0D" w:rsidRPr="00C06928">
        <w:t>.</w:t>
      </w:r>
    </w:p>
    <w:p w14:paraId="78049F5C" w14:textId="425EB69A" w:rsidR="00183A8E" w:rsidRDefault="00183A8E" w:rsidP="00317681"/>
    <w:p w14:paraId="5B70117C" w14:textId="77777777" w:rsidR="00F11F58" w:rsidRPr="00D63468" w:rsidRDefault="00F52396" w:rsidP="00F11F58">
      <w:r>
        <w:t>Th</w:t>
      </w:r>
      <w:r w:rsidR="00BA0234">
        <w:t>is</w:t>
      </w:r>
      <w:r>
        <w:t xml:space="preserve"> study aimed to</w:t>
      </w:r>
      <w:r w:rsidR="00BA0234">
        <w:t>;</w:t>
      </w:r>
      <w:r>
        <w:t xml:space="preserve"> 1) </w:t>
      </w:r>
      <w:r w:rsidR="00B011C8">
        <w:t>understand</w:t>
      </w:r>
      <w:r w:rsidR="00092AEE">
        <w:t xml:space="preserve"> </w:t>
      </w:r>
      <w:r w:rsidR="00196964">
        <w:t>the perceptions</w:t>
      </w:r>
      <w:r w:rsidR="00BA0234">
        <w:t xml:space="preserve"> </w:t>
      </w:r>
      <w:r w:rsidR="00196964">
        <w:t>of healt</w:t>
      </w:r>
      <w:r w:rsidR="002E36E1">
        <w:t>h</w:t>
      </w:r>
      <w:r>
        <w:t>care</w:t>
      </w:r>
      <w:r w:rsidR="00BA0234">
        <w:t xml:space="preserve"> providers</w:t>
      </w:r>
      <w:r>
        <w:t xml:space="preserve"> </w:t>
      </w:r>
      <w:r w:rsidR="00AA4F58">
        <w:t>regarding</w:t>
      </w:r>
      <w:r>
        <w:t xml:space="preserve"> workplace risk factors for developing stress</w:t>
      </w:r>
      <w:r w:rsidR="00BA0234">
        <w:t>,</w:t>
      </w:r>
      <w:r>
        <w:t xml:space="preserve"> 2</w:t>
      </w:r>
      <w:r w:rsidR="00196964">
        <w:t xml:space="preserve">) </w:t>
      </w:r>
      <w:r w:rsidR="00B011C8">
        <w:t>evaluate</w:t>
      </w:r>
      <w:r w:rsidR="00196964">
        <w:t xml:space="preserve"> health</w:t>
      </w:r>
      <w:r>
        <w:t xml:space="preserve">care </w:t>
      </w:r>
      <w:r w:rsidR="00B061AF">
        <w:t>worker’s</w:t>
      </w:r>
      <w:r>
        <w:t xml:space="preserve"> perceptions of quality of life and its links to risk factors for developing workplace stress</w:t>
      </w:r>
      <w:r w:rsidR="00BA0234">
        <w:t xml:space="preserve">, and, </w:t>
      </w:r>
      <w:r>
        <w:t>3)</w:t>
      </w:r>
      <w:r w:rsidR="0019759F" w:rsidRPr="0019759F">
        <w:t xml:space="preserve"> </w:t>
      </w:r>
      <w:r w:rsidR="00F11F58">
        <w:t xml:space="preserve">assess changes in QoL and risk factors for stress after a stress management programme. </w:t>
      </w:r>
    </w:p>
    <w:p w14:paraId="6E1D674C" w14:textId="3A535F96" w:rsidR="004F09A3" w:rsidRDefault="004F09A3" w:rsidP="00317681"/>
    <w:p w14:paraId="5B4D920E" w14:textId="77777777" w:rsidR="00AA4F58" w:rsidRPr="00D63468" w:rsidRDefault="00AA4F58" w:rsidP="00317681"/>
    <w:p w14:paraId="1390421C" w14:textId="297896E9" w:rsidR="00BE0597" w:rsidRPr="00D63468" w:rsidRDefault="00BE0597" w:rsidP="00317681">
      <w:pPr>
        <w:pStyle w:val="Heading2"/>
      </w:pPr>
      <w:r w:rsidRPr="00D63468">
        <w:t>Methods</w:t>
      </w:r>
    </w:p>
    <w:p w14:paraId="056954EF" w14:textId="73ADEB00" w:rsidR="009C3C7B" w:rsidRDefault="009C3C7B" w:rsidP="009C3C7B">
      <w:r>
        <w:t xml:space="preserve">Given the country specific context at the time of the study (the ongoing Ebola epidemic) and the continued low resourced and fragile state of the healthcare system in Sierra Leone, we used the Job -Demand Resources model as the conceptual framework for this study. The study took place from January to September 2015 with data collection and the </w:t>
      </w:r>
      <w:r w:rsidR="00BA0234">
        <w:t>stress management</w:t>
      </w:r>
      <w:r w:rsidR="00AA4F58">
        <w:t xml:space="preserve"> </w:t>
      </w:r>
      <w:r w:rsidR="00D201D4">
        <w:t>programme</w:t>
      </w:r>
      <w:r>
        <w:t xml:space="preserve"> occurring between the months of July and August 2015 when the number of Ebola cases was reducing rapidly; Sierra Leone was declared free of Ebola in November </w:t>
      </w:r>
      <w:r w:rsidRPr="000C4977">
        <w:t>2015 [</w:t>
      </w:r>
      <w:r w:rsidR="00C06928" w:rsidRPr="000C4977">
        <w:t>1</w:t>
      </w:r>
      <w:r w:rsidR="00A269E8" w:rsidRPr="000C4977">
        <w:t>8</w:t>
      </w:r>
      <w:r w:rsidRPr="000C4977">
        <w:t>].</w:t>
      </w:r>
    </w:p>
    <w:p w14:paraId="34EC047B" w14:textId="77777777" w:rsidR="009C3C7B" w:rsidRDefault="009C3C7B" w:rsidP="009C3C7B"/>
    <w:p w14:paraId="6B056C2E" w14:textId="7DFBE20D" w:rsidR="00C42976" w:rsidRPr="00C06928" w:rsidRDefault="00C3105A" w:rsidP="00317681">
      <w:pPr>
        <w:pStyle w:val="Heading3"/>
      </w:pPr>
      <w:r w:rsidRPr="00C06928">
        <w:t>Participants</w:t>
      </w:r>
    </w:p>
    <w:p w14:paraId="036E6145" w14:textId="3EA78A56" w:rsidR="004518E8" w:rsidRDefault="00C42976" w:rsidP="00317681">
      <w:r w:rsidRPr="00C06928">
        <w:t>A purposive sample of three (</w:t>
      </w:r>
      <w:r w:rsidR="006D3261" w:rsidRPr="00C06928">
        <w:t>Freetown</w:t>
      </w:r>
      <w:r w:rsidRPr="00C06928">
        <w:t xml:space="preserve"> Rural, </w:t>
      </w:r>
      <w:r w:rsidR="006D3261" w:rsidRPr="00C06928">
        <w:t>Freetown</w:t>
      </w:r>
      <w:r w:rsidRPr="00C06928">
        <w:t xml:space="preserve"> Urban and Bo) </w:t>
      </w:r>
      <w:r w:rsidR="0013037F" w:rsidRPr="00C06928">
        <w:t xml:space="preserve">out of a total of 14 districts in Sierra Leone </w:t>
      </w:r>
      <w:r w:rsidRPr="00C06928">
        <w:t>were chosen at the request of the M</w:t>
      </w:r>
      <w:r w:rsidR="0013037F" w:rsidRPr="00C06928">
        <w:t xml:space="preserve">inistry of Health and </w:t>
      </w:r>
      <w:r w:rsidRPr="00C06928">
        <w:t>S</w:t>
      </w:r>
      <w:r w:rsidR="0013037F" w:rsidRPr="00C06928">
        <w:t>anitation</w:t>
      </w:r>
      <w:r w:rsidRPr="00C06928">
        <w:t xml:space="preserve">. All </w:t>
      </w:r>
      <w:r w:rsidR="0013037F" w:rsidRPr="00C06928">
        <w:t xml:space="preserve">13 </w:t>
      </w:r>
      <w:r w:rsidRPr="00C06928">
        <w:t xml:space="preserve">healthcare facilities designated as providing either </w:t>
      </w:r>
      <w:r w:rsidR="00AE2998" w:rsidRPr="00C06928">
        <w:t xml:space="preserve">Basic Emergency Obstetric Care </w:t>
      </w:r>
      <w:r w:rsidRPr="00C06928">
        <w:t xml:space="preserve">(BEmOC) or </w:t>
      </w:r>
      <w:r w:rsidR="00AE2998" w:rsidRPr="00C06928">
        <w:t xml:space="preserve">Comprehensive Emergency Obstetric Care </w:t>
      </w:r>
      <w:r w:rsidRPr="00C06928">
        <w:t xml:space="preserve">(CEmOC) </w:t>
      </w:r>
      <w:r w:rsidR="004346F8" w:rsidRPr="00C06928">
        <w:t>[</w:t>
      </w:r>
      <w:r w:rsidR="00C06928" w:rsidRPr="00C06928">
        <w:t>18</w:t>
      </w:r>
      <w:r w:rsidR="004346F8" w:rsidRPr="00C06928">
        <w:t>]</w:t>
      </w:r>
      <w:r w:rsidR="0013037F" w:rsidRPr="00C06928">
        <w:t xml:space="preserve"> </w:t>
      </w:r>
      <w:r w:rsidRPr="00C06928">
        <w:t xml:space="preserve">within the </w:t>
      </w:r>
      <w:r w:rsidR="00C3105A" w:rsidRPr="00C06928">
        <w:t xml:space="preserve">selected </w:t>
      </w:r>
      <w:r w:rsidRPr="00C06928">
        <w:t xml:space="preserve">districts were included. All staff in </w:t>
      </w:r>
      <w:r w:rsidR="00C3105A" w:rsidRPr="00C06928">
        <w:t>each</w:t>
      </w:r>
      <w:r w:rsidRPr="00C06928">
        <w:t xml:space="preserve"> </w:t>
      </w:r>
      <w:r w:rsidR="0013037F" w:rsidRPr="00C06928">
        <w:t xml:space="preserve">health </w:t>
      </w:r>
      <w:r w:rsidRPr="00C06928">
        <w:t>facilit</w:t>
      </w:r>
      <w:r w:rsidR="00C3105A" w:rsidRPr="00C06928">
        <w:t>y</w:t>
      </w:r>
      <w:r w:rsidRPr="00C06928">
        <w:t xml:space="preserve"> </w:t>
      </w:r>
      <w:r w:rsidR="00390BE2" w:rsidRPr="00C06928">
        <w:t>(</w:t>
      </w:r>
      <w:r w:rsidR="00BA0234" w:rsidRPr="00C06928">
        <w:t>n=</w:t>
      </w:r>
      <w:r w:rsidR="00390BE2" w:rsidRPr="00C06928">
        <w:t>222</w:t>
      </w:r>
      <w:r w:rsidR="00083097" w:rsidRPr="00C06928">
        <w:t xml:space="preserve">) </w:t>
      </w:r>
      <w:r w:rsidRPr="00C06928">
        <w:t>were invited to participate in the study.</w:t>
      </w:r>
      <w:r w:rsidR="00D42F07">
        <w:t xml:space="preserve"> </w:t>
      </w:r>
      <w:r w:rsidR="00E4659E">
        <w:t>Given the time scale of the study it was no</w:t>
      </w:r>
      <w:r w:rsidR="00350F70">
        <w:t>t</w:t>
      </w:r>
      <w:r w:rsidR="00E4659E">
        <w:t xml:space="preserve"> possible to conduct a pilot study.</w:t>
      </w:r>
    </w:p>
    <w:p w14:paraId="6B5A9BA4" w14:textId="77777777" w:rsidR="004518E8" w:rsidRDefault="004518E8" w:rsidP="00317681"/>
    <w:p w14:paraId="41F17915" w14:textId="77777777" w:rsidR="004518E8" w:rsidRPr="004518E8" w:rsidRDefault="004518E8" w:rsidP="00317681">
      <w:pPr>
        <w:rPr>
          <w:b/>
        </w:rPr>
      </w:pPr>
      <w:r w:rsidRPr="004518E8">
        <w:rPr>
          <w:b/>
        </w:rPr>
        <w:t>Patient and public involvement</w:t>
      </w:r>
    </w:p>
    <w:p w14:paraId="019923F7" w14:textId="1A5965AB" w:rsidR="00C42976" w:rsidRDefault="00D42F07" w:rsidP="00317681">
      <w:r>
        <w:t>No patients or members of the public were included in the study.</w:t>
      </w:r>
    </w:p>
    <w:p w14:paraId="729E183A" w14:textId="3614515F" w:rsidR="004B79C4" w:rsidRDefault="004B79C4" w:rsidP="00317681"/>
    <w:p w14:paraId="5D0FEFB6" w14:textId="77777777" w:rsidR="004B79C4" w:rsidRPr="00D63468" w:rsidRDefault="004B79C4" w:rsidP="004B79C4">
      <w:pPr>
        <w:pStyle w:val="Heading3"/>
      </w:pPr>
      <w:r w:rsidRPr="00D63468">
        <w:t>Ethical considerations</w:t>
      </w:r>
      <w:r>
        <w:t xml:space="preserve"> and consent to participate</w:t>
      </w:r>
    </w:p>
    <w:p w14:paraId="476C0949" w14:textId="77777777" w:rsidR="004B79C4" w:rsidRDefault="004B79C4" w:rsidP="004B79C4">
      <w:pPr>
        <w:rPr>
          <w:spacing w:val="-2"/>
        </w:rPr>
      </w:pPr>
      <w:r w:rsidRPr="00D63468">
        <w:t>Ethical approval was obtained from the Sierra Leone Ethics and Scientific Review Committee and the Liverpool School of Tropical Medicine Ethics Committee (15.012).</w:t>
      </w:r>
      <w:r w:rsidRPr="00D63468">
        <w:rPr>
          <w:spacing w:val="-2"/>
        </w:rPr>
        <w:t xml:space="preserve"> Participants were provided with both verbal and written explanations of the study and asked to sign an informed consent if they wished to </w:t>
      </w:r>
      <w:r w:rsidRPr="00D63468">
        <w:rPr>
          <w:spacing w:val="-2"/>
        </w:rPr>
        <w:lastRenderedPageBreak/>
        <w:t xml:space="preserve">take part. Participation in completing the questionnaire was voluntary and participants could opt out at any stage. </w:t>
      </w:r>
    </w:p>
    <w:p w14:paraId="28886D88" w14:textId="12F28CB5" w:rsidR="00F46A9A" w:rsidRPr="00D63468" w:rsidRDefault="00AE2998" w:rsidP="00317681">
      <w:pPr>
        <w:pStyle w:val="Heading3"/>
      </w:pPr>
      <w:r w:rsidRPr="00D63468">
        <w:t>Data collection</w:t>
      </w:r>
      <w:r w:rsidR="00106BE6">
        <w:t xml:space="preserve"> and tools</w:t>
      </w:r>
    </w:p>
    <w:p w14:paraId="562067FE" w14:textId="126F3367" w:rsidR="00C3105A" w:rsidRPr="00C06928" w:rsidRDefault="00C3105A" w:rsidP="00317681">
      <w:r w:rsidRPr="00C06928">
        <w:t>Two self-administered questionnaires (HSE Standards tool and WHOQOLBREF) wer</w:t>
      </w:r>
      <w:r w:rsidR="00183A8E" w:rsidRPr="00C06928">
        <w:t>e completed by</w:t>
      </w:r>
      <w:r w:rsidRPr="00C06928">
        <w:t xml:space="preserve"> participants at baseline</w:t>
      </w:r>
      <w:r w:rsidR="00891F2D" w:rsidRPr="00C06928">
        <w:t xml:space="preserve"> </w:t>
      </w:r>
      <w:r w:rsidRPr="00C06928">
        <w:t xml:space="preserve">and </w:t>
      </w:r>
      <w:r w:rsidR="006D3261" w:rsidRPr="00C06928">
        <w:t xml:space="preserve">again </w:t>
      </w:r>
      <w:r w:rsidR="006807AA" w:rsidRPr="00C06928">
        <w:t>eight</w:t>
      </w:r>
      <w:r w:rsidRPr="00C06928">
        <w:t xml:space="preserve"> weeks </w:t>
      </w:r>
      <w:r w:rsidR="006807AA" w:rsidRPr="00C06928">
        <w:t>after</w:t>
      </w:r>
      <w:r w:rsidR="00891F2D" w:rsidRPr="00C06928">
        <w:t xml:space="preserve"> </w:t>
      </w:r>
      <w:r w:rsidR="009C3C7B" w:rsidRPr="00C06928">
        <w:t xml:space="preserve">a training workshop </w:t>
      </w:r>
      <w:r w:rsidR="00891F2D" w:rsidRPr="00C06928">
        <w:t xml:space="preserve">in </w:t>
      </w:r>
      <w:r w:rsidR="007841F2" w:rsidRPr="00C06928">
        <w:t>stress management</w:t>
      </w:r>
      <w:r w:rsidRPr="00C06928">
        <w:t>.</w:t>
      </w:r>
      <w:r w:rsidR="00183A8E" w:rsidRPr="00C06928">
        <w:t xml:space="preserve"> The questionnaires were in English which is widely spoken in Sierra Leone and the de facto official language. All primary, secondary an</w:t>
      </w:r>
      <w:r w:rsidR="00196964" w:rsidRPr="00C06928">
        <w:t>d tertiary education and health</w:t>
      </w:r>
      <w:r w:rsidR="00183A8E" w:rsidRPr="00C06928">
        <w:t xml:space="preserve">care worker training is conducted in English. </w:t>
      </w:r>
      <w:r w:rsidR="00961770">
        <w:t>No validated tools were available</w:t>
      </w:r>
      <w:r w:rsidR="00DB623B">
        <w:t xml:space="preserve"> </w:t>
      </w:r>
      <w:r w:rsidR="00E4659E">
        <w:t xml:space="preserve">which had been used to look at work related stress within Sierra Leone, which reflects the lack of research in this area. </w:t>
      </w:r>
    </w:p>
    <w:p w14:paraId="2BB69351" w14:textId="77777777" w:rsidR="00C3105A" w:rsidRPr="00C06928" w:rsidRDefault="00C3105A" w:rsidP="00317681"/>
    <w:p w14:paraId="14DEC02B" w14:textId="4E086E88" w:rsidR="00F11948" w:rsidRDefault="00F11948" w:rsidP="00317681">
      <w:r w:rsidRPr="00C06928">
        <w:t>The UK Health and Safety Executive (HSE) Management Standards Tool for work</w:t>
      </w:r>
      <w:r w:rsidR="006D3261" w:rsidRPr="00C06928">
        <w:t>-</w:t>
      </w:r>
      <w:r w:rsidRPr="00C06928">
        <w:t xml:space="preserve">related stress was used to measure </w:t>
      </w:r>
      <w:r w:rsidR="00196964" w:rsidRPr="00C06928">
        <w:t>health</w:t>
      </w:r>
      <w:r w:rsidR="00D2703D" w:rsidRPr="00C06928">
        <w:t xml:space="preserve">care </w:t>
      </w:r>
      <w:r w:rsidR="00B061AF" w:rsidRPr="00C06928">
        <w:t>worker’s</w:t>
      </w:r>
      <w:r w:rsidR="00D2703D" w:rsidRPr="00C06928">
        <w:t xml:space="preserve"> perceptions of </w:t>
      </w:r>
      <w:r w:rsidR="007517F1" w:rsidRPr="00C06928">
        <w:t>workplace</w:t>
      </w:r>
      <w:r w:rsidRPr="00C06928">
        <w:t xml:space="preserve"> risk factors that may increase workers</w:t>
      </w:r>
      <w:r w:rsidR="00CC7196" w:rsidRPr="00C06928">
        <w:t>’</w:t>
      </w:r>
      <w:r w:rsidRPr="00C06928">
        <w:t xml:space="preserve"> stress</w:t>
      </w:r>
      <w:r w:rsidR="00E4659E">
        <w:t xml:space="preserve"> as it has been used across a number of countries and for a wide </w:t>
      </w:r>
      <w:r w:rsidR="00E4659E" w:rsidRPr="002358EE">
        <w:t>variety of workers</w:t>
      </w:r>
      <w:r w:rsidR="00F7510E" w:rsidRPr="002358EE">
        <w:t xml:space="preserve"> </w:t>
      </w:r>
      <w:r w:rsidR="004346F8" w:rsidRPr="002358EE">
        <w:t>[</w:t>
      </w:r>
      <w:r w:rsidR="00A269E8" w:rsidRPr="002358EE">
        <w:t>2</w:t>
      </w:r>
      <w:r w:rsidR="00A33831" w:rsidRPr="002358EE">
        <w:t>2</w:t>
      </w:r>
      <w:r w:rsidR="004346F8" w:rsidRPr="002358EE">
        <w:t>]</w:t>
      </w:r>
      <w:r w:rsidRPr="002358EE">
        <w:t>.</w:t>
      </w:r>
      <w:r w:rsidRPr="00C06928">
        <w:t xml:space="preserve"> The </w:t>
      </w:r>
      <w:r w:rsidR="006807AA" w:rsidRPr="00C06928">
        <w:t xml:space="preserve">questionnaire </w:t>
      </w:r>
      <w:r w:rsidR="006807AA" w:rsidRPr="002358EE">
        <w:t>includes</w:t>
      </w:r>
      <w:r w:rsidRPr="002358EE">
        <w:t xml:space="preserve"> 6 main areas</w:t>
      </w:r>
      <w:r w:rsidRPr="00C06928">
        <w:t xml:space="preserve"> which </w:t>
      </w:r>
      <w:r w:rsidR="00B736DD" w:rsidRPr="00C06928">
        <w:t>can</w:t>
      </w:r>
      <w:r w:rsidR="00731927" w:rsidRPr="00C06928">
        <w:t xml:space="preserve"> potentially </w:t>
      </w:r>
      <w:r w:rsidRPr="00C06928">
        <w:t xml:space="preserve">influence </w:t>
      </w:r>
      <w:r w:rsidR="0013037F" w:rsidRPr="00C06928">
        <w:t>a healthcare</w:t>
      </w:r>
      <w:r w:rsidRPr="00C06928">
        <w:t xml:space="preserve"> workers</w:t>
      </w:r>
      <w:r w:rsidR="0013037F" w:rsidRPr="00C06928">
        <w:t>’</w:t>
      </w:r>
      <w:r w:rsidRPr="00C06928">
        <w:t xml:space="preserve"> environment: </w:t>
      </w:r>
      <w:r w:rsidR="0013037F" w:rsidRPr="00C06928">
        <w:t xml:space="preserve">1) </w:t>
      </w:r>
      <w:r w:rsidR="006807AA" w:rsidRPr="00C06928">
        <w:t>the workload demands on workers;</w:t>
      </w:r>
      <w:r w:rsidRPr="00C06928">
        <w:t xml:space="preserve"> </w:t>
      </w:r>
      <w:r w:rsidR="0013037F" w:rsidRPr="00C06928">
        <w:t xml:space="preserve">2) </w:t>
      </w:r>
      <w:r w:rsidR="006807AA" w:rsidRPr="00C06928">
        <w:t xml:space="preserve">the </w:t>
      </w:r>
      <w:r w:rsidRPr="00C06928">
        <w:t>control</w:t>
      </w:r>
      <w:r w:rsidR="006807AA" w:rsidRPr="00C06928">
        <w:t xml:space="preserve"> workers feel they have in organising and managing their workload</w:t>
      </w:r>
      <w:r w:rsidRPr="00C06928">
        <w:t xml:space="preserve">, </w:t>
      </w:r>
      <w:r w:rsidR="0013037F" w:rsidRPr="00C06928">
        <w:t xml:space="preserve">3) </w:t>
      </w:r>
      <w:r w:rsidR="006807AA" w:rsidRPr="00C06928">
        <w:t>the support through encouragement, sponsorship and resources that workers feel that they receive from their managers</w:t>
      </w:r>
      <w:r w:rsidRPr="00C06928">
        <w:t xml:space="preserve"> and peer</w:t>
      </w:r>
      <w:r w:rsidR="006807AA" w:rsidRPr="00C06928">
        <w:t xml:space="preserve">s; </w:t>
      </w:r>
      <w:r w:rsidR="0013037F" w:rsidRPr="00C06928">
        <w:t xml:space="preserve">4) </w:t>
      </w:r>
      <w:r w:rsidR="006807AA" w:rsidRPr="00C06928">
        <w:t>the presence of</w:t>
      </w:r>
      <w:r w:rsidR="00CB7A7B" w:rsidRPr="00C06928">
        <w:t xml:space="preserve"> </w:t>
      </w:r>
      <w:r w:rsidR="006807AA" w:rsidRPr="00C06928">
        <w:t xml:space="preserve">healthy </w:t>
      </w:r>
      <w:r w:rsidR="007517F1" w:rsidRPr="00C06928">
        <w:t>workplace</w:t>
      </w:r>
      <w:r w:rsidR="006807AA" w:rsidRPr="00C06928">
        <w:t xml:space="preserve"> </w:t>
      </w:r>
      <w:r w:rsidRPr="00C06928">
        <w:t>relationships</w:t>
      </w:r>
      <w:r w:rsidR="006807AA" w:rsidRPr="00C06928">
        <w:t xml:space="preserve"> to promote positive working and prevent conflict</w:t>
      </w:r>
      <w:r w:rsidRPr="00C06928">
        <w:t>,</w:t>
      </w:r>
      <w:r w:rsidR="006807AA" w:rsidRPr="00C06928">
        <w:t xml:space="preserve"> </w:t>
      </w:r>
      <w:r w:rsidR="0013037F" w:rsidRPr="00C06928">
        <w:t xml:space="preserve">5) </w:t>
      </w:r>
      <w:r w:rsidR="006807AA" w:rsidRPr="00C06928">
        <w:t>whether people understand their role</w:t>
      </w:r>
      <w:r w:rsidRPr="00C06928">
        <w:t xml:space="preserve"> </w:t>
      </w:r>
      <w:r w:rsidR="006807AA" w:rsidRPr="00C06928">
        <w:t>in the organisation</w:t>
      </w:r>
      <w:r w:rsidRPr="00C06928">
        <w:t xml:space="preserve"> and </w:t>
      </w:r>
      <w:r w:rsidR="0013037F" w:rsidRPr="00C06928">
        <w:t xml:space="preserve">6) </w:t>
      </w:r>
      <w:r w:rsidR="006807AA" w:rsidRPr="00C06928">
        <w:t>how organisational change is managed and communicated in the organisation</w:t>
      </w:r>
      <w:r w:rsidR="00731927" w:rsidRPr="00C06928">
        <w:t xml:space="preserve"> </w:t>
      </w:r>
      <w:r w:rsidR="004346F8" w:rsidRPr="00C06928">
        <w:t>[</w:t>
      </w:r>
      <w:r w:rsidR="00A269E8">
        <w:t>20</w:t>
      </w:r>
      <w:r w:rsidR="004346F8" w:rsidRPr="00C06928">
        <w:t>]</w:t>
      </w:r>
      <w:r w:rsidRPr="00C06928">
        <w:t>.</w:t>
      </w:r>
      <w:r w:rsidR="008C6A63">
        <w:t xml:space="preserve"> For purposes of analysis and to provide more detail domain 3 (peer and manager support) is separated giving a total of seven domains. </w:t>
      </w:r>
      <w:r w:rsidR="00600A80" w:rsidRPr="00C06928">
        <w:t xml:space="preserve"> </w:t>
      </w:r>
      <w:r w:rsidR="00C3105A" w:rsidRPr="00C06928">
        <w:t>Scoring is</w:t>
      </w:r>
      <w:r w:rsidR="00212EE8" w:rsidRPr="00C06928">
        <w:t xml:space="preserve"> via a Likert scale</w:t>
      </w:r>
      <w:r w:rsidR="00C3105A" w:rsidRPr="00C06928">
        <w:t xml:space="preserve"> from </w:t>
      </w:r>
      <w:r w:rsidR="007841F2" w:rsidRPr="00C06928">
        <w:t>1</w:t>
      </w:r>
      <w:r w:rsidR="00C3105A" w:rsidRPr="00C06928">
        <w:t xml:space="preserve"> to 5. </w:t>
      </w:r>
      <w:r w:rsidR="00600A80" w:rsidRPr="00C06928">
        <w:t xml:space="preserve">A score of 3 is average. A score </w:t>
      </w:r>
      <w:r w:rsidR="0024630C" w:rsidRPr="00C06928">
        <w:t>of 1</w:t>
      </w:r>
      <w:r w:rsidR="00600A80" w:rsidRPr="00C06928">
        <w:t>-</w:t>
      </w:r>
      <w:r w:rsidR="0013037F" w:rsidRPr="00C06928">
        <w:t>2</w:t>
      </w:r>
      <w:r w:rsidR="00600A80" w:rsidRPr="00C06928">
        <w:t xml:space="preserve"> is indicative of extreme stress. A score of 4-5 is indicative of low stress levels</w:t>
      </w:r>
      <w:r w:rsidR="00B74464" w:rsidRPr="00C06928">
        <w:t>.</w:t>
      </w:r>
      <w:r w:rsidR="00204505">
        <w:t xml:space="preserve"> The HSE provide a data analysis tool and recommendations on the smallest sample size to be included from the workplace. Where there are fewer th</w:t>
      </w:r>
      <w:r w:rsidR="00215FA5">
        <w:t>a</w:t>
      </w:r>
      <w:r w:rsidR="00204505">
        <w:t>n 500 workers it is recommended that all workers are given the opportunity to participate.</w:t>
      </w:r>
    </w:p>
    <w:p w14:paraId="766BD068" w14:textId="26FEF287" w:rsidR="00B74464" w:rsidRDefault="00B74464" w:rsidP="00317681"/>
    <w:p w14:paraId="407EE938" w14:textId="66862E87" w:rsidR="00F46A9A" w:rsidRDefault="00212EE8" w:rsidP="00317681">
      <w:r w:rsidRPr="00D63468">
        <w:t xml:space="preserve">Stress in the </w:t>
      </w:r>
      <w:r w:rsidR="007517F1" w:rsidRPr="00D63468">
        <w:t>workplace</w:t>
      </w:r>
      <w:r w:rsidRPr="00D63468">
        <w:t xml:space="preserve"> may also have an impact on home and social life. Therefore</w:t>
      </w:r>
      <w:r w:rsidR="00CB7A7B" w:rsidRPr="00D63468">
        <w:t>,</w:t>
      </w:r>
      <w:r w:rsidRPr="00D63468">
        <w:t xml:space="preserve"> h</w:t>
      </w:r>
      <w:r w:rsidR="00CD3B9E" w:rsidRPr="00D63468">
        <w:t>ealthcare workers</w:t>
      </w:r>
      <w:r w:rsidR="00AA3C12" w:rsidRPr="00D63468">
        <w:t>’</w:t>
      </w:r>
      <w:r w:rsidR="00CD3B9E" w:rsidRPr="00D63468">
        <w:t xml:space="preserve"> </w:t>
      </w:r>
      <w:r w:rsidR="00706D34">
        <w:t xml:space="preserve">assessment </w:t>
      </w:r>
      <w:r w:rsidRPr="00D63468">
        <w:t xml:space="preserve">of their quality of life </w:t>
      </w:r>
      <w:r w:rsidR="00CD3B9E" w:rsidRPr="00D63468">
        <w:t>were</w:t>
      </w:r>
      <w:r w:rsidRPr="00D63468">
        <w:t xml:space="preserve"> </w:t>
      </w:r>
      <w:r w:rsidR="00CD3B9E" w:rsidRPr="00D63468">
        <w:t>measured using</w:t>
      </w:r>
      <w:r w:rsidR="00F46A9A" w:rsidRPr="00D63468">
        <w:t xml:space="preserve"> the WHO Quality of Life BREF </w:t>
      </w:r>
      <w:r w:rsidR="00A33831" w:rsidRPr="00A33831">
        <w:t>[2</w:t>
      </w:r>
      <w:r w:rsidR="00A33831" w:rsidRPr="005512C0">
        <w:t>3]</w:t>
      </w:r>
      <w:r w:rsidR="00A33831" w:rsidRPr="00D63468">
        <w:t xml:space="preserve"> </w:t>
      </w:r>
      <w:r w:rsidR="00F46A9A" w:rsidRPr="00D63468">
        <w:t>questionnaire,</w:t>
      </w:r>
      <w:r w:rsidR="00CD3B9E" w:rsidRPr="00D63468">
        <w:t xml:space="preserve"> </w:t>
      </w:r>
      <w:r w:rsidR="00F46A9A" w:rsidRPr="00D63468">
        <w:t xml:space="preserve">which is based on the WHOQOL-100 and was developed to provide a shorter form for quality of life </w:t>
      </w:r>
      <w:r w:rsidR="00F46A9A" w:rsidRPr="002358EE">
        <w:t>assessment (QO</w:t>
      </w:r>
      <w:r w:rsidR="00F46A9A" w:rsidRPr="00A33831">
        <w:t>L)</w:t>
      </w:r>
      <w:r w:rsidR="00A33831">
        <w:t>.</w:t>
      </w:r>
      <w:r w:rsidR="00F46A9A" w:rsidRPr="002358EE">
        <w:t xml:space="preserve"> </w:t>
      </w:r>
      <w:r w:rsidR="00AA3C12" w:rsidRPr="00D63468">
        <w:t>The WHOQOL</w:t>
      </w:r>
      <w:r w:rsidR="00981653">
        <w:t xml:space="preserve"> BREF includes 26 of the</w:t>
      </w:r>
      <w:r w:rsidR="00F46A9A" w:rsidRPr="00D63468">
        <w:t xml:space="preserve"> 100 questions </w:t>
      </w:r>
      <w:r w:rsidR="00981653">
        <w:t xml:space="preserve">in </w:t>
      </w:r>
      <w:r w:rsidR="00F46A9A" w:rsidRPr="00D63468">
        <w:t>the WHOQOL–</w:t>
      </w:r>
      <w:r w:rsidR="00981653">
        <w:t>100</w:t>
      </w:r>
      <w:r w:rsidR="00F46A9A" w:rsidRPr="00D63468">
        <w:t xml:space="preserve"> </w:t>
      </w:r>
      <w:r w:rsidRPr="00D63468">
        <w:t>and</w:t>
      </w:r>
      <w:r w:rsidR="00FA68C9" w:rsidRPr="00D63468">
        <w:t xml:space="preserve"> </w:t>
      </w:r>
      <w:r w:rsidR="005A6B90" w:rsidRPr="00D63468">
        <w:t>includes</w:t>
      </w:r>
      <w:r w:rsidR="00095DFD" w:rsidRPr="00D63468">
        <w:t xml:space="preserve"> </w:t>
      </w:r>
      <w:r w:rsidR="00981653">
        <w:t xml:space="preserve">the same </w:t>
      </w:r>
      <w:r w:rsidR="00095DFD" w:rsidRPr="00D63468">
        <w:t xml:space="preserve">4 </w:t>
      </w:r>
      <w:r w:rsidR="005A6B90" w:rsidRPr="00D63468">
        <w:t xml:space="preserve">domains contributing to </w:t>
      </w:r>
      <w:r w:rsidR="00095DFD" w:rsidRPr="00D63468">
        <w:t>quality of life, 1)</w:t>
      </w:r>
      <w:r w:rsidR="00FA68C9" w:rsidRPr="00D63468">
        <w:t xml:space="preserve"> physical</w:t>
      </w:r>
      <w:r w:rsidR="00B736DD" w:rsidRPr="00D63468">
        <w:t xml:space="preserve"> health (</w:t>
      </w:r>
      <w:r w:rsidR="00A4152C">
        <w:t>seven</w:t>
      </w:r>
      <w:r w:rsidR="00981653">
        <w:t xml:space="preserve"> questions, </w:t>
      </w:r>
      <w:r w:rsidR="00B736DD" w:rsidRPr="00D63468">
        <w:t>e.g. activities of living, energy, fatigue)</w:t>
      </w:r>
      <w:r w:rsidR="00FA68C9" w:rsidRPr="00D63468">
        <w:t>,</w:t>
      </w:r>
      <w:r w:rsidR="00095DFD" w:rsidRPr="00D63468">
        <w:t xml:space="preserve"> 2)</w:t>
      </w:r>
      <w:r w:rsidR="00FA68C9" w:rsidRPr="00D63468">
        <w:t xml:space="preserve"> psychological</w:t>
      </w:r>
      <w:r w:rsidR="00B736DD" w:rsidRPr="00D63468">
        <w:t xml:space="preserve"> health (</w:t>
      </w:r>
      <w:r w:rsidR="00A4152C">
        <w:t>six</w:t>
      </w:r>
      <w:r w:rsidR="00981653">
        <w:t xml:space="preserve"> questions,</w:t>
      </w:r>
      <w:r w:rsidR="00A4152C">
        <w:t xml:space="preserve"> </w:t>
      </w:r>
      <w:r w:rsidR="00B736DD" w:rsidRPr="00D63468">
        <w:t>e.g. body image, negative feelings, self-esteem)</w:t>
      </w:r>
      <w:r w:rsidR="00FA68C9" w:rsidRPr="00D63468">
        <w:t xml:space="preserve">, </w:t>
      </w:r>
      <w:r w:rsidR="00095DFD" w:rsidRPr="00D63468">
        <w:t>3) social relationships</w:t>
      </w:r>
      <w:r w:rsidR="00B736DD" w:rsidRPr="00D63468">
        <w:t xml:space="preserve"> (</w:t>
      </w:r>
      <w:r w:rsidR="00A4152C">
        <w:t>three</w:t>
      </w:r>
      <w:r w:rsidR="00981653">
        <w:t xml:space="preserve"> questions,</w:t>
      </w:r>
      <w:r w:rsidR="00A4152C">
        <w:t xml:space="preserve"> </w:t>
      </w:r>
      <w:r w:rsidR="00B736DD" w:rsidRPr="00D63468">
        <w:t>e.g. personal relationships, social support)</w:t>
      </w:r>
      <w:r w:rsidR="008A7161" w:rsidRPr="00D63468">
        <w:t xml:space="preserve"> </w:t>
      </w:r>
      <w:r w:rsidR="00FA68C9" w:rsidRPr="00D63468">
        <w:t xml:space="preserve">and </w:t>
      </w:r>
      <w:r w:rsidR="00095DFD" w:rsidRPr="00D63468">
        <w:t xml:space="preserve">4) </w:t>
      </w:r>
      <w:r w:rsidR="00B736DD" w:rsidRPr="00D63468">
        <w:t xml:space="preserve">the </w:t>
      </w:r>
      <w:r w:rsidR="00FA68C9" w:rsidRPr="00D63468">
        <w:t>environment</w:t>
      </w:r>
      <w:r w:rsidR="00B736DD" w:rsidRPr="00D63468">
        <w:t xml:space="preserve"> (</w:t>
      </w:r>
      <w:r w:rsidR="00A4152C">
        <w:t xml:space="preserve">eight </w:t>
      </w:r>
      <w:r w:rsidR="00981653">
        <w:t>questions,</w:t>
      </w:r>
      <w:r w:rsidR="00A4152C">
        <w:t xml:space="preserve"> </w:t>
      </w:r>
      <w:r w:rsidR="00B736DD" w:rsidRPr="00D63468">
        <w:t>e.g. finance, home e</w:t>
      </w:r>
      <w:r w:rsidR="0013037F" w:rsidRPr="00D63468">
        <w:t>nvironment, freedom, transport)</w:t>
      </w:r>
      <w:r w:rsidR="004346F8">
        <w:t xml:space="preserve"> </w:t>
      </w:r>
      <w:r w:rsidR="00607CF7">
        <w:t>[</w:t>
      </w:r>
      <w:r w:rsidR="00C06928">
        <w:t>2</w:t>
      </w:r>
      <w:r w:rsidR="00A33831">
        <w:t>3</w:t>
      </w:r>
      <w:r w:rsidR="00607CF7">
        <w:t>]</w:t>
      </w:r>
      <w:r w:rsidR="00FA68C9" w:rsidRPr="00D63468">
        <w:t>.</w:t>
      </w:r>
      <w:r w:rsidR="00CB7A7B" w:rsidRPr="00D63468">
        <w:t xml:space="preserve"> </w:t>
      </w:r>
      <w:r w:rsidRPr="00D63468">
        <w:t>Scoring</w:t>
      </w:r>
      <w:r w:rsidR="0013037F" w:rsidRPr="00D63468">
        <w:t xml:space="preserve"> for each </w:t>
      </w:r>
      <w:r w:rsidR="00981653">
        <w:t xml:space="preserve">question </w:t>
      </w:r>
      <w:r w:rsidRPr="00D63468">
        <w:t xml:space="preserve">is </w:t>
      </w:r>
      <w:r w:rsidR="00981653">
        <w:t xml:space="preserve">on </w:t>
      </w:r>
      <w:r w:rsidRPr="00D63468">
        <w:t xml:space="preserve">a </w:t>
      </w:r>
      <w:r w:rsidRPr="00234C5D">
        <w:t>Likert scale from 1 to 5</w:t>
      </w:r>
      <w:r w:rsidR="00981653">
        <w:t>.</w:t>
      </w:r>
      <w:r w:rsidR="0013037F" w:rsidRPr="00234C5D">
        <w:t xml:space="preserve"> </w:t>
      </w:r>
      <w:r w:rsidR="00981653">
        <w:t xml:space="preserve">For each </w:t>
      </w:r>
      <w:r w:rsidR="00A2149D" w:rsidRPr="00234C5D">
        <w:t xml:space="preserve">domain </w:t>
      </w:r>
      <w:r w:rsidR="00981653">
        <w:t xml:space="preserve">raw </w:t>
      </w:r>
      <w:r w:rsidR="003A74C7" w:rsidRPr="00234C5D">
        <w:t xml:space="preserve">scores were </w:t>
      </w:r>
      <w:r w:rsidR="00981653">
        <w:t xml:space="preserve">averaged and </w:t>
      </w:r>
      <w:r w:rsidR="003A74C7" w:rsidRPr="00234C5D">
        <w:t xml:space="preserve">converted to </w:t>
      </w:r>
      <w:r w:rsidR="00981653">
        <w:t xml:space="preserve">percentage </w:t>
      </w:r>
      <w:r w:rsidR="003A74C7" w:rsidRPr="00234C5D">
        <w:t>scores as per WHO syntax for the WHOQOL</w:t>
      </w:r>
      <w:r w:rsidR="00CC7196">
        <w:t>-</w:t>
      </w:r>
      <w:r w:rsidR="003A74C7" w:rsidRPr="00234C5D">
        <w:t>BREF</w:t>
      </w:r>
      <w:r w:rsidR="00981653">
        <w:t>, with higher scores reflecting higher quality of life</w:t>
      </w:r>
      <w:r w:rsidR="003A74C7" w:rsidRPr="00234C5D">
        <w:t>.</w:t>
      </w:r>
      <w:r w:rsidR="00E4659E">
        <w:t xml:space="preserve"> The validated questionnaire has been used widely across a </w:t>
      </w:r>
      <w:r w:rsidR="006E6B6E">
        <w:t>variety</w:t>
      </w:r>
      <w:r w:rsidR="00E4659E">
        <w:t xml:space="preserve"> of </w:t>
      </w:r>
      <w:r w:rsidR="006E6B6E">
        <w:t>populations</w:t>
      </w:r>
      <w:r w:rsidR="00E4659E">
        <w:t xml:space="preserve"> and in </w:t>
      </w:r>
      <w:r w:rsidR="006E6B6E">
        <w:t xml:space="preserve">high, </w:t>
      </w:r>
      <w:r w:rsidR="002D336A">
        <w:t>low- and middle-income</w:t>
      </w:r>
      <w:r w:rsidR="006E6B6E">
        <w:t xml:space="preserve"> countries.</w:t>
      </w:r>
    </w:p>
    <w:p w14:paraId="048B777B" w14:textId="10613257" w:rsidR="007841F2" w:rsidRDefault="007841F2" w:rsidP="00317681"/>
    <w:p w14:paraId="6FBFA247" w14:textId="0F8C7FE1" w:rsidR="005A6B90" w:rsidRPr="00D63468" w:rsidRDefault="00106BE6" w:rsidP="00317681">
      <w:pPr>
        <w:pStyle w:val="Heading3"/>
      </w:pPr>
      <w:bookmarkStart w:id="4" w:name="_Hlk39669832"/>
      <w:r>
        <w:t xml:space="preserve">Programme for recognition and management of workplace-related </w:t>
      </w:r>
      <w:r w:rsidR="007841F2">
        <w:t>stress</w:t>
      </w:r>
      <w:bookmarkEnd w:id="4"/>
      <w:r w:rsidR="007841F2">
        <w:t xml:space="preserve">  </w:t>
      </w:r>
    </w:p>
    <w:p w14:paraId="016B86A5" w14:textId="18FA8F83" w:rsidR="00F46A9A" w:rsidRPr="00D63468" w:rsidRDefault="006D3261" w:rsidP="00317681">
      <w:bookmarkStart w:id="5" w:name="_Hlk39669802"/>
      <w:r>
        <w:t>A total of 52</w:t>
      </w:r>
      <w:r w:rsidR="00454D67">
        <w:t>, facility based,</w:t>
      </w:r>
      <w:r w:rsidR="004E20E0" w:rsidRPr="00D63468">
        <w:t xml:space="preserve"> </w:t>
      </w:r>
      <w:r w:rsidR="00235D07">
        <w:t>lead health care workers</w:t>
      </w:r>
      <w:r w:rsidR="00B07138">
        <w:t xml:space="preserve"> (a subset of the 222 participants)</w:t>
      </w:r>
      <w:r w:rsidR="004E20E0" w:rsidRPr="00D63468">
        <w:t xml:space="preserve"> </w:t>
      </w:r>
      <w:r>
        <w:t xml:space="preserve">(four </w:t>
      </w:r>
      <w:r w:rsidR="00EE2174" w:rsidRPr="00D63468">
        <w:t xml:space="preserve">from each </w:t>
      </w:r>
      <w:r w:rsidR="004C60BC">
        <w:t xml:space="preserve">of the 13 </w:t>
      </w:r>
      <w:r w:rsidR="00EE2174" w:rsidRPr="00D63468">
        <w:t>healthcare facilit</w:t>
      </w:r>
      <w:r>
        <w:t>ies</w:t>
      </w:r>
      <w:r w:rsidR="00EE2174" w:rsidRPr="00D63468">
        <w:t xml:space="preserve">) </w:t>
      </w:r>
      <w:r w:rsidR="004E20E0" w:rsidRPr="00D63468">
        <w:t>participate</w:t>
      </w:r>
      <w:r w:rsidR="005100B3" w:rsidRPr="00D63468">
        <w:t>d</w:t>
      </w:r>
      <w:r w:rsidR="004E20E0" w:rsidRPr="00D63468">
        <w:t xml:space="preserve"> in a </w:t>
      </w:r>
      <w:r w:rsidR="00706D34">
        <w:t>one-</w:t>
      </w:r>
      <w:r w:rsidR="00CB7A7B" w:rsidRPr="00D63468">
        <w:t xml:space="preserve">day </w:t>
      </w:r>
      <w:r w:rsidR="00DC779C">
        <w:t>stress management programme</w:t>
      </w:r>
      <w:r w:rsidR="00454D67">
        <w:t xml:space="preserve"> and</w:t>
      </w:r>
      <w:r w:rsidR="00682BBA">
        <w:t xml:space="preserve"> </w:t>
      </w:r>
      <w:r w:rsidR="00454D67">
        <w:t>in the completion of the questionnaires</w:t>
      </w:r>
      <w:r w:rsidR="00682BBA">
        <w:t xml:space="preserve"> with the remaining facility staff (total 222)</w:t>
      </w:r>
      <w:r w:rsidR="004E20E0" w:rsidRPr="00D63468">
        <w:t>.</w:t>
      </w:r>
      <w:r w:rsidR="00083097">
        <w:t xml:space="preserve"> </w:t>
      </w:r>
      <w:bookmarkEnd w:id="5"/>
      <w:r w:rsidR="00235D07">
        <w:t>The programme aimed to; 1) provide basic training for key health care workers in stress management who could then go on to provide support  in stress management</w:t>
      </w:r>
      <w:r w:rsidR="00106BE6">
        <w:t xml:space="preserve"> to staff in the</w:t>
      </w:r>
      <w:r w:rsidR="00235D07">
        <w:t>ir</w:t>
      </w:r>
      <w:r w:rsidR="00106BE6">
        <w:t xml:space="preserve"> </w:t>
      </w:r>
      <w:r w:rsidR="00235D07">
        <w:t>workplace; 2) provide participants with the basic skills to recognise risk factors for workers developing stress in their workplace</w:t>
      </w:r>
      <w:r w:rsidR="00106BE6">
        <w:t>.</w:t>
      </w:r>
      <w:r w:rsidR="00235D07">
        <w:t xml:space="preserve"> </w:t>
      </w:r>
      <w:r w:rsidR="00083097">
        <w:t xml:space="preserve">Participants </w:t>
      </w:r>
      <w:r w:rsidR="00106BE6">
        <w:t xml:space="preserve">for the </w:t>
      </w:r>
      <w:r w:rsidR="00D201D4">
        <w:t>programme</w:t>
      </w:r>
      <w:r w:rsidR="00106BE6">
        <w:t xml:space="preserve"> </w:t>
      </w:r>
      <w:r w:rsidR="00083097">
        <w:t xml:space="preserve">were selected in cooperation with the facility teams and the District Health Management teams based on their role in the facility and the level of managerial support they were </w:t>
      </w:r>
      <w:r w:rsidR="00083097">
        <w:lastRenderedPageBreak/>
        <w:t>expected to give.</w:t>
      </w:r>
      <w:r w:rsidR="00706D34">
        <w:t xml:space="preserve"> H</w:t>
      </w:r>
      <w:r w:rsidR="00062EC8" w:rsidRPr="00D63468">
        <w:t>ealth facility m</w:t>
      </w:r>
      <w:r w:rsidR="004E20E0" w:rsidRPr="00D63468">
        <w:t xml:space="preserve">anagers were included </w:t>
      </w:r>
      <w:r w:rsidR="00F46A9A" w:rsidRPr="00D63468">
        <w:t xml:space="preserve">in the training as they are often part of the support network for staff in Sierra Leone. </w:t>
      </w:r>
      <w:r w:rsidR="004E20E0" w:rsidRPr="00D63468">
        <w:t xml:space="preserve">The </w:t>
      </w:r>
      <w:r w:rsidR="00D201D4">
        <w:t>programme</w:t>
      </w:r>
      <w:r w:rsidR="00F46A9A" w:rsidRPr="00D63468">
        <w:t xml:space="preserve"> </w:t>
      </w:r>
      <w:r w:rsidR="0091326E" w:rsidRPr="00D63468">
        <w:t>help</w:t>
      </w:r>
      <w:r w:rsidR="00083097">
        <w:t>ed</w:t>
      </w:r>
      <w:r w:rsidR="005100B3" w:rsidRPr="00D63468">
        <w:t xml:space="preserve"> healthcare </w:t>
      </w:r>
      <w:r w:rsidR="007517F1" w:rsidRPr="00D63468">
        <w:t>work</w:t>
      </w:r>
      <w:r w:rsidR="005100B3" w:rsidRPr="00D63468">
        <w:t>ers to</w:t>
      </w:r>
      <w:r w:rsidR="00F46A9A" w:rsidRPr="00D63468">
        <w:t xml:space="preserve"> recognis</w:t>
      </w:r>
      <w:r w:rsidR="005100B3" w:rsidRPr="00D63468">
        <w:t>e</w:t>
      </w:r>
      <w:r w:rsidR="00F46A9A" w:rsidRPr="00D63468">
        <w:t xml:space="preserve"> and manag</w:t>
      </w:r>
      <w:r w:rsidR="005100B3" w:rsidRPr="00D63468">
        <w:t>e</w:t>
      </w:r>
      <w:r w:rsidR="00F46A9A" w:rsidRPr="00D63468">
        <w:t xml:space="preserve"> stress and </w:t>
      </w:r>
      <w:r w:rsidR="005100B3" w:rsidRPr="00D63468">
        <w:t xml:space="preserve">develop </w:t>
      </w:r>
      <w:r w:rsidR="00F46A9A" w:rsidRPr="00D63468">
        <w:t xml:space="preserve">resilience in the </w:t>
      </w:r>
      <w:r w:rsidR="007517F1" w:rsidRPr="00D63468">
        <w:t>workplace</w:t>
      </w:r>
      <w:r w:rsidR="005100B3" w:rsidRPr="00D63468">
        <w:t xml:space="preserve">. </w:t>
      </w:r>
      <w:r w:rsidR="00FD2D3D">
        <w:t xml:space="preserve">Participatory, student focused teaching techniques (for example group work, role play, </w:t>
      </w:r>
      <w:r w:rsidR="006279B6">
        <w:t>individual work)</w:t>
      </w:r>
      <w:r w:rsidR="00FD2D3D">
        <w:t xml:space="preserve"> were used to encourage participant interaction</w:t>
      </w:r>
      <w:r w:rsidR="006279B6">
        <w:t xml:space="preserve"> and engagement</w:t>
      </w:r>
      <w:r w:rsidR="00FD2D3D">
        <w:t>,</w:t>
      </w:r>
      <w:r w:rsidR="00FF570F">
        <w:t xml:space="preserve"> help to develop problem solving skills and facilitate learning </w:t>
      </w:r>
      <w:r w:rsidR="00A33831">
        <w:t>[24]</w:t>
      </w:r>
      <w:r w:rsidR="00FF570F">
        <w:t>. S</w:t>
      </w:r>
      <w:r w:rsidR="006279B6">
        <w:t>hort lectures and question and answer sessions</w:t>
      </w:r>
      <w:r w:rsidR="00FF570F">
        <w:t xml:space="preserve"> were also used to deliver some theoretical aspects of the course</w:t>
      </w:r>
      <w:r w:rsidR="006279B6">
        <w:t xml:space="preserve">. </w:t>
      </w:r>
      <w:r w:rsidR="00FD2D3D">
        <w:t xml:space="preserve"> </w:t>
      </w:r>
      <w:r w:rsidR="006279B6">
        <w:t xml:space="preserve">The sessions </w:t>
      </w:r>
      <w:r w:rsidR="00F46A9A" w:rsidRPr="00D63468">
        <w:t>includ</w:t>
      </w:r>
      <w:r w:rsidR="00706D34">
        <w:t>ed</w:t>
      </w:r>
      <w:r w:rsidR="005100B3" w:rsidRPr="00D63468">
        <w:t xml:space="preserve"> learning on:</w:t>
      </w:r>
      <w:r w:rsidR="00B736DD" w:rsidRPr="00D63468">
        <w:t xml:space="preserve"> </w:t>
      </w:r>
      <w:bookmarkStart w:id="6" w:name="_Hlk497482143"/>
      <w:r w:rsidR="0013037F" w:rsidRPr="00D63468">
        <w:t xml:space="preserve">1) </w:t>
      </w:r>
      <w:r w:rsidR="004C60BC">
        <w:t>t</w:t>
      </w:r>
      <w:r w:rsidR="00E3387A" w:rsidRPr="00D63468">
        <w:t xml:space="preserve">he </w:t>
      </w:r>
      <w:r w:rsidR="00F46A9A" w:rsidRPr="00D63468">
        <w:t xml:space="preserve">physical, emotional, behavioural and psychological </w:t>
      </w:r>
      <w:r w:rsidR="008A7161" w:rsidRPr="00D63468">
        <w:t xml:space="preserve">manifestations of stress </w:t>
      </w:r>
      <w:r w:rsidR="0091326E" w:rsidRPr="00D63468">
        <w:t>in a healthcare worker;</w:t>
      </w:r>
      <w:r w:rsidR="0013037F" w:rsidRPr="00D63468">
        <w:t xml:space="preserve"> 2) </w:t>
      </w:r>
      <w:r w:rsidR="004C60BC">
        <w:t>t</w:t>
      </w:r>
      <w:r w:rsidR="00E3387A" w:rsidRPr="00D63468">
        <w:t xml:space="preserve">he concept of </w:t>
      </w:r>
      <w:r w:rsidR="008A7161" w:rsidRPr="00D63468">
        <w:t xml:space="preserve">resilience and recognising </w:t>
      </w:r>
      <w:r w:rsidR="00B736DD" w:rsidRPr="00D63468">
        <w:t>this as</w:t>
      </w:r>
      <w:r w:rsidR="008A7161" w:rsidRPr="00D63468">
        <w:t xml:space="preserve"> a mixture of personal characteristics and skills which can be developed through training</w:t>
      </w:r>
      <w:r w:rsidR="00B736DD" w:rsidRPr="00D63468">
        <w:t xml:space="preserve">; </w:t>
      </w:r>
      <w:r w:rsidR="0091326E" w:rsidRPr="00D63468">
        <w:t xml:space="preserve">3) </w:t>
      </w:r>
      <w:r w:rsidR="004C60BC">
        <w:t>r</w:t>
      </w:r>
      <w:r w:rsidR="008A7161" w:rsidRPr="00D63468">
        <w:t>ecognising signature strengths, coping with challenging thoughts and using ‘tough’ experiences</w:t>
      </w:r>
      <w:r w:rsidR="00B736DD" w:rsidRPr="00D63468">
        <w:t xml:space="preserve">; </w:t>
      </w:r>
      <w:r w:rsidR="0091326E" w:rsidRPr="00D63468">
        <w:t xml:space="preserve">4) </w:t>
      </w:r>
      <w:r w:rsidR="004C60BC">
        <w:t>r</w:t>
      </w:r>
      <w:r w:rsidR="008A7161" w:rsidRPr="00D63468">
        <w:t xml:space="preserve">ecognising what makes </w:t>
      </w:r>
      <w:r w:rsidR="00B736DD" w:rsidRPr="00D63468">
        <w:t>one</w:t>
      </w:r>
      <w:r w:rsidR="008A7161" w:rsidRPr="00D63468">
        <w:t xml:space="preserve"> feel good including p</w:t>
      </w:r>
      <w:r w:rsidR="009B76AD" w:rsidRPr="00D63468">
        <w:t>h</w:t>
      </w:r>
      <w:r w:rsidR="008A7161" w:rsidRPr="00D63468">
        <w:t>y</w:t>
      </w:r>
      <w:r w:rsidR="009B76AD" w:rsidRPr="00D63468">
        <w:t>s</w:t>
      </w:r>
      <w:r w:rsidR="008A7161" w:rsidRPr="00D63468">
        <w:t>ical, spiritual and social support factors</w:t>
      </w:r>
      <w:r w:rsidR="00B736DD" w:rsidRPr="00D63468">
        <w:t xml:space="preserve"> and m</w:t>
      </w:r>
      <w:r w:rsidR="00F46A9A" w:rsidRPr="00D63468">
        <w:t>anaging stress through relaxation, coping mechanisms and mindfulness</w:t>
      </w:r>
      <w:bookmarkEnd w:id="6"/>
      <w:r w:rsidR="00AA4F58">
        <w:t>.</w:t>
      </w:r>
      <w:r w:rsidR="00F94EA9">
        <w:t xml:space="preserve"> On return to their </w:t>
      </w:r>
      <w:r w:rsidR="00215FA5">
        <w:t>work</w:t>
      </w:r>
      <w:r w:rsidR="006C2F01">
        <w:t xml:space="preserve"> </w:t>
      </w:r>
      <w:r w:rsidR="00215FA5">
        <w:t>place</w:t>
      </w:r>
      <w:r w:rsidR="00F94EA9">
        <w:t xml:space="preserve"> participants were expected to be better able to recognise risk factors for </w:t>
      </w:r>
      <w:r w:rsidR="00215FA5">
        <w:t>workplace</w:t>
      </w:r>
      <w:r w:rsidR="00F94EA9">
        <w:t xml:space="preserve"> stress in their areas, provide colleagues with training in the recognition and management of </w:t>
      </w:r>
      <w:r w:rsidR="00215FA5">
        <w:t>workplace</w:t>
      </w:r>
      <w:r w:rsidR="00F94EA9">
        <w:t xml:space="preserve"> stress and develop strategies to manage risk factors in their work area.</w:t>
      </w:r>
      <w:r w:rsidR="00FF570F">
        <w:t xml:space="preserve"> Between baseline and follow up </w:t>
      </w:r>
      <w:r w:rsidR="00A72FE4">
        <w:t>researchers</w:t>
      </w:r>
      <w:r w:rsidR="00FF570F">
        <w:t xml:space="preserve"> </w:t>
      </w:r>
      <w:r w:rsidR="00A72FE4">
        <w:t xml:space="preserve">from the Liverpool School of Tropical Medicine (LSTM) </w:t>
      </w:r>
      <w:r w:rsidR="00FF570F">
        <w:t xml:space="preserve">continued to liaise with the </w:t>
      </w:r>
      <w:r w:rsidR="00A72FE4">
        <w:t>relevant health care facilities to offer support and monitor use of the workshop. LSTM researchers were also asked by the Ministry of Health and Sanitation (MoHS) to provide similar but shorter training sessions for newly appointed health care workers in the year following the initial workshop.</w:t>
      </w:r>
    </w:p>
    <w:p w14:paraId="15190C22" w14:textId="4E5FEAEA" w:rsidR="00F46A9A" w:rsidRPr="00D63468" w:rsidRDefault="00F46A9A" w:rsidP="00317681"/>
    <w:p w14:paraId="3D91544B" w14:textId="70460652" w:rsidR="00132EF0" w:rsidRPr="00D63468" w:rsidRDefault="00E3387A" w:rsidP="00317681">
      <w:r w:rsidRPr="00D63468">
        <w:rPr>
          <w:rFonts w:eastAsia="Times New Roman" w:cs="Times New Roman"/>
        </w:rPr>
        <w:t xml:space="preserve">Before implementation, </w:t>
      </w:r>
      <w:r w:rsidRPr="00D63468">
        <w:t>t</w:t>
      </w:r>
      <w:r w:rsidR="00A2149D">
        <w:t>he content of the</w:t>
      </w:r>
      <w:r w:rsidR="00132EF0" w:rsidRPr="00D63468">
        <w:t xml:space="preserve"> </w:t>
      </w:r>
      <w:r w:rsidR="00D201D4">
        <w:t>programme</w:t>
      </w:r>
      <w:r w:rsidR="00132EF0" w:rsidRPr="00D63468">
        <w:t xml:space="preserve"> was </w:t>
      </w:r>
      <w:r w:rsidR="0091326E" w:rsidRPr="00D63468">
        <w:t>reviewed</w:t>
      </w:r>
      <w:r w:rsidR="00132EF0" w:rsidRPr="00D63468">
        <w:t xml:space="preserve"> </w:t>
      </w:r>
      <w:r w:rsidRPr="00D63468">
        <w:t xml:space="preserve">in consultation </w:t>
      </w:r>
      <w:r w:rsidR="00132EF0" w:rsidRPr="00D63468">
        <w:t xml:space="preserve">with local </w:t>
      </w:r>
      <w:r w:rsidR="00F94EA9">
        <w:t>health care providers</w:t>
      </w:r>
      <w:r w:rsidR="0091326E" w:rsidRPr="00D63468">
        <w:t xml:space="preserve"> to ensure all aspects were locally relevant.</w:t>
      </w:r>
      <w:r w:rsidRPr="00D63468">
        <w:t xml:space="preserve"> </w:t>
      </w:r>
      <w:r w:rsidR="0091326E" w:rsidRPr="00D63468">
        <w:t>All</w:t>
      </w:r>
      <w:r w:rsidR="00D201D4">
        <w:t xml:space="preserve"> training</w:t>
      </w:r>
      <w:r w:rsidRPr="00D63468">
        <w:t xml:space="preserve"> w</w:t>
      </w:r>
      <w:r w:rsidR="00D201D4">
        <w:t>as</w:t>
      </w:r>
      <w:r w:rsidR="00132EF0" w:rsidRPr="00D63468">
        <w:t xml:space="preserve"> facilitated</w:t>
      </w:r>
      <w:r w:rsidRPr="00D63468">
        <w:t xml:space="preserve"> in</w:t>
      </w:r>
      <w:r w:rsidR="0091326E" w:rsidRPr="00D63468">
        <w:t>-</w:t>
      </w:r>
      <w:r w:rsidRPr="00D63468">
        <w:t xml:space="preserve">country </w:t>
      </w:r>
      <w:r w:rsidR="0091326E" w:rsidRPr="00D63468">
        <w:t xml:space="preserve">jointly </w:t>
      </w:r>
      <w:r w:rsidR="003E584E">
        <w:t xml:space="preserve">by </w:t>
      </w:r>
      <w:r w:rsidRPr="00D63468">
        <w:t xml:space="preserve">national </w:t>
      </w:r>
      <w:r w:rsidR="003E584E">
        <w:t xml:space="preserve">and international </w:t>
      </w:r>
      <w:r w:rsidRPr="00D63468">
        <w:t>facilitators</w:t>
      </w:r>
      <w:r w:rsidR="007856C2">
        <w:t xml:space="preserve"> using </w:t>
      </w:r>
      <w:r w:rsidR="00706D34">
        <w:t>a participatory adult learning approach which included</w:t>
      </w:r>
      <w:r w:rsidR="007856C2">
        <w:t xml:space="preserve"> group work, discussion and </w:t>
      </w:r>
      <w:r w:rsidR="00706D34">
        <w:t xml:space="preserve">self-led </w:t>
      </w:r>
      <w:r w:rsidR="007856C2">
        <w:t>participant exercises</w:t>
      </w:r>
      <w:r w:rsidR="00132EF0" w:rsidRPr="00D63468">
        <w:t xml:space="preserve">. </w:t>
      </w:r>
    </w:p>
    <w:p w14:paraId="7CF343EC" w14:textId="039180F8" w:rsidR="004E20E0" w:rsidRDefault="004E20E0" w:rsidP="00317681"/>
    <w:p w14:paraId="1B81BCB2" w14:textId="77777777" w:rsidR="00CD3B9E" w:rsidRPr="00D63468" w:rsidRDefault="00BA3F93" w:rsidP="00317681">
      <w:pPr>
        <w:pStyle w:val="Heading3"/>
      </w:pPr>
      <w:r w:rsidRPr="00D63468">
        <w:t>Data analysis</w:t>
      </w:r>
    </w:p>
    <w:p w14:paraId="3FEAC4DC" w14:textId="4BD5945E" w:rsidR="00387672" w:rsidRPr="00D63468" w:rsidRDefault="00387672" w:rsidP="00317681">
      <w:r w:rsidRPr="00D63468">
        <w:t xml:space="preserve">For the HSE questionnaire, descriptive analysis was used to provide information on </w:t>
      </w:r>
      <w:r w:rsidR="0091326E" w:rsidRPr="00D63468">
        <w:t xml:space="preserve">each of the </w:t>
      </w:r>
      <w:r w:rsidR="006151D0">
        <w:t xml:space="preserve">seven </w:t>
      </w:r>
      <w:r w:rsidR="00D201D4">
        <w:t>competency</w:t>
      </w:r>
      <w:r w:rsidR="0091326E" w:rsidRPr="00D63468">
        <w:t xml:space="preserve"> </w:t>
      </w:r>
      <w:r w:rsidRPr="00D63468">
        <w:t>areas; demands, control, support</w:t>
      </w:r>
      <w:r w:rsidR="006151D0">
        <w:t xml:space="preserve"> (man</w:t>
      </w:r>
      <w:r w:rsidR="002D52A4">
        <w:t>a</w:t>
      </w:r>
      <w:r w:rsidR="006151D0">
        <w:t>gers and peer)</w:t>
      </w:r>
      <w:r w:rsidRPr="00D63468">
        <w:t xml:space="preserve">, relationships, role and </w:t>
      </w:r>
      <w:r w:rsidR="0091326E" w:rsidRPr="00D63468">
        <w:t xml:space="preserve">organisational </w:t>
      </w:r>
      <w:r w:rsidRPr="00D63468">
        <w:t xml:space="preserve">change. </w:t>
      </w:r>
      <w:r w:rsidR="00952BF3">
        <w:t>Scores for each area and overall were calculated both for baseline</w:t>
      </w:r>
      <w:r w:rsidR="00106BE6">
        <w:t xml:space="preserve"> (before </w:t>
      </w:r>
      <w:r w:rsidR="00D201D4">
        <w:t>the training programme</w:t>
      </w:r>
      <w:r w:rsidR="00106BE6">
        <w:t xml:space="preserve">) </w:t>
      </w:r>
      <w:r w:rsidR="00952BF3">
        <w:t>and for follow up.  Baseline scores for each area and overall were analysed using three-way analysis of variance with factors for district, cadre</w:t>
      </w:r>
      <w:r w:rsidR="00592141">
        <w:t xml:space="preserve"> (5 categories excluding 1 doctor and 4 managers)</w:t>
      </w:r>
      <w:r w:rsidR="00952BF3">
        <w:t xml:space="preserve"> and facility type to identify any </w:t>
      </w:r>
      <w:r w:rsidR="00B21DDE">
        <w:t xml:space="preserve">pre-existing </w:t>
      </w:r>
      <w:r w:rsidR="00952BF3">
        <w:t xml:space="preserve">statistically significant differences between categories for these factors.  Follow up </w:t>
      </w:r>
      <w:r w:rsidRPr="00D63468">
        <w:t xml:space="preserve">scores </w:t>
      </w:r>
      <w:r w:rsidR="00952BF3">
        <w:t xml:space="preserve">were compared with baseline scores for each </w:t>
      </w:r>
      <w:r w:rsidRPr="00D63468">
        <w:t xml:space="preserve">area </w:t>
      </w:r>
      <w:r w:rsidR="006151D0">
        <w:t xml:space="preserve">and overall </w:t>
      </w:r>
      <w:r w:rsidRPr="00D63468">
        <w:t xml:space="preserve">were </w:t>
      </w:r>
      <w:r w:rsidR="0091326E" w:rsidRPr="00D63468">
        <w:t>compared</w:t>
      </w:r>
      <w:r w:rsidR="006151D0">
        <w:t xml:space="preserve"> using paired </w:t>
      </w:r>
      <w:r w:rsidR="00B21DDE">
        <w:t>t-</w:t>
      </w:r>
      <w:r w:rsidR="006151D0">
        <w:t>tests</w:t>
      </w:r>
      <w:r w:rsidRPr="00D63468">
        <w:t>.</w:t>
      </w:r>
      <w:r w:rsidR="00A33831">
        <w:t xml:space="preserve"> </w:t>
      </w:r>
      <w:r w:rsidR="005161CA">
        <w:t xml:space="preserve">To examine whether cadre, district or facility type influenced any change in scores analysis of covariance </w:t>
      </w:r>
      <w:r w:rsidR="009442B3">
        <w:t xml:space="preserve">(ANCOVA) </w:t>
      </w:r>
      <w:r w:rsidR="005161CA">
        <w:t xml:space="preserve">was used, with the scores after training as the response, scores </w:t>
      </w:r>
      <w:r w:rsidR="00106BE6">
        <w:t>at baseline</w:t>
      </w:r>
      <w:r w:rsidR="005161CA">
        <w:t xml:space="preserve"> as covariates</w:t>
      </w:r>
      <w:r w:rsidR="00B21DDE">
        <w:t xml:space="preserve"> (to estimate the contribution of the baseline score to the follow up score)</w:t>
      </w:r>
      <w:r w:rsidR="005161CA">
        <w:t xml:space="preserve"> and factors for each of cadre, district and facility type</w:t>
      </w:r>
      <w:r w:rsidR="00D201D4">
        <w:t xml:space="preserve"> </w:t>
      </w:r>
      <w:r w:rsidR="00B21DDE">
        <w:t>(to estimate any differences after accounting for baseline differences)</w:t>
      </w:r>
      <w:r w:rsidR="005161CA">
        <w:t>.</w:t>
      </w:r>
      <w:r w:rsidR="00D201D4">
        <w:t xml:space="preserve"> </w:t>
      </w:r>
      <w:r w:rsidR="00B21DDE">
        <w:t>Estimated differences are reported with 95% confidence intervals.</w:t>
      </w:r>
    </w:p>
    <w:p w14:paraId="55FFFF73" w14:textId="77777777" w:rsidR="00387672" w:rsidRPr="00D63468" w:rsidRDefault="00387672" w:rsidP="00317681"/>
    <w:p w14:paraId="1CF431EC" w14:textId="18708253" w:rsidR="00F35C14" w:rsidRPr="00D63468" w:rsidRDefault="00952BF3" w:rsidP="00317681">
      <w:pPr>
        <w:rPr>
          <w:color w:val="111111"/>
          <w:lang w:eastAsia="en-GB"/>
        </w:rPr>
      </w:pPr>
      <w:r>
        <w:t xml:space="preserve">Scores for each domain of the </w:t>
      </w:r>
      <w:r w:rsidR="00132EF0" w:rsidRPr="00D63468">
        <w:t>WHOQOL</w:t>
      </w:r>
      <w:r w:rsidR="00387672" w:rsidRPr="00D63468">
        <w:t>-</w:t>
      </w:r>
      <w:r w:rsidR="00132EF0" w:rsidRPr="00D63468">
        <w:t xml:space="preserve">BREF </w:t>
      </w:r>
      <w:r>
        <w:t xml:space="preserve">and overall were derived </w:t>
      </w:r>
      <w:r w:rsidR="006358D2" w:rsidRPr="00D63468">
        <w:t>following the syntax</w:t>
      </w:r>
      <w:r w:rsidR="00BA3F93" w:rsidRPr="00D63468">
        <w:t xml:space="preserve"> provided by WHO</w:t>
      </w:r>
      <w:r w:rsidR="00A244C4" w:rsidRPr="00D63468">
        <w:t xml:space="preserve"> (</w:t>
      </w:r>
      <w:hyperlink r:id="rId17" w:history="1">
        <w:r w:rsidR="00A244C4" w:rsidRPr="00D63468">
          <w:rPr>
            <w:rStyle w:val="Hyperlink"/>
            <w:rFonts w:ascii="Calibri" w:eastAsia="Times New Roman" w:hAnsi="Calibri" w:cs="Arial"/>
            <w:spacing w:val="-2"/>
          </w:rPr>
          <w:t>http://www.who.int/mental_health/media/en/76.pdf</w:t>
        </w:r>
      </w:hyperlink>
      <w:r w:rsidR="00A244C4" w:rsidRPr="00D63468">
        <w:t xml:space="preserve">) </w:t>
      </w:r>
      <w:r w:rsidR="00BA3F93" w:rsidRPr="00D63468">
        <w:t xml:space="preserve">The mean score for each </w:t>
      </w:r>
      <w:r w:rsidR="00A244C4" w:rsidRPr="00D63468">
        <w:t>question</w:t>
      </w:r>
      <w:r w:rsidR="00BA3F93" w:rsidRPr="00D63468">
        <w:t xml:space="preserve"> within </w:t>
      </w:r>
      <w:r w:rsidR="00A244C4" w:rsidRPr="00D63468">
        <w:t>each</w:t>
      </w:r>
      <w:r w:rsidR="00BA3F93" w:rsidRPr="00D63468">
        <w:t xml:space="preserve"> domain </w:t>
      </w:r>
      <w:r w:rsidR="00061873" w:rsidRPr="00D63468">
        <w:t xml:space="preserve">was used to </w:t>
      </w:r>
      <w:r w:rsidR="00BA3F93" w:rsidRPr="00D63468">
        <w:t xml:space="preserve">calculate the </w:t>
      </w:r>
      <w:r w:rsidR="00061873" w:rsidRPr="00D63468">
        <w:t xml:space="preserve">overall </w:t>
      </w:r>
      <w:r w:rsidR="00BA3F93" w:rsidRPr="00D63468">
        <w:t xml:space="preserve">domain score. </w:t>
      </w:r>
      <w:r w:rsidR="00387672" w:rsidRPr="00D63468">
        <w:t>M</w:t>
      </w:r>
      <w:r w:rsidR="00061873" w:rsidRPr="00D63468">
        <w:t>ean scores were</w:t>
      </w:r>
      <w:r w:rsidR="00BA3F93" w:rsidRPr="00D63468">
        <w:t xml:space="preserve"> multiplied by 4 to make them comparable with the scores used in the WHOQOL-100.</w:t>
      </w:r>
      <w:r w:rsidR="0012261A" w:rsidRPr="00D63468">
        <w:t xml:space="preserve"> W</w:t>
      </w:r>
      <w:r w:rsidR="00BA3F93" w:rsidRPr="00D63468">
        <w:t xml:space="preserve">here 20% of data </w:t>
      </w:r>
      <w:r w:rsidR="0012261A" w:rsidRPr="00D63468">
        <w:t>wa</w:t>
      </w:r>
      <w:r w:rsidR="00BA3F93" w:rsidRPr="00D63468">
        <w:t xml:space="preserve">s missing from </w:t>
      </w:r>
      <w:r w:rsidR="00B21DDE">
        <w:t>the WHOQOL-BREF</w:t>
      </w:r>
      <w:r w:rsidR="004639C3" w:rsidRPr="00D63468">
        <w:t xml:space="preserve"> question</w:t>
      </w:r>
      <w:r w:rsidR="00B21DDE">
        <w:t>s</w:t>
      </w:r>
      <w:r w:rsidR="004639C3" w:rsidRPr="00D63468">
        <w:t xml:space="preserve"> </w:t>
      </w:r>
      <w:r w:rsidR="00981653">
        <w:t xml:space="preserve">the data for </w:t>
      </w:r>
      <w:r w:rsidR="00844670">
        <w:t xml:space="preserve">that domain for </w:t>
      </w:r>
      <w:r w:rsidR="00981653">
        <w:t xml:space="preserve">the respondent was </w:t>
      </w:r>
      <w:r w:rsidR="00BA3F93" w:rsidRPr="00D63468">
        <w:t xml:space="preserve">discarded. </w:t>
      </w:r>
      <w:r w:rsidR="00B21DDE">
        <w:t>Otherwise, w</w:t>
      </w:r>
      <w:r w:rsidR="00BA3F93" w:rsidRPr="00D63468">
        <w:t xml:space="preserve">here an item </w:t>
      </w:r>
      <w:r w:rsidR="0012261A" w:rsidRPr="00D63468">
        <w:t>was</w:t>
      </w:r>
      <w:r w:rsidR="00BA3F93" w:rsidRPr="00D63468">
        <w:t xml:space="preserve"> missing the mean of the other items </w:t>
      </w:r>
      <w:r w:rsidR="004C60BC">
        <w:t>was</w:t>
      </w:r>
      <w:r w:rsidR="00BA3F93" w:rsidRPr="00D63468">
        <w:t xml:space="preserve"> subs</w:t>
      </w:r>
      <w:r w:rsidR="004639C3" w:rsidRPr="00D63468">
        <w:t>tituted.</w:t>
      </w:r>
      <w:r w:rsidR="00F35C14" w:rsidRPr="00D63468">
        <w:t xml:space="preserve"> </w:t>
      </w:r>
      <w:r w:rsidR="008D5BD1" w:rsidRPr="00D63468">
        <w:t>Population n</w:t>
      </w:r>
      <w:r w:rsidR="00F35C14" w:rsidRPr="00D63468">
        <w:rPr>
          <w:color w:val="111111"/>
          <w:lang w:eastAsia="en-GB"/>
        </w:rPr>
        <w:t>orms for the four domains</w:t>
      </w:r>
      <w:r w:rsidR="00DC789E" w:rsidRPr="00D63468">
        <w:rPr>
          <w:color w:val="111111"/>
          <w:lang w:eastAsia="en-GB"/>
        </w:rPr>
        <w:t xml:space="preserve"> </w:t>
      </w:r>
      <w:r w:rsidR="008D5BD1" w:rsidRPr="00D63468">
        <w:rPr>
          <w:color w:val="111111"/>
          <w:lang w:eastAsia="en-GB"/>
        </w:rPr>
        <w:t xml:space="preserve">were calculated in a study by </w:t>
      </w:r>
      <w:r w:rsidR="008D5BD1" w:rsidRPr="00DC48A7">
        <w:rPr>
          <w:color w:val="111111"/>
          <w:lang w:eastAsia="en-GB"/>
        </w:rPr>
        <w:t>Hawthorne et al (2005)</w:t>
      </w:r>
      <w:r w:rsidR="008D5BD1" w:rsidRPr="00D63468">
        <w:rPr>
          <w:color w:val="111111"/>
          <w:lang w:eastAsia="en-GB"/>
        </w:rPr>
        <w:t xml:space="preserve"> using </w:t>
      </w:r>
      <w:r w:rsidR="00DC789E" w:rsidRPr="00D63468">
        <w:rPr>
          <w:color w:val="111111"/>
          <w:lang w:eastAsia="en-GB"/>
        </w:rPr>
        <w:t>random</w:t>
      </w:r>
      <w:r w:rsidR="008D5BD1" w:rsidRPr="00D63468">
        <w:rPr>
          <w:color w:val="111111"/>
          <w:lang w:eastAsia="en-GB"/>
        </w:rPr>
        <w:t>ly</w:t>
      </w:r>
      <w:r w:rsidR="00DC789E" w:rsidRPr="00D63468">
        <w:rPr>
          <w:color w:val="111111"/>
          <w:lang w:eastAsia="en-GB"/>
        </w:rPr>
        <w:t xml:space="preserve"> sample</w:t>
      </w:r>
      <w:r w:rsidR="008D5BD1" w:rsidRPr="00D63468">
        <w:rPr>
          <w:color w:val="111111"/>
          <w:lang w:eastAsia="en-GB"/>
        </w:rPr>
        <w:t>d</w:t>
      </w:r>
      <w:r w:rsidR="00F35C14" w:rsidRPr="00D63468">
        <w:rPr>
          <w:color w:val="111111"/>
          <w:lang w:eastAsia="en-GB"/>
        </w:rPr>
        <w:t xml:space="preserve"> </w:t>
      </w:r>
      <w:r w:rsidR="008D5BD1" w:rsidRPr="00D63468">
        <w:rPr>
          <w:color w:val="111111"/>
          <w:lang w:eastAsia="en-GB"/>
        </w:rPr>
        <w:t>communities</w:t>
      </w:r>
      <w:r w:rsidR="002278F5">
        <w:rPr>
          <w:color w:val="111111"/>
          <w:lang w:eastAsia="en-GB"/>
        </w:rPr>
        <w:t xml:space="preserve"> from Victoria, Australia</w:t>
      </w:r>
      <w:r w:rsidR="008D5BD1" w:rsidRPr="00D63468">
        <w:rPr>
          <w:color w:val="111111"/>
          <w:lang w:eastAsia="en-GB"/>
        </w:rPr>
        <w:t xml:space="preserve"> </w:t>
      </w:r>
      <w:r w:rsidR="007209F6">
        <w:rPr>
          <w:color w:val="111111"/>
          <w:lang w:eastAsia="en-GB"/>
        </w:rPr>
        <w:t>in</w:t>
      </w:r>
      <w:r w:rsidR="008D5BD1" w:rsidRPr="00D63468">
        <w:rPr>
          <w:color w:val="111111"/>
          <w:lang w:eastAsia="en-GB"/>
        </w:rPr>
        <w:t xml:space="preserve"> two studies</w:t>
      </w:r>
      <w:r w:rsidR="004346F8">
        <w:rPr>
          <w:color w:val="111111"/>
          <w:lang w:eastAsia="en-GB"/>
        </w:rPr>
        <w:t xml:space="preserve"> </w:t>
      </w:r>
      <w:r w:rsidR="00572380">
        <w:rPr>
          <w:color w:val="111111"/>
          <w:lang w:eastAsia="en-GB"/>
        </w:rPr>
        <w:t>[</w:t>
      </w:r>
      <w:r w:rsidR="00C06928" w:rsidRPr="00B061AF">
        <w:rPr>
          <w:color w:val="111111"/>
          <w:lang w:eastAsia="en-GB"/>
        </w:rPr>
        <w:t>2</w:t>
      </w:r>
      <w:r w:rsidR="004F71D8">
        <w:rPr>
          <w:color w:val="111111"/>
          <w:lang w:eastAsia="en-GB"/>
        </w:rPr>
        <w:t>5</w:t>
      </w:r>
      <w:r w:rsidR="00607CF7">
        <w:rPr>
          <w:color w:val="111111"/>
          <w:lang w:eastAsia="en-GB"/>
        </w:rPr>
        <w:t>]</w:t>
      </w:r>
      <w:r w:rsidR="008D5BD1" w:rsidRPr="00D63468">
        <w:rPr>
          <w:color w:val="111111"/>
          <w:lang w:eastAsia="en-GB"/>
        </w:rPr>
        <w:t xml:space="preserve">. </w:t>
      </w:r>
      <w:r w:rsidR="00B736DD" w:rsidRPr="00D63468">
        <w:rPr>
          <w:color w:val="111111"/>
          <w:lang w:eastAsia="en-GB"/>
        </w:rPr>
        <w:t>These</w:t>
      </w:r>
      <w:r w:rsidR="000B14D5" w:rsidRPr="00D63468">
        <w:rPr>
          <w:color w:val="111111"/>
          <w:lang w:eastAsia="en-GB"/>
        </w:rPr>
        <w:t xml:space="preserve"> were us</w:t>
      </w:r>
      <w:r w:rsidR="00B736DD" w:rsidRPr="00D63468">
        <w:rPr>
          <w:color w:val="111111"/>
          <w:lang w:eastAsia="en-GB"/>
        </w:rPr>
        <w:t xml:space="preserve">ed as </w:t>
      </w:r>
      <w:r w:rsidR="00C9775C">
        <w:rPr>
          <w:color w:val="111111"/>
          <w:lang w:eastAsia="en-GB"/>
        </w:rPr>
        <w:t xml:space="preserve">the </w:t>
      </w:r>
      <w:r w:rsidR="00C9775C">
        <w:rPr>
          <w:color w:val="111111"/>
          <w:lang w:eastAsia="en-GB"/>
        </w:rPr>
        <w:lastRenderedPageBreak/>
        <w:t>international standard for comparison</w:t>
      </w:r>
      <w:r w:rsidR="00B736DD" w:rsidRPr="00D63468">
        <w:rPr>
          <w:color w:val="111111"/>
          <w:lang w:eastAsia="en-GB"/>
        </w:rPr>
        <w:t xml:space="preserve"> in this study</w:t>
      </w:r>
      <w:r w:rsidR="00C9775C">
        <w:rPr>
          <w:color w:val="111111"/>
          <w:lang w:eastAsia="en-GB"/>
        </w:rPr>
        <w:t>.</w:t>
      </w:r>
      <w:r w:rsidR="00B736DD" w:rsidRPr="00D63468">
        <w:rPr>
          <w:color w:val="111111"/>
          <w:lang w:eastAsia="en-GB"/>
        </w:rPr>
        <w:t xml:space="preserve"> </w:t>
      </w:r>
      <w:r w:rsidR="00C9775C">
        <w:rPr>
          <w:color w:val="111111"/>
          <w:lang w:eastAsia="en-GB"/>
        </w:rPr>
        <w:t>The values are provided by domain:</w:t>
      </w:r>
      <w:r w:rsidR="00B736DD" w:rsidRPr="00D63468">
        <w:rPr>
          <w:color w:val="111111"/>
          <w:lang w:eastAsia="en-GB"/>
        </w:rPr>
        <w:t xml:space="preserve"> </w:t>
      </w:r>
      <w:r w:rsidR="00F35C14" w:rsidRPr="00D63468">
        <w:rPr>
          <w:color w:val="111111"/>
          <w:lang w:eastAsia="en-GB"/>
        </w:rPr>
        <w:t>Physical health 73.5 (SD = 18.1)</w:t>
      </w:r>
      <w:r w:rsidR="00B736DD" w:rsidRPr="00D63468">
        <w:rPr>
          <w:color w:val="111111"/>
          <w:lang w:eastAsia="en-GB"/>
        </w:rPr>
        <w:t xml:space="preserve">; </w:t>
      </w:r>
      <w:r w:rsidR="00F35C14" w:rsidRPr="00D63468">
        <w:rPr>
          <w:color w:val="111111"/>
          <w:lang w:eastAsia="en-GB"/>
        </w:rPr>
        <w:t>Psychological wellbeing 70.6 (14.0)</w:t>
      </w:r>
      <w:r w:rsidR="00B736DD" w:rsidRPr="00D63468">
        <w:rPr>
          <w:color w:val="111111"/>
          <w:lang w:eastAsia="en-GB"/>
        </w:rPr>
        <w:t xml:space="preserve">; </w:t>
      </w:r>
      <w:r w:rsidR="00F35C14" w:rsidRPr="00D63468">
        <w:rPr>
          <w:color w:val="111111"/>
          <w:lang w:eastAsia="en-GB"/>
        </w:rPr>
        <w:t>Social relationships 71.5 (SD 18.2)</w:t>
      </w:r>
      <w:r w:rsidR="00B736DD" w:rsidRPr="00D63468">
        <w:rPr>
          <w:color w:val="111111"/>
          <w:lang w:eastAsia="en-GB"/>
        </w:rPr>
        <w:t xml:space="preserve"> and </w:t>
      </w:r>
      <w:r w:rsidR="00F35C14" w:rsidRPr="00D63468">
        <w:rPr>
          <w:color w:val="111111"/>
          <w:lang w:eastAsia="en-GB"/>
        </w:rPr>
        <w:t>Environment 75.1 (SD 13.0)</w:t>
      </w:r>
      <w:r w:rsidR="00B736DD" w:rsidRPr="00D63468">
        <w:rPr>
          <w:color w:val="111111"/>
          <w:lang w:eastAsia="en-GB"/>
        </w:rPr>
        <w:t>.</w:t>
      </w:r>
    </w:p>
    <w:p w14:paraId="0C374048" w14:textId="77777777" w:rsidR="003A0E49" w:rsidRPr="00D63468" w:rsidRDefault="003A0E49" w:rsidP="00317681"/>
    <w:p w14:paraId="7D3A80A9" w14:textId="2879595E" w:rsidR="0012261A" w:rsidRPr="00D63468" w:rsidRDefault="00153E79" w:rsidP="00317681">
      <w:pPr>
        <w:pStyle w:val="Heading2"/>
      </w:pPr>
      <w:bookmarkStart w:id="7" w:name="_Hlk504745761"/>
      <w:r w:rsidRPr="00D63468">
        <w:t>R</w:t>
      </w:r>
      <w:r w:rsidR="00102CE0" w:rsidRPr="00D63468">
        <w:t>esult</w:t>
      </w:r>
      <w:r w:rsidR="00AE2056" w:rsidRPr="00D63468">
        <w:t>s</w:t>
      </w:r>
    </w:p>
    <w:p w14:paraId="33F42053" w14:textId="454CD370" w:rsidR="00740485" w:rsidRDefault="00DB623B" w:rsidP="00317681">
      <w:r>
        <w:t xml:space="preserve">All 222 workers in the facilities agreed to participate in the study. </w:t>
      </w:r>
      <w:r w:rsidR="00A04EA6">
        <w:t xml:space="preserve">Of </w:t>
      </w:r>
      <w:r>
        <w:t xml:space="preserve">the </w:t>
      </w:r>
      <w:r w:rsidR="00A04EA6">
        <w:t xml:space="preserve">222 workers assessed at baseline 156 were re-assessed. </w:t>
      </w:r>
      <w:r w:rsidR="00B36DE4">
        <w:t>At baseline</w:t>
      </w:r>
      <w:r w:rsidR="0066063E">
        <w:t>,</w:t>
      </w:r>
      <w:r w:rsidR="00B36DE4">
        <w:t xml:space="preserve"> 222 </w:t>
      </w:r>
      <w:r w:rsidR="0012261A" w:rsidRPr="00D63468">
        <w:t xml:space="preserve">participants </w:t>
      </w:r>
      <w:r w:rsidR="00153E79" w:rsidRPr="00D63468">
        <w:t xml:space="preserve">completed the HSE questionnaire </w:t>
      </w:r>
      <w:r w:rsidR="000F1730" w:rsidRPr="00D63468">
        <w:t>and the WHOQOL-BREF</w:t>
      </w:r>
      <w:r w:rsidR="00B36DE4">
        <w:t xml:space="preserve">. Of these 156 completed at least one of the </w:t>
      </w:r>
      <w:r w:rsidR="00570756">
        <w:t>questionnaires</w:t>
      </w:r>
      <w:r w:rsidR="000F1730" w:rsidRPr="00D63468">
        <w:t xml:space="preserve"> </w:t>
      </w:r>
      <w:r w:rsidR="00153E79" w:rsidRPr="00D63468">
        <w:t xml:space="preserve">at </w:t>
      </w:r>
      <w:r w:rsidR="00B47252" w:rsidRPr="00D63468">
        <w:t>follow-up</w:t>
      </w:r>
      <w:r w:rsidR="00B36DE4">
        <w:t xml:space="preserve"> (two participants only completed one but not the other of the two </w:t>
      </w:r>
      <w:r w:rsidR="00570756">
        <w:t>questionnaires</w:t>
      </w:r>
      <w:r w:rsidR="00B36DE4">
        <w:t>)</w:t>
      </w:r>
      <w:r w:rsidR="00153E79" w:rsidRPr="00D63468">
        <w:t xml:space="preserve">. </w:t>
      </w:r>
      <w:r w:rsidR="000F1730" w:rsidRPr="00D63468">
        <w:t>The majority of respondent</w:t>
      </w:r>
      <w:r w:rsidR="001736E0">
        <w:t>s</w:t>
      </w:r>
      <w:r w:rsidR="000F1730" w:rsidRPr="00D63468">
        <w:t xml:space="preserve"> were female (1</w:t>
      </w:r>
      <w:r w:rsidR="00C961F2">
        <w:t>99</w:t>
      </w:r>
      <w:r w:rsidR="000F1730" w:rsidRPr="00D63468">
        <w:t>/</w:t>
      </w:r>
      <w:r w:rsidR="00C961F2">
        <w:t>222</w:t>
      </w:r>
      <w:r w:rsidR="000F1730" w:rsidRPr="00D63468">
        <w:t xml:space="preserve">, </w:t>
      </w:r>
      <w:r w:rsidR="00B36DE4">
        <w:t>8</w:t>
      </w:r>
      <w:r w:rsidR="00C961F2">
        <w:t>9</w:t>
      </w:r>
      <w:r w:rsidR="000A66AD">
        <w:t>.</w:t>
      </w:r>
      <w:r w:rsidR="00C961F2">
        <w:t>6</w:t>
      </w:r>
      <w:r w:rsidR="000F1730" w:rsidRPr="00D63468">
        <w:t xml:space="preserve">%) and aged between </w:t>
      </w:r>
      <w:r w:rsidR="00317681" w:rsidRPr="00D63468">
        <w:t>25-45 years (1</w:t>
      </w:r>
      <w:r w:rsidR="00B1387F">
        <w:t>6</w:t>
      </w:r>
      <w:r w:rsidR="00C961F2">
        <w:t>3</w:t>
      </w:r>
      <w:r w:rsidR="00317681" w:rsidRPr="00D63468">
        <w:t>/</w:t>
      </w:r>
      <w:r w:rsidR="00C961F2">
        <w:t>222</w:t>
      </w:r>
      <w:r w:rsidR="000A66AD">
        <w:t>,</w:t>
      </w:r>
      <w:r w:rsidR="00317681" w:rsidRPr="00D63468">
        <w:t xml:space="preserve"> </w:t>
      </w:r>
      <w:r w:rsidR="000A66AD">
        <w:t>7</w:t>
      </w:r>
      <w:r w:rsidR="00C961F2">
        <w:t>3</w:t>
      </w:r>
      <w:r w:rsidR="00317681" w:rsidRPr="00D63468">
        <w:t>.</w:t>
      </w:r>
      <w:r w:rsidR="000A66AD">
        <w:t>4</w:t>
      </w:r>
      <w:r w:rsidR="000F1730" w:rsidRPr="00D63468">
        <w:t>%)</w:t>
      </w:r>
      <w:r w:rsidR="001B5820">
        <w:t xml:space="preserve"> (table </w:t>
      </w:r>
      <w:r w:rsidR="00215FA5">
        <w:t>1</w:t>
      </w:r>
      <w:r w:rsidR="001B5820">
        <w:t>)</w:t>
      </w:r>
    </w:p>
    <w:p w14:paraId="3D9E4641" w14:textId="7BF9F544" w:rsidR="001B5820" w:rsidRDefault="001B5820" w:rsidP="00317681"/>
    <w:p w14:paraId="4FBADD16" w14:textId="32D4F653" w:rsidR="004F71D8" w:rsidRDefault="001B5820" w:rsidP="00317681">
      <w:r>
        <w:t xml:space="preserve">At baseline </w:t>
      </w:r>
      <w:r w:rsidR="00995EFE">
        <w:t xml:space="preserve">mean scores </w:t>
      </w:r>
      <w:r>
        <w:t xml:space="preserve"> from the HSE questionnaire indicated </w:t>
      </w:r>
      <w:r w:rsidR="00383FB3">
        <w:t xml:space="preserve">an average risk of developing stress (a score of 3) in four of the seven domains (control over work, relationships, managers support and response to </w:t>
      </w:r>
      <w:r w:rsidR="00215FA5">
        <w:t>workplace</w:t>
      </w:r>
      <w:r w:rsidR="00383FB3">
        <w:t xml:space="preserve"> change). Scores for two of the domains (peer support and understanding of role) </w:t>
      </w:r>
      <w:r w:rsidR="00350F70">
        <w:t xml:space="preserve">were indicated as low risk factors for developing stress (between 1 and 2). The highest risk factor for developing </w:t>
      </w:r>
      <w:r w:rsidR="00215FA5">
        <w:t>workplace</w:t>
      </w:r>
      <w:r w:rsidR="00350F70">
        <w:t xml:space="preserve"> stress at baseline was in the domain of </w:t>
      </w:r>
      <w:r w:rsidR="00215FA5">
        <w:t>workplace</w:t>
      </w:r>
      <w:r w:rsidR="00350F70">
        <w:t xml:space="preserve"> demands. When all domains were combined there was an average risk for developing </w:t>
      </w:r>
      <w:r w:rsidR="00215FA5">
        <w:t>workplace</w:t>
      </w:r>
      <w:r w:rsidR="00350F70">
        <w:t xml:space="preserve"> stress. </w:t>
      </w:r>
    </w:p>
    <w:p w14:paraId="588033B4" w14:textId="494C5F2D" w:rsidR="00350F70" w:rsidRDefault="00350F70" w:rsidP="00317681"/>
    <w:p w14:paraId="11EC1293" w14:textId="34A77F0B" w:rsidR="00350F70" w:rsidRDefault="00E3394F" w:rsidP="00317681">
      <w:r>
        <w:t xml:space="preserve">WHOQOL BREF results at baseline demonstrated a self-reported, low quality of life across all domains (physical </w:t>
      </w:r>
      <w:r w:rsidR="00A327D0">
        <w:t>health, psychological well-being, social relationships and environment)</w:t>
      </w:r>
      <w:r>
        <w:t xml:space="preserve"> compared to population norms. </w:t>
      </w:r>
      <w:r w:rsidR="00A327D0">
        <w:t xml:space="preserve">When combined with results of the HSE questionnaire this raises concerns about the ability of health care workers to cope in their </w:t>
      </w:r>
      <w:r w:rsidR="00215FA5">
        <w:t>workplace</w:t>
      </w:r>
      <w:r w:rsidR="00A327D0">
        <w:t xml:space="preserve">, particularly given the high </w:t>
      </w:r>
      <w:r w:rsidR="00215FA5">
        <w:t>workplace</w:t>
      </w:r>
      <w:r w:rsidR="00A327D0">
        <w:t xml:space="preserve"> demands that they face. Detailed results of the HSE and WHOQOL BREF are given below.</w:t>
      </w:r>
    </w:p>
    <w:p w14:paraId="59B44C00" w14:textId="77777777" w:rsidR="00317681" w:rsidRPr="00D63468" w:rsidRDefault="00317681" w:rsidP="00317681"/>
    <w:p w14:paraId="26FFEFB7" w14:textId="622C2174" w:rsidR="00153E79" w:rsidRPr="00D63468" w:rsidRDefault="000A7066" w:rsidP="00317681">
      <w:r>
        <w:t>P</w:t>
      </w:r>
      <w:r w:rsidR="00153E79" w:rsidRPr="00D63468">
        <w:t>articipants were</w:t>
      </w:r>
      <w:r>
        <w:t xml:space="preserve"> inclusive of all</w:t>
      </w:r>
      <w:r w:rsidR="00153E79" w:rsidRPr="00D63468">
        <w:t xml:space="preserve"> </w:t>
      </w:r>
      <w:r>
        <w:t xml:space="preserve">maternity staff </w:t>
      </w:r>
      <w:r w:rsidR="0031514B" w:rsidRPr="00D63468">
        <w:t>cadre</w:t>
      </w:r>
      <w:r>
        <w:t>s;</w:t>
      </w:r>
      <w:r w:rsidR="00D54F9A">
        <w:t xml:space="preserve"> </w:t>
      </w:r>
      <w:r w:rsidR="0031514B" w:rsidRPr="00D63468">
        <w:t>6</w:t>
      </w:r>
      <w:r w:rsidR="00C961F2">
        <w:t>2.2</w:t>
      </w:r>
      <w:r w:rsidR="0031514B" w:rsidRPr="00D63468">
        <w:t xml:space="preserve">% </w:t>
      </w:r>
      <w:r w:rsidR="00317681" w:rsidRPr="00D63468">
        <w:t>(</w:t>
      </w:r>
      <w:r w:rsidR="00C961F2">
        <w:t>138/222</w:t>
      </w:r>
      <w:r w:rsidR="00317681" w:rsidRPr="00D63468">
        <w:t xml:space="preserve">) </w:t>
      </w:r>
      <w:r w:rsidR="0031514B" w:rsidRPr="00D63468">
        <w:t>of respondents were Maternal and Child Health Aid</w:t>
      </w:r>
      <w:r w:rsidR="00317681" w:rsidRPr="00D63468">
        <w:t>e</w:t>
      </w:r>
      <w:r w:rsidR="0031514B" w:rsidRPr="00D63468">
        <w:t xml:space="preserve">s </w:t>
      </w:r>
      <w:r>
        <w:t xml:space="preserve">(MCHA) </w:t>
      </w:r>
      <w:r w:rsidR="00317681" w:rsidRPr="00D63468">
        <w:t>and</w:t>
      </w:r>
      <w:r w:rsidR="0031514B" w:rsidRPr="00D63468">
        <w:t xml:space="preserve"> State Enrolled Community Health Nurses</w:t>
      </w:r>
      <w:r>
        <w:t xml:space="preserve"> (SECHN)</w:t>
      </w:r>
      <w:r w:rsidR="0031514B" w:rsidRPr="00D63468">
        <w:t xml:space="preserve"> who </w:t>
      </w:r>
      <w:r w:rsidR="001736E0">
        <w:t xml:space="preserve">together </w:t>
      </w:r>
      <w:r w:rsidR="0031514B" w:rsidRPr="00D63468">
        <w:t>make up the majority of healthcare workers in Sierra Leone.</w:t>
      </w:r>
      <w:r w:rsidR="00CB7A7B" w:rsidRPr="00D63468">
        <w:t xml:space="preserve"> </w:t>
      </w:r>
      <w:r w:rsidR="00317681" w:rsidRPr="00D63468">
        <w:t>Other cadres included Registered Nurse-Midwives (</w:t>
      </w:r>
      <w:r w:rsidR="00C961F2">
        <w:t>21</w:t>
      </w:r>
      <w:r w:rsidR="00317681" w:rsidRPr="00D63468">
        <w:t>/</w:t>
      </w:r>
      <w:r w:rsidR="00C961F2">
        <w:t>222</w:t>
      </w:r>
      <w:r w:rsidR="00317681" w:rsidRPr="00D63468">
        <w:t xml:space="preserve">; </w:t>
      </w:r>
      <w:r w:rsidR="00C961F2">
        <w:t>9</w:t>
      </w:r>
      <w:r w:rsidR="00317681" w:rsidRPr="00D63468">
        <w:t>.</w:t>
      </w:r>
      <w:r w:rsidR="00C961F2">
        <w:t>5</w:t>
      </w:r>
      <w:r w:rsidR="00317681" w:rsidRPr="00D63468">
        <w:t>%</w:t>
      </w:r>
      <w:r>
        <w:t>) and M</w:t>
      </w:r>
      <w:r w:rsidR="00317681" w:rsidRPr="00D63468">
        <w:t xml:space="preserve">iddle </w:t>
      </w:r>
      <w:r>
        <w:t>G</w:t>
      </w:r>
      <w:r w:rsidR="00317681" w:rsidRPr="00D63468">
        <w:t>rade staff (1</w:t>
      </w:r>
      <w:r w:rsidR="00C961F2">
        <w:t>9</w:t>
      </w:r>
      <w:r w:rsidR="00317681" w:rsidRPr="00D63468">
        <w:t>/</w:t>
      </w:r>
      <w:r w:rsidR="00C961F2">
        <w:t>222</w:t>
      </w:r>
      <w:r w:rsidR="00317681" w:rsidRPr="00D63468">
        <w:t xml:space="preserve">; </w:t>
      </w:r>
      <w:r w:rsidR="00C961F2">
        <w:t>8.6</w:t>
      </w:r>
      <w:r w:rsidR="00317681" w:rsidRPr="00D63468">
        <w:t>%)</w:t>
      </w:r>
      <w:r>
        <w:t>. In addition, care assistants</w:t>
      </w:r>
      <w:r w:rsidR="00317681" w:rsidRPr="00D63468">
        <w:t xml:space="preserve"> (</w:t>
      </w:r>
      <w:r w:rsidR="00C961F2">
        <w:t>31</w:t>
      </w:r>
      <w:r w:rsidR="00317681" w:rsidRPr="00D63468">
        <w:t>/</w:t>
      </w:r>
      <w:r w:rsidR="00C961F2">
        <w:t>222</w:t>
      </w:r>
      <w:r w:rsidR="00317681" w:rsidRPr="00D63468">
        <w:t>; 1</w:t>
      </w:r>
      <w:r w:rsidR="00C961F2">
        <w:t>4.0</w:t>
      </w:r>
      <w:r w:rsidR="00317681" w:rsidRPr="00D63468">
        <w:t>%) and support staff (</w:t>
      </w:r>
      <w:r w:rsidR="00C961F2">
        <w:t>7</w:t>
      </w:r>
      <w:r w:rsidR="00317681" w:rsidRPr="00D63468">
        <w:t>/</w:t>
      </w:r>
      <w:r w:rsidR="00C961F2">
        <w:t>222</w:t>
      </w:r>
      <w:r w:rsidR="00317681" w:rsidRPr="00D63468">
        <w:t>; 3.</w:t>
      </w:r>
      <w:r w:rsidR="00C961F2">
        <w:t>2</w:t>
      </w:r>
      <w:r w:rsidR="00317681" w:rsidRPr="00D63468">
        <w:t>%)</w:t>
      </w:r>
      <w:r>
        <w:t xml:space="preserve"> were included in the assessment</w:t>
      </w:r>
      <w:r w:rsidR="00317681" w:rsidRPr="00D63468">
        <w:t>.</w:t>
      </w:r>
      <w:r>
        <w:t xml:space="preserve">  For the purposes of further assessment – nurse midwives, MCHA, SECHN and middle grade staff or doctors were considered to have a ‘higher level’ of training and care assistants and support staff were considered to have a ‘lower level’ of training  </w:t>
      </w:r>
    </w:p>
    <w:p w14:paraId="618789CA" w14:textId="6DBDC1C9" w:rsidR="00B061AF" w:rsidRDefault="00B061AF" w:rsidP="00317681">
      <w:pPr>
        <w:pStyle w:val="Heading3"/>
      </w:pPr>
    </w:p>
    <w:p w14:paraId="0764F60A" w14:textId="77777777" w:rsidR="006F4E7E" w:rsidRPr="006F4E7E" w:rsidRDefault="006F4E7E" w:rsidP="006F4E7E"/>
    <w:p w14:paraId="551A00C1" w14:textId="3AABAF31" w:rsidR="00980289" w:rsidRPr="00D63468" w:rsidRDefault="00317681" w:rsidP="00317681">
      <w:pPr>
        <w:pStyle w:val="Heading3"/>
      </w:pPr>
      <w:r w:rsidRPr="00D63468">
        <w:t>Workplace r</w:t>
      </w:r>
      <w:r w:rsidR="00980289" w:rsidRPr="00D63468">
        <w:t>isk factors</w:t>
      </w:r>
      <w:r w:rsidR="00BB5DC0">
        <w:t xml:space="preserve"> (HSE questionnaire)</w:t>
      </w:r>
    </w:p>
    <w:p w14:paraId="6ECD4A0A" w14:textId="26D7218B" w:rsidR="00BB5DC0" w:rsidRDefault="00BF5814" w:rsidP="009400B5">
      <w:pPr>
        <w:tabs>
          <w:tab w:val="left" w:pos="8931"/>
        </w:tabs>
      </w:pPr>
      <w:r>
        <w:t>T</w:t>
      </w:r>
      <w:r w:rsidR="00C9775C">
        <w:t xml:space="preserve">he lowest scores </w:t>
      </w:r>
      <w:r w:rsidR="001736E0">
        <w:t xml:space="preserve">(highest risk) </w:t>
      </w:r>
      <w:r w:rsidR="00540928">
        <w:t xml:space="preserve">both at baseline and at follow up </w:t>
      </w:r>
      <w:r w:rsidR="00C9775C">
        <w:t>were obtained for the domain workplace demands</w:t>
      </w:r>
      <w:r w:rsidR="00540928">
        <w:t>. At baseline</w:t>
      </w:r>
      <w:r w:rsidR="00F909C6">
        <w:t>,</w:t>
      </w:r>
      <w:r w:rsidR="00540928">
        <w:t xml:space="preserve"> this had a mean (</w:t>
      </w:r>
      <w:r w:rsidR="000A7066">
        <w:t>s</w:t>
      </w:r>
      <w:r w:rsidR="00E8003F">
        <w:t>d</w:t>
      </w:r>
      <w:r w:rsidR="00540928">
        <w:t>) value of 2.9</w:t>
      </w:r>
      <w:r w:rsidR="00E8003F">
        <w:t>8</w:t>
      </w:r>
      <w:r w:rsidR="00540928">
        <w:t xml:space="preserve"> (</w:t>
      </w:r>
      <w:r w:rsidR="00E8003F">
        <w:t>0.56</w:t>
      </w:r>
      <w:r w:rsidR="00540928">
        <w:t>) (</w:t>
      </w:r>
      <w:r w:rsidR="00540928" w:rsidRPr="00570756">
        <w:rPr>
          <w:b/>
          <w:u w:val="single"/>
        </w:rPr>
        <w:t xml:space="preserve">Table </w:t>
      </w:r>
      <w:r w:rsidR="00215FA5">
        <w:rPr>
          <w:b/>
          <w:u w:val="single"/>
        </w:rPr>
        <w:t>2</w:t>
      </w:r>
      <w:r w:rsidR="00540928">
        <w:t>)</w:t>
      </w:r>
      <w:r w:rsidR="00C9775C">
        <w:t xml:space="preserve"> </w:t>
      </w:r>
      <w:r w:rsidR="00540928">
        <w:t>which did not vary significantly between districts, cadres o</w:t>
      </w:r>
      <w:r w:rsidR="00761AD1">
        <w:t>r</w:t>
      </w:r>
      <w:r w:rsidR="00540928">
        <w:t xml:space="preserve"> facility type.</w:t>
      </w:r>
      <w:r w:rsidR="00C9775C">
        <w:t xml:space="preserve"> </w:t>
      </w:r>
      <w:r w:rsidR="00540928">
        <w:t xml:space="preserve"> </w:t>
      </w:r>
      <w:r w:rsidR="00A04EA6">
        <w:t>At follow-up the mean (95%CI) change f</w:t>
      </w:r>
      <w:r w:rsidR="00A17267">
        <w:t>ro</w:t>
      </w:r>
      <w:r w:rsidR="00A04EA6">
        <w:t>m baseline was</w:t>
      </w:r>
      <w:r w:rsidR="0072303E">
        <w:t xml:space="preserve"> </w:t>
      </w:r>
      <w:r w:rsidR="00092AEE">
        <w:t>(</w:t>
      </w:r>
      <w:r w:rsidR="0072303E">
        <w:t>0</w:t>
      </w:r>
      <w:r w:rsidR="00A04EA6">
        <w:t>.02)-0,09,0.13).</w:t>
      </w:r>
      <w:r w:rsidR="00092AEE">
        <w:t xml:space="preserve"> </w:t>
      </w:r>
      <w:r w:rsidR="00706D34">
        <w:t>(</w:t>
      </w:r>
      <w:r w:rsidR="00706D34" w:rsidRPr="00570756">
        <w:rPr>
          <w:b/>
          <w:u w:val="single"/>
        </w:rPr>
        <w:t xml:space="preserve">Table </w:t>
      </w:r>
      <w:r w:rsidR="00215FA5">
        <w:rPr>
          <w:b/>
          <w:u w:val="single"/>
        </w:rPr>
        <w:t>2</w:t>
      </w:r>
      <w:r w:rsidR="00706D34">
        <w:t>)</w:t>
      </w:r>
      <w:r w:rsidR="00540928">
        <w:t>.</w:t>
      </w:r>
    </w:p>
    <w:p w14:paraId="3B341F86" w14:textId="77777777" w:rsidR="00540928" w:rsidRDefault="00540928" w:rsidP="009400B5">
      <w:pPr>
        <w:tabs>
          <w:tab w:val="left" w:pos="8931"/>
        </w:tabs>
      </w:pPr>
    </w:p>
    <w:p w14:paraId="45B66A76" w14:textId="77777777" w:rsidR="000A7066" w:rsidRDefault="00EA5315" w:rsidP="009400B5">
      <w:pPr>
        <w:tabs>
          <w:tab w:val="left" w:pos="8931"/>
        </w:tabs>
      </w:pPr>
      <w:r>
        <w:t>When baseline scores for all domains were combined for all participants, the mean score</w:t>
      </w:r>
      <w:r w:rsidR="005805D2">
        <w:t xml:space="preserve"> across all HSE domain</w:t>
      </w:r>
      <w:r>
        <w:t>s</w:t>
      </w:r>
      <w:r w:rsidR="005805D2">
        <w:t xml:space="preserve"> combined (3.</w:t>
      </w:r>
      <w:r w:rsidR="00E8003F">
        <w:t>74</w:t>
      </w:r>
      <w:r w:rsidR="005805D2">
        <w:t>)</w:t>
      </w:r>
      <w:r>
        <w:t xml:space="preserve"> </w:t>
      </w:r>
      <w:r w:rsidR="005805D2">
        <w:t xml:space="preserve">is </w:t>
      </w:r>
      <w:r>
        <w:t xml:space="preserve">indicative of an average risk for healthcare workers developing stress. </w:t>
      </w:r>
    </w:p>
    <w:p w14:paraId="1351A79E" w14:textId="77777777" w:rsidR="00C06928" w:rsidRDefault="00C06928" w:rsidP="009400B5">
      <w:pPr>
        <w:tabs>
          <w:tab w:val="left" w:pos="8931"/>
        </w:tabs>
      </w:pPr>
    </w:p>
    <w:p w14:paraId="2A7E6D99" w14:textId="58DA79B2" w:rsidR="00EA5315" w:rsidRPr="00C9775C" w:rsidRDefault="00A17267" w:rsidP="009400B5">
      <w:pPr>
        <w:tabs>
          <w:tab w:val="left" w:pos="8931"/>
        </w:tabs>
      </w:pPr>
      <w:r>
        <w:t>F</w:t>
      </w:r>
      <w:r w:rsidR="001F76D9">
        <w:t xml:space="preserve">or each domain Cronbach’s </w:t>
      </w:r>
      <w:r w:rsidR="0085018C" w:rsidRPr="002E36E1">
        <w:t>α</w:t>
      </w:r>
      <w:r w:rsidR="001F76D9">
        <w:t xml:space="preserve"> at baseline was between 0.51 and 0.65 which is too low to indicate satisfactory consistency (Table 1).  For those assessed at follow up Cronbac</w:t>
      </w:r>
      <w:r w:rsidR="002D1852">
        <w:t>h</w:t>
      </w:r>
      <w:r w:rsidR="001F76D9">
        <w:t xml:space="preserve">’s </w:t>
      </w:r>
      <w:r w:rsidR="0085018C" w:rsidRPr="002E36E1">
        <w:t>α</w:t>
      </w:r>
      <w:r w:rsidR="001F76D9">
        <w:t xml:space="preserve"> for the overall score was 0.75 which indicates satisfactory consistency whereas for each domain the values were between 0.4</w:t>
      </w:r>
      <w:r w:rsidR="00DA6CE5">
        <w:t>6</w:t>
      </w:r>
      <w:r w:rsidR="001F76D9">
        <w:t xml:space="preserve"> and 0.69 which do not indicate satisfactory consistency</w:t>
      </w:r>
      <w:r w:rsidR="0085018C">
        <w:t xml:space="preserve"> (</w:t>
      </w:r>
      <w:r w:rsidR="0085018C" w:rsidRPr="00570756">
        <w:rPr>
          <w:b/>
          <w:u w:val="single"/>
        </w:rPr>
        <w:t xml:space="preserve">Table </w:t>
      </w:r>
      <w:r w:rsidR="00215FA5">
        <w:rPr>
          <w:b/>
          <w:u w:val="single"/>
        </w:rPr>
        <w:t>2</w:t>
      </w:r>
      <w:r w:rsidR="0085018C" w:rsidRPr="00570756">
        <w:rPr>
          <w:b/>
          <w:u w:val="single"/>
        </w:rPr>
        <w:t>)</w:t>
      </w:r>
      <w:r w:rsidR="001F76D9" w:rsidRPr="00570756">
        <w:rPr>
          <w:b/>
          <w:u w:val="single"/>
        </w:rPr>
        <w:t>.</w:t>
      </w:r>
    </w:p>
    <w:p w14:paraId="756428DA" w14:textId="1142BB93" w:rsidR="006821B7" w:rsidRDefault="006821B7" w:rsidP="009400B5">
      <w:pPr>
        <w:tabs>
          <w:tab w:val="left" w:pos="8931"/>
        </w:tabs>
      </w:pPr>
    </w:p>
    <w:p w14:paraId="4544E0BE" w14:textId="7ADC7B66" w:rsidR="00EA5315" w:rsidRDefault="00EA5315" w:rsidP="00EA5315">
      <w:pPr>
        <w:tabs>
          <w:tab w:val="left" w:pos="8931"/>
        </w:tabs>
      </w:pPr>
      <w:r>
        <w:t>The mean</w:t>
      </w:r>
      <w:r w:rsidR="003144C4">
        <w:t xml:space="preserve"> </w:t>
      </w:r>
      <w:r>
        <w:t>(</w:t>
      </w:r>
      <w:r w:rsidR="006161B1">
        <w:t>95% CI</w:t>
      </w:r>
      <w:r>
        <w:t>) reductions in score were 0.</w:t>
      </w:r>
      <w:r w:rsidR="003144C4">
        <w:t>2</w:t>
      </w:r>
      <w:r>
        <w:t>1</w:t>
      </w:r>
      <w:r w:rsidR="003144C4">
        <w:t xml:space="preserve"> </w:t>
      </w:r>
      <w:r>
        <w:t>(</w:t>
      </w:r>
      <w:r w:rsidR="006161B1">
        <w:t xml:space="preserve">0.14 - </w:t>
      </w:r>
      <w:r>
        <w:t>0.</w:t>
      </w:r>
      <w:r w:rsidR="006161B1">
        <w:t>28</w:t>
      </w:r>
      <w:r>
        <w:t>) for the overall score</w:t>
      </w:r>
      <w:r w:rsidR="000A7082">
        <w:t>. 0.16 (0.01 – 0.31) for relationships</w:t>
      </w:r>
      <w:r>
        <w:t xml:space="preserve"> and 0.</w:t>
      </w:r>
      <w:r w:rsidR="003144C4">
        <w:t>11</w:t>
      </w:r>
      <w:r>
        <w:t xml:space="preserve"> (0.0</w:t>
      </w:r>
      <w:r w:rsidR="006161B1">
        <w:t>1 – 0.21</w:t>
      </w:r>
      <w:r>
        <w:t>) for understanding of role</w:t>
      </w:r>
      <w:r w:rsidR="00C14C1F">
        <w:t xml:space="preserve"> (</w:t>
      </w:r>
      <w:r w:rsidR="00C14C1F" w:rsidRPr="00570756">
        <w:rPr>
          <w:b/>
          <w:u w:val="single"/>
        </w:rPr>
        <w:t xml:space="preserve">Table </w:t>
      </w:r>
      <w:r w:rsidR="00215FA5">
        <w:rPr>
          <w:b/>
          <w:u w:val="single"/>
        </w:rPr>
        <w:t>2</w:t>
      </w:r>
      <w:r w:rsidR="00C14C1F" w:rsidRPr="00570756">
        <w:rPr>
          <w:b/>
          <w:u w:val="single"/>
        </w:rPr>
        <w:t>)</w:t>
      </w:r>
      <w:r w:rsidR="004828D9">
        <w:rPr>
          <w:b/>
          <w:u w:val="single"/>
        </w:rPr>
        <w:t xml:space="preserve"> </w:t>
      </w:r>
      <w:r w:rsidR="004828D9" w:rsidRPr="004828D9">
        <w:rPr>
          <w:bCs/>
        </w:rPr>
        <w:t xml:space="preserve">indicating </w:t>
      </w:r>
      <w:r w:rsidR="004828D9">
        <w:rPr>
          <w:bCs/>
        </w:rPr>
        <w:t>that the</w:t>
      </w:r>
      <w:r w:rsidR="00AB63F8">
        <w:rPr>
          <w:bCs/>
        </w:rPr>
        <w:t xml:space="preserve"> risk in these areas increased during the p</w:t>
      </w:r>
      <w:r w:rsidR="004828D9" w:rsidRPr="004828D9">
        <w:rPr>
          <w:bCs/>
        </w:rPr>
        <w:t>an</w:t>
      </w:r>
      <w:r w:rsidR="00AB63F8">
        <w:rPr>
          <w:bCs/>
        </w:rPr>
        <w:t>demic</w:t>
      </w:r>
      <w:r>
        <w:t xml:space="preserve">. </w:t>
      </w:r>
      <w:r w:rsidR="004F71D8">
        <w:t xml:space="preserve"> </w:t>
      </w:r>
      <w:r w:rsidR="00CA6CE2">
        <w:t>Analysis of covariance</w:t>
      </w:r>
      <w:r w:rsidR="00DA6CE5">
        <w:t xml:space="preserve"> (ANCOVA) </w:t>
      </w:r>
      <w:r w:rsidR="002D16F5">
        <w:t xml:space="preserve">(the coefficient derived in the ANCOVA for the contribution of the baseline stress score for the domain under analysis) </w:t>
      </w:r>
      <w:r w:rsidR="00DA6CE5">
        <w:t>estimated the coefficient for the contribution of the baseline stress score to the follow-up score to vary between 0.16 (response to workplace change) and 0.46 (for control over work environment) and 0.48 (for HSE domains combined).  ANCOVA</w:t>
      </w:r>
      <w:r w:rsidR="00CA6CE2">
        <w:t xml:space="preserve"> found evidence of a differ</w:t>
      </w:r>
      <w:r w:rsidR="006161B1">
        <w:t>ence between</w:t>
      </w:r>
      <w:r w:rsidR="00DA6CE5">
        <w:t xml:space="preserve"> cadres </w:t>
      </w:r>
      <w:r w:rsidR="006161B1">
        <w:t>i</w:t>
      </w:r>
      <w:r w:rsidR="00DA6CE5">
        <w:t>n follow-up scores</w:t>
      </w:r>
      <w:r w:rsidR="006161B1">
        <w:t>, after accounting for baseline scores,</w:t>
      </w:r>
      <w:r w:rsidR="00DA6CE5">
        <w:t xml:space="preserve"> </w:t>
      </w:r>
      <w:r w:rsidR="00CA6CE2">
        <w:t xml:space="preserve">for relationships </w:t>
      </w:r>
      <w:r w:rsidR="00B04CF6">
        <w:t>(</w:t>
      </w:r>
      <w:r w:rsidR="00234C5D">
        <w:t>lower quali</w:t>
      </w:r>
      <w:r w:rsidR="00B04CF6">
        <w:t xml:space="preserve">fied staff </w:t>
      </w:r>
      <w:r w:rsidR="000A7082">
        <w:t xml:space="preserve">were </w:t>
      </w:r>
      <w:r w:rsidR="00B04CF6">
        <w:t xml:space="preserve">estimated </w:t>
      </w:r>
      <w:r w:rsidR="000A7082">
        <w:t xml:space="preserve">to score 0.83 lower than </w:t>
      </w:r>
      <w:r w:rsidR="00234C5D">
        <w:t>higher qualified staff</w:t>
      </w:r>
      <w:r w:rsidR="000A7082">
        <w:t xml:space="preserve">) </w:t>
      </w:r>
      <w:r w:rsidR="00CA6CE2">
        <w:t>and understanding of role</w:t>
      </w:r>
      <w:r w:rsidR="000A7082">
        <w:t xml:space="preserve"> (</w:t>
      </w:r>
      <w:r w:rsidR="00234C5D">
        <w:t>lower q</w:t>
      </w:r>
      <w:r w:rsidR="000A7082">
        <w:t xml:space="preserve">ualified were estimated to score 0.36 lower than </w:t>
      </w:r>
      <w:r w:rsidR="00234C5D">
        <w:t>higher</w:t>
      </w:r>
      <w:r w:rsidR="00A4152C">
        <w:t xml:space="preserve"> qualified staff</w:t>
      </w:r>
      <w:r w:rsidR="00234C5D">
        <w:t>).</w:t>
      </w:r>
      <w:r w:rsidR="00CA6CE2">
        <w:t xml:space="preserve"> </w:t>
      </w:r>
      <w:r w:rsidR="00234C5D">
        <w:t>F</w:t>
      </w:r>
      <w:r w:rsidR="00CA6CE2">
        <w:t>or understanding of role there was also evidence of a differ</w:t>
      </w:r>
      <w:r w:rsidR="006161B1">
        <w:t>ence</w:t>
      </w:r>
      <w:r w:rsidR="00CA6CE2">
        <w:t xml:space="preserve"> between districts (</w:t>
      </w:r>
      <w:r w:rsidR="000A7082">
        <w:t xml:space="preserve">those in Bo were estimated to score 0.26 lower than those in Urban Freetown; </w:t>
      </w:r>
      <w:r w:rsidR="00CA6CE2" w:rsidRPr="00570756">
        <w:rPr>
          <w:b/>
          <w:u w:val="single"/>
        </w:rPr>
        <w:t xml:space="preserve">Table </w:t>
      </w:r>
      <w:r w:rsidR="00215FA5">
        <w:rPr>
          <w:b/>
          <w:u w:val="single"/>
        </w:rPr>
        <w:t>3</w:t>
      </w:r>
      <w:r w:rsidR="00CA6CE2">
        <w:t>).</w:t>
      </w:r>
    </w:p>
    <w:p w14:paraId="2A250B47" w14:textId="77777777" w:rsidR="00A269E8" w:rsidRDefault="00A269E8" w:rsidP="00317681">
      <w:pPr>
        <w:pStyle w:val="Heading3"/>
      </w:pPr>
    </w:p>
    <w:p w14:paraId="2359C34D" w14:textId="0D55A845" w:rsidR="00153E79" w:rsidRPr="00D63468" w:rsidRDefault="00095DFD" w:rsidP="00317681">
      <w:pPr>
        <w:pStyle w:val="Heading3"/>
      </w:pPr>
      <w:r w:rsidRPr="00D63468">
        <w:t>WHOQOL</w:t>
      </w:r>
      <w:r w:rsidR="00837604">
        <w:t xml:space="preserve"> </w:t>
      </w:r>
      <w:r w:rsidRPr="00D63468">
        <w:t>BREF questionnaire</w:t>
      </w:r>
    </w:p>
    <w:p w14:paraId="25BD8E19" w14:textId="77777777" w:rsidR="00EB4555" w:rsidRPr="00C9775C" w:rsidRDefault="00EB4555" w:rsidP="00EB4555">
      <w:pPr>
        <w:tabs>
          <w:tab w:val="left" w:pos="8931"/>
        </w:tabs>
      </w:pPr>
      <w:r>
        <w:t xml:space="preserve">For the WHOQOLBREF scores </w:t>
      </w:r>
      <w:r w:rsidRPr="00607CF7">
        <w:t>Cronbach's α at baseline was 0.83 which indicates very satisfactory consistency for the overall score.  For the environment domain it was also satisfactory, with a value of 0.71.  However, for the other three domains Cronbach’s α at baseline was between 0.57 and 0.65 which is too low to indicate satisfactory consistency (</w:t>
      </w:r>
      <w:r w:rsidRPr="00F4639D">
        <w:rPr>
          <w:b/>
          <w:u w:val="single"/>
        </w:rPr>
        <w:t xml:space="preserve">Table </w:t>
      </w:r>
      <w:r>
        <w:rPr>
          <w:b/>
          <w:u w:val="single"/>
        </w:rPr>
        <w:t>4</w:t>
      </w:r>
      <w:r w:rsidRPr="00607CF7">
        <w:t>).  For those assessed at follow up consistency was similarly very satisfactory for WHOQOLBREF (Cronbach’s α: 0.84), satisfactory for environment (0.76) and not satisfactory for the other domains (Cronbach’</w:t>
      </w:r>
      <w:r>
        <w:t>s</w:t>
      </w:r>
      <w:r w:rsidRPr="00607CF7">
        <w:t xml:space="preserve"> α between</w:t>
      </w:r>
      <w:r>
        <w:t xml:space="preserve"> 0.64 and 0.67; </w:t>
      </w:r>
      <w:r w:rsidRPr="00F4639D">
        <w:rPr>
          <w:b/>
          <w:u w:val="single"/>
        </w:rPr>
        <w:t xml:space="preserve">Table </w:t>
      </w:r>
      <w:r>
        <w:rPr>
          <w:b/>
          <w:u w:val="single"/>
        </w:rPr>
        <w:t>4</w:t>
      </w:r>
      <w:r>
        <w:t>).</w:t>
      </w:r>
    </w:p>
    <w:p w14:paraId="0FCC253F" w14:textId="77777777" w:rsidR="00EB4555" w:rsidRDefault="00EB4555" w:rsidP="00317681"/>
    <w:p w14:paraId="4F577AC3" w14:textId="2B86BEAE" w:rsidR="00A35575" w:rsidRPr="00A35575" w:rsidRDefault="00D37BEF" w:rsidP="00317681">
      <w:r>
        <w:t>T</w:t>
      </w:r>
      <w:r w:rsidR="000F3E63">
        <w:t>he mean score</w:t>
      </w:r>
      <w:r w:rsidR="00405360">
        <w:t>s for</w:t>
      </w:r>
      <w:r w:rsidR="000F3E63">
        <w:t xml:space="preserve"> </w:t>
      </w:r>
      <w:r>
        <w:t xml:space="preserve">each </w:t>
      </w:r>
      <w:r w:rsidR="00F909C6">
        <w:t xml:space="preserve">of the </w:t>
      </w:r>
      <w:r w:rsidR="000F3E63">
        <w:t>domain</w:t>
      </w:r>
      <w:r w:rsidR="00F909C6">
        <w:t>s</w:t>
      </w:r>
      <w:r w:rsidR="000F3E63">
        <w:t xml:space="preserve"> </w:t>
      </w:r>
      <w:r>
        <w:t xml:space="preserve">for all participants </w:t>
      </w:r>
      <w:r w:rsidR="000F3E63">
        <w:t xml:space="preserve">combined, were below the </w:t>
      </w:r>
      <w:r w:rsidR="00405360">
        <w:t xml:space="preserve">international </w:t>
      </w:r>
      <w:r w:rsidR="000F3E63">
        <w:t xml:space="preserve">average for each of the domains </w:t>
      </w:r>
      <w:r w:rsidR="00050A16">
        <w:t xml:space="preserve">of the WHOQOLBREF questionnaire </w:t>
      </w:r>
      <w:r w:rsidR="000F3E63">
        <w:t>at both baseline and follow</w:t>
      </w:r>
      <w:r w:rsidR="00DC469C">
        <w:t>-</w:t>
      </w:r>
      <w:r w:rsidR="000F3E63">
        <w:t>up</w:t>
      </w:r>
      <w:r>
        <w:t xml:space="preserve"> (</w:t>
      </w:r>
      <w:r w:rsidRPr="00570756">
        <w:rPr>
          <w:b/>
          <w:u w:val="single"/>
        </w:rPr>
        <w:t>Table</w:t>
      </w:r>
      <w:r w:rsidR="00F4639D">
        <w:rPr>
          <w:b/>
          <w:u w:val="single"/>
        </w:rPr>
        <w:t xml:space="preserve"> </w:t>
      </w:r>
      <w:r w:rsidR="00215FA5">
        <w:rPr>
          <w:b/>
          <w:u w:val="single"/>
        </w:rPr>
        <w:t>4</w:t>
      </w:r>
      <w:r>
        <w:t>)</w:t>
      </w:r>
      <w:r w:rsidR="000F3E63">
        <w:t xml:space="preserve">. </w:t>
      </w:r>
      <w:r>
        <w:t xml:space="preserve"> At baseline</w:t>
      </w:r>
      <w:r w:rsidR="00F909C6">
        <w:t>,</w:t>
      </w:r>
      <w:r>
        <w:t xml:space="preserve"> </w:t>
      </w:r>
      <w:r w:rsidR="00A43C2A">
        <w:t>the mean</w:t>
      </w:r>
      <w:r w:rsidR="00D15504">
        <w:t xml:space="preserve"> (95% CI)</w:t>
      </w:r>
      <w:r w:rsidR="00A43C2A">
        <w:t xml:space="preserve"> score for Bo was 4.6% (1.7%,</w:t>
      </w:r>
      <w:r w:rsidR="00540928">
        <w:t xml:space="preserve"> </w:t>
      </w:r>
      <w:r w:rsidR="00A43C2A">
        <w:t xml:space="preserve">7.5%) </w:t>
      </w:r>
      <w:r w:rsidR="002529DC">
        <w:t>(</w:t>
      </w:r>
      <w:r w:rsidR="00A43C2A">
        <w:t>lower than for Freetown Urban</w:t>
      </w:r>
      <w:r>
        <w:t xml:space="preserve">) and </w:t>
      </w:r>
      <w:r w:rsidR="003575E2">
        <w:t xml:space="preserve">differed </w:t>
      </w:r>
      <w:r>
        <w:t>between facility type</w:t>
      </w:r>
      <w:r w:rsidR="00AB63F8">
        <w:t xml:space="preserve"> indicating a lower quality of life for those workingoutside of the capital (Freetown)</w:t>
      </w:r>
      <w:r w:rsidR="00210D53">
        <w:t xml:space="preserve">. The mean scores for </w:t>
      </w:r>
      <w:r w:rsidR="00A4152C">
        <w:t xml:space="preserve">healthcare </w:t>
      </w:r>
      <w:r w:rsidR="00210D53">
        <w:t>facilities</w:t>
      </w:r>
      <w:r w:rsidR="00A4152C">
        <w:t xml:space="preserve"> designated </w:t>
      </w:r>
      <w:r w:rsidR="002529DC">
        <w:t>t</w:t>
      </w:r>
      <w:r w:rsidR="00A4152C">
        <w:t>o provide Comprehensive EmOC</w:t>
      </w:r>
      <w:r w:rsidR="00210D53">
        <w:t xml:space="preserve"> were lower</w:t>
      </w:r>
      <w:r w:rsidR="00EB4555">
        <w:t xml:space="preserve"> (that is HCWs reported a lower quality of life in these domains)</w:t>
      </w:r>
      <w:r w:rsidR="00210D53">
        <w:t xml:space="preserve"> than in B</w:t>
      </w:r>
      <w:r w:rsidR="00A4152C">
        <w:t xml:space="preserve">asic </w:t>
      </w:r>
      <w:r w:rsidR="00210D53">
        <w:t xml:space="preserve">EmOC </w:t>
      </w:r>
      <w:r w:rsidR="00A4152C">
        <w:t>health care facilities</w:t>
      </w:r>
      <w:r w:rsidR="00210D53">
        <w:t xml:space="preserve"> </w:t>
      </w:r>
      <w:r>
        <w:t>for physical health (</w:t>
      </w:r>
      <w:r w:rsidR="00A43C2A">
        <w:t>6.4% (3.4</w:t>
      </w:r>
      <w:r w:rsidR="00210D53">
        <w:t>%</w:t>
      </w:r>
      <w:r w:rsidR="00A43C2A">
        <w:t>,</w:t>
      </w:r>
      <w:r w:rsidR="00540928">
        <w:t xml:space="preserve"> </w:t>
      </w:r>
      <w:r w:rsidR="00A43C2A">
        <w:t>9.5</w:t>
      </w:r>
      <w:r w:rsidR="00210D53">
        <w:t>%</w:t>
      </w:r>
      <w:r w:rsidR="00A43C2A">
        <w:t>)</w:t>
      </w:r>
      <w:r>
        <w:t>), environment (</w:t>
      </w:r>
      <w:r w:rsidR="00A43C2A">
        <w:t>6.9% (3.5%,</w:t>
      </w:r>
      <w:r w:rsidR="00540928">
        <w:t xml:space="preserve"> </w:t>
      </w:r>
      <w:r w:rsidR="00A43C2A">
        <w:t>10.4%</w:t>
      </w:r>
      <w:r w:rsidR="00210D53">
        <w:t>)</w:t>
      </w:r>
      <w:r>
        <w:t>) and the overall combined score (</w:t>
      </w:r>
      <w:r w:rsidR="00A43C2A">
        <w:t>4.7% (2.1</w:t>
      </w:r>
      <w:r w:rsidR="00210D53">
        <w:t>%</w:t>
      </w:r>
      <w:r w:rsidR="00A43C2A">
        <w:t>,</w:t>
      </w:r>
      <w:r w:rsidR="00540928">
        <w:t xml:space="preserve"> </w:t>
      </w:r>
      <w:r w:rsidR="00A43C2A">
        <w:t>7.2</w:t>
      </w:r>
      <w:r w:rsidR="00210D53">
        <w:t>%</w:t>
      </w:r>
      <w:r>
        <w:t>)</w:t>
      </w:r>
      <w:r w:rsidR="00210D53">
        <w:t>)</w:t>
      </w:r>
      <w:r>
        <w:t>.</w:t>
      </w:r>
      <w:r w:rsidR="00A35575">
        <w:t xml:space="preserve"> </w:t>
      </w:r>
    </w:p>
    <w:p w14:paraId="173F40BF" w14:textId="77777777" w:rsidR="0085018C" w:rsidRDefault="0085018C" w:rsidP="00317681"/>
    <w:p w14:paraId="08A355E6" w14:textId="289A4996" w:rsidR="00A43C2A" w:rsidRDefault="00A43C2A" w:rsidP="00317681">
      <w:pPr>
        <w:rPr>
          <w:b/>
        </w:rPr>
      </w:pPr>
      <w:r>
        <w:t>Between baseline and follow-up there was a reduction in WHOQOL-BREF score for physical health (</w:t>
      </w:r>
      <w:r w:rsidR="000A7082">
        <w:t>95% CI</w:t>
      </w:r>
      <w:r>
        <w:t>) reduc</w:t>
      </w:r>
      <w:r w:rsidR="001D2B3A">
        <w:t xml:space="preserve">tion: </w:t>
      </w:r>
      <w:r>
        <w:t>2.</w:t>
      </w:r>
      <w:r w:rsidR="000A7082">
        <w:t>3</w:t>
      </w:r>
      <w:r>
        <w:t xml:space="preserve"> (</w:t>
      </w:r>
      <w:r w:rsidR="000A7082">
        <w:t>0.</w:t>
      </w:r>
      <w:r>
        <w:t>5</w:t>
      </w:r>
      <w:r w:rsidR="000A7082">
        <w:t xml:space="preserve"> -</w:t>
      </w:r>
      <w:r>
        <w:t xml:space="preserve"> </w:t>
      </w:r>
      <w:r w:rsidR="000A7082">
        <w:t>4.1</w:t>
      </w:r>
      <w:r>
        <w:t>), for psychological well-being (mean (</w:t>
      </w:r>
      <w:r w:rsidR="000A7082">
        <w:t>95% CI</w:t>
      </w:r>
      <w:r>
        <w:t xml:space="preserve">) reduction: </w:t>
      </w:r>
      <w:r w:rsidR="000A7082">
        <w:t>2</w:t>
      </w:r>
      <w:r>
        <w:t>.</w:t>
      </w:r>
      <w:r w:rsidR="000A7082">
        <w:t>3</w:t>
      </w:r>
      <w:r>
        <w:t xml:space="preserve"> (</w:t>
      </w:r>
      <w:r w:rsidR="000A7082">
        <w:t>0</w:t>
      </w:r>
      <w:r>
        <w:t>.</w:t>
      </w:r>
      <w:r w:rsidR="000A7082">
        <w:t>4 – 4.1</w:t>
      </w:r>
      <w:r>
        <w:t>) and for the overall combined score (mean (</w:t>
      </w:r>
      <w:r w:rsidR="000A7082">
        <w:t>95% CI</w:t>
      </w:r>
      <w:r>
        <w:t>) reduction: 1.</w:t>
      </w:r>
      <w:r w:rsidR="000A7082">
        <w:t>6</w:t>
      </w:r>
      <w:r>
        <w:t xml:space="preserve"> (</w:t>
      </w:r>
      <w:r w:rsidR="000A7082">
        <w:t>0.2</w:t>
      </w:r>
      <w:r>
        <w:t>,</w:t>
      </w:r>
      <w:r w:rsidR="00CF46F4">
        <w:t xml:space="preserve"> </w:t>
      </w:r>
      <w:r w:rsidR="000A7082">
        <w:t>3.0</w:t>
      </w:r>
      <w:r>
        <w:t>))</w:t>
      </w:r>
      <w:r w:rsidR="00EB4555">
        <w:t xml:space="preserve">, indicating a deterioration in quality of life related to these domains. </w:t>
      </w:r>
      <w:r w:rsidR="00210D53">
        <w:t xml:space="preserve"> </w:t>
      </w:r>
      <w:r w:rsidR="00A35575">
        <w:t xml:space="preserve">Analysis of covariance (ANCOVA) </w:t>
      </w:r>
      <w:r w:rsidR="00917237">
        <w:t>(</w:t>
      </w:r>
      <w:r w:rsidR="00917237" w:rsidRPr="00917237">
        <w:t>the coefficient derived in the ANCOVA for the contribution of the baseline WHOQOL BREF score for the domain under analysis</w:t>
      </w:r>
      <w:r w:rsidR="00917237">
        <w:t>)</w:t>
      </w:r>
      <w:r w:rsidR="0072303E">
        <w:t xml:space="preserve"> </w:t>
      </w:r>
      <w:r w:rsidR="00A35575">
        <w:t>estimated the coe</w:t>
      </w:r>
      <w:r w:rsidR="00A35575" w:rsidRPr="00A35575">
        <w:t>fficient for the contribution of the baseline WHOQOL BREF score to the follow-up score to vary between 0.29 for psychological well-being and 0.64 for environment</w:t>
      </w:r>
      <w:r w:rsidR="0072303E">
        <w:t>.</w:t>
      </w:r>
      <w:r w:rsidR="00A35575">
        <w:t xml:space="preserve"> ANCOVA found n</w:t>
      </w:r>
      <w:r w:rsidR="00210D53">
        <w:t>o statistically significant evidence of differences between districts or facility type in the WHOQOL-BREF scores at follow-up.  For cadre</w:t>
      </w:r>
      <w:r w:rsidR="0066063E">
        <w:t>,</w:t>
      </w:r>
      <w:r w:rsidR="00210D53">
        <w:t xml:space="preserve"> the only differences found were for support staff for whom there was a lower </w:t>
      </w:r>
      <w:r w:rsidR="000A7082">
        <w:t xml:space="preserve">mean (95% CI) </w:t>
      </w:r>
      <w:r w:rsidR="00210D53">
        <w:t>score than for registered nurse/midwives in physical health (13.0 (3.</w:t>
      </w:r>
      <w:r w:rsidR="000A7082">
        <w:t>6</w:t>
      </w:r>
      <w:r w:rsidR="00210D53">
        <w:t>,22.4)), social relationships (</w:t>
      </w:r>
      <w:r w:rsidR="001B758A">
        <w:t>14.</w:t>
      </w:r>
      <w:r w:rsidR="000A7082">
        <w:t>4</w:t>
      </w:r>
      <w:r w:rsidR="001B758A">
        <w:t xml:space="preserve"> (2.</w:t>
      </w:r>
      <w:r w:rsidR="000A7082">
        <w:t>6</w:t>
      </w:r>
      <w:r w:rsidR="001B758A">
        <w:t>,26.</w:t>
      </w:r>
      <w:r w:rsidR="000A7082">
        <w:t>2</w:t>
      </w:r>
      <w:r w:rsidR="00210D53">
        <w:t>) and the overall WHOQOL-BREF score (</w:t>
      </w:r>
      <w:r w:rsidR="000A7082">
        <w:t>9.92</w:t>
      </w:r>
      <w:r w:rsidR="001B758A">
        <w:t xml:space="preserve"> (</w:t>
      </w:r>
      <w:r w:rsidR="000A7082">
        <w:t>1</w:t>
      </w:r>
      <w:r w:rsidR="001B758A">
        <w:t>.</w:t>
      </w:r>
      <w:r w:rsidR="000A7082">
        <w:t>9</w:t>
      </w:r>
      <w:r w:rsidR="001B758A">
        <w:t>,17.9)</w:t>
      </w:r>
      <w:r w:rsidR="00210D53">
        <w:t>)</w:t>
      </w:r>
      <w:r w:rsidR="00A97953">
        <w:t xml:space="preserve"> </w:t>
      </w:r>
      <w:r w:rsidR="00A97953" w:rsidRPr="00F4639D">
        <w:rPr>
          <w:b/>
        </w:rPr>
        <w:t>(</w:t>
      </w:r>
      <w:r w:rsidR="00A97953" w:rsidRPr="00F4639D">
        <w:rPr>
          <w:b/>
          <w:u w:val="single"/>
        </w:rPr>
        <w:t xml:space="preserve">Table </w:t>
      </w:r>
      <w:r w:rsidR="00215FA5">
        <w:rPr>
          <w:b/>
          <w:u w:val="single"/>
        </w:rPr>
        <w:t>5</w:t>
      </w:r>
      <w:r w:rsidR="00A97953" w:rsidRPr="00F4639D">
        <w:rPr>
          <w:b/>
        </w:rPr>
        <w:t>)</w:t>
      </w:r>
      <w:r w:rsidR="001B758A" w:rsidRPr="00F4639D">
        <w:rPr>
          <w:b/>
        </w:rPr>
        <w:t>.</w:t>
      </w:r>
    </w:p>
    <w:p w14:paraId="71D05E60" w14:textId="0FE6E8D0" w:rsidR="00DD4D26" w:rsidRDefault="00DD4D26" w:rsidP="00317681">
      <w:pPr>
        <w:rPr>
          <w:b/>
        </w:rPr>
      </w:pPr>
    </w:p>
    <w:p w14:paraId="4451628E" w14:textId="77777777" w:rsidR="001736E0" w:rsidRDefault="001736E0" w:rsidP="001736E0"/>
    <w:bookmarkEnd w:id="7"/>
    <w:p w14:paraId="5E4FB65E" w14:textId="17160F30" w:rsidR="00153E79" w:rsidRPr="00D63468" w:rsidRDefault="00153E79" w:rsidP="00317681">
      <w:pPr>
        <w:pStyle w:val="Heading2"/>
      </w:pPr>
      <w:r w:rsidRPr="00D63468">
        <w:lastRenderedPageBreak/>
        <w:t>Discussion</w:t>
      </w:r>
    </w:p>
    <w:p w14:paraId="0B83F1F0" w14:textId="4B75F7C0" w:rsidR="00735AF5" w:rsidRDefault="002D5D00" w:rsidP="00317681">
      <w:r>
        <w:t xml:space="preserve">This study </w:t>
      </w:r>
      <w:r w:rsidR="00735AF5">
        <w:t>found that</w:t>
      </w:r>
      <w:r w:rsidR="00F60EF7">
        <w:t xml:space="preserve"> w</w:t>
      </w:r>
      <w:r w:rsidR="00657F73">
        <w:t xml:space="preserve">hereas the overall risk of stress was noted to be ‘average’, level of </w:t>
      </w:r>
      <w:r w:rsidR="00657F73" w:rsidRPr="00D63468">
        <w:t xml:space="preserve">risk for the development of stress </w:t>
      </w:r>
      <w:r w:rsidR="00657F73">
        <w:t xml:space="preserve">was </w:t>
      </w:r>
      <w:r w:rsidR="00657F73" w:rsidRPr="00D63468">
        <w:t xml:space="preserve">particularly related to the </w:t>
      </w:r>
      <w:r w:rsidR="00657F73">
        <w:t xml:space="preserve">workplace </w:t>
      </w:r>
      <w:r w:rsidR="00657F73" w:rsidRPr="00D63468">
        <w:t xml:space="preserve">demands placed on </w:t>
      </w:r>
      <w:r w:rsidR="00730531">
        <w:t>healthcare providers</w:t>
      </w:r>
      <w:r w:rsidR="00735AF5">
        <w:t>. This finding resonates with the JD-R model which sees the development of stress as an imbalance between the demands placed on workers and their ability to meet them Control over working environment is also a key component of the JD-R model, and though workers reported  an average score for the risk factor related to control of their working environment, high job demands may increase this risk factor over time.</w:t>
      </w:r>
    </w:p>
    <w:p w14:paraId="77CEC3D7" w14:textId="77777777" w:rsidR="00735AF5" w:rsidRDefault="00735AF5" w:rsidP="00317681"/>
    <w:p w14:paraId="426F4FD8" w14:textId="10BF3A31" w:rsidR="00841708" w:rsidRDefault="007B259D" w:rsidP="00317681">
      <w:r>
        <w:t>Health care workers reported a good level of p</w:t>
      </w:r>
      <w:r w:rsidR="00657F73">
        <w:t xml:space="preserve">eer support </w:t>
      </w:r>
      <w:r>
        <w:t xml:space="preserve">is </w:t>
      </w:r>
      <w:r w:rsidR="00AD23B8">
        <w:t>in place with respondents having a good understanding of their</w:t>
      </w:r>
      <w:r w:rsidR="00837604">
        <w:t xml:space="preserve"> roles</w:t>
      </w:r>
      <w:r w:rsidR="00657F73">
        <w:t>.</w:t>
      </w:r>
      <w:r>
        <w:t xml:space="preserve"> Both peer support and understanding of role can help to mitigate against developing </w:t>
      </w:r>
      <w:r w:rsidR="00841708">
        <w:t>workplace</w:t>
      </w:r>
      <w:r>
        <w:t xml:space="preserve"> stress</w:t>
      </w:r>
      <w:r w:rsidR="00841708">
        <w:t xml:space="preserve">. </w:t>
      </w:r>
      <w:r w:rsidR="0021021D">
        <w:t xml:space="preserve"> Health care providers with a lower level of training and /or working in</w:t>
      </w:r>
      <w:r w:rsidR="005040F0">
        <w:t xml:space="preserve"> a health care facility designated to provide Comprehensive EmOC</w:t>
      </w:r>
      <w:r w:rsidR="0021021D">
        <w:t xml:space="preserve"> had more identified work-related stress </w:t>
      </w:r>
      <w:r w:rsidR="00AD23B8">
        <w:t xml:space="preserve">risk </w:t>
      </w:r>
      <w:r w:rsidR="0021021D">
        <w:t xml:space="preserve">factors than those who were more senior and/or working </w:t>
      </w:r>
      <w:r w:rsidR="005040F0">
        <w:t>at a healthcare facility providing Basic EmOC</w:t>
      </w:r>
      <w:r w:rsidR="00841708">
        <w:t>. This has implications for the support and training these workers may need to cope with the demands of their job within this setting</w:t>
      </w:r>
      <w:r w:rsidR="00A4152C">
        <w:t>.</w:t>
      </w:r>
      <w:r w:rsidR="00841708">
        <w:t xml:space="preserve"> With the correct training, equipment and support HCW from any cadre and in any setting should be able to cope with the demands placed on them, even during a crisis such as the Ebola epidemic.</w:t>
      </w:r>
    </w:p>
    <w:p w14:paraId="7C22C731" w14:textId="77777777" w:rsidR="00DB623B" w:rsidRDefault="00DB623B" w:rsidP="00317681"/>
    <w:p w14:paraId="61AE21F8" w14:textId="2D46FED1" w:rsidR="0021021D" w:rsidRDefault="0021021D" w:rsidP="00317681">
      <w:r w:rsidRPr="00D63468">
        <w:t xml:space="preserve">The </w:t>
      </w:r>
      <w:r>
        <w:t xml:space="preserve">overall </w:t>
      </w:r>
      <w:r w:rsidRPr="00D63468">
        <w:t>aim of th</w:t>
      </w:r>
      <w:r>
        <w:t>e</w:t>
      </w:r>
      <w:r w:rsidRPr="00D63468">
        <w:t xml:space="preserve"> </w:t>
      </w:r>
      <w:r w:rsidR="002376E8">
        <w:t xml:space="preserve">study </w:t>
      </w:r>
      <w:r w:rsidRPr="00D63468">
        <w:t xml:space="preserve">was to help staff </w:t>
      </w:r>
      <w:r>
        <w:t xml:space="preserve">understand and recognise the risk factors for workplace stress and to </w:t>
      </w:r>
      <w:r w:rsidR="00686151">
        <w:t xml:space="preserve">begin to </w:t>
      </w:r>
      <w:r w:rsidRPr="00D63468">
        <w:t xml:space="preserve">develop </w:t>
      </w:r>
      <w:r>
        <w:t xml:space="preserve">skills </w:t>
      </w:r>
      <w:r w:rsidRPr="00D63468">
        <w:t>to better manage the</w:t>
      </w:r>
      <w:r>
        <w:t>se</w:t>
      </w:r>
      <w:r w:rsidRPr="00D63468">
        <w:t xml:space="preserve"> risks</w:t>
      </w:r>
      <w:r>
        <w:t xml:space="preserve">.  In the short term, the scores for workplace stress decreased further suggesting that healthcare workers might have used a better knowledge and understanding of stress and workplace stress to re-assess their working environment in more detail.  To build resilience and to improve the workplace environment more support is needed.   </w:t>
      </w:r>
    </w:p>
    <w:p w14:paraId="1F65334F" w14:textId="77777777" w:rsidR="00686151" w:rsidRDefault="00686151" w:rsidP="00317681"/>
    <w:p w14:paraId="744AECD2" w14:textId="2A4FD37F" w:rsidR="00657F73" w:rsidRPr="00657F73" w:rsidRDefault="00657F73" w:rsidP="00317681">
      <w:pPr>
        <w:rPr>
          <w:u w:val="single"/>
        </w:rPr>
      </w:pPr>
      <w:r w:rsidRPr="00657F73">
        <w:rPr>
          <w:u w:val="single"/>
        </w:rPr>
        <w:t>Interpretation and implication</w:t>
      </w:r>
      <w:r w:rsidR="00730531">
        <w:rPr>
          <w:u w:val="single"/>
        </w:rPr>
        <w:t>s</w:t>
      </w:r>
      <w:r w:rsidRPr="00657F73">
        <w:rPr>
          <w:u w:val="single"/>
        </w:rPr>
        <w:t xml:space="preserve"> for practice</w:t>
      </w:r>
    </w:p>
    <w:p w14:paraId="0F378076" w14:textId="79D14494" w:rsidR="00383454" w:rsidRDefault="008C0B49" w:rsidP="00657F73">
      <w:r w:rsidRPr="00D63468">
        <w:t xml:space="preserve"> </w:t>
      </w:r>
      <w:r w:rsidR="00B93687">
        <w:t xml:space="preserve">Below average scores in the </w:t>
      </w:r>
      <w:r w:rsidR="00D02A70">
        <w:t>WHOQOL</w:t>
      </w:r>
      <w:r w:rsidR="00050A16">
        <w:t>-</w:t>
      </w:r>
      <w:r w:rsidR="00D02A70">
        <w:t xml:space="preserve">BREF questionnaire </w:t>
      </w:r>
      <w:r w:rsidR="00B93687">
        <w:t xml:space="preserve">domains of physical and psychological </w:t>
      </w:r>
      <w:r w:rsidR="00B93687" w:rsidRPr="00C06928">
        <w:t xml:space="preserve">health may </w:t>
      </w:r>
      <w:r w:rsidR="00877A32" w:rsidRPr="00C06928">
        <w:t>be indicative of</w:t>
      </w:r>
      <w:r w:rsidR="00B93687" w:rsidRPr="00C06928">
        <w:t xml:space="preserve"> the negative effect </w:t>
      </w:r>
      <w:r w:rsidR="00730531" w:rsidRPr="00C06928">
        <w:t>w</w:t>
      </w:r>
      <w:r w:rsidR="00B93687" w:rsidRPr="00C06928">
        <w:t xml:space="preserve">orkplace demands </w:t>
      </w:r>
      <w:r w:rsidR="001F0FCF" w:rsidRPr="00C06928">
        <w:t>hav</w:t>
      </w:r>
      <w:r w:rsidR="00657F73" w:rsidRPr="00C06928">
        <w:t>e</w:t>
      </w:r>
      <w:r w:rsidR="001F0FCF" w:rsidRPr="00C06928">
        <w:t xml:space="preserve"> on the physical and psychological wellbeing of healthcare</w:t>
      </w:r>
      <w:r w:rsidR="00657F73" w:rsidRPr="00C06928">
        <w:t xml:space="preserve"> providers</w:t>
      </w:r>
      <w:r w:rsidR="0066063E" w:rsidRPr="00C06928">
        <w:t xml:space="preserve"> </w:t>
      </w:r>
      <w:r w:rsidR="00572380" w:rsidRPr="00C06928">
        <w:t>[</w:t>
      </w:r>
      <w:r w:rsidR="00C06928" w:rsidRPr="00C06928">
        <w:t>2</w:t>
      </w:r>
      <w:r w:rsidR="002608B1">
        <w:t>6</w:t>
      </w:r>
      <w:r w:rsidR="00572380" w:rsidRPr="00C06928">
        <w:t>]</w:t>
      </w:r>
      <w:r w:rsidR="00050A16" w:rsidRPr="00C06928">
        <w:t>.</w:t>
      </w:r>
      <w:r w:rsidRPr="00C06928">
        <w:t xml:space="preserve"> </w:t>
      </w:r>
      <w:r w:rsidR="002376E8">
        <w:t xml:space="preserve">However, they may also be influenced by factors external to the work environment for workers living in a </w:t>
      </w:r>
      <w:r w:rsidR="0069652A">
        <w:t>low-income</w:t>
      </w:r>
      <w:r w:rsidR="002376E8">
        <w:t xml:space="preserve"> country such as Sierra Leone. </w:t>
      </w:r>
      <w:r w:rsidRPr="00C06928">
        <w:t xml:space="preserve">Previous studies have shown that workers who have high demands placed upon them can show unsafe practices which should be of </w:t>
      </w:r>
      <w:r w:rsidR="00900DAF" w:rsidRPr="00C06928">
        <w:t xml:space="preserve">particular </w:t>
      </w:r>
      <w:r w:rsidRPr="00C06928">
        <w:t xml:space="preserve">concern </w:t>
      </w:r>
      <w:r w:rsidR="00900DAF" w:rsidRPr="00C06928">
        <w:t xml:space="preserve">in health </w:t>
      </w:r>
      <w:r w:rsidR="00900DAF" w:rsidRPr="002358EE">
        <w:t xml:space="preserve">care </w:t>
      </w:r>
      <w:r w:rsidR="0066063E" w:rsidRPr="002358EE">
        <w:t>[2</w:t>
      </w:r>
      <w:r w:rsidR="00AA6540" w:rsidRPr="002358EE">
        <w:t>7</w:t>
      </w:r>
      <w:r w:rsidR="00EE0888">
        <w:t xml:space="preserve">]. </w:t>
      </w:r>
      <w:r w:rsidR="000935A1">
        <w:t>In addition to work place demands p</w:t>
      </w:r>
      <w:r w:rsidR="000935A1" w:rsidRPr="00C06928">
        <w:t xml:space="preserve">revious studies have suggested </w:t>
      </w:r>
      <w:r w:rsidR="000935A1">
        <w:t>work based and social support are</w:t>
      </w:r>
      <w:r w:rsidR="000935A1" w:rsidRPr="00C06928">
        <w:t xml:space="preserve"> </w:t>
      </w:r>
      <w:r w:rsidR="000935A1">
        <w:t xml:space="preserve">also </w:t>
      </w:r>
      <w:r w:rsidR="000935A1" w:rsidRPr="00C06928">
        <w:t>positively associated with wellbeing</w:t>
      </w:r>
      <w:r w:rsidR="000935A1">
        <w:t>,</w:t>
      </w:r>
      <w:r w:rsidR="000935A1" w:rsidRPr="00C06928">
        <w:t xml:space="preserve"> lower levels of depression, burnout and psychological distress and greater life satisfaction [2</w:t>
      </w:r>
      <w:r w:rsidR="000935A1">
        <w:t>8, 29</w:t>
      </w:r>
      <w:r w:rsidR="000935A1" w:rsidRPr="00C06928">
        <w:t xml:space="preserve">]. </w:t>
      </w:r>
      <w:r w:rsidR="0069652A">
        <w:t>Health service manages therefore need to understand the impact of increased work load</w:t>
      </w:r>
      <w:r w:rsidR="000935A1">
        <w:t xml:space="preserve"> and support</w:t>
      </w:r>
      <w:r w:rsidR="0069652A">
        <w:t xml:space="preserve"> not just on the individual but also on quality of care and implement measures which support health care workers to maintain standards of care. These measures should include addressing the quality of pre and in-service training, peer and managerial support and providing an enabling working environment.</w:t>
      </w:r>
    </w:p>
    <w:p w14:paraId="20C07470" w14:textId="77777777" w:rsidR="00C30E93" w:rsidRPr="00C06928" w:rsidRDefault="00C30E93" w:rsidP="00657F73"/>
    <w:p w14:paraId="39ED14F3" w14:textId="132C531E" w:rsidR="001F0FCF" w:rsidRDefault="008C0B49" w:rsidP="00317681">
      <w:r w:rsidRPr="00C06928">
        <w:t xml:space="preserve">Having </w:t>
      </w:r>
      <w:r w:rsidR="009A15FD" w:rsidRPr="00C06928">
        <w:t xml:space="preserve">an enabling environment (including </w:t>
      </w:r>
      <w:r w:rsidRPr="00C06928">
        <w:t>adequate resources to work with</w:t>
      </w:r>
      <w:r w:rsidR="009A15FD" w:rsidRPr="00C06928">
        <w:t>)</w:t>
      </w:r>
      <w:r w:rsidRPr="00C06928">
        <w:t xml:space="preserve"> ha</w:t>
      </w:r>
      <w:r w:rsidR="00903E6E" w:rsidRPr="00C06928">
        <w:t>s</w:t>
      </w:r>
      <w:r w:rsidRPr="00C06928">
        <w:t xml:space="preserve"> also been shown to be an important factor in managing </w:t>
      </w:r>
      <w:r w:rsidR="007517F1" w:rsidRPr="00C06928">
        <w:t>workplace</w:t>
      </w:r>
      <w:r w:rsidRPr="00C06928">
        <w:t xml:space="preserve"> demand</w:t>
      </w:r>
      <w:r w:rsidR="00877A32" w:rsidRPr="00C06928">
        <w:t>s</w:t>
      </w:r>
      <w:r w:rsidRPr="00C06928">
        <w:t xml:space="preserve"> in health </w:t>
      </w:r>
      <w:r w:rsidRPr="002358EE">
        <w:t xml:space="preserve">care </w:t>
      </w:r>
      <w:r w:rsidR="00607CF7" w:rsidRPr="002358EE">
        <w:t>[</w:t>
      </w:r>
      <w:r w:rsidR="00AA6540" w:rsidRPr="002358EE">
        <w:t>30</w:t>
      </w:r>
      <w:r w:rsidR="00572380" w:rsidRPr="002358EE">
        <w:t>,</w:t>
      </w:r>
      <w:r w:rsidR="008F4AE5" w:rsidRPr="002358EE">
        <w:t xml:space="preserve"> </w:t>
      </w:r>
      <w:r w:rsidR="000A58E5" w:rsidRPr="002358EE">
        <w:t>31</w:t>
      </w:r>
      <w:r w:rsidR="00607CF7" w:rsidRPr="002358EE">
        <w:t>]</w:t>
      </w:r>
      <w:r w:rsidRPr="002358EE">
        <w:t>.</w:t>
      </w:r>
      <w:r w:rsidRPr="00C06928">
        <w:t xml:space="preserve"> Prior to the </w:t>
      </w:r>
      <w:r w:rsidR="00AA3C12" w:rsidRPr="00C06928">
        <w:t>EVD</w:t>
      </w:r>
      <w:r w:rsidRPr="00C06928">
        <w:t xml:space="preserve"> epidemic</w:t>
      </w:r>
      <w:r w:rsidR="00903E6E" w:rsidRPr="00C06928">
        <w:t>,</w:t>
      </w:r>
      <w:r w:rsidRPr="00C06928">
        <w:t xml:space="preserve"> healthcare workers </w:t>
      </w:r>
      <w:r w:rsidR="001175F6" w:rsidRPr="00C06928">
        <w:t xml:space="preserve">in Sierra Leone </w:t>
      </w:r>
      <w:r w:rsidRPr="00C06928">
        <w:t xml:space="preserve">were already working with too few resources </w:t>
      </w:r>
      <w:r w:rsidR="00903E6E" w:rsidRPr="00C06928">
        <w:t>within a weak health system</w:t>
      </w:r>
      <w:r w:rsidR="009A15FD" w:rsidRPr="00C06928">
        <w:t xml:space="preserve"> </w:t>
      </w:r>
      <w:r w:rsidR="007137D6" w:rsidRPr="00C06928">
        <w:t>[</w:t>
      </w:r>
      <w:r w:rsidR="000A58E5">
        <w:t>32</w:t>
      </w:r>
      <w:r w:rsidR="00607CF7" w:rsidRPr="00C06928">
        <w:t>]</w:t>
      </w:r>
      <w:r w:rsidRPr="00C06928">
        <w:t xml:space="preserve">. The need for additional </w:t>
      </w:r>
      <w:r w:rsidR="00A0236D" w:rsidRPr="00C06928">
        <w:t xml:space="preserve">equipment </w:t>
      </w:r>
      <w:r w:rsidRPr="00C06928">
        <w:t>to</w:t>
      </w:r>
      <w:r w:rsidR="00A0236D" w:rsidRPr="00C06928">
        <w:t xml:space="preserve"> safely</w:t>
      </w:r>
      <w:r w:rsidRPr="00C06928">
        <w:t xml:space="preserve"> manage patients with </w:t>
      </w:r>
      <w:r w:rsidR="00AA3C12" w:rsidRPr="00C06928">
        <w:t>EVD</w:t>
      </w:r>
      <w:r w:rsidRPr="00C06928">
        <w:t xml:space="preserve"> exacerbated this lack</w:t>
      </w:r>
      <w:r w:rsidR="00A0236D" w:rsidRPr="00C06928">
        <w:t xml:space="preserve"> of resources.</w:t>
      </w:r>
      <w:r w:rsidR="00877A32" w:rsidRPr="00C06928">
        <w:t xml:space="preserve"> </w:t>
      </w:r>
      <w:r w:rsidR="00A0236D" w:rsidRPr="00C06928">
        <w:t xml:space="preserve">Scores </w:t>
      </w:r>
      <w:r w:rsidR="00383454" w:rsidRPr="00C06928">
        <w:t>obtained in this study for</w:t>
      </w:r>
      <w:r w:rsidR="00196964" w:rsidRPr="00C06928">
        <w:t xml:space="preserve"> environmental demand </w:t>
      </w:r>
      <w:r w:rsidR="00383454" w:rsidRPr="00C06928">
        <w:t>suggest this might be the case, and, the</w:t>
      </w:r>
      <w:r w:rsidR="00A0236D" w:rsidRPr="00C06928">
        <w:t xml:space="preserve">se did not change in the short </w:t>
      </w:r>
      <w:r w:rsidR="00383454" w:rsidRPr="00C06928">
        <w:t xml:space="preserve">time, </w:t>
      </w:r>
      <w:r w:rsidR="00671FFA" w:rsidRPr="00C06928">
        <w:t>despite the influx of resources and</w:t>
      </w:r>
      <w:r w:rsidR="00671FFA">
        <w:t xml:space="preserve"> money into Sierra Leone as part of the Ebola response effort.</w:t>
      </w:r>
      <w:r w:rsidR="00A0236D" w:rsidRPr="00D63468">
        <w:t xml:space="preserve"> </w:t>
      </w:r>
      <w:r w:rsidR="001F0FCF">
        <w:t>Healthcare</w:t>
      </w:r>
      <w:r w:rsidR="00383454">
        <w:t xml:space="preserve"> providers </w:t>
      </w:r>
      <w:r w:rsidR="001F0FCF">
        <w:t xml:space="preserve">in Sierra Leone </w:t>
      </w:r>
      <w:r w:rsidR="001F0FCF">
        <w:lastRenderedPageBreak/>
        <w:t xml:space="preserve">face daily, long term challenges </w:t>
      </w:r>
      <w:r w:rsidR="00877A32">
        <w:t xml:space="preserve">both </w:t>
      </w:r>
      <w:r w:rsidR="001F0FCF">
        <w:t xml:space="preserve">at home and in work with limited electricity and clean water supply, poor transport infrastructure and low standards of health care, which may all make managing workplace demands more challenging.  </w:t>
      </w:r>
      <w:r w:rsidR="00BD3447">
        <w:t xml:space="preserve">Workers in the second city of the country, Bo, reported worse quality of life than their peers in the capital Freetown. This may be due to the extra resources and facilities that are available within the capital city compared to Bo. In contrast workers in Bo scored higher </w:t>
      </w:r>
      <w:r w:rsidR="000A58E5">
        <w:t>regarding</w:t>
      </w:r>
      <w:r w:rsidR="00BD3447">
        <w:t xml:space="preserve"> </w:t>
      </w:r>
      <w:r w:rsidR="00215FA5">
        <w:t>workplace</w:t>
      </w:r>
      <w:r w:rsidR="00BD3447">
        <w:t xml:space="preserve"> risk factors (that is there was less risk) compared to their peers in Freetown. The reasons for this are unclear and may relate to the types </w:t>
      </w:r>
      <w:r w:rsidR="00513AED">
        <w:t xml:space="preserve">and number </w:t>
      </w:r>
      <w:r w:rsidR="00BD3447">
        <w:t>of patients seen in facilities, proximity</w:t>
      </w:r>
      <w:r w:rsidR="00374DFF">
        <w:t xml:space="preserve"> or not </w:t>
      </w:r>
      <w:r w:rsidR="00BD3447">
        <w:t>to the MoHS</w:t>
      </w:r>
      <w:r w:rsidR="00513AED">
        <w:t>, staffing levels and mix of cadres</w:t>
      </w:r>
      <w:r w:rsidR="00374DFF">
        <w:t xml:space="preserve"> or other characteristics of the </w:t>
      </w:r>
      <w:r w:rsidR="00215FA5">
        <w:t>workplace</w:t>
      </w:r>
      <w:r w:rsidR="0069652A">
        <w:t>.</w:t>
      </w:r>
    </w:p>
    <w:p w14:paraId="4E61165F" w14:textId="31001E8C" w:rsidR="00662F4A" w:rsidRDefault="00662F4A" w:rsidP="00317681"/>
    <w:p w14:paraId="01379FA3" w14:textId="358D1898" w:rsidR="00995EFE" w:rsidRDefault="00657F73" w:rsidP="00995EFE">
      <w:r>
        <w:t>Though designed for use in the UK the HSE Management Standards Tool has also been used in a number of countries including Italy, the Philippines and Australia [</w:t>
      </w:r>
      <w:r w:rsidR="000A58E5">
        <w:t>33</w:t>
      </w:r>
      <w:r w:rsidR="00C06928">
        <w:t>,</w:t>
      </w:r>
      <w:r w:rsidR="000A58E5">
        <w:t>34</w:t>
      </w:r>
      <w:r w:rsidR="00C06928">
        <w:t>,</w:t>
      </w:r>
      <w:r w:rsidR="00A269E8">
        <w:t>3</w:t>
      </w:r>
      <w:r w:rsidR="000A58E5">
        <w:t>5</w:t>
      </w:r>
      <w:r>
        <w:t>].</w:t>
      </w:r>
      <w:r w:rsidR="00383454">
        <w:t xml:space="preserve"> </w:t>
      </w:r>
      <w:r w:rsidR="00F1224A" w:rsidRPr="00D63468" w:rsidDel="001F0FCF">
        <w:t>An important element of th</w:t>
      </w:r>
      <w:r w:rsidR="00383454">
        <w:t>is</w:t>
      </w:r>
      <w:r w:rsidR="00F1224A" w:rsidRPr="00D63468" w:rsidDel="001F0FCF">
        <w:t xml:space="preserve"> study was the</w:t>
      </w:r>
      <w:r w:rsidR="00383454">
        <w:t xml:space="preserve"> development and</w:t>
      </w:r>
      <w:r w:rsidR="00F1224A" w:rsidRPr="00D63468" w:rsidDel="001F0FCF">
        <w:t xml:space="preserve"> use of culturally appropriate tools to measure</w:t>
      </w:r>
      <w:r w:rsidR="00383454">
        <w:t xml:space="preserve"> and support</w:t>
      </w:r>
      <w:r w:rsidR="00F1224A" w:rsidRPr="00D63468" w:rsidDel="001F0FCF">
        <w:t xml:space="preserve"> work stressors and quality of life but also to inform and allay fears within a culture where fear and stigma </w:t>
      </w:r>
      <w:r w:rsidR="00052918" w:rsidRPr="00D63468" w:rsidDel="001F0FCF">
        <w:t>of psychological ill</w:t>
      </w:r>
      <w:r w:rsidR="00CB7A7B" w:rsidRPr="00D63468" w:rsidDel="001F0FCF">
        <w:t>-</w:t>
      </w:r>
      <w:r w:rsidR="00052918" w:rsidRPr="00D63468" w:rsidDel="001F0FCF">
        <w:t>health</w:t>
      </w:r>
      <w:r w:rsidR="00900DAF" w:rsidRPr="00D63468" w:rsidDel="001F0FCF">
        <w:t xml:space="preserve"> </w:t>
      </w:r>
      <w:r w:rsidR="00F1224A" w:rsidRPr="00D63468" w:rsidDel="001F0FCF">
        <w:t>is apparent. Finding an appropriate tool to measure resilience was difficult primarily due the fact that many of the available measures may not be culturally sensitive and appropriate to the clinical setting and healthcare professionals</w:t>
      </w:r>
      <w:r w:rsidR="007137D6">
        <w:t xml:space="preserve"> [</w:t>
      </w:r>
      <w:r w:rsidR="00C06928">
        <w:t>3</w:t>
      </w:r>
      <w:r w:rsidR="00231080">
        <w:t>6</w:t>
      </w:r>
      <w:r w:rsidR="00607CF7">
        <w:t>]</w:t>
      </w:r>
      <w:r w:rsidR="00F1224A" w:rsidRPr="00D63468" w:rsidDel="001F0FCF">
        <w:t>.</w:t>
      </w:r>
      <w:r w:rsidR="00995EFE">
        <w:t xml:space="preserve"> </w:t>
      </w:r>
      <w:r w:rsidR="00F1224A" w:rsidRPr="00D63468" w:rsidDel="001F0FCF">
        <w:t xml:space="preserve">Since the HSE and WHOQOL-BREF had been used extensively in </w:t>
      </w:r>
      <w:r w:rsidR="00383454" w:rsidRPr="00D63468" w:rsidDel="001F0FCF">
        <w:t>several</w:t>
      </w:r>
      <w:r w:rsidR="00383454">
        <w:t xml:space="preserve"> other </w:t>
      </w:r>
      <w:r w:rsidR="00F1224A" w:rsidRPr="00D63468" w:rsidDel="001F0FCF">
        <w:t>countries</w:t>
      </w:r>
      <w:r w:rsidR="00383454">
        <w:t>,</w:t>
      </w:r>
      <w:r w:rsidR="00F1224A" w:rsidRPr="00D63468" w:rsidDel="001F0FCF">
        <w:t xml:space="preserve"> and</w:t>
      </w:r>
      <w:r w:rsidR="00383454">
        <w:t>,</w:t>
      </w:r>
      <w:r w:rsidR="00F1224A" w:rsidRPr="00D63468" w:rsidDel="001F0FCF">
        <w:t xml:space="preserve"> following negotiations with colleagues</w:t>
      </w:r>
      <w:r w:rsidR="00052918" w:rsidRPr="00D63468" w:rsidDel="001F0FCF">
        <w:t xml:space="preserve"> in Sierra Leone</w:t>
      </w:r>
      <w:r w:rsidR="00383454">
        <w:t>,</w:t>
      </w:r>
      <w:r w:rsidR="00F1224A" w:rsidRPr="00D63468" w:rsidDel="001F0FCF">
        <w:t xml:space="preserve"> it was considered appropriate to use the</w:t>
      </w:r>
      <w:r w:rsidR="00383454">
        <w:t>se</w:t>
      </w:r>
      <w:r w:rsidR="00995EFE">
        <w:t>.</w:t>
      </w:r>
      <w:r w:rsidR="00995EFE" w:rsidRPr="00995EFE">
        <w:t xml:space="preserve"> </w:t>
      </w:r>
    </w:p>
    <w:p w14:paraId="43A640A2" w14:textId="4D5EC6A0" w:rsidR="00F1224A" w:rsidRPr="00D63468" w:rsidDel="001F0FCF" w:rsidRDefault="00F1224A" w:rsidP="00317681"/>
    <w:p w14:paraId="13B8A246" w14:textId="77777777" w:rsidR="0048290C" w:rsidRPr="00D63468" w:rsidRDefault="0048290C" w:rsidP="00317681"/>
    <w:p w14:paraId="6B62C9EF" w14:textId="03958FCB" w:rsidR="004D6394" w:rsidRDefault="00877A32" w:rsidP="00317681">
      <w:r w:rsidRPr="00D63468">
        <w:t>Within the context of this EVD epidemic there may have been a need for additional support for healthcare workers to cope with the humanitarian situation. Previous studies suggest that the majority of healthcare workers exposed to traumatic or challenging events do not suffer from any long term negative psychological effects and do display resilience, but the minority who do experience distress need to be supported</w:t>
      </w:r>
      <w:r w:rsidR="007137D6">
        <w:t xml:space="preserve"> [</w:t>
      </w:r>
      <w:r w:rsidR="00C06928">
        <w:t>3</w:t>
      </w:r>
      <w:r w:rsidR="00231080">
        <w:t>7</w:t>
      </w:r>
      <w:r w:rsidR="00F909C6">
        <w:t>]</w:t>
      </w:r>
      <w:r w:rsidRPr="00D63468">
        <w:t xml:space="preserve">. </w:t>
      </w:r>
      <w:r w:rsidR="004D6394">
        <w:t>The EVD epidemic was associated with increased risk for healthcare providers who, however, largely remained in post to provide maternity care.</w:t>
      </w:r>
      <w:r w:rsidR="00554391">
        <w:t xml:space="preserve"> Health managers need to better understand why it is that health care workers continued to provide care, despite the negative impact on themselves and what the implications of this are for developing a resilient work force. Authors such as Kruk et al</w:t>
      </w:r>
      <w:r w:rsidR="00DC7CCF">
        <w:t xml:space="preserve"> [38]</w:t>
      </w:r>
      <w:r w:rsidR="00554391">
        <w:t xml:space="preserve"> see a strong and committed work forces as a key element of a resilient health system, yet there is little description of what this means for health care workers in low resourced settings. Within such settings where health care workers are reporting a low quality of life and high risk factors for developing work based stress questions need to be asked if they should also shoulder the additional burden of responsibility that a resilient health system will require</w:t>
      </w:r>
      <w:r w:rsidR="00DC7CCF">
        <w:t>. If this burden is to be placed on health care workers then further support will be needed to help them manage this.</w:t>
      </w:r>
      <w:r w:rsidR="00554391">
        <w:t xml:space="preserve">  </w:t>
      </w:r>
      <w:r w:rsidR="004D6394">
        <w:t xml:space="preserve"> </w:t>
      </w:r>
    </w:p>
    <w:p w14:paraId="4D706293" w14:textId="6B828162" w:rsidR="008343BD" w:rsidRDefault="008343BD" w:rsidP="00317681"/>
    <w:p w14:paraId="08AA8098" w14:textId="7438FBF7" w:rsidR="008343BD" w:rsidRDefault="008343BD" w:rsidP="00317681">
      <w:r>
        <w:t xml:space="preserve">The training programme devised for the study was well received by both the participants and MoHS. There had been no similar training for health care workers in the country and as a consequence of using the programme in this study further training programmes were instigated by the MoHS. The </w:t>
      </w:r>
      <w:r w:rsidR="00C47FD0">
        <w:t>programme</w:t>
      </w:r>
      <w:r>
        <w:t xml:space="preserve"> was incorporated into </w:t>
      </w:r>
      <w:r w:rsidR="00C47FD0">
        <w:t>training days for health care workers newly recruited to the MoHS in recognition of the need for more support for health care workers.</w:t>
      </w:r>
      <w:r w:rsidR="00DC7CCF">
        <w:t xml:space="preserve"> However, the dynamic situation during the Ebola epidemic will have impacted on the impact of the training programme and the ability of health care workers to provide increased peer support during the epidemic.</w:t>
      </w:r>
    </w:p>
    <w:p w14:paraId="44581814" w14:textId="77777777" w:rsidR="004D6394" w:rsidRDefault="004D6394" w:rsidP="00317681"/>
    <w:p w14:paraId="6658103B" w14:textId="12B92D92" w:rsidR="00B61687" w:rsidRPr="00076586" w:rsidRDefault="00B61687" w:rsidP="00F909C6">
      <w:pPr>
        <w:pStyle w:val="Heading2"/>
      </w:pPr>
      <w:r w:rsidRPr="00076586">
        <w:lastRenderedPageBreak/>
        <w:t>Conclusion</w:t>
      </w:r>
    </w:p>
    <w:p w14:paraId="299D0A2A" w14:textId="70FC8995" w:rsidR="00724BC4" w:rsidRPr="00D63468" w:rsidRDefault="00730531" w:rsidP="00317681">
      <w:r>
        <w:t>A</w:t>
      </w:r>
      <w:r w:rsidR="00F1224A" w:rsidRPr="00D63468">
        <w:t xml:space="preserve"> 5-year plan </w:t>
      </w:r>
      <w:r w:rsidR="00813C5E" w:rsidRPr="00D63468">
        <w:t xml:space="preserve">for Sierra Leone </w:t>
      </w:r>
      <w:r w:rsidR="00F1224A" w:rsidRPr="00D63468">
        <w:t xml:space="preserve">to build a more resilient health system which provides routine care </w:t>
      </w:r>
      <w:r w:rsidR="00877A32">
        <w:t>as well as being</w:t>
      </w:r>
      <w:r w:rsidR="00F1224A" w:rsidRPr="00D63468">
        <w:t xml:space="preserve"> able to withstand any future epidemics</w:t>
      </w:r>
      <w:r w:rsidR="00813C5E" w:rsidRPr="00D63468">
        <w:t xml:space="preserve"> is being implemented</w:t>
      </w:r>
      <w:r w:rsidR="00F1224A" w:rsidRPr="00D63468">
        <w:t xml:space="preserve">. </w:t>
      </w:r>
      <w:r w:rsidR="00B00EA5">
        <w:t xml:space="preserve">Frameworks of resilience cite a committed and strong work force as being important for developing resilience and health system strengthening but this may be undermined if workers face high levels of stress at work. For the individual high levels of </w:t>
      </w:r>
      <w:r w:rsidR="00E35362">
        <w:t>workplace</w:t>
      </w:r>
      <w:r w:rsidR="00B00EA5">
        <w:t xml:space="preserve"> stress may impact on personal health and quality of life, affecting work performance and personal relationships. It is important therefore that further research is conducted on the best way to support workers </w:t>
      </w:r>
      <w:r w:rsidR="00182A58">
        <w:t>in</w:t>
      </w:r>
      <w:r w:rsidR="00B00EA5">
        <w:t xml:space="preserve"> low income countries and low resourced working environments to reduce </w:t>
      </w:r>
      <w:r w:rsidR="00215FA5">
        <w:t>workplace</w:t>
      </w:r>
      <w:r w:rsidR="00B00EA5">
        <w:t xml:space="preserve"> risk factors for stress. </w:t>
      </w:r>
    </w:p>
    <w:p w14:paraId="53173C86" w14:textId="1A38E586" w:rsidR="00730531" w:rsidRDefault="00730531" w:rsidP="00317681"/>
    <w:p w14:paraId="2F72039F" w14:textId="50103AA0" w:rsidR="00874815" w:rsidRDefault="00184EDD" w:rsidP="00184EDD">
      <w:pPr>
        <w:pStyle w:val="Heading2"/>
      </w:pPr>
      <w:r>
        <w:t>Declarations</w:t>
      </w:r>
    </w:p>
    <w:p w14:paraId="4152782D" w14:textId="77777777" w:rsidR="00184EDD" w:rsidRPr="00D63468" w:rsidRDefault="00184EDD" w:rsidP="00184EDD"/>
    <w:p w14:paraId="223849D9" w14:textId="395214A1" w:rsidR="00184EDD" w:rsidRDefault="00D45287" w:rsidP="00184EDD">
      <w:pPr>
        <w:pStyle w:val="Heading3"/>
      </w:pPr>
      <w:r>
        <w:t>D</w:t>
      </w:r>
      <w:r w:rsidR="00184EDD">
        <w:t>ata</w:t>
      </w:r>
      <w:r>
        <w:t xml:space="preserve"> sharing</w:t>
      </w:r>
    </w:p>
    <w:p w14:paraId="3941CD53" w14:textId="04EFE3DE" w:rsidR="005C0FEE" w:rsidRPr="008F4AE5" w:rsidRDefault="005C0FEE" w:rsidP="00317681">
      <w:r>
        <w:rPr>
          <w:rFonts w:eastAsia="Times New Roman" w:cs="Times New Roman"/>
          <w:lang w:eastAsia="en-GB"/>
        </w:rPr>
        <w:t>Data are available upon reasonable request</w:t>
      </w:r>
    </w:p>
    <w:p w14:paraId="4A02AE59" w14:textId="77777777" w:rsidR="00184EDD" w:rsidRDefault="00184EDD" w:rsidP="00317681"/>
    <w:p w14:paraId="6AC7767F" w14:textId="600F386A" w:rsidR="00184EDD" w:rsidRDefault="00184EDD" w:rsidP="00184EDD">
      <w:pPr>
        <w:pStyle w:val="Heading3"/>
      </w:pPr>
      <w:r>
        <w:t>Competing interests</w:t>
      </w:r>
    </w:p>
    <w:p w14:paraId="65C90F67" w14:textId="5E753279" w:rsidR="00184EDD" w:rsidRDefault="00184EDD" w:rsidP="00317681">
      <w:r>
        <w:t>The authors have no competing interests to declare.</w:t>
      </w:r>
    </w:p>
    <w:p w14:paraId="2811AD5A" w14:textId="77777777" w:rsidR="00184EDD" w:rsidRPr="00D63468" w:rsidRDefault="00184EDD" w:rsidP="00317681"/>
    <w:p w14:paraId="3A6D77ED" w14:textId="77777777" w:rsidR="00184EDD" w:rsidRDefault="00184EDD" w:rsidP="00184EDD">
      <w:pPr>
        <w:pStyle w:val="Heading3"/>
      </w:pPr>
      <w:r>
        <w:t>Funding</w:t>
      </w:r>
    </w:p>
    <w:p w14:paraId="241318B7" w14:textId="57B536E4" w:rsidR="00184EDD" w:rsidRDefault="001326D3" w:rsidP="00184EDD">
      <w:r>
        <w:t>Funded</w:t>
      </w:r>
      <w:r w:rsidR="00BB228A">
        <w:t xml:space="preserve"> by WaterAid through VSO. </w:t>
      </w:r>
      <w:r w:rsidR="00314A43">
        <w:t xml:space="preserve"> </w:t>
      </w:r>
    </w:p>
    <w:p w14:paraId="5E07BFBD" w14:textId="411E61BB" w:rsidR="00314A43" w:rsidRPr="00D63468" w:rsidRDefault="00314A43" w:rsidP="00184EDD">
      <w:r>
        <w:t>Award number: NA</w:t>
      </w:r>
      <w:bookmarkStart w:id="8" w:name="_GoBack"/>
      <w:bookmarkEnd w:id="8"/>
    </w:p>
    <w:p w14:paraId="4401B6D0" w14:textId="292727A7" w:rsidR="00AB64E4" w:rsidRDefault="00AB64E4" w:rsidP="00317681"/>
    <w:p w14:paraId="5E290D74" w14:textId="6A46379A" w:rsidR="00184EDD" w:rsidRPr="00D63468" w:rsidRDefault="00CB76CB" w:rsidP="00184EDD">
      <w:pPr>
        <w:pStyle w:val="Heading3"/>
      </w:pPr>
      <w:r>
        <w:t>C</w:t>
      </w:r>
      <w:r w:rsidR="00184EDD">
        <w:t>ontributions</w:t>
      </w:r>
      <w:r>
        <w:t xml:space="preserve"> to authorship</w:t>
      </w:r>
    </w:p>
    <w:p w14:paraId="7C4F14C3" w14:textId="5C0B2203" w:rsidR="00184EDD" w:rsidRDefault="001326D3" w:rsidP="00317681">
      <w:r>
        <w:t xml:space="preserve">SJ and JO conceptualised the study; </w:t>
      </w:r>
      <w:r w:rsidR="005367E7">
        <w:t xml:space="preserve">SJ, </w:t>
      </w:r>
      <w:r>
        <w:t>JO, BS, FB, SBP conducted the primary research; SJ, SG</w:t>
      </w:r>
      <w:r w:rsidR="005367E7">
        <w:t>, SW</w:t>
      </w:r>
      <w:r>
        <w:t xml:space="preserve"> NVD analysed the data; SJ, NVD,</w:t>
      </w:r>
      <w:r w:rsidR="00413275">
        <w:t xml:space="preserve"> SW,</w:t>
      </w:r>
      <w:r>
        <w:t xml:space="preserve"> </w:t>
      </w:r>
      <w:r w:rsidR="00D45287">
        <w:t xml:space="preserve">BS, FB, SBP, SG </w:t>
      </w:r>
      <w:r>
        <w:t>wrote the paper</w:t>
      </w:r>
    </w:p>
    <w:p w14:paraId="17466521" w14:textId="1685ACB0" w:rsidR="00184EDD" w:rsidRDefault="00184EDD" w:rsidP="00317681"/>
    <w:p w14:paraId="213EA093" w14:textId="5B1C3330" w:rsidR="00184EDD" w:rsidRDefault="00184EDD" w:rsidP="00184EDD">
      <w:pPr>
        <w:pStyle w:val="Heading3"/>
      </w:pPr>
      <w:r>
        <w:t xml:space="preserve">Acknowledgments </w:t>
      </w:r>
    </w:p>
    <w:p w14:paraId="63E4A0D0" w14:textId="6B50C6AE" w:rsidR="00184EDD" w:rsidRDefault="0000395E" w:rsidP="00317681">
      <w:r>
        <w:t>CMNH-</w:t>
      </w:r>
      <w:r w:rsidR="001326D3">
        <w:t>LSTM would like to thank the MoHS Sierra Leone and the Ministry of Social Welfare for agreeing for the study to take place and all those healthcare workers who participated in the study</w:t>
      </w:r>
      <w:r w:rsidR="002358EE">
        <w:t>.</w:t>
      </w:r>
    </w:p>
    <w:p w14:paraId="064BD002" w14:textId="6485329A" w:rsidR="00184EDD" w:rsidRDefault="00184EDD" w:rsidP="00EB7AFF"/>
    <w:p w14:paraId="4846D409" w14:textId="77777777" w:rsidR="00F909C6" w:rsidRDefault="00F909C6">
      <w:pPr>
        <w:spacing w:after="160"/>
        <w:jc w:val="left"/>
        <w:rPr>
          <w:rFonts w:eastAsiaTheme="majorEastAsia" w:cstheme="majorBidi"/>
          <w:b/>
          <w:sz w:val="28"/>
          <w:szCs w:val="28"/>
        </w:rPr>
      </w:pPr>
      <w:r>
        <w:br w:type="page"/>
      </w:r>
    </w:p>
    <w:p w14:paraId="311A7EAE" w14:textId="6A8400BC" w:rsidR="00BE0597" w:rsidRDefault="00FF4308" w:rsidP="00317681">
      <w:pPr>
        <w:pStyle w:val="Heading2"/>
      </w:pPr>
      <w:r w:rsidRPr="00D63468">
        <w:lastRenderedPageBreak/>
        <w:t>R</w:t>
      </w:r>
      <w:r w:rsidR="00BE0597" w:rsidRPr="00D63468">
        <w:t>eferences</w:t>
      </w:r>
      <w:r w:rsidR="00263EC3">
        <w:t xml:space="preserve"> </w:t>
      </w:r>
    </w:p>
    <w:p w14:paraId="744B77BE" w14:textId="7A8BD51C" w:rsidR="001D712D" w:rsidRDefault="001D712D" w:rsidP="001D712D"/>
    <w:p w14:paraId="3105A24F" w14:textId="77777777" w:rsidR="00844938" w:rsidRPr="005512C0" w:rsidRDefault="00844938" w:rsidP="002358EE">
      <w:pPr>
        <w:pStyle w:val="ListParagraph"/>
        <w:numPr>
          <w:ilvl w:val="0"/>
          <w:numId w:val="9"/>
        </w:numPr>
        <w:ind w:left="426"/>
        <w:jc w:val="left"/>
        <w:rPr>
          <w:rStyle w:val="Hyperlink"/>
          <w:color w:val="auto"/>
          <w:u w:val="none"/>
        </w:rPr>
      </w:pPr>
      <w:r w:rsidRPr="005512C0">
        <w:rPr>
          <w:rFonts w:ascii="Calibri" w:hAnsi="Calibri" w:cs="Calibri"/>
        </w:rPr>
        <w:t xml:space="preserve">World Health Organization: </w:t>
      </w:r>
      <w:r w:rsidRPr="005512C0">
        <w:rPr>
          <w:rFonts w:ascii="Calibri" w:hAnsi="Calibri" w:cs="Calibri"/>
          <w:bCs/>
        </w:rPr>
        <w:t>World Health Statistics 2014</w:t>
      </w:r>
      <w:r w:rsidRPr="005512C0">
        <w:rPr>
          <w:rFonts w:ascii="Calibri" w:hAnsi="Calibri" w:cs="Calibri"/>
        </w:rPr>
        <w:t xml:space="preserve">. Geneva: World Health Organization; 2014. </w:t>
      </w:r>
      <w:hyperlink r:id="rId18" w:history="1">
        <w:r w:rsidRPr="005512C0">
          <w:rPr>
            <w:rStyle w:val="Hyperlink"/>
            <w:rFonts w:ascii="Calibri" w:hAnsi="Calibri" w:cs="Calibri"/>
          </w:rPr>
          <w:t>http://apps.who.int/iris/bitstream/10665/112738/1/9789240692671_eng.pdf</w:t>
        </w:r>
      </w:hyperlink>
    </w:p>
    <w:p w14:paraId="7173B677" w14:textId="77777777" w:rsidR="00844938" w:rsidRPr="005512C0" w:rsidRDefault="00844938" w:rsidP="00A94B3A">
      <w:pPr>
        <w:pStyle w:val="ListParagraph"/>
        <w:numPr>
          <w:ilvl w:val="0"/>
          <w:numId w:val="9"/>
        </w:numPr>
        <w:ind w:left="426"/>
        <w:rPr>
          <w:rStyle w:val="Hyperlink"/>
          <w:color w:val="auto"/>
          <w:u w:val="none"/>
        </w:rPr>
      </w:pPr>
      <w:r w:rsidRPr="005512C0">
        <w:t>Hakon, A. B., Lars Hagander, L., von Schreeb, J., Donald Bash-Taqi, D., Kamara, T.B., Salvesen, O., &amp; Wibe, A. (2016). The Surgical Workforce and Surgical Provider Productivity in Sierra Leone: A Countrywide Inventory World Journal of Surgery 40:1344–1351. doi 10.1007/s00268-016-3417-1</w:t>
      </w:r>
    </w:p>
    <w:p w14:paraId="57497D78" w14:textId="0454030C" w:rsidR="00C06928" w:rsidRPr="002358EE" w:rsidRDefault="00F909C6" w:rsidP="00C06928">
      <w:pPr>
        <w:pStyle w:val="ListParagraph"/>
        <w:numPr>
          <w:ilvl w:val="0"/>
          <w:numId w:val="9"/>
        </w:numPr>
        <w:ind w:left="426" w:hanging="426"/>
        <w:rPr>
          <w:rStyle w:val="Hyperlink"/>
          <w:color w:val="auto"/>
          <w:u w:val="none"/>
        </w:rPr>
      </w:pPr>
      <w:r w:rsidRPr="002358EE">
        <w:t xml:space="preserve">World Health Organization. Ebola response road map situation report – 27 May 2015. Geneva: </w:t>
      </w:r>
      <w:r w:rsidR="00C06928" w:rsidRPr="002358EE">
        <w:t xml:space="preserve">World Health Organization; 2015. </w:t>
      </w:r>
      <w:hyperlink r:id="rId19" w:history="1">
        <w:r w:rsidR="00C06928" w:rsidRPr="002358EE">
          <w:rPr>
            <w:rStyle w:val="Hyperlink"/>
          </w:rPr>
          <w:t>http://apps.who.int/ebola/current-situation/ebola</w:t>
        </w:r>
      </w:hyperlink>
    </w:p>
    <w:p w14:paraId="1677D3A9" w14:textId="6C4D2788" w:rsidR="00C06928" w:rsidRPr="00844938" w:rsidRDefault="00C06928" w:rsidP="00C06928">
      <w:pPr>
        <w:pStyle w:val="ListParagraph"/>
        <w:numPr>
          <w:ilvl w:val="0"/>
          <w:numId w:val="9"/>
        </w:numPr>
        <w:ind w:left="426" w:hanging="426"/>
      </w:pPr>
      <w:r w:rsidRPr="002358EE">
        <w:t>McPake B, Witter S, Ssali S, Wurie H, Namakula J,</w:t>
      </w:r>
      <w:r w:rsidR="00566945" w:rsidRPr="002358EE">
        <w:t xml:space="preserve"> &amp;</w:t>
      </w:r>
      <w:r w:rsidRPr="002358EE">
        <w:t xml:space="preserve"> Sengooba F. Ebola in the context of conflict affected states and health systems: case studies of Northern Ugan</w:t>
      </w:r>
      <w:r w:rsidRPr="00844938">
        <w:t xml:space="preserve">da and Sierra Leone. </w:t>
      </w:r>
      <w:r w:rsidRPr="00844938">
        <w:rPr>
          <w:rFonts w:eastAsia="Times New Roman" w:cs="Times New Roman"/>
          <w:iCs/>
          <w:lang w:eastAsia="en-GB"/>
        </w:rPr>
        <w:t>Confl Health. 2015;</w:t>
      </w:r>
      <w:r w:rsidRPr="00844938">
        <w:rPr>
          <w:rFonts w:eastAsia="Times New Roman" w:cs="Times New Roman"/>
          <w:bCs/>
          <w:lang w:eastAsia="en-GB"/>
        </w:rPr>
        <w:t>9</w:t>
      </w:r>
      <w:r w:rsidRPr="00844938">
        <w:rPr>
          <w:rFonts w:eastAsia="Times New Roman" w:cs="Times New Roman"/>
          <w:lang w:eastAsia="en-GB"/>
        </w:rPr>
        <w:t xml:space="preserve">:23. </w:t>
      </w:r>
      <w:r w:rsidRPr="00844938">
        <w:rPr>
          <w:rFonts w:eastAsia="Times New Roman" w:cs="Times New Roman"/>
          <w:bCs/>
          <w:lang w:eastAsia="en-GB"/>
        </w:rPr>
        <w:t>doi</w:t>
      </w:r>
      <w:r w:rsidRPr="00844938">
        <w:rPr>
          <w:rFonts w:eastAsia="Times New Roman" w:cs="Times New Roman"/>
          <w:b/>
          <w:bCs/>
          <w:lang w:eastAsia="en-GB"/>
        </w:rPr>
        <w:t>: </w:t>
      </w:r>
      <w:r w:rsidRPr="00844938">
        <w:rPr>
          <w:rFonts w:eastAsia="Times New Roman" w:cs="Times New Roman"/>
          <w:lang w:eastAsia="en-GB"/>
        </w:rPr>
        <w:t>10.1186/s13031-015-0052-7</w:t>
      </w:r>
    </w:p>
    <w:p w14:paraId="73EB7E0D" w14:textId="77777777" w:rsidR="00844938" w:rsidRPr="005512C0" w:rsidRDefault="00891CD1" w:rsidP="00A94B3A">
      <w:pPr>
        <w:pStyle w:val="ListParagraph"/>
        <w:numPr>
          <w:ilvl w:val="0"/>
          <w:numId w:val="9"/>
        </w:numPr>
        <w:ind w:left="426"/>
      </w:pPr>
      <w:hyperlink r:id="rId20" w:history="1">
        <w:r w:rsidR="00844938" w:rsidRPr="005512C0">
          <w:rPr>
            <w:rStyle w:val="Hyperlink"/>
            <w:rFonts w:cs="Arial"/>
            <w:color w:val="auto"/>
            <w:u w:val="none"/>
          </w:rPr>
          <w:t>Jones</w:t>
        </w:r>
        <w:r w:rsidR="00844938">
          <w:rPr>
            <w:rStyle w:val="Hyperlink"/>
            <w:rFonts w:cs="Arial"/>
            <w:color w:val="auto"/>
            <w:u w:val="none"/>
          </w:rPr>
          <w:t>,</w:t>
        </w:r>
        <w:r w:rsidR="00844938" w:rsidRPr="005512C0">
          <w:rPr>
            <w:rStyle w:val="Hyperlink"/>
            <w:rFonts w:cs="Arial"/>
            <w:color w:val="auto"/>
            <w:u w:val="none"/>
          </w:rPr>
          <w:t xml:space="preserve"> S</w:t>
        </w:r>
      </w:hyperlink>
      <w:r w:rsidR="00844938">
        <w:rPr>
          <w:rFonts w:cs="Arial"/>
        </w:rPr>
        <w:t>.,</w:t>
      </w:r>
      <w:r w:rsidR="00844938" w:rsidRPr="005512C0">
        <w:rPr>
          <w:rFonts w:cs="Arial"/>
        </w:rPr>
        <w:t> </w:t>
      </w:r>
      <w:hyperlink r:id="rId21" w:history="1">
        <w:r w:rsidR="00844938" w:rsidRPr="005512C0">
          <w:rPr>
            <w:rStyle w:val="Hyperlink"/>
            <w:rFonts w:cs="Arial"/>
            <w:color w:val="auto"/>
            <w:u w:val="none"/>
          </w:rPr>
          <w:t>Sam</w:t>
        </w:r>
        <w:r w:rsidR="00844938">
          <w:rPr>
            <w:rStyle w:val="Hyperlink"/>
            <w:rFonts w:cs="Arial"/>
            <w:color w:val="auto"/>
            <w:u w:val="none"/>
          </w:rPr>
          <w:t>,</w:t>
        </w:r>
        <w:r w:rsidR="00844938" w:rsidRPr="005512C0">
          <w:rPr>
            <w:rStyle w:val="Hyperlink"/>
            <w:rFonts w:cs="Arial"/>
            <w:color w:val="auto"/>
            <w:u w:val="none"/>
          </w:rPr>
          <w:t xml:space="preserve"> B</w:t>
        </w:r>
      </w:hyperlink>
      <w:r w:rsidR="00844938">
        <w:rPr>
          <w:rFonts w:cs="Arial"/>
        </w:rPr>
        <w:t>.,</w:t>
      </w:r>
      <w:r w:rsidR="00844938" w:rsidRPr="005512C0">
        <w:rPr>
          <w:rFonts w:cs="Arial"/>
        </w:rPr>
        <w:t> </w:t>
      </w:r>
      <w:r w:rsidR="00844938" w:rsidRPr="008B1B35">
        <w:rPr>
          <w:rFonts w:cs="Arial"/>
        </w:rPr>
        <w:t>B</w:t>
      </w:r>
      <w:r w:rsidR="00844938" w:rsidRPr="005512C0">
        <w:rPr>
          <w:rFonts w:cs="Arial"/>
        </w:rPr>
        <w:t>ull, F., </w:t>
      </w:r>
      <w:hyperlink r:id="rId22" w:history="1">
        <w:r w:rsidR="00844938" w:rsidRPr="005512C0">
          <w:rPr>
            <w:rStyle w:val="Hyperlink"/>
            <w:rFonts w:cs="Arial"/>
            <w:color w:val="auto"/>
            <w:u w:val="none"/>
          </w:rPr>
          <w:t>Pieh</w:t>
        </w:r>
        <w:r w:rsidR="00844938">
          <w:rPr>
            <w:rStyle w:val="Hyperlink"/>
            <w:rFonts w:cs="Arial"/>
            <w:color w:val="auto"/>
            <w:u w:val="none"/>
          </w:rPr>
          <w:t>,</w:t>
        </w:r>
        <w:r w:rsidR="00844938" w:rsidRPr="005512C0">
          <w:rPr>
            <w:rStyle w:val="Hyperlink"/>
            <w:rFonts w:cs="Arial"/>
            <w:color w:val="auto"/>
            <w:u w:val="none"/>
          </w:rPr>
          <w:t xml:space="preserve"> S</w:t>
        </w:r>
        <w:r w:rsidR="00844938">
          <w:rPr>
            <w:rStyle w:val="Hyperlink"/>
            <w:rFonts w:cs="Arial"/>
            <w:color w:val="auto"/>
            <w:u w:val="none"/>
          </w:rPr>
          <w:t>.</w:t>
        </w:r>
        <w:r w:rsidR="00844938" w:rsidRPr="005512C0">
          <w:rPr>
            <w:rStyle w:val="Hyperlink"/>
            <w:rFonts w:cs="Arial"/>
            <w:color w:val="auto"/>
            <w:u w:val="none"/>
          </w:rPr>
          <w:t>B</w:t>
        </w:r>
      </w:hyperlink>
      <w:r w:rsidR="00844938">
        <w:rPr>
          <w:rFonts w:cs="Arial"/>
        </w:rPr>
        <w:t>.</w:t>
      </w:r>
      <w:r w:rsidR="00844938" w:rsidRPr="005512C0">
        <w:rPr>
          <w:rFonts w:cs="Arial"/>
        </w:rPr>
        <w:t>, </w:t>
      </w:r>
      <w:hyperlink r:id="rId23" w:history="1">
        <w:r w:rsidR="00844938" w:rsidRPr="005512C0">
          <w:rPr>
            <w:rStyle w:val="Hyperlink"/>
            <w:rFonts w:cs="Arial"/>
            <w:color w:val="auto"/>
            <w:u w:val="none"/>
          </w:rPr>
          <w:t>Lambert</w:t>
        </w:r>
        <w:r w:rsidR="00844938">
          <w:rPr>
            <w:rStyle w:val="Hyperlink"/>
            <w:rFonts w:cs="Arial"/>
            <w:color w:val="auto"/>
            <w:u w:val="none"/>
          </w:rPr>
          <w:t xml:space="preserve">, </w:t>
        </w:r>
        <w:r w:rsidR="00844938" w:rsidRPr="005512C0">
          <w:rPr>
            <w:rStyle w:val="Hyperlink"/>
            <w:rFonts w:cs="Arial"/>
            <w:color w:val="auto"/>
            <w:u w:val="none"/>
          </w:rPr>
          <w:t>J</w:t>
        </w:r>
      </w:hyperlink>
      <w:r w:rsidR="00844938">
        <w:rPr>
          <w:rFonts w:cs="Arial"/>
        </w:rPr>
        <w:t>.</w:t>
      </w:r>
      <w:r w:rsidR="00844938" w:rsidRPr="005512C0">
        <w:rPr>
          <w:rFonts w:cs="Arial"/>
        </w:rPr>
        <w:t>, </w:t>
      </w:r>
      <w:hyperlink r:id="rId24" w:history="1">
        <w:r w:rsidR="00844938" w:rsidRPr="005512C0">
          <w:rPr>
            <w:rStyle w:val="Hyperlink"/>
            <w:rFonts w:cs="Arial"/>
            <w:color w:val="auto"/>
            <w:u w:val="none"/>
          </w:rPr>
          <w:t>Mgawadere</w:t>
        </w:r>
        <w:r w:rsidR="00844938">
          <w:rPr>
            <w:rStyle w:val="Hyperlink"/>
            <w:rFonts w:cs="Arial"/>
            <w:color w:val="auto"/>
            <w:u w:val="none"/>
          </w:rPr>
          <w:t>,</w:t>
        </w:r>
        <w:r w:rsidR="00844938" w:rsidRPr="005512C0">
          <w:rPr>
            <w:rStyle w:val="Hyperlink"/>
            <w:rFonts w:cs="Arial"/>
            <w:color w:val="auto"/>
            <w:u w:val="none"/>
          </w:rPr>
          <w:t xml:space="preserve"> F</w:t>
        </w:r>
      </w:hyperlink>
      <w:r w:rsidR="00844938">
        <w:rPr>
          <w:rFonts w:cs="Arial"/>
        </w:rPr>
        <w:t>.</w:t>
      </w:r>
      <w:r w:rsidR="00844938" w:rsidRPr="005512C0">
        <w:rPr>
          <w:rFonts w:cs="Arial"/>
        </w:rPr>
        <w:t>, </w:t>
      </w:r>
      <w:hyperlink r:id="rId25" w:history="1">
        <w:r w:rsidR="00844938" w:rsidRPr="005512C0">
          <w:rPr>
            <w:rStyle w:val="Hyperlink"/>
            <w:rFonts w:cs="Arial"/>
            <w:color w:val="auto"/>
            <w:u w:val="none"/>
          </w:rPr>
          <w:t>Gopalakrishnan</w:t>
        </w:r>
        <w:r w:rsidR="00844938">
          <w:rPr>
            <w:rStyle w:val="Hyperlink"/>
            <w:rFonts w:cs="Arial"/>
            <w:color w:val="auto"/>
            <w:u w:val="none"/>
          </w:rPr>
          <w:t>,</w:t>
        </w:r>
        <w:r w:rsidR="00844938" w:rsidRPr="005512C0">
          <w:rPr>
            <w:rStyle w:val="Hyperlink"/>
            <w:rFonts w:cs="Arial"/>
            <w:color w:val="auto"/>
            <w:u w:val="none"/>
          </w:rPr>
          <w:t xml:space="preserve"> S</w:t>
        </w:r>
      </w:hyperlink>
      <w:r w:rsidR="00844938">
        <w:rPr>
          <w:rFonts w:cs="Arial"/>
        </w:rPr>
        <w:t>.</w:t>
      </w:r>
      <w:r w:rsidR="00844938" w:rsidRPr="005512C0">
        <w:rPr>
          <w:rFonts w:cs="Arial"/>
        </w:rPr>
        <w:t>, </w:t>
      </w:r>
      <w:hyperlink r:id="rId26" w:history="1">
        <w:r w:rsidR="00844938" w:rsidRPr="005512C0">
          <w:rPr>
            <w:rStyle w:val="Hyperlink"/>
            <w:rFonts w:cs="Arial"/>
            <w:color w:val="auto"/>
            <w:u w:val="none"/>
          </w:rPr>
          <w:t>Ameh C</w:t>
        </w:r>
        <w:r w:rsidR="00844938">
          <w:rPr>
            <w:rStyle w:val="Hyperlink"/>
            <w:rFonts w:cs="Arial"/>
            <w:color w:val="auto"/>
            <w:u w:val="none"/>
          </w:rPr>
          <w:t>.</w:t>
        </w:r>
        <w:r w:rsidR="00844938" w:rsidRPr="005512C0">
          <w:rPr>
            <w:rStyle w:val="Hyperlink"/>
            <w:rFonts w:cs="Arial"/>
            <w:color w:val="auto"/>
            <w:u w:val="none"/>
          </w:rPr>
          <w:t>A</w:t>
        </w:r>
      </w:hyperlink>
      <w:r w:rsidR="00844938">
        <w:rPr>
          <w:rFonts w:cs="Arial"/>
        </w:rPr>
        <w:t>.</w:t>
      </w:r>
      <w:r w:rsidR="00844938" w:rsidRPr="005512C0">
        <w:rPr>
          <w:rFonts w:cs="Arial"/>
        </w:rPr>
        <w:t>, </w:t>
      </w:r>
      <w:hyperlink r:id="rId27" w:history="1">
        <w:r w:rsidR="00844938" w:rsidRPr="005512C0">
          <w:rPr>
            <w:rStyle w:val="Hyperlink"/>
            <w:rFonts w:cs="Arial"/>
            <w:color w:val="auto"/>
            <w:u w:val="none"/>
          </w:rPr>
          <w:t>van den Broek</w:t>
        </w:r>
        <w:r w:rsidR="00844938">
          <w:rPr>
            <w:rStyle w:val="Hyperlink"/>
            <w:rFonts w:cs="Arial"/>
            <w:color w:val="auto"/>
            <w:u w:val="none"/>
          </w:rPr>
          <w:t>,</w:t>
        </w:r>
        <w:r w:rsidR="00844938" w:rsidRPr="005512C0">
          <w:rPr>
            <w:rStyle w:val="Hyperlink"/>
            <w:rFonts w:cs="Arial"/>
            <w:color w:val="auto"/>
            <w:u w:val="none"/>
          </w:rPr>
          <w:t xml:space="preserve"> N</w:t>
        </w:r>
      </w:hyperlink>
      <w:r w:rsidR="00844938">
        <w:rPr>
          <w:rFonts w:cs="Arial"/>
        </w:rPr>
        <w:t xml:space="preserve">., </w:t>
      </w:r>
      <w:r w:rsidR="00844938" w:rsidRPr="005512C0">
        <w:rPr>
          <w:rFonts w:cs="Arial"/>
          <w:color w:val="000000"/>
        </w:rPr>
        <w:t>Even when you are afraid, you stay: Provision of maternity care during the Ebola virus epidemic: A qualitative study.</w:t>
      </w:r>
      <w:r w:rsidR="00844938" w:rsidRPr="008B1B35">
        <w:rPr>
          <w:rFonts w:ascii="Arial" w:hAnsi="Arial" w:cs="Arial"/>
          <w:color w:val="000000"/>
          <w:sz w:val="17"/>
          <w:szCs w:val="17"/>
          <w:shd w:val="clear" w:color="auto" w:fill="FFFFFF"/>
        </w:rPr>
        <w:t xml:space="preserve"> </w:t>
      </w:r>
      <w:hyperlink r:id="rId28" w:tooltip="Midwifery." w:history="1">
        <w:r w:rsidR="00844938" w:rsidRPr="005512C0">
          <w:rPr>
            <w:rFonts w:cs="Arial"/>
            <w:shd w:val="clear" w:color="auto" w:fill="FFFFFF"/>
          </w:rPr>
          <w:t>Midwifery.</w:t>
        </w:r>
      </w:hyperlink>
      <w:r w:rsidR="00844938" w:rsidRPr="005512C0">
        <w:rPr>
          <w:rFonts w:cs="Arial"/>
          <w:shd w:val="clear" w:color="auto" w:fill="FFFFFF"/>
        </w:rPr>
        <w:t> 2017 Sep;52:19-26. doi: 10.1016/j.midw.2017.05.009</w:t>
      </w:r>
    </w:p>
    <w:p w14:paraId="6D593856" w14:textId="77777777" w:rsidR="001C7656" w:rsidRPr="002358EE" w:rsidRDefault="00891CD1" w:rsidP="00C06928">
      <w:pPr>
        <w:pStyle w:val="ListParagraph"/>
        <w:numPr>
          <w:ilvl w:val="0"/>
          <w:numId w:val="9"/>
        </w:numPr>
        <w:ind w:left="426" w:hanging="426"/>
        <w:rPr>
          <w:rStyle w:val="doi"/>
        </w:rPr>
      </w:pPr>
      <w:hyperlink r:id="rId29" w:history="1">
        <w:r w:rsidR="00207C66" w:rsidRPr="0007791F">
          <w:rPr>
            <w:rStyle w:val="Hyperlink"/>
            <w:rFonts w:cs="Arial"/>
            <w:color w:val="auto"/>
            <w:u w:val="none"/>
          </w:rPr>
          <w:t>Lehmann</w:t>
        </w:r>
      </w:hyperlink>
      <w:r w:rsidR="00207C66" w:rsidRPr="00265E86">
        <w:t>, L., </w:t>
      </w:r>
      <w:hyperlink r:id="rId30" w:history="1">
        <w:r w:rsidR="00207C66" w:rsidRPr="0007791F">
          <w:rPr>
            <w:rStyle w:val="Hyperlink"/>
            <w:rFonts w:cs="Arial"/>
            <w:color w:val="auto"/>
            <w:u w:val="none"/>
          </w:rPr>
          <w:t>Bruenahl</w:t>
        </w:r>
      </w:hyperlink>
      <w:r w:rsidR="00207C66" w:rsidRPr="00265E86">
        <w:t xml:space="preserve">, C.A., </w:t>
      </w:r>
      <w:hyperlink r:id="rId31" w:history="1">
        <w:r w:rsidR="00207C66" w:rsidRPr="0007791F">
          <w:rPr>
            <w:rStyle w:val="Hyperlink"/>
            <w:rFonts w:cs="Arial"/>
            <w:color w:val="auto"/>
            <w:u w:val="none"/>
          </w:rPr>
          <w:t>Löwe</w:t>
        </w:r>
      </w:hyperlink>
      <w:r w:rsidR="00207C66" w:rsidRPr="00265E86">
        <w:t>, B.,</w:t>
      </w:r>
      <w:r w:rsidR="00207C66" w:rsidRPr="003A2366">
        <w:t> </w:t>
      </w:r>
      <w:hyperlink r:id="rId32" w:history="1">
        <w:r w:rsidR="00207C66" w:rsidRPr="0007791F">
          <w:rPr>
            <w:rStyle w:val="Hyperlink"/>
            <w:rFonts w:cs="Arial"/>
            <w:color w:val="auto"/>
            <w:u w:val="none"/>
          </w:rPr>
          <w:t>Addo</w:t>
        </w:r>
      </w:hyperlink>
      <w:r w:rsidR="00207C66" w:rsidRPr="00265E86">
        <w:t>, M.M.,</w:t>
      </w:r>
      <w:r w:rsidR="00207C66" w:rsidRPr="003A2366">
        <w:t> </w:t>
      </w:r>
      <w:hyperlink r:id="rId33" w:history="1">
        <w:r w:rsidR="00207C66" w:rsidRPr="0007791F">
          <w:rPr>
            <w:rStyle w:val="Hyperlink"/>
            <w:rFonts w:cs="Arial"/>
            <w:color w:val="auto"/>
            <w:u w:val="none"/>
          </w:rPr>
          <w:t>Schmiedel</w:t>
        </w:r>
      </w:hyperlink>
      <w:r w:rsidR="00207C66" w:rsidRPr="00265E86">
        <w:t>, S</w:t>
      </w:r>
      <w:r w:rsidR="00207C66" w:rsidRPr="003A2366">
        <w:t>., </w:t>
      </w:r>
      <w:hyperlink r:id="rId34" w:history="1">
        <w:r w:rsidR="00207C66" w:rsidRPr="0007791F">
          <w:rPr>
            <w:rStyle w:val="Hyperlink"/>
            <w:rFonts w:cs="Arial"/>
            <w:color w:val="auto"/>
            <w:u w:val="none"/>
          </w:rPr>
          <w:t>Lohse</w:t>
        </w:r>
      </w:hyperlink>
      <w:r w:rsidR="00207C66" w:rsidRPr="00265E86">
        <w:t>, A.W.,</w:t>
      </w:r>
      <w:r w:rsidR="00207C66" w:rsidRPr="003A2366">
        <w:t xml:space="preserve"> &amp; </w:t>
      </w:r>
      <w:hyperlink r:id="rId35" w:history="1">
        <w:r w:rsidR="00207C66" w:rsidRPr="0007791F">
          <w:rPr>
            <w:rStyle w:val="Hyperlink"/>
            <w:rFonts w:cs="Arial"/>
            <w:color w:val="auto"/>
            <w:u w:val="none"/>
          </w:rPr>
          <w:t>Christoph Schramm</w:t>
        </w:r>
      </w:hyperlink>
      <w:r w:rsidR="00207C66" w:rsidRPr="00265E86">
        <w:t xml:space="preserve">, C. </w:t>
      </w:r>
      <w:r w:rsidR="00207C66" w:rsidRPr="005512C0">
        <w:rPr>
          <w:bCs/>
        </w:rPr>
        <w:t>Ebola and Psychological Stress of Health Care Professionals.</w:t>
      </w:r>
      <w:r w:rsidR="00207C66" w:rsidRPr="00265E86">
        <w:rPr>
          <w:b/>
          <w:bCs/>
        </w:rPr>
        <w:t xml:space="preserve"> </w:t>
      </w:r>
      <w:hyperlink r:id="rId36" w:history="1">
        <w:r w:rsidR="00207C66" w:rsidRPr="005512C0">
          <w:rPr>
            <w:rStyle w:val="Hyperlink"/>
            <w:rFonts w:cs="Arial"/>
            <w:color w:val="auto"/>
            <w:u w:val="none"/>
          </w:rPr>
          <w:t>Emerg</w:t>
        </w:r>
        <w:r w:rsidR="00207C66" w:rsidRPr="0007791F">
          <w:rPr>
            <w:rStyle w:val="Hyperlink"/>
            <w:rFonts w:cs="Arial"/>
            <w:color w:val="auto"/>
            <w:u w:val="none"/>
          </w:rPr>
          <w:t>ing</w:t>
        </w:r>
        <w:r w:rsidR="00207C66" w:rsidRPr="005512C0">
          <w:rPr>
            <w:rStyle w:val="Hyperlink"/>
            <w:rFonts w:cs="Arial"/>
            <w:color w:val="auto"/>
            <w:u w:val="none"/>
          </w:rPr>
          <w:t xml:space="preserve"> Infect</w:t>
        </w:r>
        <w:r w:rsidR="00207C66" w:rsidRPr="0007791F">
          <w:rPr>
            <w:rStyle w:val="Hyperlink"/>
            <w:rFonts w:cs="Arial"/>
            <w:color w:val="auto"/>
            <w:u w:val="none"/>
          </w:rPr>
          <w:t>ious</w:t>
        </w:r>
        <w:r w:rsidR="00207C66" w:rsidRPr="005512C0">
          <w:rPr>
            <w:rStyle w:val="Hyperlink"/>
            <w:rFonts w:cs="Arial"/>
            <w:color w:val="auto"/>
            <w:u w:val="none"/>
          </w:rPr>
          <w:t xml:space="preserve"> Dis</w:t>
        </w:r>
      </w:hyperlink>
      <w:r w:rsidR="00207C66" w:rsidRPr="0007791F">
        <w:rPr>
          <w:rStyle w:val="cit"/>
          <w:rFonts w:cs="Arial"/>
        </w:rPr>
        <w:t>eases</w:t>
      </w:r>
      <w:r w:rsidR="00207C66" w:rsidRPr="005512C0">
        <w:rPr>
          <w:rStyle w:val="cit"/>
          <w:rFonts w:cs="Arial"/>
        </w:rPr>
        <w:t>. 2015 May; 21(5): 913–914.</w:t>
      </w:r>
      <w:r w:rsidR="00207C66" w:rsidRPr="0007791F">
        <w:rPr>
          <w:rStyle w:val="cit"/>
          <w:rFonts w:cs="Arial"/>
        </w:rPr>
        <w:t xml:space="preserve"> </w:t>
      </w:r>
      <w:r w:rsidR="00207C66" w:rsidRPr="005512C0">
        <w:rPr>
          <w:rStyle w:val="doi"/>
          <w:rFonts w:cs="Arial"/>
        </w:rPr>
        <w:t>doi: </w:t>
      </w:r>
      <w:hyperlink r:id="rId37" w:tgtFrame="pmc_ext" w:history="1">
        <w:r w:rsidR="00207C66" w:rsidRPr="005512C0">
          <w:rPr>
            <w:rStyle w:val="Hyperlink"/>
            <w:rFonts w:cs="Arial"/>
            <w:color w:val="auto"/>
            <w:u w:val="none"/>
          </w:rPr>
          <w:t>10.3201/eid2105.141988</w:t>
        </w:r>
      </w:hyperlink>
    </w:p>
    <w:p w14:paraId="33CE1EBC" w14:textId="77777777" w:rsidR="00207C66" w:rsidRPr="00CD0452" w:rsidRDefault="00207C66" w:rsidP="00A94B3A">
      <w:pPr>
        <w:pStyle w:val="ListParagraph"/>
        <w:numPr>
          <w:ilvl w:val="0"/>
          <w:numId w:val="9"/>
        </w:numPr>
        <w:ind w:left="426" w:hanging="426"/>
      </w:pPr>
      <w:r>
        <w:rPr>
          <w:rFonts w:ascii="Arial" w:hAnsi="Arial" w:cs="Arial"/>
          <w:color w:val="303030"/>
          <w:sz w:val="20"/>
          <w:szCs w:val="20"/>
          <w:shd w:val="clear" w:color="auto" w:fill="FFFFFF"/>
        </w:rPr>
        <w:t>Maunder R, Hunter J, Vincent L, et al. The immediate psychological and occupational impact of the 2003 SARS outbreak in a teaching hospital. </w:t>
      </w:r>
      <w:r>
        <w:rPr>
          <w:rFonts w:ascii="Arial" w:hAnsi="Arial" w:cs="Arial"/>
          <w:i/>
          <w:iCs/>
          <w:color w:val="303030"/>
          <w:sz w:val="20"/>
          <w:szCs w:val="20"/>
          <w:shd w:val="clear" w:color="auto" w:fill="FFFFFF"/>
        </w:rPr>
        <w:t>CMAJ</w:t>
      </w:r>
      <w:r>
        <w:rPr>
          <w:rFonts w:ascii="Arial" w:hAnsi="Arial" w:cs="Arial"/>
          <w:color w:val="303030"/>
          <w:sz w:val="20"/>
          <w:szCs w:val="20"/>
          <w:shd w:val="clear" w:color="auto" w:fill="FFFFFF"/>
        </w:rPr>
        <w:t>. 2003;168(10):1245–1251.</w:t>
      </w:r>
    </w:p>
    <w:p w14:paraId="33A6938B" w14:textId="77777777" w:rsidR="00FC00BB" w:rsidRDefault="00140F2D" w:rsidP="00FC00BB">
      <w:pPr>
        <w:pStyle w:val="ListParagraph"/>
        <w:numPr>
          <w:ilvl w:val="0"/>
          <w:numId w:val="9"/>
        </w:numPr>
        <w:ind w:left="426" w:hanging="426"/>
      </w:pPr>
      <w:r w:rsidRPr="00EB7AE0">
        <w:rPr>
          <w:lang w:val="fr-FR"/>
        </w:rPr>
        <w:t xml:space="preserve">Van Vegchel N, de Jonge J, Landsbergis PA. </w:t>
      </w:r>
      <w:r w:rsidRPr="00E9207D">
        <w:t>Occupational stress in (inter)action: the interplay between job demands and job resources. J Organ Behav. 2005;26:535-60.</w:t>
      </w:r>
    </w:p>
    <w:p w14:paraId="70813EF8" w14:textId="23A2B280" w:rsidR="00FC00BB" w:rsidRDefault="00FC00BB" w:rsidP="00FC00BB">
      <w:pPr>
        <w:pStyle w:val="ListParagraph"/>
        <w:numPr>
          <w:ilvl w:val="0"/>
          <w:numId w:val="9"/>
        </w:numPr>
        <w:ind w:left="426" w:hanging="426"/>
      </w:pPr>
      <w:r w:rsidRPr="00E9207D">
        <w:t>Karasek RA Jr. Job demands, job decision latitude and mental strain: Implications for job redesign. Adm Sci Quarterly. 1979;24:285-308.</w:t>
      </w:r>
    </w:p>
    <w:p w14:paraId="4146F173" w14:textId="77777777" w:rsidR="00FC00BB" w:rsidRDefault="00FC00BB" w:rsidP="00FC00BB">
      <w:pPr>
        <w:pStyle w:val="ListParagraph"/>
        <w:numPr>
          <w:ilvl w:val="0"/>
          <w:numId w:val="9"/>
        </w:numPr>
        <w:ind w:left="426" w:hanging="426"/>
      </w:pPr>
      <w:r w:rsidRPr="00E9207D">
        <w:t>Khamsia N, Oldenburg B, Peltzer K,</w:t>
      </w:r>
      <w:r>
        <w:t xml:space="preserve"> &amp;</w:t>
      </w:r>
      <w:r w:rsidRPr="00E9207D">
        <w:t xml:space="preserve"> Ilic D. Work related stress, burnout, job satisfaction and general health of nurses. Int J Environ Res Public Health. 2015;12:652-66.</w:t>
      </w:r>
    </w:p>
    <w:p w14:paraId="613FAB92" w14:textId="46F50829" w:rsidR="00FC00BB" w:rsidRDefault="00FC00BB" w:rsidP="00FC00BB">
      <w:pPr>
        <w:pStyle w:val="ListParagraph"/>
        <w:numPr>
          <w:ilvl w:val="0"/>
          <w:numId w:val="9"/>
        </w:numPr>
        <w:ind w:left="426" w:hanging="426"/>
      </w:pPr>
      <w:r w:rsidRPr="00FC00BB">
        <w:rPr>
          <w:rFonts w:ascii="Calibri" w:hAnsi="Calibri" w:cs="Calibri"/>
        </w:rPr>
        <w:t xml:space="preserve">Portoghese I, Galletta M, Coppola RC, Finco G, Campagna M: </w:t>
      </w:r>
      <w:r w:rsidRPr="00FC00BB">
        <w:rPr>
          <w:rFonts w:ascii="Calibri" w:hAnsi="Calibri" w:cs="Calibri"/>
          <w:bCs/>
        </w:rPr>
        <w:t>Burnout and workload among health care workers: the moderating role of job control</w:t>
      </w:r>
      <w:r w:rsidRPr="00FC00BB">
        <w:rPr>
          <w:rFonts w:ascii="Calibri" w:hAnsi="Calibri" w:cs="Calibri"/>
        </w:rPr>
        <w:t xml:space="preserve">. </w:t>
      </w:r>
      <w:r w:rsidRPr="00FC00BB">
        <w:rPr>
          <w:rFonts w:ascii="Calibri" w:hAnsi="Calibri" w:cs="Calibri"/>
          <w:iCs/>
        </w:rPr>
        <w:t xml:space="preserve">Saf Health Work </w:t>
      </w:r>
      <w:r w:rsidRPr="00FC00BB">
        <w:rPr>
          <w:rFonts w:ascii="Calibri" w:hAnsi="Calibri" w:cs="Calibri"/>
        </w:rPr>
        <w:t>2014;</w:t>
      </w:r>
      <w:r w:rsidRPr="00FC00BB">
        <w:rPr>
          <w:rFonts w:ascii="Calibri" w:hAnsi="Calibri" w:cs="Calibri"/>
          <w:bCs/>
        </w:rPr>
        <w:t>5</w:t>
      </w:r>
      <w:r w:rsidRPr="00FC00BB">
        <w:rPr>
          <w:rFonts w:ascii="Calibri" w:hAnsi="Calibri" w:cs="Calibri"/>
        </w:rPr>
        <w:t>:152-7.</w:t>
      </w:r>
    </w:p>
    <w:p w14:paraId="2791897D" w14:textId="77777777" w:rsidR="00440962" w:rsidRPr="00CD0452" w:rsidRDefault="00440962" w:rsidP="00A94B3A">
      <w:pPr>
        <w:pStyle w:val="ListParagraph"/>
        <w:numPr>
          <w:ilvl w:val="0"/>
          <w:numId w:val="9"/>
        </w:numPr>
        <w:ind w:left="426" w:hanging="426"/>
        <w:jc w:val="left"/>
      </w:pPr>
      <w:r w:rsidRPr="00E9207D">
        <w:t xml:space="preserve">Van Bogaert P, Adriaenssens J, Dilles T, Martens D, Van Rompaey B, Timmermans O. Impact of role, job and organisational characteristics on nursing unit manager’s work related stress and well-being. J Adv Nurs. </w:t>
      </w:r>
      <w:r w:rsidRPr="00EB7AE0">
        <w:rPr>
          <w:rFonts w:cs="Helvetica"/>
        </w:rPr>
        <w:t>2014;70:2622-33.</w:t>
      </w:r>
    </w:p>
    <w:p w14:paraId="66B777AB" w14:textId="77777777" w:rsidR="00440962" w:rsidRPr="00CD0452" w:rsidRDefault="00440962" w:rsidP="00A94B3A">
      <w:pPr>
        <w:pStyle w:val="ListParagraph"/>
        <w:numPr>
          <w:ilvl w:val="0"/>
          <w:numId w:val="9"/>
        </w:numPr>
        <w:ind w:left="426" w:hanging="426"/>
        <w:jc w:val="left"/>
      </w:pPr>
      <w:r w:rsidRPr="003C3B09">
        <w:rPr>
          <w:rFonts w:ascii="Calibri" w:hAnsi="Calibri" w:cs="Calibri"/>
        </w:rPr>
        <w:t xml:space="preserve">Marsh HW. </w:t>
      </w:r>
      <w:r w:rsidRPr="003C3B09">
        <w:rPr>
          <w:rFonts w:ascii="Calibri" w:hAnsi="Calibri" w:cs="Calibri"/>
          <w:bCs/>
        </w:rPr>
        <w:t>Construct Validity of Physical Self-Description Questionnaire Responses: Relations to External Criteria</w:t>
      </w:r>
      <w:r w:rsidRPr="003C3B09">
        <w:rPr>
          <w:rFonts w:ascii="Calibri" w:hAnsi="Calibri" w:cs="Calibri"/>
        </w:rPr>
        <w:t xml:space="preserve">. </w:t>
      </w:r>
      <w:r w:rsidRPr="003C3B09">
        <w:rPr>
          <w:rFonts w:ascii="Calibri" w:hAnsi="Calibri" w:cs="Calibri"/>
          <w:iCs/>
        </w:rPr>
        <w:t xml:space="preserve">J Sport </w:t>
      </w:r>
      <w:r>
        <w:rPr>
          <w:rFonts w:ascii="Calibri" w:hAnsi="Calibri" w:cs="Calibri"/>
          <w:iCs/>
        </w:rPr>
        <w:t>E</w:t>
      </w:r>
      <w:r w:rsidRPr="003C3B09">
        <w:rPr>
          <w:rFonts w:ascii="Calibri" w:hAnsi="Calibri" w:cs="Calibri"/>
          <w:iCs/>
        </w:rPr>
        <w:t>xercise Psy</w:t>
      </w:r>
      <w:r>
        <w:rPr>
          <w:rFonts w:ascii="Calibri" w:hAnsi="Calibri" w:cs="Calibri"/>
          <w:iCs/>
        </w:rPr>
        <w:t>.</w:t>
      </w:r>
      <w:r w:rsidRPr="003C3B09">
        <w:rPr>
          <w:rFonts w:ascii="Calibri" w:hAnsi="Calibri" w:cs="Calibri"/>
          <w:iCs/>
        </w:rPr>
        <w:t xml:space="preserve"> </w:t>
      </w:r>
      <w:r w:rsidRPr="003C3B09">
        <w:rPr>
          <w:rFonts w:ascii="Calibri" w:hAnsi="Calibri" w:cs="Calibri"/>
        </w:rPr>
        <w:t>1996</w:t>
      </w:r>
      <w:r>
        <w:rPr>
          <w:rFonts w:ascii="Calibri" w:hAnsi="Calibri" w:cs="Calibri"/>
        </w:rPr>
        <w:t>;</w:t>
      </w:r>
      <w:r w:rsidRPr="003C3B09">
        <w:rPr>
          <w:rFonts w:ascii="Calibri" w:hAnsi="Calibri" w:cs="Calibri"/>
          <w:bCs/>
        </w:rPr>
        <w:t>18</w:t>
      </w:r>
      <w:r w:rsidRPr="003C3B09">
        <w:rPr>
          <w:rFonts w:ascii="Calibri" w:hAnsi="Calibri" w:cs="Calibri"/>
        </w:rPr>
        <w:t>):111-31.</w:t>
      </w:r>
    </w:p>
    <w:p w14:paraId="4E3AC356" w14:textId="77777777" w:rsidR="00440962" w:rsidRDefault="00440962" w:rsidP="00A94B3A">
      <w:pPr>
        <w:pStyle w:val="ListParagraph"/>
        <w:numPr>
          <w:ilvl w:val="0"/>
          <w:numId w:val="9"/>
        </w:numPr>
        <w:ind w:left="426" w:hanging="426"/>
        <w:jc w:val="left"/>
      </w:pPr>
      <w:r w:rsidRPr="00E0004A">
        <w:t>Sull A, Harland N, Moore A. Resilience of health-care workers in the UK: a cross-sectional survey. J Occup Med Toxicol. 2015;10:20. doi: 10.1186/s12995 -015-0061-x</w:t>
      </w:r>
    </w:p>
    <w:p w14:paraId="795AA910" w14:textId="77777777" w:rsidR="0048462F" w:rsidRPr="00CD0452" w:rsidRDefault="0048462F" w:rsidP="00A94B3A">
      <w:pPr>
        <w:pStyle w:val="ListParagraph"/>
        <w:numPr>
          <w:ilvl w:val="0"/>
          <w:numId w:val="9"/>
        </w:numPr>
        <w:ind w:left="426" w:hanging="426"/>
        <w:jc w:val="left"/>
      </w:pPr>
      <w:r w:rsidRPr="00EB7AE0">
        <w:rPr>
          <w:rFonts w:cs="Tahoma"/>
          <w:color w:val="000000"/>
        </w:rPr>
        <w:t>McAllistair M, McKinnon J. The importance of teaching and learning resilience in the health disciplines: A critical review of the literature. Nurse Educ Today. 2009;</w:t>
      </w:r>
      <w:r w:rsidRPr="00EB7AE0">
        <w:rPr>
          <w:rFonts w:cs="Helvetica"/>
          <w:color w:val="000000"/>
          <w:lang w:val="en"/>
        </w:rPr>
        <w:t>29:</w:t>
      </w:r>
      <w:r>
        <w:rPr>
          <w:rFonts w:cs="Helvetica"/>
          <w:color w:val="000000"/>
          <w:lang w:val="en"/>
        </w:rPr>
        <w:t>371-</w:t>
      </w:r>
      <w:r w:rsidRPr="00EB7AE0">
        <w:rPr>
          <w:rFonts w:cs="Helvetica"/>
          <w:color w:val="000000"/>
          <w:lang w:val="en"/>
        </w:rPr>
        <w:t>9.</w:t>
      </w:r>
    </w:p>
    <w:p w14:paraId="59E84C4A" w14:textId="73B69099" w:rsidR="00566945" w:rsidRDefault="00566945" w:rsidP="00263EC3">
      <w:pPr>
        <w:pStyle w:val="ListParagraph"/>
        <w:numPr>
          <w:ilvl w:val="0"/>
          <w:numId w:val="9"/>
        </w:numPr>
        <w:ind w:left="426" w:hanging="426"/>
      </w:pPr>
      <w:r>
        <w:t xml:space="preserve">Fiabane, E., Giorgi, I., Sguazzin, C., &amp; Argentero, P. </w:t>
      </w:r>
      <w:r w:rsidR="00263EC3">
        <w:t xml:space="preserve">(2013). </w:t>
      </w:r>
      <w:r>
        <w:t>Work engagement and occupational stress in nurses and other healthcare workers: the role of organisational and personal factors</w:t>
      </w:r>
      <w:r w:rsidR="00263EC3">
        <w:t>. Journal of Clinical Nursing, 22, 2614–2624, doi: 10.1111/jocn.12084</w:t>
      </w:r>
    </w:p>
    <w:p w14:paraId="27E4A3DF" w14:textId="77777777" w:rsidR="00F71D10" w:rsidRDefault="00F71D10" w:rsidP="00A94B3A">
      <w:pPr>
        <w:pStyle w:val="ListParagraph"/>
        <w:numPr>
          <w:ilvl w:val="0"/>
          <w:numId w:val="9"/>
        </w:numPr>
        <w:ind w:left="426" w:hanging="426"/>
      </w:pPr>
      <w:r w:rsidRPr="00E9207D">
        <w:t>Siegrist J. Adverse health effects of high-effort/low-reward conditions. J Occup Health Psychol. 1996;1:27-41.</w:t>
      </w:r>
    </w:p>
    <w:p w14:paraId="7B5E2965" w14:textId="25700C92" w:rsidR="00C06928" w:rsidRDefault="00C06928" w:rsidP="00C06928">
      <w:pPr>
        <w:pStyle w:val="ListParagraph"/>
        <w:numPr>
          <w:ilvl w:val="0"/>
          <w:numId w:val="9"/>
        </w:numPr>
        <w:ind w:left="426" w:hanging="426"/>
      </w:pPr>
      <w:r w:rsidRPr="00E9207D">
        <w:t>Black</w:t>
      </w:r>
      <w:r w:rsidR="00697C85">
        <w:t>,</w:t>
      </w:r>
      <w:r w:rsidRPr="00E9207D">
        <w:t xml:space="preserve"> B</w:t>
      </w:r>
      <w:r w:rsidR="00697C85">
        <w:t>.</w:t>
      </w:r>
      <w:r w:rsidRPr="00E9207D">
        <w:t>O. Obstetrics in the time of Ebola: challenges and dilemmas in providing lifesaving care during a deadly epidemic. BJOG. 2015;122:284-6 doi: 10.1111/1471-0528.13232</w:t>
      </w:r>
    </w:p>
    <w:p w14:paraId="70E938F4" w14:textId="45C8E3B4" w:rsidR="008B1B35" w:rsidRDefault="00037288" w:rsidP="000F3FF1">
      <w:pPr>
        <w:pStyle w:val="ListParagraph"/>
        <w:numPr>
          <w:ilvl w:val="0"/>
          <w:numId w:val="9"/>
        </w:numPr>
        <w:ind w:left="426" w:hanging="426"/>
      </w:pPr>
      <w:r>
        <w:lastRenderedPageBreak/>
        <w:t xml:space="preserve">Jayasuriya, R., Whittaker, M., Halim, G., &amp; Matineau, T., </w:t>
      </w:r>
      <w:r w:rsidR="00BD7D64">
        <w:t>Rural health workers and their work environment: the role of inter-personal factors on job satisfaction of nurses in rural Papua New Guinea</w:t>
      </w:r>
      <w:r>
        <w:t xml:space="preserve">. BMC Health Services Research 2012, 12:156 </w:t>
      </w:r>
      <w:hyperlink r:id="rId38" w:history="1">
        <w:r w:rsidR="000F3FF1" w:rsidRPr="00757453">
          <w:rPr>
            <w:rStyle w:val="Hyperlink"/>
          </w:rPr>
          <w:t>http://www.biomedcentral.com/1472-6963/12/156</w:t>
        </w:r>
      </w:hyperlink>
      <w:r w:rsidR="000F3FF1">
        <w:t xml:space="preserve"> </w:t>
      </w:r>
    </w:p>
    <w:p w14:paraId="025B6A13" w14:textId="73DC14C0" w:rsidR="00683E12" w:rsidRDefault="00683E12" w:rsidP="000F3FF1">
      <w:pPr>
        <w:pStyle w:val="ListParagraph"/>
        <w:numPr>
          <w:ilvl w:val="0"/>
          <w:numId w:val="9"/>
        </w:numPr>
        <w:ind w:left="426" w:hanging="426"/>
      </w:pPr>
      <w:r>
        <w:t>Selamu, M., Hanlon</w:t>
      </w:r>
      <w:r w:rsidR="00BC6509">
        <w:t>, C.,</w:t>
      </w:r>
      <w:r>
        <w:t xml:space="preserve"> Medhin</w:t>
      </w:r>
      <w:r w:rsidR="00BC6509">
        <w:t>, G.,</w:t>
      </w:r>
      <w:r>
        <w:t xml:space="preserve"> Thornicroft</w:t>
      </w:r>
      <w:r w:rsidR="00BC6509">
        <w:t>, G.,</w:t>
      </w:r>
      <w:r>
        <w:t xml:space="preserve"> </w:t>
      </w:r>
      <w:r w:rsidR="00BC6509">
        <w:t>&amp;</w:t>
      </w:r>
      <w:r>
        <w:t xml:space="preserve"> Fekadu</w:t>
      </w:r>
      <w:r w:rsidR="00BC6509">
        <w:t>, A., Burnout among primary healthcare workers during implementation of integrated mental healthcare in rural Ethiopia: a cohort study.</w:t>
      </w:r>
      <w:r w:rsidR="00BC6509" w:rsidRPr="00BC6509">
        <w:t xml:space="preserve"> </w:t>
      </w:r>
      <w:r w:rsidR="00BC6509">
        <w:t>Human Resources for Health (2019) 17:58 https://doi.org/10.1186/s12960-019-0383-3</w:t>
      </w:r>
    </w:p>
    <w:p w14:paraId="2A1A2359" w14:textId="77777777" w:rsidR="00697C85" w:rsidRDefault="00697C85" w:rsidP="00697C85">
      <w:pPr>
        <w:pStyle w:val="ListParagraph"/>
        <w:numPr>
          <w:ilvl w:val="0"/>
          <w:numId w:val="9"/>
        </w:numPr>
        <w:ind w:left="426" w:hanging="426"/>
      </w:pPr>
      <w:r w:rsidRPr="00E9207D">
        <w:t>Newman R. Providing direction on the road to resilience. Behav Health Manag. 2003;23:42-3.</w:t>
      </w:r>
    </w:p>
    <w:p w14:paraId="24BE93E2" w14:textId="77777777" w:rsidR="00A33831" w:rsidRPr="00CD0452" w:rsidRDefault="00A33831" w:rsidP="00A94B3A">
      <w:pPr>
        <w:pStyle w:val="ListParagraph"/>
        <w:numPr>
          <w:ilvl w:val="0"/>
          <w:numId w:val="9"/>
        </w:numPr>
        <w:ind w:left="426" w:hanging="426"/>
        <w:jc w:val="left"/>
        <w:rPr>
          <w:rStyle w:val="Hyperlink"/>
          <w:color w:val="auto"/>
          <w:u w:val="none"/>
        </w:rPr>
      </w:pPr>
      <w:r w:rsidRPr="00E9207D">
        <w:t xml:space="preserve">Health and Safety Executive (HSE) Work related stress-tools and templates; 2013. </w:t>
      </w:r>
      <w:hyperlink r:id="rId39" w:history="1">
        <w:r w:rsidRPr="00E9207D">
          <w:rPr>
            <w:rStyle w:val="Hyperlink"/>
          </w:rPr>
          <w:t>http://www.hse.gov.uk/stress/standards/downloads.htm</w:t>
        </w:r>
      </w:hyperlink>
    </w:p>
    <w:p w14:paraId="55AFFD85" w14:textId="4C83610D" w:rsidR="00A33831" w:rsidRPr="00CD0452" w:rsidRDefault="00A33831" w:rsidP="002358EE">
      <w:pPr>
        <w:pStyle w:val="ListParagraph"/>
        <w:numPr>
          <w:ilvl w:val="0"/>
          <w:numId w:val="9"/>
        </w:numPr>
        <w:ind w:left="426" w:hanging="426"/>
        <w:jc w:val="left"/>
      </w:pPr>
      <w:r>
        <w:t xml:space="preserve">World Health organisation (2012). </w:t>
      </w:r>
      <w:hyperlink r:id="rId40" w:history="1">
        <w:r w:rsidRPr="007A467C">
          <w:rPr>
            <w:rStyle w:val="Hyperlink"/>
          </w:rPr>
          <w:t>https://www.who.int/mental_health/publications/whoqol/en/</w:t>
        </w:r>
      </w:hyperlink>
    </w:p>
    <w:p w14:paraId="38EC34BB" w14:textId="7E6E90DB" w:rsidR="00FF570F" w:rsidRPr="002358EE" w:rsidRDefault="00FF570F" w:rsidP="00A94B3A">
      <w:pPr>
        <w:pStyle w:val="ListParagraph"/>
        <w:numPr>
          <w:ilvl w:val="0"/>
          <w:numId w:val="9"/>
        </w:numPr>
        <w:ind w:left="426" w:hanging="426"/>
      </w:pPr>
      <w:r>
        <w:rPr>
          <w:rFonts w:ascii="Calibri" w:hAnsi="Calibri" w:cs="Calibri"/>
        </w:rPr>
        <w:t xml:space="preserve">Banning, M. Approaches to teaching.: current opinions and related research. Nurse </w:t>
      </w:r>
      <w:r w:rsidR="00A33831">
        <w:rPr>
          <w:rFonts w:ascii="Calibri" w:hAnsi="Calibri" w:cs="Calibri"/>
        </w:rPr>
        <w:t>Education</w:t>
      </w:r>
      <w:r>
        <w:rPr>
          <w:rFonts w:ascii="Calibri" w:hAnsi="Calibri" w:cs="Calibri"/>
        </w:rPr>
        <w:t xml:space="preserve"> Today 2005: 25(7):502-8</w:t>
      </w:r>
    </w:p>
    <w:p w14:paraId="21052988" w14:textId="77777777" w:rsidR="004F71D8" w:rsidRDefault="004F71D8" w:rsidP="00A94B3A">
      <w:pPr>
        <w:pStyle w:val="ListParagraph"/>
        <w:numPr>
          <w:ilvl w:val="0"/>
          <w:numId w:val="9"/>
        </w:numPr>
        <w:ind w:left="426" w:hanging="426"/>
        <w:jc w:val="left"/>
      </w:pPr>
      <w:r w:rsidRPr="00E9207D">
        <w:t>Hawthorne G, Herrman H, Murphy B. Interpreting the WHOQOL-BREF: preliminary population norms and effect sizes. Soc Indic Res. 2006;77:37-59.</w:t>
      </w:r>
    </w:p>
    <w:p w14:paraId="54D36B84" w14:textId="77777777" w:rsidR="002608B1" w:rsidRDefault="002608B1" w:rsidP="00A94B3A">
      <w:pPr>
        <w:pStyle w:val="ListParagraph"/>
        <w:numPr>
          <w:ilvl w:val="0"/>
          <w:numId w:val="9"/>
        </w:numPr>
        <w:ind w:left="426" w:hanging="426"/>
        <w:jc w:val="left"/>
      </w:pPr>
      <w:r w:rsidRPr="00E9207D">
        <w:t>Skevington SM, Lotfy M, O’Connell KA. The World Health Organization’s WHOQOL-BREF quality of life assessment: Psychometric properties and results of the international field trail. A Report from the WHOQOL group. Qual Life Res. 2004;13:299-310.</w:t>
      </w:r>
    </w:p>
    <w:p w14:paraId="1F308609" w14:textId="77777777" w:rsidR="00AA6540" w:rsidRPr="005512C0" w:rsidRDefault="00AA6540" w:rsidP="00A94B3A">
      <w:pPr>
        <w:pStyle w:val="ListParagraph"/>
        <w:numPr>
          <w:ilvl w:val="0"/>
          <w:numId w:val="9"/>
        </w:numPr>
        <w:ind w:left="426" w:hanging="426"/>
        <w:jc w:val="left"/>
      </w:pPr>
      <w:r w:rsidRPr="00426616">
        <w:rPr>
          <w:rFonts w:ascii="Calibri" w:hAnsi="Calibri" w:cs="Calibri"/>
        </w:rPr>
        <w:t>Ruotsalainen JH, Verbeek JH, Mariné A, Serra C</w:t>
      </w:r>
      <w:r>
        <w:rPr>
          <w:rFonts w:ascii="Calibri" w:hAnsi="Calibri" w:cs="Calibri"/>
        </w:rPr>
        <w:t>.</w:t>
      </w:r>
      <w:r w:rsidRPr="00426616">
        <w:rPr>
          <w:rFonts w:ascii="Calibri" w:hAnsi="Calibri" w:cs="Calibri"/>
        </w:rPr>
        <w:t xml:space="preserve"> </w:t>
      </w:r>
      <w:r w:rsidRPr="00426616">
        <w:rPr>
          <w:rFonts w:ascii="Calibri" w:hAnsi="Calibri" w:cs="Calibri"/>
          <w:bCs/>
        </w:rPr>
        <w:t>Preventing occupational stress in healthcare workers</w:t>
      </w:r>
      <w:r w:rsidRPr="00426616">
        <w:rPr>
          <w:rFonts w:ascii="Calibri" w:hAnsi="Calibri" w:cs="Calibri"/>
        </w:rPr>
        <w:t xml:space="preserve">. </w:t>
      </w:r>
      <w:r w:rsidRPr="00426616">
        <w:rPr>
          <w:rFonts w:ascii="Calibri" w:hAnsi="Calibri" w:cs="Calibri"/>
          <w:iCs/>
        </w:rPr>
        <w:t xml:space="preserve">Cochrane Database Sys Rev. </w:t>
      </w:r>
      <w:r w:rsidRPr="00426616">
        <w:rPr>
          <w:rFonts w:ascii="Calibri" w:hAnsi="Calibri" w:cs="Calibri"/>
        </w:rPr>
        <w:t>2015;4:CD002892.</w:t>
      </w:r>
    </w:p>
    <w:p w14:paraId="5C786CE0" w14:textId="77777777" w:rsidR="00AA6540" w:rsidRDefault="00AA6540" w:rsidP="00A94B3A">
      <w:pPr>
        <w:pStyle w:val="ListParagraph"/>
        <w:numPr>
          <w:ilvl w:val="0"/>
          <w:numId w:val="9"/>
        </w:numPr>
        <w:ind w:left="426" w:hanging="426"/>
        <w:jc w:val="left"/>
      </w:pPr>
      <w:r w:rsidRPr="00E9207D">
        <w:t>Cardozo BL, Crawford CG, Eriksson C. Psychological distress, depression, anxiety and burnout among international humanitarian aid workers: A longitudinal study. PLoS One. 2012;7:e44948.</w:t>
      </w:r>
    </w:p>
    <w:p w14:paraId="2BE00B42" w14:textId="6C0B220C" w:rsidR="00C06928" w:rsidRPr="00CD0452" w:rsidRDefault="00AA6540" w:rsidP="002358EE">
      <w:pPr>
        <w:pStyle w:val="ListParagraph"/>
        <w:numPr>
          <w:ilvl w:val="0"/>
          <w:numId w:val="9"/>
        </w:numPr>
        <w:ind w:left="426" w:hanging="426"/>
        <w:jc w:val="left"/>
      </w:pPr>
      <w:r w:rsidRPr="00E9207D">
        <w:t>Biggs A, Brough P, Barbour JP. Exposure to extra organizational stressors: Impact on mental health and organizational perceptions for police officers. Int J Stress Manag. 2014;21:255-</w:t>
      </w:r>
      <w:r w:rsidR="00A94B3A">
        <w:t>82</w:t>
      </w:r>
    </w:p>
    <w:p w14:paraId="430BBD55" w14:textId="77777777" w:rsidR="00AA6540" w:rsidRPr="008063F6" w:rsidRDefault="00AA6540" w:rsidP="00852DF6">
      <w:pPr>
        <w:pStyle w:val="ListParagraph"/>
        <w:numPr>
          <w:ilvl w:val="0"/>
          <w:numId w:val="9"/>
        </w:numPr>
        <w:ind w:left="426" w:hanging="426"/>
        <w:jc w:val="left"/>
      </w:pPr>
      <w:r w:rsidRPr="00EB7AE0">
        <w:rPr>
          <w:rFonts w:ascii="Calibri" w:hAnsi="Calibri" w:cs="Calibri"/>
        </w:rPr>
        <w:t xml:space="preserve">Adegoke AA, van den Broek N: </w:t>
      </w:r>
      <w:r w:rsidRPr="00EB7AE0">
        <w:rPr>
          <w:rFonts w:ascii="Calibri" w:hAnsi="Calibri" w:cs="Calibri"/>
          <w:bCs/>
        </w:rPr>
        <w:t>Skilled birth attendance-lessons learnt</w:t>
      </w:r>
      <w:r w:rsidRPr="00EB7AE0">
        <w:rPr>
          <w:rFonts w:ascii="Calibri" w:hAnsi="Calibri" w:cs="Calibri"/>
        </w:rPr>
        <w:t xml:space="preserve">. </w:t>
      </w:r>
      <w:r w:rsidRPr="00EB7AE0">
        <w:rPr>
          <w:rFonts w:ascii="Calibri" w:hAnsi="Calibri" w:cs="Calibri"/>
          <w:iCs/>
        </w:rPr>
        <w:t xml:space="preserve">BJOG. </w:t>
      </w:r>
      <w:r w:rsidRPr="00EB7AE0">
        <w:rPr>
          <w:rFonts w:ascii="Calibri" w:hAnsi="Calibri" w:cs="Calibri"/>
        </w:rPr>
        <w:t>2009;</w:t>
      </w:r>
      <w:r w:rsidRPr="00EB7AE0">
        <w:rPr>
          <w:rFonts w:ascii="Calibri" w:hAnsi="Calibri" w:cs="Calibri"/>
          <w:bCs/>
        </w:rPr>
        <w:t>116</w:t>
      </w:r>
      <w:r w:rsidRPr="00EB7AE0">
        <w:rPr>
          <w:rFonts w:ascii="Calibri" w:hAnsi="Calibri" w:cs="Calibri"/>
        </w:rPr>
        <w:t>(S1):S33-S40.</w:t>
      </w:r>
    </w:p>
    <w:p w14:paraId="00D4A730" w14:textId="77777777" w:rsidR="000A58E5" w:rsidRPr="008063F6" w:rsidRDefault="000A58E5" w:rsidP="00852DF6">
      <w:pPr>
        <w:pStyle w:val="ListParagraph"/>
        <w:numPr>
          <w:ilvl w:val="0"/>
          <w:numId w:val="9"/>
        </w:numPr>
        <w:ind w:left="426" w:hanging="426"/>
        <w:jc w:val="left"/>
      </w:pPr>
      <w:r w:rsidRPr="00E9207D">
        <w:t>Lavoie-Tremblay M, Trepanier S, Fernet C, Bonneville-Roussy A. Testing and extending the triple match principle in the nursing profession: a generational perspective on job demands, job resources and strain at work. J Adv Nurs.</w:t>
      </w:r>
      <w:r w:rsidRPr="00EB7AE0">
        <w:rPr>
          <w:rFonts w:cs="Helvetica"/>
          <w:color w:val="333333"/>
        </w:rPr>
        <w:t xml:space="preserve"> 2014;70:310-22.</w:t>
      </w:r>
    </w:p>
    <w:p w14:paraId="5120BBF8" w14:textId="77777777" w:rsidR="000A58E5" w:rsidRPr="002358EE" w:rsidRDefault="000A58E5" w:rsidP="00852DF6">
      <w:pPr>
        <w:pStyle w:val="ListParagraph"/>
        <w:numPr>
          <w:ilvl w:val="0"/>
          <w:numId w:val="9"/>
        </w:numPr>
        <w:ind w:left="426" w:hanging="426"/>
        <w:jc w:val="left"/>
      </w:pPr>
      <w:r w:rsidRPr="00EB7AE0">
        <w:rPr>
          <w:rFonts w:ascii="Calibri" w:hAnsi="Calibri" w:cs="Calibri"/>
        </w:rPr>
        <w:t xml:space="preserve">Ameh CA, Msuya S, Hofman J, Raven J, Mathai M, van den Broek N.: </w:t>
      </w:r>
      <w:r w:rsidRPr="00EB7AE0">
        <w:rPr>
          <w:rFonts w:ascii="Calibri" w:hAnsi="Calibri" w:cs="Calibri"/>
          <w:bCs/>
        </w:rPr>
        <w:t>Status of Emergency Obstetric Care in Six Developing Countries Five Years before the MDG Targets for Maternal and Newborn Health</w:t>
      </w:r>
      <w:r w:rsidRPr="00EB7AE0">
        <w:rPr>
          <w:rFonts w:ascii="Calibri" w:hAnsi="Calibri" w:cs="Calibri"/>
        </w:rPr>
        <w:t xml:space="preserve">. </w:t>
      </w:r>
      <w:r w:rsidRPr="00EB7AE0">
        <w:rPr>
          <w:rFonts w:ascii="Calibri" w:hAnsi="Calibri" w:cs="Calibri"/>
          <w:iCs/>
        </w:rPr>
        <w:t xml:space="preserve">PLOS One. </w:t>
      </w:r>
      <w:r w:rsidRPr="00EB7AE0">
        <w:rPr>
          <w:rFonts w:ascii="Calibri" w:hAnsi="Calibri" w:cs="Calibri"/>
        </w:rPr>
        <w:t>2012;</w:t>
      </w:r>
      <w:r w:rsidRPr="00EB7AE0">
        <w:rPr>
          <w:rFonts w:ascii="Calibri" w:hAnsi="Calibri" w:cs="Calibri"/>
          <w:bCs/>
        </w:rPr>
        <w:t>7</w:t>
      </w:r>
      <w:r w:rsidRPr="00EB7AE0">
        <w:rPr>
          <w:rFonts w:ascii="Calibri" w:hAnsi="Calibri" w:cs="Calibri"/>
        </w:rPr>
        <w:t>:e49938</w:t>
      </w:r>
    </w:p>
    <w:p w14:paraId="54E95083" w14:textId="77777777" w:rsidR="000A58E5" w:rsidRPr="008063F6" w:rsidRDefault="00891CD1" w:rsidP="00852DF6">
      <w:pPr>
        <w:pStyle w:val="ListParagraph"/>
        <w:numPr>
          <w:ilvl w:val="0"/>
          <w:numId w:val="9"/>
        </w:numPr>
        <w:ind w:left="426" w:hanging="426"/>
        <w:jc w:val="left"/>
      </w:pPr>
      <w:hyperlink r:id="rId41" w:history="1">
        <w:r w:rsidR="000A58E5" w:rsidRPr="00EB7AE0">
          <w:rPr>
            <w:bdr w:val="none" w:sz="0" w:space="0" w:color="auto" w:frame="1"/>
            <w:lang w:eastAsia="en-GB"/>
          </w:rPr>
          <w:t>Brookes</w:t>
        </w:r>
      </w:hyperlink>
      <w:r w:rsidR="000A58E5" w:rsidRPr="00EB7AE0">
        <w:rPr>
          <w:bdr w:val="none" w:sz="0" w:space="0" w:color="auto" w:frame="1"/>
          <w:lang w:eastAsia="en-GB"/>
        </w:rPr>
        <w:t xml:space="preserve"> K,</w:t>
      </w:r>
      <w:r w:rsidR="000A58E5" w:rsidRPr="00E9207D">
        <w:rPr>
          <w:lang w:eastAsia="en-GB"/>
        </w:rPr>
        <w:t> </w:t>
      </w:r>
      <w:hyperlink r:id="rId42" w:history="1">
        <w:r w:rsidR="000A58E5" w:rsidRPr="00EB7AE0">
          <w:rPr>
            <w:bdr w:val="none" w:sz="0" w:space="0" w:color="auto" w:frame="1"/>
            <w:lang w:eastAsia="en-GB"/>
          </w:rPr>
          <w:t>Limbert</w:t>
        </w:r>
      </w:hyperlink>
      <w:r w:rsidR="000A58E5" w:rsidRPr="00E9207D">
        <w:rPr>
          <w:lang w:eastAsia="en-GB"/>
        </w:rPr>
        <w:t> </w:t>
      </w:r>
      <w:hyperlink r:id="rId43" w:history="1">
        <w:r w:rsidR="000A58E5" w:rsidRPr="00EB7AE0">
          <w:rPr>
            <w:bdr w:val="none" w:sz="0" w:space="0" w:color="auto" w:frame="1"/>
            <w:lang w:eastAsia="en-GB"/>
          </w:rPr>
          <w:t>C, Deacy</w:t>
        </w:r>
      </w:hyperlink>
      <w:r w:rsidR="000A58E5" w:rsidRPr="00EB7AE0">
        <w:rPr>
          <w:bdr w:val="none" w:sz="0" w:space="0" w:color="auto" w:frame="1"/>
          <w:lang w:eastAsia="en-GB"/>
        </w:rPr>
        <w:t xml:space="preserve"> C,</w:t>
      </w:r>
      <w:r w:rsidR="000A58E5" w:rsidRPr="00E9207D">
        <w:rPr>
          <w:lang w:eastAsia="en-GB"/>
        </w:rPr>
        <w:t> </w:t>
      </w:r>
      <w:hyperlink r:id="rId44" w:history="1">
        <w:r w:rsidR="000A58E5" w:rsidRPr="00EB7AE0">
          <w:rPr>
            <w:bdr w:val="none" w:sz="0" w:space="0" w:color="auto" w:frame="1"/>
            <w:lang w:eastAsia="en-GB"/>
          </w:rPr>
          <w:t>O’Reilly</w:t>
        </w:r>
      </w:hyperlink>
      <w:r w:rsidR="000A58E5" w:rsidRPr="00EB7AE0">
        <w:rPr>
          <w:bdr w:val="none" w:sz="0" w:space="0" w:color="auto" w:frame="1"/>
          <w:lang w:eastAsia="en-GB"/>
        </w:rPr>
        <w:t xml:space="preserve"> SA, </w:t>
      </w:r>
      <w:hyperlink r:id="rId45" w:history="1">
        <w:r w:rsidR="000A58E5" w:rsidRPr="00EB7AE0">
          <w:rPr>
            <w:bdr w:val="none" w:sz="0" w:space="0" w:color="auto" w:frame="1"/>
            <w:lang w:eastAsia="en-GB"/>
          </w:rPr>
          <w:t>Thirlaway</w:t>
        </w:r>
      </w:hyperlink>
      <w:r w:rsidR="000A58E5" w:rsidRPr="00EB7AE0">
        <w:rPr>
          <w:bdr w:val="none" w:sz="0" w:space="0" w:color="auto" w:frame="1"/>
          <w:lang w:eastAsia="en-GB"/>
        </w:rPr>
        <w:t xml:space="preserve"> K. (2013) </w:t>
      </w:r>
      <w:r w:rsidR="000A58E5" w:rsidRPr="00EB7AE0">
        <w:rPr>
          <w:rFonts w:cs="Times New Roman"/>
          <w:bCs/>
          <w:kern w:val="36"/>
          <w:lang w:eastAsia="en-GB"/>
        </w:rPr>
        <w:t xml:space="preserve">Systematic review: Work-related stress and the HSE Management Standards. </w:t>
      </w:r>
      <w:r w:rsidR="000A58E5" w:rsidRPr="00EB7AE0">
        <w:rPr>
          <w:i/>
          <w:iCs/>
          <w:bdr w:val="none" w:sz="0" w:space="0" w:color="auto" w:frame="1"/>
          <w:lang w:eastAsia="en-GB"/>
        </w:rPr>
        <w:t>Occupational Medicine</w:t>
      </w:r>
      <w:r w:rsidR="000A58E5" w:rsidRPr="00E9207D">
        <w:rPr>
          <w:lang w:eastAsia="en-GB"/>
        </w:rPr>
        <w:t xml:space="preserve">, 2013;63:463-72. </w:t>
      </w:r>
      <w:hyperlink r:id="rId46" w:history="1">
        <w:r w:rsidR="000A58E5" w:rsidRPr="00EB7AE0">
          <w:rPr>
            <w:bdr w:val="none" w:sz="0" w:space="0" w:color="auto" w:frame="1"/>
            <w:lang w:eastAsia="en-GB"/>
          </w:rPr>
          <w:t>https://doi.org/10.1093/occmed/kqt078</w:t>
        </w:r>
      </w:hyperlink>
    </w:p>
    <w:p w14:paraId="2114A166" w14:textId="77777777" w:rsidR="000A58E5" w:rsidRDefault="000A58E5" w:rsidP="00852DF6">
      <w:pPr>
        <w:pStyle w:val="ListParagraph"/>
        <w:numPr>
          <w:ilvl w:val="0"/>
          <w:numId w:val="9"/>
        </w:numPr>
        <w:ind w:left="426" w:hanging="426"/>
        <w:jc w:val="left"/>
      </w:pPr>
      <w:r w:rsidRPr="00E9207D">
        <w:t>Ereno JR, Andrade KM, Miyauchi SI, Salinda R, Arevalo RR, Reyes J. Encountering and countering work stress: a multivariate analysis of the occupational stress and coping mechanisms of fast food restaurant personnel in the Philippines. Eur Sci J. 2014;10:148-58.</w:t>
      </w:r>
    </w:p>
    <w:p w14:paraId="360D3103" w14:textId="77777777" w:rsidR="000A58E5" w:rsidRPr="008063F6" w:rsidRDefault="000A58E5" w:rsidP="00852DF6">
      <w:pPr>
        <w:pStyle w:val="ListParagraph"/>
        <w:numPr>
          <w:ilvl w:val="0"/>
          <w:numId w:val="9"/>
        </w:numPr>
        <w:ind w:left="426" w:hanging="426"/>
        <w:jc w:val="left"/>
      </w:pPr>
      <w:r w:rsidRPr="00EB7AE0">
        <w:rPr>
          <w:lang w:val="en" w:eastAsia="en-GB"/>
        </w:rPr>
        <w:t xml:space="preserve">Toderi S, Balducci C, Edwards JA, </w:t>
      </w:r>
      <w:r w:rsidRPr="00E9207D">
        <w:rPr>
          <w:lang w:eastAsia="en-GB"/>
        </w:rPr>
        <w:t xml:space="preserve">Sarchielli G, Broccoli M, Mancini G. </w:t>
      </w:r>
      <w:r w:rsidRPr="00EB7AE0">
        <w:rPr>
          <w:lang w:val="en" w:eastAsia="en-GB"/>
        </w:rPr>
        <w:t xml:space="preserve">Psychometric Properties of the UK and Italian Versions of the HSE Stress Indicator Tool: A Cross cultural Investigation. </w:t>
      </w:r>
      <w:r w:rsidRPr="00EB7AE0">
        <w:rPr>
          <w:rFonts w:eastAsia="Times New Roman" w:cs="Helvetica"/>
          <w:lang w:val="en" w:eastAsia="en-GB"/>
        </w:rPr>
        <w:t xml:space="preserve">Eur J of Psychol Assess. 2013;29:72-9. </w:t>
      </w:r>
      <w:hyperlink r:id="rId47" w:history="1">
        <w:r w:rsidRPr="00EB7AE0">
          <w:rPr>
            <w:rFonts w:eastAsia="Times New Roman" w:cs="Helvetica"/>
            <w:color w:val="000000"/>
            <w:lang w:val="en" w:eastAsia="en-GB"/>
          </w:rPr>
          <w:t>doi: 10.1027/1015-5759/a000122</w:t>
        </w:r>
      </w:hyperlink>
    </w:p>
    <w:p w14:paraId="46F2501E" w14:textId="77777777" w:rsidR="00231080" w:rsidRDefault="00231080" w:rsidP="00852DF6">
      <w:pPr>
        <w:pStyle w:val="ListParagraph"/>
        <w:numPr>
          <w:ilvl w:val="0"/>
          <w:numId w:val="9"/>
        </w:numPr>
        <w:ind w:left="426" w:hanging="426"/>
        <w:jc w:val="left"/>
      </w:pPr>
      <w:r w:rsidRPr="00E9207D">
        <w:t>Windle G, Bennett KM, Noyes J. A methodological review of resilience measurement scales. Health Qual Life Outcomes. 2011;9:8.</w:t>
      </w:r>
    </w:p>
    <w:p w14:paraId="06546A60" w14:textId="154D2A35" w:rsidR="00231080" w:rsidRDefault="00231080" w:rsidP="00852DF6">
      <w:pPr>
        <w:pStyle w:val="ListParagraph"/>
        <w:numPr>
          <w:ilvl w:val="0"/>
          <w:numId w:val="9"/>
        </w:numPr>
        <w:ind w:left="426" w:hanging="426"/>
        <w:jc w:val="left"/>
      </w:pPr>
      <w:r w:rsidRPr="00E9207D">
        <w:t>Rubin GJ, Brewin CR, Greenberg N. Psychological and behavioural reactions to the bombings in London on 7 July 2005: Cross sectional survey of a representative sample of Londoners. BMJ. 2005;331:606.</w:t>
      </w:r>
    </w:p>
    <w:p w14:paraId="09844684" w14:textId="77777777" w:rsidR="00554391" w:rsidRPr="0009011B" w:rsidRDefault="00554391" w:rsidP="00554391">
      <w:pPr>
        <w:pStyle w:val="ListParagraph"/>
        <w:numPr>
          <w:ilvl w:val="0"/>
          <w:numId w:val="9"/>
        </w:numPr>
        <w:spacing w:line="240" w:lineRule="auto"/>
        <w:jc w:val="left"/>
        <w:rPr>
          <w:rFonts w:cs="Times New Roman"/>
        </w:rPr>
      </w:pPr>
      <w:r w:rsidRPr="0009011B">
        <w:rPr>
          <w:rFonts w:cs="Times New Roman"/>
        </w:rPr>
        <w:lastRenderedPageBreak/>
        <w:t xml:space="preserve">Kruk, M. E., Myers, M., Varpilah, S., &amp; Dahn, B. T. (2015). What is a resilient health system: lessons from Ebola? </w:t>
      </w:r>
      <w:r w:rsidRPr="0009011B">
        <w:rPr>
          <w:rFonts w:cs="Times New Roman"/>
          <w:i/>
        </w:rPr>
        <w:t>The Lancet,</w:t>
      </w:r>
      <w:r w:rsidRPr="0009011B">
        <w:rPr>
          <w:rFonts w:cs="Times New Roman"/>
        </w:rPr>
        <w:t xml:space="preserve"> </w:t>
      </w:r>
      <w:r w:rsidRPr="0009011B">
        <w:rPr>
          <w:rFonts w:cs="Times New Roman"/>
          <w:i/>
        </w:rPr>
        <w:t>385,</w:t>
      </w:r>
      <w:r w:rsidRPr="0009011B">
        <w:rPr>
          <w:rFonts w:cs="Times New Roman"/>
        </w:rPr>
        <w:t xml:space="preserve"> 1910-12.</w:t>
      </w:r>
    </w:p>
    <w:p w14:paraId="4C58E634" w14:textId="77777777" w:rsidR="00554391" w:rsidRDefault="00554391" w:rsidP="00554391">
      <w:pPr>
        <w:ind w:left="568"/>
        <w:jc w:val="left"/>
      </w:pPr>
    </w:p>
    <w:p w14:paraId="6DF7A41F" w14:textId="07F63976" w:rsidR="00554391" w:rsidRPr="00554391" w:rsidRDefault="00554391" w:rsidP="0009011B">
      <w:pPr>
        <w:pStyle w:val="ListParagraph"/>
        <w:spacing w:line="240" w:lineRule="auto"/>
        <w:ind w:left="928"/>
        <w:jc w:val="left"/>
        <w:rPr>
          <w:rFonts w:ascii="Times New Roman" w:hAnsi="Times New Roman" w:cs="Times New Roman"/>
          <w:sz w:val="24"/>
          <w:szCs w:val="24"/>
        </w:rPr>
      </w:pPr>
    </w:p>
    <w:p w14:paraId="40B9FF31" w14:textId="77777777" w:rsidR="00554391" w:rsidRPr="002358EE" w:rsidRDefault="00554391" w:rsidP="00554391">
      <w:pPr>
        <w:pStyle w:val="ListParagraph"/>
        <w:ind w:left="426"/>
        <w:jc w:val="left"/>
        <w:rPr>
          <w:rStyle w:val="Hyperlink"/>
          <w:color w:val="auto"/>
          <w:u w:val="none"/>
        </w:rPr>
      </w:pPr>
    </w:p>
    <w:p w14:paraId="6ABD6281" w14:textId="7E78F176" w:rsidR="0085797A" w:rsidRDefault="0085797A" w:rsidP="0085797A">
      <w:pPr>
        <w:ind w:left="568"/>
      </w:pPr>
    </w:p>
    <w:p w14:paraId="00D42CB7" w14:textId="66C40ADF" w:rsidR="0085797A" w:rsidRDefault="0085797A" w:rsidP="0085797A">
      <w:pPr>
        <w:ind w:left="568"/>
      </w:pPr>
    </w:p>
    <w:p w14:paraId="09E1F52B" w14:textId="3C871DA1" w:rsidR="0085797A" w:rsidRDefault="0085797A" w:rsidP="0085797A">
      <w:pPr>
        <w:ind w:left="568"/>
      </w:pPr>
    </w:p>
    <w:p w14:paraId="26888D5F" w14:textId="5FA42DDB" w:rsidR="0085797A" w:rsidRDefault="0085797A" w:rsidP="0085797A">
      <w:pPr>
        <w:ind w:left="568"/>
      </w:pPr>
    </w:p>
    <w:p w14:paraId="38801B2D" w14:textId="259F676A" w:rsidR="0085797A" w:rsidRDefault="0085797A" w:rsidP="0085797A">
      <w:pPr>
        <w:ind w:left="568"/>
      </w:pPr>
    </w:p>
    <w:p w14:paraId="6F4F0DB8" w14:textId="46CE3F3C" w:rsidR="0085797A" w:rsidRDefault="0085797A" w:rsidP="0085797A">
      <w:pPr>
        <w:ind w:left="568"/>
      </w:pPr>
    </w:p>
    <w:p w14:paraId="715CB025" w14:textId="0BDE62FF" w:rsidR="0085797A" w:rsidRDefault="0085797A" w:rsidP="0085797A">
      <w:pPr>
        <w:ind w:left="568"/>
      </w:pPr>
    </w:p>
    <w:p w14:paraId="6D88854F" w14:textId="296F1C24" w:rsidR="0085797A" w:rsidRDefault="0085797A" w:rsidP="0085797A">
      <w:pPr>
        <w:ind w:left="568"/>
      </w:pPr>
    </w:p>
    <w:p w14:paraId="26974F0C" w14:textId="15C03B28" w:rsidR="0085797A" w:rsidRDefault="0085797A" w:rsidP="0085797A">
      <w:pPr>
        <w:ind w:left="568"/>
      </w:pPr>
    </w:p>
    <w:p w14:paraId="0AAA1F10" w14:textId="3B765EC3" w:rsidR="0085797A" w:rsidRDefault="0085797A" w:rsidP="0085797A">
      <w:pPr>
        <w:ind w:left="568"/>
      </w:pPr>
    </w:p>
    <w:p w14:paraId="471E3049" w14:textId="6C2F4B5D" w:rsidR="0085797A" w:rsidRDefault="0085797A" w:rsidP="0085797A">
      <w:pPr>
        <w:ind w:left="568"/>
      </w:pPr>
    </w:p>
    <w:p w14:paraId="6D6B2FBC" w14:textId="4413305D" w:rsidR="0085797A" w:rsidRDefault="0085797A" w:rsidP="0085797A">
      <w:pPr>
        <w:ind w:left="568"/>
      </w:pPr>
    </w:p>
    <w:p w14:paraId="2F333D5F" w14:textId="5BC63A54" w:rsidR="0085797A" w:rsidRDefault="0085797A" w:rsidP="0085797A">
      <w:pPr>
        <w:ind w:left="568"/>
      </w:pPr>
    </w:p>
    <w:p w14:paraId="5EB89A08" w14:textId="6AFA05DC" w:rsidR="0085797A" w:rsidRDefault="0085797A" w:rsidP="0085797A">
      <w:pPr>
        <w:ind w:left="568"/>
      </w:pPr>
    </w:p>
    <w:p w14:paraId="14BFCAC7" w14:textId="1CD2DF87" w:rsidR="0085797A" w:rsidRDefault="0085797A" w:rsidP="0085797A">
      <w:pPr>
        <w:ind w:left="568"/>
      </w:pPr>
    </w:p>
    <w:p w14:paraId="60D61076" w14:textId="0F427794" w:rsidR="0085797A" w:rsidRDefault="0085797A" w:rsidP="0085797A">
      <w:pPr>
        <w:ind w:left="568"/>
      </w:pPr>
    </w:p>
    <w:p w14:paraId="03F23426" w14:textId="7DC73EF0" w:rsidR="0085797A" w:rsidRDefault="0085797A" w:rsidP="0085797A">
      <w:pPr>
        <w:ind w:left="568"/>
      </w:pPr>
    </w:p>
    <w:p w14:paraId="5FC672AC" w14:textId="5B2A297E" w:rsidR="0085797A" w:rsidRDefault="0085797A" w:rsidP="0085797A">
      <w:pPr>
        <w:ind w:left="568"/>
      </w:pPr>
    </w:p>
    <w:p w14:paraId="2C9B8AB5" w14:textId="77777777" w:rsidR="0085797A" w:rsidRDefault="0085797A" w:rsidP="0085797A">
      <w:pPr>
        <w:ind w:left="568"/>
        <w:rPr>
          <w:rStyle w:val="Hyperlink"/>
          <w:color w:val="auto"/>
          <w:u w:val="none"/>
        </w:rPr>
        <w:sectPr w:rsidR="0085797A" w:rsidSect="002358EE">
          <w:pgSz w:w="11906" w:h="16838" w:code="9"/>
          <w:pgMar w:top="1440" w:right="1440" w:bottom="1440" w:left="1440" w:header="709" w:footer="709" w:gutter="0"/>
          <w:cols w:space="708"/>
          <w:docGrid w:linePitch="360"/>
        </w:sectPr>
      </w:pPr>
    </w:p>
    <w:p w14:paraId="1EFB7975" w14:textId="3729C611" w:rsidR="00215FA5" w:rsidRPr="00DD4D26" w:rsidRDefault="00215FA5" w:rsidP="00215FA5">
      <w:pPr>
        <w:jc w:val="left"/>
        <w:rPr>
          <w:b/>
          <w:sz w:val="24"/>
          <w:szCs w:val="24"/>
        </w:rPr>
      </w:pPr>
      <w:r>
        <w:rPr>
          <w:b/>
          <w:sz w:val="24"/>
          <w:szCs w:val="24"/>
        </w:rPr>
        <w:lastRenderedPageBreak/>
        <w:t xml:space="preserve">Table 1: </w:t>
      </w:r>
      <w:r w:rsidRPr="00DD4D26">
        <w:rPr>
          <w:b/>
          <w:sz w:val="24"/>
          <w:szCs w:val="24"/>
        </w:rPr>
        <w:t>Characteristics of respondents assessed at baseline and at follow up</w:t>
      </w:r>
    </w:p>
    <w:p w14:paraId="306F3ACC" w14:textId="77777777" w:rsidR="00215FA5" w:rsidRDefault="00215FA5" w:rsidP="00215FA5">
      <w:pPr>
        <w:jc w:val="left"/>
        <w:rPr>
          <w:b/>
          <w:u w:val="single"/>
        </w:rPr>
      </w:pPr>
    </w:p>
    <w:tbl>
      <w:tblPr>
        <w:tblStyle w:val="TableGrid"/>
        <w:tblW w:w="0" w:type="auto"/>
        <w:tblInd w:w="0" w:type="dxa"/>
        <w:tblLook w:val="04A0" w:firstRow="1" w:lastRow="0" w:firstColumn="1" w:lastColumn="0" w:noHBand="0" w:noVBand="1"/>
      </w:tblPr>
      <w:tblGrid>
        <w:gridCol w:w="3114"/>
        <w:gridCol w:w="1984"/>
        <w:gridCol w:w="1985"/>
      </w:tblGrid>
      <w:tr w:rsidR="00215FA5" w14:paraId="3085D4CF" w14:textId="77777777" w:rsidTr="00062E35">
        <w:tc>
          <w:tcPr>
            <w:tcW w:w="3114" w:type="dxa"/>
          </w:tcPr>
          <w:p w14:paraId="362F6DEA" w14:textId="77777777" w:rsidR="00215FA5" w:rsidRPr="00490CF2" w:rsidRDefault="00215FA5" w:rsidP="00062E35">
            <w:pPr>
              <w:rPr>
                <w:b/>
              </w:rPr>
            </w:pPr>
            <w:r>
              <w:rPr>
                <w:b/>
                <w:u w:val="single"/>
              </w:rPr>
              <w:t xml:space="preserve"> </w:t>
            </w:r>
            <w:r w:rsidRPr="00490CF2">
              <w:rPr>
                <w:b/>
              </w:rPr>
              <w:t xml:space="preserve">Category </w:t>
            </w:r>
          </w:p>
        </w:tc>
        <w:tc>
          <w:tcPr>
            <w:tcW w:w="1984" w:type="dxa"/>
          </w:tcPr>
          <w:p w14:paraId="549880A0" w14:textId="77777777" w:rsidR="00215FA5" w:rsidRDefault="00215FA5" w:rsidP="00062E35">
            <w:pPr>
              <w:jc w:val="center"/>
              <w:rPr>
                <w:b/>
              </w:rPr>
            </w:pPr>
            <w:r w:rsidRPr="00490CF2">
              <w:rPr>
                <w:b/>
              </w:rPr>
              <w:t xml:space="preserve">Number assessed at baseline </w:t>
            </w:r>
          </w:p>
          <w:p w14:paraId="798B5310" w14:textId="77777777" w:rsidR="00215FA5" w:rsidRPr="00490CF2" w:rsidRDefault="00215FA5" w:rsidP="00062E35">
            <w:pPr>
              <w:jc w:val="center"/>
              <w:rPr>
                <w:b/>
              </w:rPr>
            </w:pPr>
            <w:r w:rsidRPr="00490CF2">
              <w:rPr>
                <w:b/>
              </w:rPr>
              <w:t>(n=222)</w:t>
            </w:r>
          </w:p>
        </w:tc>
        <w:tc>
          <w:tcPr>
            <w:tcW w:w="1985" w:type="dxa"/>
          </w:tcPr>
          <w:p w14:paraId="70FE7DF4" w14:textId="77777777" w:rsidR="00215FA5" w:rsidRPr="00490CF2" w:rsidRDefault="00215FA5" w:rsidP="00062E35">
            <w:pPr>
              <w:jc w:val="center"/>
              <w:rPr>
                <w:b/>
              </w:rPr>
            </w:pPr>
            <w:r w:rsidRPr="00490CF2">
              <w:rPr>
                <w:b/>
              </w:rPr>
              <w:t>Number assessed</w:t>
            </w:r>
          </w:p>
          <w:p w14:paraId="6E32DE44" w14:textId="77777777" w:rsidR="00215FA5" w:rsidRPr="00490CF2" w:rsidRDefault="00215FA5" w:rsidP="00062E35">
            <w:pPr>
              <w:jc w:val="center"/>
              <w:rPr>
                <w:b/>
              </w:rPr>
            </w:pPr>
            <w:r w:rsidRPr="00490CF2">
              <w:rPr>
                <w:b/>
              </w:rPr>
              <w:t>at follow up (n=156)</w:t>
            </w:r>
          </w:p>
        </w:tc>
      </w:tr>
      <w:tr w:rsidR="00215FA5" w14:paraId="0DFADBF7" w14:textId="77777777" w:rsidTr="00062E35">
        <w:tc>
          <w:tcPr>
            <w:tcW w:w="7083" w:type="dxa"/>
            <w:gridSpan w:val="3"/>
            <w:vAlign w:val="center"/>
          </w:tcPr>
          <w:p w14:paraId="1941D7A7" w14:textId="77777777" w:rsidR="00215FA5" w:rsidRPr="00490CF2" w:rsidRDefault="00215FA5" w:rsidP="00062E35">
            <w:pPr>
              <w:jc w:val="left"/>
              <w:rPr>
                <w:b/>
              </w:rPr>
            </w:pPr>
            <w:r w:rsidRPr="00490CF2">
              <w:rPr>
                <w:b/>
              </w:rPr>
              <w:t>District</w:t>
            </w:r>
          </w:p>
        </w:tc>
      </w:tr>
      <w:tr w:rsidR="00215FA5" w14:paraId="002AC390" w14:textId="77777777" w:rsidTr="00062E35">
        <w:tc>
          <w:tcPr>
            <w:tcW w:w="3114" w:type="dxa"/>
          </w:tcPr>
          <w:p w14:paraId="6BD55258" w14:textId="77777777" w:rsidR="00215FA5" w:rsidRPr="00490CF2" w:rsidRDefault="00215FA5" w:rsidP="00062E35">
            <w:pPr>
              <w:ind w:left="311"/>
              <w:rPr>
                <w:b/>
              </w:rPr>
            </w:pPr>
            <w:r w:rsidRPr="00490CF2">
              <w:rPr>
                <w:b/>
              </w:rPr>
              <w:t>Urban Freetown</w:t>
            </w:r>
          </w:p>
        </w:tc>
        <w:tc>
          <w:tcPr>
            <w:tcW w:w="1984" w:type="dxa"/>
          </w:tcPr>
          <w:p w14:paraId="71C4DBF9" w14:textId="77777777" w:rsidR="00215FA5" w:rsidRPr="00490CF2" w:rsidRDefault="00215FA5" w:rsidP="00062E35">
            <w:pPr>
              <w:jc w:val="center"/>
            </w:pPr>
            <w:r w:rsidRPr="00490CF2">
              <w:t>85 (38.3%)</w:t>
            </w:r>
          </w:p>
        </w:tc>
        <w:tc>
          <w:tcPr>
            <w:tcW w:w="1985" w:type="dxa"/>
          </w:tcPr>
          <w:p w14:paraId="2837CFC7" w14:textId="77777777" w:rsidR="00215FA5" w:rsidRPr="00490CF2" w:rsidRDefault="00215FA5" w:rsidP="00062E35">
            <w:pPr>
              <w:jc w:val="center"/>
            </w:pPr>
            <w:r w:rsidRPr="00490CF2">
              <w:t>51 (32.7%)</w:t>
            </w:r>
          </w:p>
        </w:tc>
      </w:tr>
      <w:tr w:rsidR="00215FA5" w14:paraId="234CECE5" w14:textId="77777777" w:rsidTr="00062E35">
        <w:tc>
          <w:tcPr>
            <w:tcW w:w="3114" w:type="dxa"/>
          </w:tcPr>
          <w:p w14:paraId="039D1C9F" w14:textId="77777777" w:rsidR="00215FA5" w:rsidRPr="00490CF2" w:rsidRDefault="00215FA5" w:rsidP="00062E35">
            <w:pPr>
              <w:ind w:left="311"/>
              <w:rPr>
                <w:b/>
              </w:rPr>
            </w:pPr>
            <w:r w:rsidRPr="00490CF2">
              <w:rPr>
                <w:b/>
              </w:rPr>
              <w:t>Rural Freetown</w:t>
            </w:r>
          </w:p>
        </w:tc>
        <w:tc>
          <w:tcPr>
            <w:tcW w:w="1984" w:type="dxa"/>
          </w:tcPr>
          <w:p w14:paraId="3D5FA0CF" w14:textId="77777777" w:rsidR="00215FA5" w:rsidRPr="00490CF2" w:rsidRDefault="00215FA5" w:rsidP="00062E35">
            <w:pPr>
              <w:jc w:val="center"/>
            </w:pPr>
            <w:r w:rsidRPr="00490CF2">
              <w:t>49 (22.1%)</w:t>
            </w:r>
          </w:p>
        </w:tc>
        <w:tc>
          <w:tcPr>
            <w:tcW w:w="1985" w:type="dxa"/>
          </w:tcPr>
          <w:p w14:paraId="18A8EB05" w14:textId="77777777" w:rsidR="00215FA5" w:rsidRPr="00490CF2" w:rsidRDefault="00215FA5" w:rsidP="00062E35">
            <w:pPr>
              <w:jc w:val="center"/>
            </w:pPr>
            <w:r w:rsidRPr="00490CF2">
              <w:t>35 (22.4%)</w:t>
            </w:r>
          </w:p>
        </w:tc>
      </w:tr>
      <w:tr w:rsidR="00215FA5" w14:paraId="0292D2ED" w14:textId="77777777" w:rsidTr="00062E35">
        <w:tc>
          <w:tcPr>
            <w:tcW w:w="3114" w:type="dxa"/>
          </w:tcPr>
          <w:p w14:paraId="5928CB02" w14:textId="77777777" w:rsidR="00215FA5" w:rsidRPr="00490CF2" w:rsidRDefault="00215FA5" w:rsidP="00062E35">
            <w:pPr>
              <w:ind w:left="311"/>
              <w:rPr>
                <w:b/>
              </w:rPr>
            </w:pPr>
            <w:r w:rsidRPr="00490CF2">
              <w:rPr>
                <w:b/>
              </w:rPr>
              <w:t>Bo</w:t>
            </w:r>
          </w:p>
        </w:tc>
        <w:tc>
          <w:tcPr>
            <w:tcW w:w="1984" w:type="dxa"/>
          </w:tcPr>
          <w:p w14:paraId="0D00DFF3" w14:textId="77777777" w:rsidR="00215FA5" w:rsidRPr="00490CF2" w:rsidRDefault="00215FA5" w:rsidP="00062E35">
            <w:pPr>
              <w:jc w:val="center"/>
            </w:pPr>
            <w:r w:rsidRPr="00490CF2">
              <w:t>83 (37.4%)</w:t>
            </w:r>
          </w:p>
        </w:tc>
        <w:tc>
          <w:tcPr>
            <w:tcW w:w="1985" w:type="dxa"/>
          </w:tcPr>
          <w:p w14:paraId="759C270B" w14:textId="77777777" w:rsidR="00215FA5" w:rsidRPr="00490CF2" w:rsidRDefault="00215FA5" w:rsidP="00062E35">
            <w:pPr>
              <w:jc w:val="center"/>
            </w:pPr>
            <w:r w:rsidRPr="00490CF2">
              <w:t>66 (42.3%)</w:t>
            </w:r>
          </w:p>
        </w:tc>
      </w:tr>
      <w:tr w:rsidR="00215FA5" w14:paraId="3BF3B825" w14:textId="77777777" w:rsidTr="00062E35">
        <w:tc>
          <w:tcPr>
            <w:tcW w:w="7083" w:type="dxa"/>
            <w:gridSpan w:val="3"/>
            <w:vAlign w:val="center"/>
          </w:tcPr>
          <w:p w14:paraId="55B28060" w14:textId="77777777" w:rsidR="00215FA5" w:rsidRPr="00490CF2" w:rsidRDefault="00215FA5" w:rsidP="00062E35">
            <w:pPr>
              <w:jc w:val="left"/>
              <w:rPr>
                <w:b/>
              </w:rPr>
            </w:pPr>
            <w:r w:rsidRPr="00490CF2">
              <w:rPr>
                <w:b/>
              </w:rPr>
              <w:t>Cadre</w:t>
            </w:r>
          </w:p>
        </w:tc>
      </w:tr>
      <w:tr w:rsidR="00215FA5" w14:paraId="1DCFDDFE" w14:textId="77777777" w:rsidTr="00062E35">
        <w:tc>
          <w:tcPr>
            <w:tcW w:w="3114" w:type="dxa"/>
          </w:tcPr>
          <w:p w14:paraId="0FEC490C" w14:textId="77777777" w:rsidR="00215FA5" w:rsidRPr="00490CF2" w:rsidRDefault="00215FA5" w:rsidP="00062E35">
            <w:pPr>
              <w:ind w:left="311"/>
              <w:rPr>
                <w:b/>
              </w:rPr>
            </w:pPr>
            <w:r w:rsidRPr="00490CF2">
              <w:rPr>
                <w:b/>
              </w:rPr>
              <w:t>Doctor</w:t>
            </w:r>
          </w:p>
        </w:tc>
        <w:tc>
          <w:tcPr>
            <w:tcW w:w="1984" w:type="dxa"/>
          </w:tcPr>
          <w:p w14:paraId="76BB1085" w14:textId="77777777" w:rsidR="00215FA5" w:rsidRPr="00490CF2" w:rsidRDefault="00215FA5" w:rsidP="00062E35">
            <w:pPr>
              <w:jc w:val="center"/>
            </w:pPr>
            <w:r w:rsidRPr="00490CF2">
              <w:t>1 (0.4%)</w:t>
            </w:r>
          </w:p>
        </w:tc>
        <w:tc>
          <w:tcPr>
            <w:tcW w:w="1985" w:type="dxa"/>
          </w:tcPr>
          <w:p w14:paraId="0175C33E" w14:textId="77777777" w:rsidR="00215FA5" w:rsidRPr="00490CF2" w:rsidRDefault="00215FA5" w:rsidP="00062E35">
            <w:pPr>
              <w:jc w:val="center"/>
            </w:pPr>
            <w:r w:rsidRPr="00490CF2">
              <w:t>1 (0.6%)</w:t>
            </w:r>
          </w:p>
        </w:tc>
      </w:tr>
      <w:tr w:rsidR="00215FA5" w14:paraId="70531620" w14:textId="77777777" w:rsidTr="00062E35">
        <w:tc>
          <w:tcPr>
            <w:tcW w:w="3114" w:type="dxa"/>
          </w:tcPr>
          <w:p w14:paraId="4A842327" w14:textId="77777777" w:rsidR="00215FA5" w:rsidRPr="00490CF2" w:rsidRDefault="00215FA5" w:rsidP="00062E35">
            <w:pPr>
              <w:ind w:left="311"/>
              <w:rPr>
                <w:b/>
              </w:rPr>
            </w:pPr>
            <w:r w:rsidRPr="00490CF2">
              <w:rPr>
                <w:b/>
              </w:rPr>
              <w:t>Registered nurse-midwife</w:t>
            </w:r>
          </w:p>
        </w:tc>
        <w:tc>
          <w:tcPr>
            <w:tcW w:w="1984" w:type="dxa"/>
          </w:tcPr>
          <w:p w14:paraId="4A457841" w14:textId="77777777" w:rsidR="00215FA5" w:rsidRPr="00490CF2" w:rsidRDefault="00215FA5" w:rsidP="00062E35">
            <w:pPr>
              <w:jc w:val="center"/>
            </w:pPr>
            <w:r w:rsidRPr="00490CF2">
              <w:t>21 (9.5%)</w:t>
            </w:r>
          </w:p>
        </w:tc>
        <w:tc>
          <w:tcPr>
            <w:tcW w:w="1985" w:type="dxa"/>
          </w:tcPr>
          <w:p w14:paraId="6623391E" w14:textId="77777777" w:rsidR="00215FA5" w:rsidRPr="00490CF2" w:rsidRDefault="00215FA5" w:rsidP="00062E35">
            <w:pPr>
              <w:jc w:val="center"/>
            </w:pPr>
            <w:r w:rsidRPr="00490CF2">
              <w:t>17 (10.9%)</w:t>
            </w:r>
          </w:p>
        </w:tc>
      </w:tr>
      <w:tr w:rsidR="00215FA5" w14:paraId="4FB49E1B" w14:textId="77777777" w:rsidTr="00062E35">
        <w:tc>
          <w:tcPr>
            <w:tcW w:w="3114" w:type="dxa"/>
          </w:tcPr>
          <w:p w14:paraId="3E84CED9" w14:textId="77777777" w:rsidR="00215FA5" w:rsidRPr="00490CF2" w:rsidRDefault="00215FA5" w:rsidP="00062E35">
            <w:pPr>
              <w:ind w:left="311"/>
              <w:rPr>
                <w:b/>
              </w:rPr>
            </w:pPr>
            <w:r w:rsidRPr="00490CF2">
              <w:rPr>
                <w:b/>
              </w:rPr>
              <w:t>Middle grade staff</w:t>
            </w:r>
          </w:p>
        </w:tc>
        <w:tc>
          <w:tcPr>
            <w:tcW w:w="1984" w:type="dxa"/>
          </w:tcPr>
          <w:p w14:paraId="0800332D" w14:textId="77777777" w:rsidR="00215FA5" w:rsidRPr="00490CF2" w:rsidRDefault="00215FA5" w:rsidP="00062E35">
            <w:pPr>
              <w:jc w:val="center"/>
            </w:pPr>
            <w:r w:rsidRPr="00490CF2">
              <w:t>19 (8.6%)</w:t>
            </w:r>
          </w:p>
        </w:tc>
        <w:tc>
          <w:tcPr>
            <w:tcW w:w="1985" w:type="dxa"/>
          </w:tcPr>
          <w:p w14:paraId="0AB7FEBF" w14:textId="77777777" w:rsidR="00215FA5" w:rsidRPr="00490CF2" w:rsidRDefault="00215FA5" w:rsidP="00062E35">
            <w:pPr>
              <w:jc w:val="center"/>
            </w:pPr>
            <w:r w:rsidRPr="00490CF2">
              <w:t>14 (9.0%)</w:t>
            </w:r>
          </w:p>
        </w:tc>
      </w:tr>
      <w:tr w:rsidR="00215FA5" w14:paraId="6E60E9F3" w14:textId="77777777" w:rsidTr="00062E35">
        <w:tc>
          <w:tcPr>
            <w:tcW w:w="3114" w:type="dxa"/>
          </w:tcPr>
          <w:p w14:paraId="5F225EE7" w14:textId="77777777" w:rsidR="00215FA5" w:rsidRPr="00490CF2" w:rsidRDefault="00215FA5" w:rsidP="00062E35">
            <w:pPr>
              <w:ind w:left="311"/>
              <w:rPr>
                <w:b/>
              </w:rPr>
            </w:pPr>
            <w:r w:rsidRPr="00490CF2">
              <w:rPr>
                <w:b/>
              </w:rPr>
              <w:t xml:space="preserve">Maternal and Child Health Aide or State Enrolled Community Health Nurse </w:t>
            </w:r>
          </w:p>
        </w:tc>
        <w:tc>
          <w:tcPr>
            <w:tcW w:w="1984" w:type="dxa"/>
          </w:tcPr>
          <w:p w14:paraId="449FAFBD" w14:textId="77777777" w:rsidR="00215FA5" w:rsidRPr="00490CF2" w:rsidRDefault="00215FA5" w:rsidP="00062E35">
            <w:pPr>
              <w:jc w:val="center"/>
            </w:pPr>
            <w:r w:rsidRPr="00490CF2">
              <w:t>138 (62.2%)</w:t>
            </w:r>
          </w:p>
        </w:tc>
        <w:tc>
          <w:tcPr>
            <w:tcW w:w="1985" w:type="dxa"/>
          </w:tcPr>
          <w:p w14:paraId="3D25CE1C" w14:textId="77777777" w:rsidR="00215FA5" w:rsidRPr="00490CF2" w:rsidRDefault="00215FA5" w:rsidP="00062E35">
            <w:pPr>
              <w:jc w:val="center"/>
            </w:pPr>
            <w:r w:rsidRPr="00490CF2">
              <w:t>94 (60.3%)</w:t>
            </w:r>
          </w:p>
        </w:tc>
      </w:tr>
      <w:tr w:rsidR="00215FA5" w14:paraId="00D53544" w14:textId="77777777" w:rsidTr="00062E35">
        <w:tc>
          <w:tcPr>
            <w:tcW w:w="3114" w:type="dxa"/>
          </w:tcPr>
          <w:p w14:paraId="16FC110E" w14:textId="77777777" w:rsidR="00215FA5" w:rsidRPr="00490CF2" w:rsidRDefault="00215FA5" w:rsidP="00062E35">
            <w:pPr>
              <w:ind w:left="311"/>
              <w:rPr>
                <w:b/>
              </w:rPr>
            </w:pPr>
            <w:r w:rsidRPr="00490CF2">
              <w:rPr>
                <w:b/>
              </w:rPr>
              <w:t>Care-assistant</w:t>
            </w:r>
          </w:p>
        </w:tc>
        <w:tc>
          <w:tcPr>
            <w:tcW w:w="1984" w:type="dxa"/>
          </w:tcPr>
          <w:p w14:paraId="5F2710A3" w14:textId="77777777" w:rsidR="00215FA5" w:rsidRPr="00490CF2" w:rsidRDefault="00215FA5" w:rsidP="00062E35">
            <w:pPr>
              <w:jc w:val="center"/>
            </w:pPr>
            <w:r w:rsidRPr="00490CF2">
              <w:t>31 (14.0%)</w:t>
            </w:r>
          </w:p>
        </w:tc>
        <w:tc>
          <w:tcPr>
            <w:tcW w:w="1985" w:type="dxa"/>
          </w:tcPr>
          <w:p w14:paraId="78B63326" w14:textId="77777777" w:rsidR="00215FA5" w:rsidRPr="00490CF2" w:rsidRDefault="00215FA5" w:rsidP="00062E35">
            <w:pPr>
              <w:jc w:val="center"/>
            </w:pPr>
            <w:r w:rsidRPr="00490CF2">
              <w:t>23 (14.7%)</w:t>
            </w:r>
          </w:p>
        </w:tc>
      </w:tr>
      <w:tr w:rsidR="00215FA5" w14:paraId="23332359" w14:textId="77777777" w:rsidTr="00062E35">
        <w:tc>
          <w:tcPr>
            <w:tcW w:w="3114" w:type="dxa"/>
          </w:tcPr>
          <w:p w14:paraId="0E6919F1" w14:textId="77777777" w:rsidR="00215FA5" w:rsidRPr="00490CF2" w:rsidRDefault="00215FA5" w:rsidP="00062E35">
            <w:pPr>
              <w:ind w:left="311"/>
              <w:rPr>
                <w:b/>
              </w:rPr>
            </w:pPr>
            <w:r w:rsidRPr="00490CF2">
              <w:rPr>
                <w:b/>
              </w:rPr>
              <w:t>Support staff</w:t>
            </w:r>
          </w:p>
        </w:tc>
        <w:tc>
          <w:tcPr>
            <w:tcW w:w="1984" w:type="dxa"/>
          </w:tcPr>
          <w:p w14:paraId="7114FAC8" w14:textId="77777777" w:rsidR="00215FA5" w:rsidRPr="00490CF2" w:rsidRDefault="00215FA5" w:rsidP="00062E35">
            <w:pPr>
              <w:jc w:val="center"/>
            </w:pPr>
            <w:r w:rsidRPr="00490CF2">
              <w:t>7 (3.2%)</w:t>
            </w:r>
          </w:p>
        </w:tc>
        <w:tc>
          <w:tcPr>
            <w:tcW w:w="1985" w:type="dxa"/>
          </w:tcPr>
          <w:p w14:paraId="4CE5B3E5" w14:textId="77777777" w:rsidR="00215FA5" w:rsidRPr="00490CF2" w:rsidRDefault="00215FA5" w:rsidP="00062E35">
            <w:pPr>
              <w:jc w:val="center"/>
            </w:pPr>
            <w:r w:rsidRPr="00490CF2">
              <w:t>6 (3.9%)</w:t>
            </w:r>
          </w:p>
        </w:tc>
      </w:tr>
      <w:tr w:rsidR="00215FA5" w14:paraId="681F5AC6" w14:textId="77777777" w:rsidTr="00062E35">
        <w:tc>
          <w:tcPr>
            <w:tcW w:w="3114" w:type="dxa"/>
          </w:tcPr>
          <w:p w14:paraId="7BDFC7EC" w14:textId="77777777" w:rsidR="00215FA5" w:rsidRPr="00490CF2" w:rsidRDefault="00215FA5" w:rsidP="00062E35">
            <w:pPr>
              <w:ind w:left="311"/>
              <w:rPr>
                <w:b/>
              </w:rPr>
            </w:pPr>
            <w:r w:rsidRPr="00490CF2">
              <w:rPr>
                <w:b/>
              </w:rPr>
              <w:t>Manager</w:t>
            </w:r>
          </w:p>
        </w:tc>
        <w:tc>
          <w:tcPr>
            <w:tcW w:w="1984" w:type="dxa"/>
          </w:tcPr>
          <w:p w14:paraId="5305AA96" w14:textId="77777777" w:rsidR="00215FA5" w:rsidRPr="00490CF2" w:rsidRDefault="00215FA5" w:rsidP="00062E35">
            <w:pPr>
              <w:jc w:val="center"/>
            </w:pPr>
            <w:r w:rsidRPr="00490CF2">
              <w:t>4 (1.8%)</w:t>
            </w:r>
          </w:p>
        </w:tc>
        <w:tc>
          <w:tcPr>
            <w:tcW w:w="1985" w:type="dxa"/>
          </w:tcPr>
          <w:p w14:paraId="1B6E0E17" w14:textId="77777777" w:rsidR="00215FA5" w:rsidRPr="00490CF2" w:rsidRDefault="00215FA5" w:rsidP="00062E35">
            <w:pPr>
              <w:jc w:val="center"/>
            </w:pPr>
            <w:r w:rsidRPr="00490CF2">
              <w:t>1 (0.6%)</w:t>
            </w:r>
          </w:p>
        </w:tc>
      </w:tr>
      <w:tr w:rsidR="00215FA5" w14:paraId="5A0A9CF4" w14:textId="77777777" w:rsidTr="00062E35">
        <w:tc>
          <w:tcPr>
            <w:tcW w:w="7083" w:type="dxa"/>
            <w:gridSpan w:val="3"/>
            <w:vAlign w:val="center"/>
          </w:tcPr>
          <w:p w14:paraId="15EA56A4" w14:textId="77777777" w:rsidR="00215FA5" w:rsidRPr="00490CF2" w:rsidRDefault="00215FA5" w:rsidP="00062E35">
            <w:pPr>
              <w:jc w:val="left"/>
              <w:rPr>
                <w:b/>
              </w:rPr>
            </w:pPr>
            <w:r w:rsidRPr="00490CF2">
              <w:rPr>
                <w:b/>
              </w:rPr>
              <w:t>Facility type</w:t>
            </w:r>
          </w:p>
        </w:tc>
      </w:tr>
      <w:tr w:rsidR="00215FA5" w14:paraId="199FEFD7" w14:textId="77777777" w:rsidTr="00062E35">
        <w:tc>
          <w:tcPr>
            <w:tcW w:w="3114" w:type="dxa"/>
          </w:tcPr>
          <w:p w14:paraId="64343280" w14:textId="77777777" w:rsidR="00215FA5" w:rsidRPr="00490CF2" w:rsidRDefault="00215FA5" w:rsidP="00062E35">
            <w:pPr>
              <w:ind w:left="311"/>
              <w:rPr>
                <w:b/>
              </w:rPr>
            </w:pPr>
            <w:r w:rsidRPr="00490CF2">
              <w:rPr>
                <w:b/>
              </w:rPr>
              <w:t>Comprehensive EmOC*</w:t>
            </w:r>
          </w:p>
        </w:tc>
        <w:tc>
          <w:tcPr>
            <w:tcW w:w="1984" w:type="dxa"/>
          </w:tcPr>
          <w:p w14:paraId="41824DFD" w14:textId="77777777" w:rsidR="00215FA5" w:rsidRPr="00490CF2" w:rsidRDefault="00215FA5" w:rsidP="00062E35">
            <w:pPr>
              <w:jc w:val="center"/>
            </w:pPr>
            <w:r w:rsidRPr="00490CF2">
              <w:t>76 (34.2%)</w:t>
            </w:r>
          </w:p>
        </w:tc>
        <w:tc>
          <w:tcPr>
            <w:tcW w:w="1985" w:type="dxa"/>
          </w:tcPr>
          <w:p w14:paraId="3EF6B58E" w14:textId="77777777" w:rsidR="00215FA5" w:rsidRPr="00490CF2" w:rsidRDefault="00215FA5" w:rsidP="00062E35">
            <w:pPr>
              <w:jc w:val="center"/>
            </w:pPr>
            <w:r w:rsidRPr="00490CF2">
              <w:t>46 (29.5%)</w:t>
            </w:r>
          </w:p>
        </w:tc>
      </w:tr>
      <w:tr w:rsidR="00215FA5" w14:paraId="3E8C9BBD" w14:textId="77777777" w:rsidTr="00062E35">
        <w:tc>
          <w:tcPr>
            <w:tcW w:w="3114" w:type="dxa"/>
          </w:tcPr>
          <w:p w14:paraId="27C0CA1F" w14:textId="77777777" w:rsidR="00215FA5" w:rsidRPr="00490CF2" w:rsidRDefault="00215FA5" w:rsidP="00062E35">
            <w:pPr>
              <w:ind w:left="311"/>
              <w:rPr>
                <w:b/>
              </w:rPr>
            </w:pPr>
            <w:r w:rsidRPr="00490CF2">
              <w:rPr>
                <w:b/>
              </w:rPr>
              <w:t>Basic EmOC*</w:t>
            </w:r>
          </w:p>
        </w:tc>
        <w:tc>
          <w:tcPr>
            <w:tcW w:w="1984" w:type="dxa"/>
          </w:tcPr>
          <w:p w14:paraId="2A16D7E3" w14:textId="77777777" w:rsidR="00215FA5" w:rsidRPr="00490CF2" w:rsidRDefault="00215FA5" w:rsidP="00062E35">
            <w:pPr>
              <w:jc w:val="center"/>
            </w:pPr>
            <w:r w:rsidRPr="00490CF2">
              <w:t>146 (65.8%)</w:t>
            </w:r>
          </w:p>
        </w:tc>
        <w:tc>
          <w:tcPr>
            <w:tcW w:w="1985" w:type="dxa"/>
          </w:tcPr>
          <w:p w14:paraId="4964E406" w14:textId="77777777" w:rsidR="00215FA5" w:rsidRPr="00490CF2" w:rsidRDefault="00215FA5" w:rsidP="00062E35">
            <w:pPr>
              <w:jc w:val="center"/>
            </w:pPr>
            <w:r w:rsidRPr="00490CF2">
              <w:t>110 (70.5%)</w:t>
            </w:r>
          </w:p>
        </w:tc>
      </w:tr>
      <w:tr w:rsidR="00215FA5" w14:paraId="228C108A" w14:textId="77777777" w:rsidTr="00062E35">
        <w:tc>
          <w:tcPr>
            <w:tcW w:w="7083" w:type="dxa"/>
            <w:gridSpan w:val="3"/>
            <w:vAlign w:val="center"/>
          </w:tcPr>
          <w:p w14:paraId="333F682B" w14:textId="77777777" w:rsidR="00215FA5" w:rsidRPr="00490CF2" w:rsidRDefault="00215FA5" w:rsidP="00062E35">
            <w:pPr>
              <w:jc w:val="left"/>
              <w:rPr>
                <w:b/>
              </w:rPr>
            </w:pPr>
            <w:r w:rsidRPr="00490CF2">
              <w:rPr>
                <w:b/>
              </w:rPr>
              <w:t>Gender</w:t>
            </w:r>
          </w:p>
        </w:tc>
      </w:tr>
      <w:tr w:rsidR="00215FA5" w14:paraId="67C99C62" w14:textId="77777777" w:rsidTr="00062E35">
        <w:tc>
          <w:tcPr>
            <w:tcW w:w="3114" w:type="dxa"/>
          </w:tcPr>
          <w:p w14:paraId="72634C94" w14:textId="77777777" w:rsidR="00215FA5" w:rsidRPr="00490CF2" w:rsidRDefault="00215FA5" w:rsidP="00062E35">
            <w:pPr>
              <w:ind w:left="311"/>
              <w:rPr>
                <w:b/>
              </w:rPr>
            </w:pPr>
            <w:r w:rsidRPr="00490CF2">
              <w:rPr>
                <w:b/>
              </w:rPr>
              <w:t>Male</w:t>
            </w:r>
          </w:p>
        </w:tc>
        <w:tc>
          <w:tcPr>
            <w:tcW w:w="1984" w:type="dxa"/>
          </w:tcPr>
          <w:p w14:paraId="667DD0C9" w14:textId="77777777" w:rsidR="00215FA5" w:rsidRPr="00490CF2" w:rsidRDefault="00215FA5" w:rsidP="00062E35">
            <w:pPr>
              <w:jc w:val="center"/>
            </w:pPr>
            <w:r w:rsidRPr="00490CF2">
              <w:t>20 (9.0%)</w:t>
            </w:r>
          </w:p>
        </w:tc>
        <w:tc>
          <w:tcPr>
            <w:tcW w:w="1985" w:type="dxa"/>
          </w:tcPr>
          <w:p w14:paraId="03BF9527" w14:textId="77777777" w:rsidR="00215FA5" w:rsidRPr="00490CF2" w:rsidRDefault="00215FA5" w:rsidP="00062E35">
            <w:pPr>
              <w:jc w:val="center"/>
            </w:pPr>
            <w:r w:rsidRPr="00490CF2">
              <w:t>16 (10.3%)</w:t>
            </w:r>
          </w:p>
        </w:tc>
      </w:tr>
      <w:tr w:rsidR="00215FA5" w14:paraId="413A1555" w14:textId="77777777" w:rsidTr="00062E35">
        <w:tc>
          <w:tcPr>
            <w:tcW w:w="3114" w:type="dxa"/>
          </w:tcPr>
          <w:p w14:paraId="3C8143AD" w14:textId="77777777" w:rsidR="00215FA5" w:rsidRPr="00490CF2" w:rsidRDefault="00215FA5" w:rsidP="00062E35">
            <w:pPr>
              <w:ind w:left="311"/>
              <w:rPr>
                <w:b/>
              </w:rPr>
            </w:pPr>
            <w:r w:rsidRPr="00490CF2">
              <w:rPr>
                <w:b/>
              </w:rPr>
              <w:t>Female</w:t>
            </w:r>
          </w:p>
        </w:tc>
        <w:tc>
          <w:tcPr>
            <w:tcW w:w="1984" w:type="dxa"/>
          </w:tcPr>
          <w:p w14:paraId="460E2927" w14:textId="77777777" w:rsidR="00215FA5" w:rsidRPr="00490CF2" w:rsidRDefault="00215FA5" w:rsidP="00062E35">
            <w:pPr>
              <w:jc w:val="center"/>
            </w:pPr>
            <w:r w:rsidRPr="00490CF2">
              <w:t>199 (89.6%)</w:t>
            </w:r>
          </w:p>
        </w:tc>
        <w:tc>
          <w:tcPr>
            <w:tcW w:w="1985" w:type="dxa"/>
          </w:tcPr>
          <w:p w14:paraId="284D86D3" w14:textId="77777777" w:rsidR="00215FA5" w:rsidRPr="00490CF2" w:rsidRDefault="00215FA5" w:rsidP="00062E35">
            <w:pPr>
              <w:jc w:val="center"/>
            </w:pPr>
            <w:r w:rsidRPr="00490CF2">
              <w:t>137 (87.8%)</w:t>
            </w:r>
          </w:p>
        </w:tc>
      </w:tr>
    </w:tbl>
    <w:p w14:paraId="6C513F0F" w14:textId="77777777" w:rsidR="00215FA5" w:rsidRPr="00490CF2" w:rsidRDefault="00215FA5" w:rsidP="00215FA5">
      <w:r w:rsidRPr="00490CF2">
        <w:t>*EmOC = Emergency Obstetric Care</w:t>
      </w:r>
    </w:p>
    <w:p w14:paraId="03ED12D8" w14:textId="77777777" w:rsidR="00215FA5" w:rsidRPr="00D63468" w:rsidRDefault="00215FA5" w:rsidP="00215FA5"/>
    <w:p w14:paraId="7B86AE05" w14:textId="38764756" w:rsidR="0085797A" w:rsidRPr="002358EE" w:rsidRDefault="0085797A" w:rsidP="00AD179C">
      <w:pPr>
        <w:ind w:left="568"/>
        <w:rPr>
          <w:rStyle w:val="Hyperlink"/>
          <w:color w:val="auto"/>
          <w:u w:val="none"/>
        </w:rPr>
      </w:pPr>
    </w:p>
    <w:p w14:paraId="17AD472F" w14:textId="6D908859" w:rsidR="00215FA5" w:rsidRDefault="00215FA5">
      <w:pPr>
        <w:ind w:left="568"/>
      </w:pPr>
    </w:p>
    <w:p w14:paraId="5CCBB9F6" w14:textId="77777777" w:rsidR="00215FA5" w:rsidRDefault="00215FA5">
      <w:pPr>
        <w:ind w:left="568"/>
      </w:pPr>
    </w:p>
    <w:p w14:paraId="35D89F70" w14:textId="52694C0D" w:rsidR="00215FA5" w:rsidRDefault="00215FA5">
      <w:pPr>
        <w:ind w:left="568"/>
      </w:pPr>
    </w:p>
    <w:p w14:paraId="2C9769B0" w14:textId="77777777" w:rsidR="00215FA5" w:rsidRPr="00CD0452" w:rsidRDefault="00215FA5" w:rsidP="00AD179C">
      <w:pPr>
        <w:ind w:left="568"/>
        <w:rPr>
          <w:rStyle w:val="Hyperlink"/>
          <w:color w:val="auto"/>
          <w:u w:val="none"/>
        </w:rPr>
      </w:pPr>
    </w:p>
    <w:p w14:paraId="7211E896" w14:textId="15E8431D" w:rsidR="009442B3" w:rsidRDefault="009442B3">
      <w:pPr>
        <w:ind w:left="568"/>
        <w:rPr>
          <w:b/>
          <w:sz w:val="24"/>
          <w:szCs w:val="24"/>
        </w:rPr>
      </w:pPr>
      <w:r w:rsidRPr="00C06928">
        <w:rPr>
          <w:b/>
          <w:sz w:val="24"/>
          <w:szCs w:val="24"/>
          <w:u w:val="single"/>
        </w:rPr>
        <w:lastRenderedPageBreak/>
        <w:t>T</w:t>
      </w:r>
      <w:r w:rsidR="006678CF" w:rsidRPr="00C06928">
        <w:rPr>
          <w:b/>
          <w:sz w:val="24"/>
          <w:szCs w:val="24"/>
          <w:u w:val="single"/>
        </w:rPr>
        <w:t xml:space="preserve">able </w:t>
      </w:r>
      <w:r w:rsidR="00215FA5">
        <w:rPr>
          <w:b/>
          <w:sz w:val="24"/>
          <w:szCs w:val="24"/>
          <w:u w:val="single"/>
        </w:rPr>
        <w:t>2</w:t>
      </w:r>
      <w:r w:rsidRPr="00C06928">
        <w:rPr>
          <w:b/>
          <w:sz w:val="24"/>
          <w:szCs w:val="24"/>
        </w:rPr>
        <w:t>: Comparison</w:t>
      </w:r>
      <w:r w:rsidR="004929B0" w:rsidRPr="00C06928">
        <w:rPr>
          <w:b/>
          <w:sz w:val="24"/>
          <w:szCs w:val="24"/>
        </w:rPr>
        <w:t>s</w:t>
      </w:r>
      <w:r w:rsidRPr="00C06928">
        <w:rPr>
          <w:b/>
          <w:sz w:val="24"/>
          <w:szCs w:val="24"/>
        </w:rPr>
        <w:t xml:space="preserve"> of scores at baseline </w:t>
      </w:r>
      <w:r w:rsidR="004929B0" w:rsidRPr="00C06928">
        <w:rPr>
          <w:b/>
          <w:sz w:val="24"/>
          <w:szCs w:val="24"/>
        </w:rPr>
        <w:t xml:space="preserve">and follow-up </w:t>
      </w:r>
      <w:r w:rsidRPr="00C06928">
        <w:rPr>
          <w:b/>
          <w:sz w:val="24"/>
          <w:szCs w:val="24"/>
        </w:rPr>
        <w:t xml:space="preserve">for workplace risk factors by domain (HSE questionnaire)*  </w:t>
      </w:r>
    </w:p>
    <w:p w14:paraId="2FFDC8BA" w14:textId="360A59C5" w:rsidR="00092AEE" w:rsidRDefault="00092AEE">
      <w:pPr>
        <w:ind w:left="568"/>
        <w:rPr>
          <w:b/>
          <w:sz w:val="24"/>
          <w:szCs w:val="24"/>
        </w:rPr>
      </w:pPr>
    </w:p>
    <w:tbl>
      <w:tblPr>
        <w:tblStyle w:val="TableGrid"/>
        <w:tblW w:w="14486" w:type="dxa"/>
        <w:tblInd w:w="-15" w:type="dxa"/>
        <w:tblLayout w:type="fixed"/>
        <w:tblLook w:val="04A0" w:firstRow="1" w:lastRow="0" w:firstColumn="1" w:lastColumn="0" w:noHBand="0" w:noVBand="1"/>
      </w:tblPr>
      <w:tblGrid>
        <w:gridCol w:w="3153"/>
        <w:gridCol w:w="1260"/>
        <w:gridCol w:w="1891"/>
        <w:gridCol w:w="1786"/>
        <w:gridCol w:w="723"/>
        <w:gridCol w:w="1879"/>
        <w:gridCol w:w="1692"/>
        <w:gridCol w:w="2102"/>
      </w:tblGrid>
      <w:tr w:rsidR="00092AEE" w14:paraId="5837193D" w14:textId="77777777" w:rsidTr="005C0FEE">
        <w:trPr>
          <w:trHeight w:val="403"/>
        </w:trPr>
        <w:tc>
          <w:tcPr>
            <w:tcW w:w="3153" w:type="dxa"/>
            <w:vMerge w:val="restart"/>
            <w:tcBorders>
              <w:top w:val="single" w:sz="4" w:space="0" w:color="auto"/>
            </w:tcBorders>
            <w:noWrap/>
            <w:vAlign w:val="center"/>
          </w:tcPr>
          <w:p w14:paraId="0DF94C3C" w14:textId="77777777" w:rsidR="00092AEE" w:rsidRDefault="00092AEE" w:rsidP="005C0FEE">
            <w:pPr>
              <w:spacing w:line="360" w:lineRule="auto"/>
              <w:jc w:val="center"/>
              <w:rPr>
                <w:b/>
              </w:rPr>
            </w:pPr>
            <w:r>
              <w:rPr>
                <w:b/>
              </w:rPr>
              <w:t>Domain</w:t>
            </w:r>
          </w:p>
        </w:tc>
        <w:tc>
          <w:tcPr>
            <w:tcW w:w="4937" w:type="dxa"/>
            <w:gridSpan w:val="3"/>
            <w:tcBorders>
              <w:top w:val="single" w:sz="4" w:space="0" w:color="auto"/>
            </w:tcBorders>
            <w:vAlign w:val="center"/>
          </w:tcPr>
          <w:p w14:paraId="2FEE42AC" w14:textId="77777777" w:rsidR="00092AEE" w:rsidRDefault="00092AEE" w:rsidP="005C0FEE">
            <w:pPr>
              <w:spacing w:line="360" w:lineRule="auto"/>
              <w:jc w:val="center"/>
              <w:rPr>
                <w:b/>
              </w:rPr>
            </w:pPr>
            <w:r>
              <w:rPr>
                <w:b/>
              </w:rPr>
              <w:t>Baseline</w:t>
            </w:r>
          </w:p>
        </w:tc>
        <w:tc>
          <w:tcPr>
            <w:tcW w:w="4294" w:type="dxa"/>
            <w:gridSpan w:val="3"/>
            <w:vAlign w:val="center"/>
          </w:tcPr>
          <w:p w14:paraId="62808A66" w14:textId="77777777" w:rsidR="00092AEE" w:rsidRDefault="00092AEE" w:rsidP="005C0FEE">
            <w:pPr>
              <w:jc w:val="center"/>
              <w:rPr>
                <w:b/>
              </w:rPr>
            </w:pPr>
            <w:r>
              <w:rPr>
                <w:b/>
              </w:rPr>
              <w:t>Follow up</w:t>
            </w:r>
          </w:p>
        </w:tc>
        <w:tc>
          <w:tcPr>
            <w:tcW w:w="2102" w:type="dxa"/>
          </w:tcPr>
          <w:p w14:paraId="784A5F4E" w14:textId="77777777" w:rsidR="00092AEE" w:rsidRDefault="00092AEE" w:rsidP="005C0FEE">
            <w:pPr>
              <w:jc w:val="center"/>
            </w:pPr>
            <w:r>
              <w:rPr>
                <w:b/>
              </w:rPr>
              <w:t>Change from baseline to follow-up</w:t>
            </w:r>
          </w:p>
        </w:tc>
      </w:tr>
      <w:tr w:rsidR="00092AEE" w14:paraId="785D3AA6" w14:textId="77777777" w:rsidTr="005C0FEE">
        <w:trPr>
          <w:trHeight w:val="403"/>
        </w:trPr>
        <w:tc>
          <w:tcPr>
            <w:tcW w:w="3153" w:type="dxa"/>
            <w:vMerge/>
            <w:noWrap/>
            <w:vAlign w:val="center"/>
          </w:tcPr>
          <w:p w14:paraId="54D01432" w14:textId="77777777" w:rsidR="00092AEE" w:rsidRDefault="00092AEE" w:rsidP="005C0FEE">
            <w:pPr>
              <w:spacing w:line="360" w:lineRule="auto"/>
              <w:jc w:val="left"/>
              <w:rPr>
                <w:b/>
              </w:rPr>
            </w:pPr>
          </w:p>
        </w:tc>
        <w:tc>
          <w:tcPr>
            <w:tcW w:w="1260" w:type="dxa"/>
            <w:vMerge w:val="restart"/>
          </w:tcPr>
          <w:p w14:paraId="4DA3B69A" w14:textId="77777777" w:rsidR="00092AEE" w:rsidRDefault="00092AEE" w:rsidP="005C0FEE">
            <w:pPr>
              <w:spacing w:line="360" w:lineRule="auto"/>
              <w:jc w:val="center"/>
              <w:rPr>
                <w:b/>
              </w:rPr>
            </w:pPr>
            <w:r>
              <w:rPr>
                <w:b/>
              </w:rPr>
              <w:t>n</w:t>
            </w:r>
            <w:r w:rsidRPr="007A4455">
              <w:rPr>
                <w:b/>
                <w:vertAlign w:val="superscript"/>
              </w:rPr>
              <w:t xml:space="preserve"> a</w:t>
            </w:r>
          </w:p>
        </w:tc>
        <w:tc>
          <w:tcPr>
            <w:tcW w:w="1891" w:type="dxa"/>
            <w:vMerge w:val="restart"/>
            <w:vAlign w:val="center"/>
          </w:tcPr>
          <w:p w14:paraId="1CA11620" w14:textId="77777777" w:rsidR="00092AEE" w:rsidRPr="00D63468" w:rsidRDefault="00092AEE" w:rsidP="005C0FEE">
            <w:pPr>
              <w:spacing w:line="360" w:lineRule="auto"/>
              <w:jc w:val="center"/>
              <w:rPr>
                <w:b/>
              </w:rPr>
            </w:pPr>
            <w:r>
              <w:rPr>
                <w:b/>
              </w:rPr>
              <w:t>Cronbach’s α</w:t>
            </w:r>
          </w:p>
        </w:tc>
        <w:tc>
          <w:tcPr>
            <w:tcW w:w="1786" w:type="dxa"/>
            <w:vMerge w:val="restart"/>
            <w:vAlign w:val="center"/>
          </w:tcPr>
          <w:p w14:paraId="6ADA9DD8" w14:textId="77777777" w:rsidR="00092AEE" w:rsidRPr="00D63468" w:rsidRDefault="00092AEE" w:rsidP="005C0FEE">
            <w:pPr>
              <w:spacing w:line="360" w:lineRule="auto"/>
              <w:jc w:val="center"/>
              <w:rPr>
                <w:b/>
              </w:rPr>
            </w:pPr>
            <w:r>
              <w:rPr>
                <w:b/>
              </w:rPr>
              <w:t>Mean (sd)</w:t>
            </w:r>
          </w:p>
        </w:tc>
        <w:tc>
          <w:tcPr>
            <w:tcW w:w="723" w:type="dxa"/>
            <w:vMerge w:val="restart"/>
          </w:tcPr>
          <w:p w14:paraId="5FE6479A" w14:textId="77777777" w:rsidR="00092AEE" w:rsidRDefault="00092AEE" w:rsidP="005C0FEE">
            <w:pPr>
              <w:jc w:val="center"/>
              <w:rPr>
                <w:b/>
              </w:rPr>
            </w:pPr>
            <w:r>
              <w:rPr>
                <w:b/>
              </w:rPr>
              <w:t>n</w:t>
            </w:r>
            <w:r w:rsidRPr="00261922">
              <w:rPr>
                <w:b/>
                <w:vertAlign w:val="superscript"/>
              </w:rPr>
              <w:t>b</w:t>
            </w:r>
          </w:p>
        </w:tc>
        <w:tc>
          <w:tcPr>
            <w:tcW w:w="1879" w:type="dxa"/>
            <w:vMerge w:val="restart"/>
          </w:tcPr>
          <w:p w14:paraId="2055BA96" w14:textId="77777777" w:rsidR="00092AEE" w:rsidRDefault="00092AEE" w:rsidP="005C0FEE">
            <w:pPr>
              <w:jc w:val="center"/>
              <w:rPr>
                <w:b/>
              </w:rPr>
            </w:pPr>
            <w:r>
              <w:rPr>
                <w:b/>
              </w:rPr>
              <w:t>Cronbach’s α</w:t>
            </w:r>
          </w:p>
        </w:tc>
        <w:tc>
          <w:tcPr>
            <w:tcW w:w="1692" w:type="dxa"/>
            <w:vMerge w:val="restart"/>
          </w:tcPr>
          <w:p w14:paraId="13E3C597" w14:textId="77777777" w:rsidR="00092AEE" w:rsidRDefault="00092AEE" w:rsidP="005C0FEE">
            <w:pPr>
              <w:jc w:val="center"/>
              <w:rPr>
                <w:b/>
              </w:rPr>
            </w:pPr>
            <w:r>
              <w:rPr>
                <w:b/>
              </w:rPr>
              <w:t>Mean (sd)</w:t>
            </w:r>
          </w:p>
        </w:tc>
        <w:tc>
          <w:tcPr>
            <w:tcW w:w="2102" w:type="dxa"/>
            <w:vMerge w:val="restart"/>
          </w:tcPr>
          <w:p w14:paraId="241FF511" w14:textId="77777777" w:rsidR="00092AEE" w:rsidRDefault="00092AEE" w:rsidP="005C0FEE">
            <w:pPr>
              <w:jc w:val="center"/>
            </w:pPr>
            <w:r>
              <w:t>Mean</w:t>
            </w:r>
          </w:p>
          <w:p w14:paraId="79096464" w14:textId="77777777" w:rsidR="00092AEE" w:rsidRDefault="00092AEE" w:rsidP="005C0FEE">
            <w:pPr>
              <w:jc w:val="center"/>
              <w:rPr>
                <w:b/>
              </w:rPr>
            </w:pPr>
            <w:r>
              <w:t xml:space="preserve"> (95% CI) </w:t>
            </w:r>
          </w:p>
        </w:tc>
      </w:tr>
      <w:tr w:rsidR="00092AEE" w14:paraId="7092ED3B" w14:textId="77777777" w:rsidTr="005C0FEE">
        <w:trPr>
          <w:trHeight w:val="403"/>
        </w:trPr>
        <w:tc>
          <w:tcPr>
            <w:tcW w:w="3153" w:type="dxa"/>
            <w:vMerge/>
            <w:noWrap/>
          </w:tcPr>
          <w:p w14:paraId="2B9FE8EB" w14:textId="77777777" w:rsidR="00092AEE" w:rsidRPr="00210D53" w:rsidRDefault="00092AEE" w:rsidP="005C0FEE">
            <w:pPr>
              <w:spacing w:line="360" w:lineRule="auto"/>
              <w:jc w:val="left"/>
              <w:rPr>
                <w:b/>
              </w:rPr>
            </w:pPr>
          </w:p>
        </w:tc>
        <w:tc>
          <w:tcPr>
            <w:tcW w:w="1260" w:type="dxa"/>
            <w:vMerge/>
          </w:tcPr>
          <w:p w14:paraId="30B74787" w14:textId="77777777" w:rsidR="00092AEE" w:rsidRDefault="00092AEE" w:rsidP="005C0FEE">
            <w:pPr>
              <w:jc w:val="center"/>
            </w:pPr>
          </w:p>
        </w:tc>
        <w:tc>
          <w:tcPr>
            <w:tcW w:w="1891" w:type="dxa"/>
            <w:vMerge/>
            <w:vAlign w:val="center"/>
          </w:tcPr>
          <w:p w14:paraId="023FDCD0" w14:textId="77777777" w:rsidR="00092AEE" w:rsidRDefault="00092AEE" w:rsidP="005C0FEE">
            <w:pPr>
              <w:jc w:val="center"/>
            </w:pPr>
          </w:p>
        </w:tc>
        <w:tc>
          <w:tcPr>
            <w:tcW w:w="1786" w:type="dxa"/>
            <w:vMerge/>
            <w:vAlign w:val="center"/>
          </w:tcPr>
          <w:p w14:paraId="6706D813" w14:textId="77777777" w:rsidR="00092AEE" w:rsidRDefault="00092AEE" w:rsidP="005C0FEE">
            <w:pPr>
              <w:jc w:val="center"/>
            </w:pPr>
          </w:p>
        </w:tc>
        <w:tc>
          <w:tcPr>
            <w:tcW w:w="723" w:type="dxa"/>
            <w:vMerge/>
          </w:tcPr>
          <w:p w14:paraId="0C9C39CF" w14:textId="77777777" w:rsidR="00092AEE" w:rsidRDefault="00092AEE" w:rsidP="005C0FEE">
            <w:pPr>
              <w:jc w:val="center"/>
              <w:rPr>
                <w:b/>
              </w:rPr>
            </w:pPr>
          </w:p>
        </w:tc>
        <w:tc>
          <w:tcPr>
            <w:tcW w:w="1879" w:type="dxa"/>
            <w:vMerge/>
            <w:vAlign w:val="center"/>
          </w:tcPr>
          <w:p w14:paraId="606269B4" w14:textId="77777777" w:rsidR="00092AEE" w:rsidRDefault="00092AEE" w:rsidP="005C0FEE">
            <w:pPr>
              <w:jc w:val="center"/>
              <w:rPr>
                <w:b/>
              </w:rPr>
            </w:pPr>
          </w:p>
        </w:tc>
        <w:tc>
          <w:tcPr>
            <w:tcW w:w="1692" w:type="dxa"/>
            <w:vMerge/>
            <w:vAlign w:val="center"/>
          </w:tcPr>
          <w:p w14:paraId="3A7DFE60" w14:textId="77777777" w:rsidR="00092AEE" w:rsidRDefault="00092AEE" w:rsidP="005C0FEE">
            <w:pPr>
              <w:jc w:val="center"/>
              <w:rPr>
                <w:b/>
              </w:rPr>
            </w:pPr>
          </w:p>
        </w:tc>
        <w:tc>
          <w:tcPr>
            <w:tcW w:w="2102" w:type="dxa"/>
            <w:vMerge/>
            <w:vAlign w:val="center"/>
          </w:tcPr>
          <w:p w14:paraId="0E947681" w14:textId="77777777" w:rsidR="00092AEE" w:rsidRDefault="00092AEE" w:rsidP="005C0FEE">
            <w:pPr>
              <w:jc w:val="center"/>
              <w:rPr>
                <w:b/>
              </w:rPr>
            </w:pPr>
          </w:p>
        </w:tc>
      </w:tr>
      <w:tr w:rsidR="00092AEE" w14:paraId="47041F99" w14:textId="77777777" w:rsidTr="005C0FEE">
        <w:trPr>
          <w:trHeight w:val="353"/>
        </w:trPr>
        <w:tc>
          <w:tcPr>
            <w:tcW w:w="3153" w:type="dxa"/>
            <w:noWrap/>
            <w:hideMark/>
          </w:tcPr>
          <w:p w14:paraId="4FA3DD61" w14:textId="77777777" w:rsidR="00092AEE" w:rsidRPr="00210D53" w:rsidRDefault="00092AEE" w:rsidP="005C0FEE">
            <w:pPr>
              <w:jc w:val="left"/>
              <w:rPr>
                <w:b/>
              </w:rPr>
            </w:pPr>
            <w:r w:rsidRPr="00210D53">
              <w:rPr>
                <w:b/>
              </w:rPr>
              <w:t>Workplace demands</w:t>
            </w:r>
            <w:r>
              <w:rPr>
                <w:b/>
              </w:rPr>
              <w:t xml:space="preserve"> </w:t>
            </w:r>
          </w:p>
        </w:tc>
        <w:tc>
          <w:tcPr>
            <w:tcW w:w="1260" w:type="dxa"/>
          </w:tcPr>
          <w:p w14:paraId="5C70B046" w14:textId="77777777" w:rsidR="00092AEE" w:rsidRPr="00091F87" w:rsidRDefault="00092AEE" w:rsidP="005C0FEE">
            <w:pPr>
              <w:jc w:val="center"/>
            </w:pPr>
            <w:r>
              <w:t>213/ 220</w:t>
            </w:r>
          </w:p>
        </w:tc>
        <w:tc>
          <w:tcPr>
            <w:tcW w:w="1891" w:type="dxa"/>
            <w:vAlign w:val="center"/>
          </w:tcPr>
          <w:p w14:paraId="6A2745B1" w14:textId="77777777" w:rsidR="00092AEE" w:rsidRPr="00091F87" w:rsidRDefault="00092AEE" w:rsidP="005C0FEE">
            <w:pPr>
              <w:jc w:val="center"/>
            </w:pPr>
            <w:r w:rsidRPr="00091F87">
              <w:t>0.55</w:t>
            </w:r>
          </w:p>
        </w:tc>
        <w:tc>
          <w:tcPr>
            <w:tcW w:w="1786" w:type="dxa"/>
            <w:vAlign w:val="center"/>
          </w:tcPr>
          <w:p w14:paraId="7FA99673" w14:textId="77777777" w:rsidR="00092AEE" w:rsidRPr="00891F2D" w:rsidRDefault="00092AEE" w:rsidP="005C0FEE">
            <w:pPr>
              <w:jc w:val="center"/>
            </w:pPr>
            <w:r>
              <w:t>2.98</w:t>
            </w:r>
            <w:r w:rsidRPr="00891F2D">
              <w:t xml:space="preserve"> </w:t>
            </w:r>
          </w:p>
          <w:p w14:paraId="27FDC359" w14:textId="77777777" w:rsidR="00092AEE" w:rsidRPr="0085018C" w:rsidRDefault="00092AEE" w:rsidP="005C0FEE">
            <w:pPr>
              <w:jc w:val="center"/>
            </w:pPr>
            <w:r w:rsidRPr="00891F2D">
              <w:t>(</w:t>
            </w:r>
            <w:r>
              <w:t>0.56</w:t>
            </w:r>
            <w:r w:rsidRPr="0085018C">
              <w:t>)</w:t>
            </w:r>
          </w:p>
        </w:tc>
        <w:tc>
          <w:tcPr>
            <w:tcW w:w="723" w:type="dxa"/>
          </w:tcPr>
          <w:p w14:paraId="4D3BF3B0" w14:textId="77777777" w:rsidR="00092AEE" w:rsidRDefault="00092AEE" w:rsidP="005C0FEE">
            <w:pPr>
              <w:jc w:val="center"/>
            </w:pPr>
            <w:r>
              <w:t>139</w:t>
            </w:r>
          </w:p>
        </w:tc>
        <w:tc>
          <w:tcPr>
            <w:tcW w:w="1879" w:type="dxa"/>
            <w:vAlign w:val="center"/>
          </w:tcPr>
          <w:p w14:paraId="10009649" w14:textId="77777777" w:rsidR="00092AEE" w:rsidRDefault="00092AEE" w:rsidP="005C0FEE">
            <w:pPr>
              <w:jc w:val="center"/>
            </w:pPr>
            <w:r>
              <w:t>0.64</w:t>
            </w:r>
          </w:p>
        </w:tc>
        <w:tc>
          <w:tcPr>
            <w:tcW w:w="1692" w:type="dxa"/>
            <w:vAlign w:val="center"/>
          </w:tcPr>
          <w:p w14:paraId="01921EDA" w14:textId="77777777" w:rsidR="00092AEE" w:rsidRDefault="00092AEE" w:rsidP="005C0FEE">
            <w:pPr>
              <w:jc w:val="center"/>
            </w:pPr>
            <w:r>
              <w:t xml:space="preserve">2.98 </w:t>
            </w:r>
          </w:p>
          <w:p w14:paraId="5DB64ABD" w14:textId="77777777" w:rsidR="00092AEE" w:rsidRDefault="00092AEE" w:rsidP="005C0FEE">
            <w:pPr>
              <w:jc w:val="center"/>
            </w:pPr>
            <w:r>
              <w:t>(0.59)</w:t>
            </w:r>
          </w:p>
        </w:tc>
        <w:tc>
          <w:tcPr>
            <w:tcW w:w="2102" w:type="dxa"/>
          </w:tcPr>
          <w:p w14:paraId="355E21AF" w14:textId="77777777" w:rsidR="00092AEE" w:rsidRDefault="00092AEE" w:rsidP="005C0FEE">
            <w:pPr>
              <w:jc w:val="center"/>
            </w:pPr>
            <w:r>
              <w:t>0.02</w:t>
            </w:r>
          </w:p>
          <w:p w14:paraId="773F0087" w14:textId="77777777" w:rsidR="00092AEE" w:rsidRDefault="00092AEE" w:rsidP="005C0FEE">
            <w:pPr>
              <w:jc w:val="center"/>
            </w:pPr>
            <w:r>
              <w:t>(-0.09,0.13)</w:t>
            </w:r>
          </w:p>
        </w:tc>
      </w:tr>
      <w:tr w:rsidR="00092AEE" w:rsidRPr="005367E7" w14:paraId="12A87AF7" w14:textId="77777777" w:rsidTr="005C0FEE">
        <w:trPr>
          <w:trHeight w:val="303"/>
        </w:trPr>
        <w:tc>
          <w:tcPr>
            <w:tcW w:w="3153" w:type="dxa"/>
            <w:noWrap/>
            <w:vAlign w:val="bottom"/>
            <w:hideMark/>
          </w:tcPr>
          <w:p w14:paraId="043D016F" w14:textId="77777777" w:rsidR="00092AEE" w:rsidRPr="00210D53" w:rsidRDefault="00092AEE" w:rsidP="005C0FEE">
            <w:pPr>
              <w:jc w:val="left"/>
              <w:rPr>
                <w:b/>
              </w:rPr>
            </w:pPr>
            <w:r w:rsidRPr="00541ABC">
              <w:rPr>
                <w:b/>
              </w:rPr>
              <w:t>Control over work environment</w:t>
            </w:r>
            <w:r>
              <w:rPr>
                <w:b/>
              </w:rPr>
              <w:t xml:space="preserve"> </w:t>
            </w:r>
          </w:p>
        </w:tc>
        <w:tc>
          <w:tcPr>
            <w:tcW w:w="1260" w:type="dxa"/>
          </w:tcPr>
          <w:p w14:paraId="336CB26D" w14:textId="77777777" w:rsidR="00092AEE" w:rsidRPr="005367E7" w:rsidRDefault="00092AEE" w:rsidP="005C0FEE">
            <w:pPr>
              <w:jc w:val="center"/>
              <w:rPr>
                <w:color w:val="000000" w:themeColor="text1"/>
              </w:rPr>
            </w:pPr>
            <w:r>
              <w:t>213/ 220</w:t>
            </w:r>
          </w:p>
        </w:tc>
        <w:tc>
          <w:tcPr>
            <w:tcW w:w="1891" w:type="dxa"/>
            <w:vAlign w:val="center"/>
          </w:tcPr>
          <w:p w14:paraId="6C05D4CA" w14:textId="77777777" w:rsidR="00092AEE" w:rsidRPr="005367E7" w:rsidRDefault="00092AEE" w:rsidP="005C0FEE">
            <w:pPr>
              <w:jc w:val="center"/>
              <w:rPr>
                <w:color w:val="000000" w:themeColor="text1"/>
              </w:rPr>
            </w:pPr>
            <w:r w:rsidRPr="005367E7">
              <w:rPr>
                <w:color w:val="000000" w:themeColor="text1"/>
              </w:rPr>
              <w:t>0.64</w:t>
            </w:r>
          </w:p>
        </w:tc>
        <w:tc>
          <w:tcPr>
            <w:tcW w:w="1786" w:type="dxa"/>
            <w:vAlign w:val="center"/>
          </w:tcPr>
          <w:p w14:paraId="36C13761" w14:textId="77777777" w:rsidR="00092AEE" w:rsidRPr="005367E7" w:rsidRDefault="00092AEE" w:rsidP="005C0FEE">
            <w:pPr>
              <w:jc w:val="center"/>
              <w:rPr>
                <w:color w:val="000000" w:themeColor="text1"/>
              </w:rPr>
            </w:pPr>
            <w:r w:rsidRPr="005367E7">
              <w:rPr>
                <w:color w:val="000000" w:themeColor="text1"/>
              </w:rPr>
              <w:t>3.</w:t>
            </w:r>
            <w:r>
              <w:rPr>
                <w:color w:val="000000" w:themeColor="text1"/>
              </w:rPr>
              <w:t>22</w:t>
            </w:r>
          </w:p>
          <w:p w14:paraId="2D765097" w14:textId="77777777" w:rsidR="00092AEE" w:rsidRPr="005367E7" w:rsidRDefault="00092AEE" w:rsidP="005C0FEE">
            <w:pPr>
              <w:jc w:val="center"/>
              <w:rPr>
                <w:color w:val="000000" w:themeColor="text1"/>
              </w:rPr>
            </w:pPr>
            <w:r w:rsidRPr="005367E7">
              <w:rPr>
                <w:color w:val="000000" w:themeColor="text1"/>
              </w:rPr>
              <w:t>(</w:t>
            </w:r>
            <w:r>
              <w:rPr>
                <w:color w:val="000000" w:themeColor="text1"/>
              </w:rPr>
              <w:t>0.70</w:t>
            </w:r>
            <w:r w:rsidRPr="005367E7">
              <w:rPr>
                <w:color w:val="000000" w:themeColor="text1"/>
              </w:rPr>
              <w:t>)</w:t>
            </w:r>
          </w:p>
        </w:tc>
        <w:tc>
          <w:tcPr>
            <w:tcW w:w="723" w:type="dxa"/>
          </w:tcPr>
          <w:p w14:paraId="2EFE8E38" w14:textId="77777777" w:rsidR="00092AEE" w:rsidRPr="005367E7" w:rsidRDefault="00092AEE" w:rsidP="005C0FEE">
            <w:pPr>
              <w:jc w:val="center"/>
              <w:rPr>
                <w:color w:val="000000" w:themeColor="text1"/>
              </w:rPr>
            </w:pPr>
            <w:r>
              <w:t>145</w:t>
            </w:r>
          </w:p>
        </w:tc>
        <w:tc>
          <w:tcPr>
            <w:tcW w:w="1879" w:type="dxa"/>
            <w:vAlign w:val="center"/>
          </w:tcPr>
          <w:p w14:paraId="76A2BA41" w14:textId="77777777" w:rsidR="00092AEE" w:rsidRPr="005367E7" w:rsidRDefault="00092AEE" w:rsidP="005C0FEE">
            <w:pPr>
              <w:jc w:val="center"/>
              <w:rPr>
                <w:b/>
                <w:color w:val="000000" w:themeColor="text1"/>
              </w:rPr>
            </w:pPr>
            <w:r w:rsidRPr="005367E7">
              <w:rPr>
                <w:color w:val="000000" w:themeColor="text1"/>
              </w:rPr>
              <w:t>0.69</w:t>
            </w:r>
          </w:p>
        </w:tc>
        <w:tc>
          <w:tcPr>
            <w:tcW w:w="1692" w:type="dxa"/>
            <w:vAlign w:val="center"/>
          </w:tcPr>
          <w:p w14:paraId="5BD04D7E" w14:textId="77777777" w:rsidR="00092AEE" w:rsidRDefault="00092AEE" w:rsidP="005C0FEE">
            <w:pPr>
              <w:jc w:val="center"/>
            </w:pPr>
            <w:r>
              <w:t>3.19</w:t>
            </w:r>
          </w:p>
          <w:p w14:paraId="6139BA9B" w14:textId="77777777" w:rsidR="00092AEE" w:rsidRPr="005367E7" w:rsidRDefault="00092AEE" w:rsidP="005C0FEE">
            <w:pPr>
              <w:jc w:val="center"/>
              <w:rPr>
                <w:b/>
                <w:color w:val="000000" w:themeColor="text1"/>
              </w:rPr>
            </w:pPr>
            <w:r>
              <w:t>(0.71)</w:t>
            </w:r>
          </w:p>
        </w:tc>
        <w:tc>
          <w:tcPr>
            <w:tcW w:w="2102" w:type="dxa"/>
            <w:vAlign w:val="center"/>
          </w:tcPr>
          <w:p w14:paraId="7EB8B25C" w14:textId="77777777" w:rsidR="00092AEE" w:rsidRDefault="00092AEE" w:rsidP="005C0FEE">
            <w:pPr>
              <w:jc w:val="center"/>
            </w:pPr>
            <w:r>
              <w:t>-0.08</w:t>
            </w:r>
          </w:p>
          <w:p w14:paraId="0E9F5C66" w14:textId="77777777" w:rsidR="00092AEE" w:rsidRPr="005367E7" w:rsidRDefault="00092AEE" w:rsidP="005C0FEE">
            <w:pPr>
              <w:jc w:val="center"/>
              <w:rPr>
                <w:b/>
                <w:color w:val="000000" w:themeColor="text1"/>
              </w:rPr>
            </w:pPr>
            <w:r>
              <w:t>(-0.19,0.04)</w:t>
            </w:r>
          </w:p>
        </w:tc>
      </w:tr>
      <w:tr w:rsidR="00092AEE" w:rsidRPr="005367E7" w14:paraId="11003336" w14:textId="77777777" w:rsidTr="005C0FEE">
        <w:trPr>
          <w:trHeight w:val="217"/>
        </w:trPr>
        <w:tc>
          <w:tcPr>
            <w:tcW w:w="3153" w:type="dxa"/>
            <w:noWrap/>
            <w:hideMark/>
          </w:tcPr>
          <w:p w14:paraId="64821B43" w14:textId="77777777" w:rsidR="00092AEE" w:rsidRPr="00210D53" w:rsidRDefault="00092AEE" w:rsidP="005C0FEE">
            <w:pPr>
              <w:jc w:val="left"/>
              <w:rPr>
                <w:b/>
              </w:rPr>
            </w:pPr>
            <w:r w:rsidRPr="00541ABC">
              <w:rPr>
                <w:b/>
              </w:rPr>
              <w:t>Managers' support</w:t>
            </w:r>
            <w:r>
              <w:rPr>
                <w:b/>
              </w:rPr>
              <w:t xml:space="preserve"> </w:t>
            </w:r>
          </w:p>
        </w:tc>
        <w:tc>
          <w:tcPr>
            <w:tcW w:w="1260" w:type="dxa"/>
          </w:tcPr>
          <w:p w14:paraId="6E5CC8C1" w14:textId="77777777" w:rsidR="00092AEE" w:rsidRPr="00091F87" w:rsidRDefault="00092AEE" w:rsidP="005C0FEE">
            <w:pPr>
              <w:jc w:val="center"/>
            </w:pPr>
            <w:r>
              <w:t>213/ 220</w:t>
            </w:r>
          </w:p>
        </w:tc>
        <w:tc>
          <w:tcPr>
            <w:tcW w:w="1891" w:type="dxa"/>
            <w:vAlign w:val="center"/>
          </w:tcPr>
          <w:p w14:paraId="788E9822" w14:textId="77777777" w:rsidR="00092AEE" w:rsidRPr="00091F87" w:rsidRDefault="00092AEE" w:rsidP="005C0FEE">
            <w:pPr>
              <w:jc w:val="center"/>
            </w:pPr>
            <w:r w:rsidRPr="00091F87">
              <w:t>0.56</w:t>
            </w:r>
          </w:p>
        </w:tc>
        <w:tc>
          <w:tcPr>
            <w:tcW w:w="1786" w:type="dxa"/>
            <w:vAlign w:val="center"/>
          </w:tcPr>
          <w:p w14:paraId="116F52A8" w14:textId="77777777" w:rsidR="00092AEE" w:rsidRPr="00891F2D" w:rsidRDefault="00092AEE" w:rsidP="005C0FEE">
            <w:pPr>
              <w:jc w:val="center"/>
            </w:pPr>
            <w:r>
              <w:t>3.80</w:t>
            </w:r>
          </w:p>
          <w:p w14:paraId="76C2A5B5" w14:textId="77777777" w:rsidR="00092AEE" w:rsidRPr="00BB3766" w:rsidRDefault="00092AEE" w:rsidP="005C0FEE">
            <w:pPr>
              <w:jc w:val="center"/>
            </w:pPr>
            <w:r w:rsidRPr="00891F2D">
              <w:t>(</w:t>
            </w:r>
            <w:r>
              <w:t>0.66</w:t>
            </w:r>
            <w:r w:rsidRPr="00BB3766">
              <w:t>)</w:t>
            </w:r>
          </w:p>
        </w:tc>
        <w:tc>
          <w:tcPr>
            <w:tcW w:w="723" w:type="dxa"/>
          </w:tcPr>
          <w:p w14:paraId="245C172D" w14:textId="77777777" w:rsidR="00092AEE" w:rsidRDefault="00092AEE" w:rsidP="005C0FEE">
            <w:pPr>
              <w:jc w:val="center"/>
            </w:pPr>
            <w:r>
              <w:t>150</w:t>
            </w:r>
          </w:p>
        </w:tc>
        <w:tc>
          <w:tcPr>
            <w:tcW w:w="1879" w:type="dxa"/>
            <w:vAlign w:val="center"/>
          </w:tcPr>
          <w:p w14:paraId="7BF1EE17" w14:textId="77777777" w:rsidR="00092AEE" w:rsidRPr="005367E7" w:rsidRDefault="00092AEE" w:rsidP="005C0FEE">
            <w:pPr>
              <w:jc w:val="center"/>
              <w:rPr>
                <w:b/>
                <w:color w:val="000000" w:themeColor="text1"/>
              </w:rPr>
            </w:pPr>
            <w:r>
              <w:t>0.50</w:t>
            </w:r>
          </w:p>
        </w:tc>
        <w:tc>
          <w:tcPr>
            <w:tcW w:w="1692" w:type="dxa"/>
            <w:vAlign w:val="center"/>
          </w:tcPr>
          <w:p w14:paraId="0B47D2E8" w14:textId="77777777" w:rsidR="00092AEE" w:rsidRDefault="00092AEE" w:rsidP="005C0FEE">
            <w:pPr>
              <w:jc w:val="center"/>
            </w:pPr>
            <w:r>
              <w:t>3.77</w:t>
            </w:r>
          </w:p>
          <w:p w14:paraId="5D72CD25" w14:textId="77777777" w:rsidR="00092AEE" w:rsidRPr="005367E7" w:rsidRDefault="00092AEE" w:rsidP="005C0FEE">
            <w:pPr>
              <w:jc w:val="center"/>
              <w:rPr>
                <w:b/>
                <w:color w:val="000000" w:themeColor="text1"/>
              </w:rPr>
            </w:pPr>
            <w:r>
              <w:t>(0.59)</w:t>
            </w:r>
          </w:p>
        </w:tc>
        <w:tc>
          <w:tcPr>
            <w:tcW w:w="2102" w:type="dxa"/>
            <w:vAlign w:val="center"/>
          </w:tcPr>
          <w:p w14:paraId="1834ED7E" w14:textId="77777777" w:rsidR="00092AEE" w:rsidRDefault="00092AEE" w:rsidP="005C0FEE">
            <w:pPr>
              <w:jc w:val="center"/>
            </w:pPr>
            <w:r>
              <w:t>-0.08</w:t>
            </w:r>
          </w:p>
          <w:p w14:paraId="4187C793" w14:textId="77777777" w:rsidR="00092AEE" w:rsidRPr="005367E7" w:rsidRDefault="00092AEE" w:rsidP="005C0FEE">
            <w:pPr>
              <w:jc w:val="center"/>
              <w:rPr>
                <w:b/>
                <w:color w:val="000000" w:themeColor="text1"/>
              </w:rPr>
            </w:pPr>
            <w:r>
              <w:t>(-0.20,0.04)</w:t>
            </w:r>
          </w:p>
        </w:tc>
      </w:tr>
      <w:tr w:rsidR="00092AEE" w14:paraId="0E305A64" w14:textId="77777777" w:rsidTr="005C0FEE">
        <w:trPr>
          <w:trHeight w:val="334"/>
        </w:trPr>
        <w:tc>
          <w:tcPr>
            <w:tcW w:w="3153" w:type="dxa"/>
            <w:noWrap/>
            <w:hideMark/>
          </w:tcPr>
          <w:p w14:paraId="4FB96C2B" w14:textId="77777777" w:rsidR="00092AEE" w:rsidRPr="00210D53" w:rsidRDefault="00092AEE" w:rsidP="005C0FEE">
            <w:pPr>
              <w:jc w:val="left"/>
              <w:rPr>
                <w:b/>
              </w:rPr>
            </w:pPr>
            <w:r w:rsidRPr="00541ABC">
              <w:rPr>
                <w:b/>
              </w:rPr>
              <w:t>Peer support</w:t>
            </w:r>
            <w:r>
              <w:rPr>
                <w:b/>
              </w:rPr>
              <w:t xml:space="preserve"> </w:t>
            </w:r>
          </w:p>
        </w:tc>
        <w:tc>
          <w:tcPr>
            <w:tcW w:w="1260" w:type="dxa"/>
          </w:tcPr>
          <w:p w14:paraId="17778763" w14:textId="77777777" w:rsidR="00092AEE" w:rsidRPr="00091F87" w:rsidRDefault="00092AEE" w:rsidP="005C0FEE">
            <w:pPr>
              <w:jc w:val="center"/>
            </w:pPr>
            <w:r>
              <w:t>213/ 220</w:t>
            </w:r>
          </w:p>
        </w:tc>
        <w:tc>
          <w:tcPr>
            <w:tcW w:w="1891" w:type="dxa"/>
            <w:vAlign w:val="center"/>
          </w:tcPr>
          <w:p w14:paraId="5F91ABAB" w14:textId="77777777" w:rsidR="00092AEE" w:rsidRPr="00091F87" w:rsidRDefault="00092AEE" w:rsidP="005C0FEE">
            <w:pPr>
              <w:jc w:val="center"/>
            </w:pPr>
            <w:r w:rsidRPr="00091F87">
              <w:t>0.51</w:t>
            </w:r>
          </w:p>
        </w:tc>
        <w:tc>
          <w:tcPr>
            <w:tcW w:w="1786" w:type="dxa"/>
            <w:vAlign w:val="center"/>
          </w:tcPr>
          <w:p w14:paraId="72739CA1" w14:textId="77777777" w:rsidR="00092AEE" w:rsidRPr="00891F2D" w:rsidRDefault="00092AEE" w:rsidP="005C0FEE">
            <w:pPr>
              <w:jc w:val="center"/>
            </w:pPr>
            <w:r w:rsidRPr="00891F2D">
              <w:t>4.0</w:t>
            </w:r>
            <w:r>
              <w:t>8</w:t>
            </w:r>
          </w:p>
          <w:p w14:paraId="584CC0B3" w14:textId="77777777" w:rsidR="00092AEE" w:rsidRPr="00BB3766" w:rsidRDefault="00092AEE" w:rsidP="005C0FEE">
            <w:pPr>
              <w:jc w:val="center"/>
            </w:pPr>
            <w:r w:rsidRPr="00891F2D">
              <w:t>(</w:t>
            </w:r>
            <w:r>
              <w:t>0.56</w:t>
            </w:r>
            <w:r w:rsidRPr="00BB3766">
              <w:t>)</w:t>
            </w:r>
          </w:p>
        </w:tc>
        <w:tc>
          <w:tcPr>
            <w:tcW w:w="723" w:type="dxa"/>
          </w:tcPr>
          <w:p w14:paraId="138988BE" w14:textId="77777777" w:rsidR="00092AEE" w:rsidRDefault="00092AEE" w:rsidP="005C0FEE">
            <w:pPr>
              <w:jc w:val="center"/>
            </w:pPr>
            <w:r>
              <w:t>150</w:t>
            </w:r>
          </w:p>
        </w:tc>
        <w:tc>
          <w:tcPr>
            <w:tcW w:w="1879" w:type="dxa"/>
            <w:vAlign w:val="center"/>
          </w:tcPr>
          <w:p w14:paraId="1E4FA237" w14:textId="77777777" w:rsidR="00092AEE" w:rsidRDefault="00092AEE" w:rsidP="005C0FEE">
            <w:pPr>
              <w:jc w:val="center"/>
            </w:pPr>
            <w:r>
              <w:t>0.58</w:t>
            </w:r>
          </w:p>
        </w:tc>
        <w:tc>
          <w:tcPr>
            <w:tcW w:w="1692" w:type="dxa"/>
            <w:vAlign w:val="center"/>
          </w:tcPr>
          <w:p w14:paraId="700ECC81" w14:textId="77777777" w:rsidR="00092AEE" w:rsidRDefault="00092AEE" w:rsidP="005C0FEE">
            <w:pPr>
              <w:jc w:val="center"/>
            </w:pPr>
            <w:r>
              <w:t>4.05</w:t>
            </w:r>
          </w:p>
          <w:p w14:paraId="02C8575F" w14:textId="77777777" w:rsidR="00092AEE" w:rsidRDefault="00092AEE" w:rsidP="005C0FEE">
            <w:pPr>
              <w:jc w:val="center"/>
            </w:pPr>
            <w:r>
              <w:t>(0.58)</w:t>
            </w:r>
          </w:p>
        </w:tc>
        <w:tc>
          <w:tcPr>
            <w:tcW w:w="2102" w:type="dxa"/>
            <w:vAlign w:val="center"/>
          </w:tcPr>
          <w:p w14:paraId="5ACC7735" w14:textId="77777777" w:rsidR="00092AEE" w:rsidRDefault="00092AEE" w:rsidP="005C0FEE">
            <w:pPr>
              <w:jc w:val="center"/>
            </w:pPr>
            <w:r>
              <w:t>-0.09</w:t>
            </w:r>
          </w:p>
          <w:p w14:paraId="7105FFB9" w14:textId="77777777" w:rsidR="00092AEE" w:rsidRDefault="00092AEE" w:rsidP="005C0FEE">
            <w:pPr>
              <w:jc w:val="center"/>
            </w:pPr>
            <w:r>
              <w:t>(-0.19,0.00)</w:t>
            </w:r>
          </w:p>
        </w:tc>
      </w:tr>
      <w:tr w:rsidR="00092AEE" w:rsidRPr="000A7082" w14:paraId="512253EE" w14:textId="77777777" w:rsidTr="005C0FEE">
        <w:trPr>
          <w:trHeight w:val="341"/>
        </w:trPr>
        <w:tc>
          <w:tcPr>
            <w:tcW w:w="3153" w:type="dxa"/>
            <w:noWrap/>
            <w:hideMark/>
          </w:tcPr>
          <w:p w14:paraId="70085D4E" w14:textId="77777777" w:rsidR="00092AEE" w:rsidRPr="00210D53" w:rsidRDefault="00092AEE" w:rsidP="005C0FEE">
            <w:pPr>
              <w:jc w:val="left"/>
              <w:rPr>
                <w:b/>
              </w:rPr>
            </w:pPr>
            <w:r w:rsidRPr="00541ABC">
              <w:rPr>
                <w:b/>
              </w:rPr>
              <w:t>Relationships</w:t>
            </w:r>
            <w:r>
              <w:rPr>
                <w:b/>
              </w:rPr>
              <w:t xml:space="preserve"> </w:t>
            </w:r>
          </w:p>
        </w:tc>
        <w:tc>
          <w:tcPr>
            <w:tcW w:w="1260" w:type="dxa"/>
          </w:tcPr>
          <w:p w14:paraId="0BF07545" w14:textId="77777777" w:rsidR="00092AEE" w:rsidRPr="00091F87" w:rsidRDefault="00092AEE" w:rsidP="005C0FEE">
            <w:pPr>
              <w:jc w:val="center"/>
            </w:pPr>
            <w:r>
              <w:t>213/ 220</w:t>
            </w:r>
          </w:p>
        </w:tc>
        <w:tc>
          <w:tcPr>
            <w:tcW w:w="1891" w:type="dxa"/>
            <w:vAlign w:val="center"/>
          </w:tcPr>
          <w:p w14:paraId="22CF9C54" w14:textId="77777777" w:rsidR="00092AEE" w:rsidRPr="00091F87" w:rsidRDefault="00092AEE" w:rsidP="005C0FEE">
            <w:pPr>
              <w:jc w:val="center"/>
            </w:pPr>
            <w:r w:rsidRPr="00091F87">
              <w:t>0.54</w:t>
            </w:r>
          </w:p>
        </w:tc>
        <w:tc>
          <w:tcPr>
            <w:tcW w:w="1786" w:type="dxa"/>
            <w:vAlign w:val="center"/>
          </w:tcPr>
          <w:p w14:paraId="11AD0834" w14:textId="77777777" w:rsidR="00092AEE" w:rsidRPr="00891F2D" w:rsidRDefault="00092AEE" w:rsidP="005C0FEE">
            <w:pPr>
              <w:jc w:val="center"/>
            </w:pPr>
            <w:r w:rsidRPr="00891F2D">
              <w:t>3.</w:t>
            </w:r>
            <w:r>
              <w:t>67</w:t>
            </w:r>
          </w:p>
          <w:p w14:paraId="36206385" w14:textId="77777777" w:rsidR="00092AEE" w:rsidRPr="00BB3766" w:rsidRDefault="00092AEE" w:rsidP="005C0FEE">
            <w:pPr>
              <w:jc w:val="center"/>
            </w:pPr>
            <w:r w:rsidRPr="00891F2D">
              <w:t>(</w:t>
            </w:r>
            <w:r>
              <w:t>0.74</w:t>
            </w:r>
            <w:r w:rsidRPr="00BB3766">
              <w:t>)</w:t>
            </w:r>
          </w:p>
        </w:tc>
        <w:tc>
          <w:tcPr>
            <w:tcW w:w="723" w:type="dxa"/>
          </w:tcPr>
          <w:p w14:paraId="1396BABD" w14:textId="77777777" w:rsidR="00092AEE" w:rsidRDefault="00092AEE" w:rsidP="005C0FEE">
            <w:pPr>
              <w:jc w:val="center"/>
            </w:pPr>
            <w:r>
              <w:t>147</w:t>
            </w:r>
          </w:p>
        </w:tc>
        <w:tc>
          <w:tcPr>
            <w:tcW w:w="1879" w:type="dxa"/>
            <w:vAlign w:val="center"/>
          </w:tcPr>
          <w:p w14:paraId="18869AD6" w14:textId="77777777" w:rsidR="00092AEE" w:rsidRDefault="00092AEE" w:rsidP="005C0FEE">
            <w:pPr>
              <w:jc w:val="center"/>
            </w:pPr>
            <w:r>
              <w:t>0.69</w:t>
            </w:r>
          </w:p>
        </w:tc>
        <w:tc>
          <w:tcPr>
            <w:tcW w:w="1692" w:type="dxa"/>
            <w:vAlign w:val="center"/>
          </w:tcPr>
          <w:p w14:paraId="7EEEC3BA" w14:textId="77777777" w:rsidR="00092AEE" w:rsidRDefault="00092AEE" w:rsidP="005C0FEE">
            <w:pPr>
              <w:jc w:val="center"/>
            </w:pPr>
            <w:r>
              <w:t>3.55</w:t>
            </w:r>
          </w:p>
          <w:p w14:paraId="28D7BB6B" w14:textId="77777777" w:rsidR="00092AEE" w:rsidRDefault="00092AEE" w:rsidP="005C0FEE">
            <w:pPr>
              <w:jc w:val="center"/>
            </w:pPr>
            <w:r>
              <w:t>(0.85)</w:t>
            </w:r>
          </w:p>
        </w:tc>
        <w:tc>
          <w:tcPr>
            <w:tcW w:w="2102" w:type="dxa"/>
            <w:vAlign w:val="center"/>
          </w:tcPr>
          <w:p w14:paraId="773DD3A8" w14:textId="77777777" w:rsidR="00092AEE" w:rsidRPr="000A7082" w:rsidRDefault="00092AEE" w:rsidP="005C0FEE">
            <w:pPr>
              <w:jc w:val="center"/>
              <w:rPr>
                <w:b/>
              </w:rPr>
            </w:pPr>
            <w:r w:rsidRPr="000A7082">
              <w:rPr>
                <w:b/>
              </w:rPr>
              <w:t>-0.16</w:t>
            </w:r>
          </w:p>
          <w:p w14:paraId="19EDC16E" w14:textId="77777777" w:rsidR="00092AEE" w:rsidRPr="000A7082" w:rsidRDefault="00092AEE" w:rsidP="005C0FEE">
            <w:pPr>
              <w:jc w:val="center"/>
              <w:rPr>
                <w:b/>
              </w:rPr>
            </w:pPr>
            <w:r w:rsidRPr="000A7082">
              <w:rPr>
                <w:b/>
              </w:rPr>
              <w:t>(-0.31,-0.01)</w:t>
            </w:r>
          </w:p>
        </w:tc>
      </w:tr>
      <w:tr w:rsidR="00092AEE" w:rsidRPr="005367E7" w14:paraId="61E1D2C2" w14:textId="77777777" w:rsidTr="005C0FEE">
        <w:trPr>
          <w:trHeight w:val="311"/>
        </w:trPr>
        <w:tc>
          <w:tcPr>
            <w:tcW w:w="3153" w:type="dxa"/>
            <w:noWrap/>
            <w:vAlign w:val="bottom"/>
          </w:tcPr>
          <w:p w14:paraId="2CFAA96E" w14:textId="77777777" w:rsidR="00092AEE" w:rsidRPr="00541ABC" w:rsidRDefault="00092AEE" w:rsidP="005C0FEE">
            <w:pPr>
              <w:jc w:val="left"/>
              <w:rPr>
                <w:b/>
              </w:rPr>
            </w:pPr>
            <w:r w:rsidRPr="00541ABC">
              <w:rPr>
                <w:b/>
              </w:rPr>
              <w:t>Understanding of Role</w:t>
            </w:r>
            <w:r>
              <w:rPr>
                <w:b/>
              </w:rPr>
              <w:t xml:space="preserve"> </w:t>
            </w:r>
          </w:p>
        </w:tc>
        <w:tc>
          <w:tcPr>
            <w:tcW w:w="1260" w:type="dxa"/>
          </w:tcPr>
          <w:p w14:paraId="27429DE1" w14:textId="77777777" w:rsidR="00092AEE" w:rsidRPr="005367E7" w:rsidRDefault="00092AEE" w:rsidP="005C0FEE">
            <w:pPr>
              <w:jc w:val="center"/>
            </w:pPr>
            <w:r>
              <w:t>212/ 219</w:t>
            </w:r>
          </w:p>
        </w:tc>
        <w:tc>
          <w:tcPr>
            <w:tcW w:w="1891" w:type="dxa"/>
            <w:vAlign w:val="center"/>
          </w:tcPr>
          <w:p w14:paraId="41AF8E11" w14:textId="77777777" w:rsidR="00092AEE" w:rsidRPr="005367E7" w:rsidRDefault="00092AEE" w:rsidP="005C0FEE">
            <w:pPr>
              <w:jc w:val="center"/>
            </w:pPr>
            <w:r w:rsidRPr="005367E7">
              <w:t>0.65</w:t>
            </w:r>
          </w:p>
        </w:tc>
        <w:tc>
          <w:tcPr>
            <w:tcW w:w="1786" w:type="dxa"/>
            <w:vAlign w:val="center"/>
          </w:tcPr>
          <w:p w14:paraId="06E9E70A" w14:textId="77777777" w:rsidR="00092AEE" w:rsidRPr="005367E7" w:rsidRDefault="00092AEE" w:rsidP="005C0FEE">
            <w:pPr>
              <w:jc w:val="center"/>
            </w:pPr>
            <w:r w:rsidRPr="005367E7">
              <w:t>4.</w:t>
            </w:r>
            <w:r>
              <w:t>51</w:t>
            </w:r>
          </w:p>
          <w:p w14:paraId="56511B56" w14:textId="77777777" w:rsidR="00092AEE" w:rsidRPr="005367E7" w:rsidRDefault="00092AEE" w:rsidP="005C0FEE">
            <w:pPr>
              <w:jc w:val="center"/>
            </w:pPr>
            <w:r w:rsidRPr="005367E7">
              <w:t>(</w:t>
            </w:r>
            <w:r>
              <w:t>0.59</w:t>
            </w:r>
            <w:r w:rsidRPr="005367E7">
              <w:t>)</w:t>
            </w:r>
          </w:p>
        </w:tc>
        <w:tc>
          <w:tcPr>
            <w:tcW w:w="723" w:type="dxa"/>
          </w:tcPr>
          <w:p w14:paraId="00928EA2" w14:textId="77777777" w:rsidR="00092AEE" w:rsidRPr="00D15504" w:rsidRDefault="00092AEE" w:rsidP="005C0FEE">
            <w:pPr>
              <w:jc w:val="center"/>
            </w:pPr>
            <w:r>
              <w:t>146</w:t>
            </w:r>
          </w:p>
        </w:tc>
        <w:tc>
          <w:tcPr>
            <w:tcW w:w="1879" w:type="dxa"/>
            <w:vAlign w:val="center"/>
          </w:tcPr>
          <w:p w14:paraId="11768EE8" w14:textId="77777777" w:rsidR="00092AEE" w:rsidRPr="00D15504" w:rsidRDefault="00092AEE" w:rsidP="005C0FEE">
            <w:pPr>
              <w:jc w:val="center"/>
            </w:pPr>
            <w:r w:rsidRPr="00D15504">
              <w:t>0.58</w:t>
            </w:r>
          </w:p>
        </w:tc>
        <w:tc>
          <w:tcPr>
            <w:tcW w:w="1692" w:type="dxa"/>
            <w:vAlign w:val="center"/>
          </w:tcPr>
          <w:p w14:paraId="0C551AA6" w14:textId="77777777" w:rsidR="00092AEE" w:rsidRPr="00D15504" w:rsidRDefault="00092AEE" w:rsidP="005C0FEE">
            <w:pPr>
              <w:jc w:val="center"/>
            </w:pPr>
            <w:r w:rsidRPr="00D15504">
              <w:t>4.45</w:t>
            </w:r>
          </w:p>
          <w:p w14:paraId="37EC1268" w14:textId="77777777" w:rsidR="00092AEE" w:rsidRPr="00D15504" w:rsidRDefault="00092AEE" w:rsidP="005C0FEE">
            <w:pPr>
              <w:jc w:val="center"/>
            </w:pPr>
            <w:r w:rsidRPr="00D15504">
              <w:t>(0.54)</w:t>
            </w:r>
          </w:p>
        </w:tc>
        <w:tc>
          <w:tcPr>
            <w:tcW w:w="2102" w:type="dxa"/>
            <w:vAlign w:val="center"/>
          </w:tcPr>
          <w:p w14:paraId="768AF589" w14:textId="77777777" w:rsidR="00092AEE" w:rsidRDefault="00092AEE" w:rsidP="005C0FEE">
            <w:pPr>
              <w:jc w:val="center"/>
              <w:rPr>
                <w:b/>
              </w:rPr>
            </w:pPr>
            <w:r>
              <w:rPr>
                <w:b/>
              </w:rPr>
              <w:t>-0.11</w:t>
            </w:r>
          </w:p>
          <w:p w14:paraId="4BFA7185" w14:textId="77777777" w:rsidR="00092AEE" w:rsidRPr="005367E7" w:rsidRDefault="00092AEE" w:rsidP="005C0FEE">
            <w:pPr>
              <w:jc w:val="center"/>
            </w:pPr>
            <w:r>
              <w:rPr>
                <w:b/>
              </w:rPr>
              <w:t>(-0.21,-0.01)</w:t>
            </w:r>
          </w:p>
        </w:tc>
      </w:tr>
      <w:tr w:rsidR="00092AEE" w:rsidRPr="005367E7" w14:paraId="257F29B8" w14:textId="77777777" w:rsidTr="005C0FEE">
        <w:trPr>
          <w:trHeight w:val="311"/>
        </w:trPr>
        <w:tc>
          <w:tcPr>
            <w:tcW w:w="3153" w:type="dxa"/>
            <w:noWrap/>
            <w:vAlign w:val="center"/>
          </w:tcPr>
          <w:p w14:paraId="2F5F3558" w14:textId="77777777" w:rsidR="00092AEE" w:rsidRPr="00541ABC" w:rsidRDefault="00092AEE" w:rsidP="005C0FEE">
            <w:pPr>
              <w:jc w:val="left"/>
              <w:rPr>
                <w:b/>
              </w:rPr>
            </w:pPr>
            <w:r w:rsidRPr="00541ABC">
              <w:rPr>
                <w:b/>
              </w:rPr>
              <w:t>Response to workplace Change</w:t>
            </w:r>
            <w:r>
              <w:rPr>
                <w:b/>
              </w:rPr>
              <w:t xml:space="preserve"> </w:t>
            </w:r>
          </w:p>
        </w:tc>
        <w:tc>
          <w:tcPr>
            <w:tcW w:w="1260" w:type="dxa"/>
          </w:tcPr>
          <w:p w14:paraId="728E34C7" w14:textId="77777777" w:rsidR="00092AEE" w:rsidRPr="005367E7" w:rsidRDefault="00092AEE" w:rsidP="005C0FEE">
            <w:pPr>
              <w:jc w:val="center"/>
            </w:pPr>
            <w:r>
              <w:t>216/ 217</w:t>
            </w:r>
          </w:p>
        </w:tc>
        <w:tc>
          <w:tcPr>
            <w:tcW w:w="1891" w:type="dxa"/>
            <w:vAlign w:val="center"/>
          </w:tcPr>
          <w:p w14:paraId="548B9EE4" w14:textId="77777777" w:rsidR="00092AEE" w:rsidRPr="005367E7" w:rsidRDefault="00092AEE" w:rsidP="005C0FEE">
            <w:pPr>
              <w:jc w:val="center"/>
            </w:pPr>
            <w:r w:rsidRPr="005367E7">
              <w:t>0.60</w:t>
            </w:r>
          </w:p>
        </w:tc>
        <w:tc>
          <w:tcPr>
            <w:tcW w:w="1786" w:type="dxa"/>
            <w:vAlign w:val="center"/>
          </w:tcPr>
          <w:p w14:paraId="0B5B808D" w14:textId="77777777" w:rsidR="00092AEE" w:rsidRPr="00091F87" w:rsidRDefault="00092AEE" w:rsidP="005C0FEE">
            <w:pPr>
              <w:jc w:val="center"/>
            </w:pPr>
            <w:r w:rsidRPr="00091F87">
              <w:t>3.</w:t>
            </w:r>
            <w:r>
              <w:t>54</w:t>
            </w:r>
          </w:p>
          <w:p w14:paraId="505F4E07" w14:textId="77777777" w:rsidR="00092AEE" w:rsidRPr="005367E7" w:rsidRDefault="00092AEE" w:rsidP="005C0FEE">
            <w:pPr>
              <w:jc w:val="center"/>
            </w:pPr>
            <w:r w:rsidRPr="00091F87">
              <w:t>(</w:t>
            </w:r>
            <w:r>
              <w:t>0.85</w:t>
            </w:r>
            <w:r w:rsidRPr="00B8112B">
              <w:t>)</w:t>
            </w:r>
          </w:p>
        </w:tc>
        <w:tc>
          <w:tcPr>
            <w:tcW w:w="723" w:type="dxa"/>
          </w:tcPr>
          <w:p w14:paraId="73415435" w14:textId="77777777" w:rsidR="00092AEE" w:rsidRPr="00D15504" w:rsidRDefault="00092AEE" w:rsidP="005C0FEE">
            <w:pPr>
              <w:jc w:val="center"/>
            </w:pPr>
            <w:r w:rsidRPr="00D15504">
              <w:t>144</w:t>
            </w:r>
          </w:p>
        </w:tc>
        <w:tc>
          <w:tcPr>
            <w:tcW w:w="1879" w:type="dxa"/>
            <w:vAlign w:val="center"/>
          </w:tcPr>
          <w:p w14:paraId="2C486426" w14:textId="77777777" w:rsidR="00092AEE" w:rsidRPr="00D15504" w:rsidRDefault="00092AEE" w:rsidP="005C0FEE">
            <w:pPr>
              <w:jc w:val="center"/>
            </w:pPr>
            <w:r w:rsidRPr="00D15504">
              <w:t>0.46</w:t>
            </w:r>
          </w:p>
        </w:tc>
        <w:tc>
          <w:tcPr>
            <w:tcW w:w="1692" w:type="dxa"/>
            <w:vAlign w:val="center"/>
          </w:tcPr>
          <w:p w14:paraId="7036D90C" w14:textId="77777777" w:rsidR="00092AEE" w:rsidRPr="00D15504" w:rsidRDefault="00092AEE" w:rsidP="005C0FEE">
            <w:pPr>
              <w:jc w:val="center"/>
            </w:pPr>
            <w:r w:rsidRPr="00D15504">
              <w:t>3.50</w:t>
            </w:r>
          </w:p>
          <w:p w14:paraId="033199FF" w14:textId="77777777" w:rsidR="00092AEE" w:rsidRPr="00D15504" w:rsidRDefault="00092AEE" w:rsidP="005C0FEE">
            <w:pPr>
              <w:jc w:val="center"/>
            </w:pPr>
            <w:r w:rsidRPr="00D15504">
              <w:t>(0.77)</w:t>
            </w:r>
          </w:p>
        </w:tc>
        <w:tc>
          <w:tcPr>
            <w:tcW w:w="2102" w:type="dxa"/>
            <w:vAlign w:val="center"/>
          </w:tcPr>
          <w:p w14:paraId="20ED9033" w14:textId="77777777" w:rsidR="00092AEE" w:rsidRDefault="00092AEE" w:rsidP="005C0FEE">
            <w:pPr>
              <w:jc w:val="center"/>
            </w:pPr>
            <w:r>
              <w:t>-0.05</w:t>
            </w:r>
          </w:p>
          <w:p w14:paraId="54C1AFB9" w14:textId="77777777" w:rsidR="00092AEE" w:rsidRPr="005367E7" w:rsidRDefault="00092AEE" w:rsidP="005C0FEE">
            <w:pPr>
              <w:jc w:val="center"/>
            </w:pPr>
            <w:r>
              <w:t>(-0.22,0.12)</w:t>
            </w:r>
          </w:p>
        </w:tc>
      </w:tr>
      <w:tr w:rsidR="00092AEE" w:rsidRPr="005367E7" w14:paraId="1DDEDBE2" w14:textId="77777777" w:rsidTr="005C0FEE">
        <w:trPr>
          <w:trHeight w:val="311"/>
        </w:trPr>
        <w:tc>
          <w:tcPr>
            <w:tcW w:w="3153" w:type="dxa"/>
            <w:noWrap/>
            <w:vAlign w:val="center"/>
          </w:tcPr>
          <w:p w14:paraId="1A7045B2" w14:textId="77777777" w:rsidR="00092AEE" w:rsidRPr="00541ABC" w:rsidRDefault="00092AEE" w:rsidP="005C0FEE">
            <w:pPr>
              <w:jc w:val="left"/>
              <w:rPr>
                <w:b/>
              </w:rPr>
            </w:pPr>
            <w:r>
              <w:rPr>
                <w:b/>
              </w:rPr>
              <w:t>HSE</w:t>
            </w:r>
            <w:r w:rsidRPr="00541ABC">
              <w:rPr>
                <w:b/>
              </w:rPr>
              <w:t xml:space="preserve"> domains combined</w:t>
            </w:r>
            <w:r>
              <w:rPr>
                <w:b/>
              </w:rPr>
              <w:t xml:space="preserve"> </w:t>
            </w:r>
          </w:p>
        </w:tc>
        <w:tc>
          <w:tcPr>
            <w:tcW w:w="1260" w:type="dxa"/>
          </w:tcPr>
          <w:p w14:paraId="602E8CF0" w14:textId="77777777" w:rsidR="00092AEE" w:rsidRPr="005367E7" w:rsidRDefault="00092AEE" w:rsidP="005C0FEE">
            <w:pPr>
              <w:jc w:val="center"/>
            </w:pPr>
            <w:r>
              <w:t>209/ 216</w:t>
            </w:r>
          </w:p>
        </w:tc>
        <w:tc>
          <w:tcPr>
            <w:tcW w:w="1891" w:type="dxa"/>
            <w:vAlign w:val="center"/>
          </w:tcPr>
          <w:p w14:paraId="74E1B3C4" w14:textId="77777777" w:rsidR="00092AEE" w:rsidRPr="005367E7" w:rsidRDefault="00092AEE" w:rsidP="005C0FEE">
            <w:pPr>
              <w:jc w:val="center"/>
            </w:pPr>
            <w:r w:rsidRPr="005367E7">
              <w:t>0.70</w:t>
            </w:r>
          </w:p>
        </w:tc>
        <w:tc>
          <w:tcPr>
            <w:tcW w:w="1786" w:type="dxa"/>
            <w:vAlign w:val="center"/>
          </w:tcPr>
          <w:p w14:paraId="11BA6B94" w14:textId="77777777" w:rsidR="00092AEE" w:rsidRPr="005367E7" w:rsidRDefault="00092AEE" w:rsidP="005C0FEE">
            <w:pPr>
              <w:jc w:val="center"/>
            </w:pPr>
            <w:r w:rsidRPr="005367E7">
              <w:t>3.</w:t>
            </w:r>
            <w:r>
              <w:t>74</w:t>
            </w:r>
          </w:p>
          <w:p w14:paraId="37BDCC88" w14:textId="77777777" w:rsidR="00092AEE" w:rsidRPr="005367E7" w:rsidRDefault="00092AEE" w:rsidP="005C0FEE">
            <w:pPr>
              <w:jc w:val="center"/>
            </w:pPr>
            <w:r w:rsidRPr="005367E7">
              <w:t>(</w:t>
            </w:r>
            <w:r>
              <w:t>0.</w:t>
            </w:r>
            <w:r w:rsidRPr="005367E7">
              <w:t>36)</w:t>
            </w:r>
          </w:p>
        </w:tc>
        <w:tc>
          <w:tcPr>
            <w:tcW w:w="723" w:type="dxa"/>
          </w:tcPr>
          <w:p w14:paraId="075C46FD" w14:textId="77777777" w:rsidR="00092AEE" w:rsidRPr="00D15504" w:rsidRDefault="00092AEE" w:rsidP="005C0FEE">
            <w:pPr>
              <w:jc w:val="center"/>
            </w:pPr>
            <w:r w:rsidRPr="00D15504">
              <w:t>106</w:t>
            </w:r>
          </w:p>
        </w:tc>
        <w:tc>
          <w:tcPr>
            <w:tcW w:w="1879" w:type="dxa"/>
            <w:vAlign w:val="center"/>
          </w:tcPr>
          <w:p w14:paraId="7A1C199E" w14:textId="77777777" w:rsidR="00092AEE" w:rsidRPr="00D15504" w:rsidRDefault="00092AEE" w:rsidP="005C0FEE">
            <w:pPr>
              <w:jc w:val="center"/>
            </w:pPr>
            <w:r w:rsidRPr="00D15504">
              <w:t>0.75</w:t>
            </w:r>
          </w:p>
        </w:tc>
        <w:tc>
          <w:tcPr>
            <w:tcW w:w="1692" w:type="dxa"/>
            <w:vAlign w:val="center"/>
          </w:tcPr>
          <w:p w14:paraId="230FCE11" w14:textId="77777777" w:rsidR="00092AEE" w:rsidRPr="00D15504" w:rsidRDefault="00092AEE" w:rsidP="005C0FEE">
            <w:pPr>
              <w:jc w:val="center"/>
            </w:pPr>
            <w:r w:rsidRPr="00D15504">
              <w:t>3.58</w:t>
            </w:r>
          </w:p>
          <w:p w14:paraId="30612BD5" w14:textId="77777777" w:rsidR="00092AEE" w:rsidRPr="00D15504" w:rsidRDefault="00092AEE" w:rsidP="005C0FEE">
            <w:pPr>
              <w:jc w:val="center"/>
            </w:pPr>
            <w:r w:rsidRPr="00D15504">
              <w:t>(0.35)</w:t>
            </w:r>
          </w:p>
        </w:tc>
        <w:tc>
          <w:tcPr>
            <w:tcW w:w="2102" w:type="dxa"/>
            <w:vAlign w:val="center"/>
          </w:tcPr>
          <w:p w14:paraId="1ADB5310" w14:textId="77777777" w:rsidR="00092AEE" w:rsidRDefault="00092AEE" w:rsidP="005C0FEE">
            <w:pPr>
              <w:jc w:val="center"/>
              <w:rPr>
                <w:b/>
              </w:rPr>
            </w:pPr>
            <w:r>
              <w:rPr>
                <w:b/>
              </w:rPr>
              <w:t>-0.21</w:t>
            </w:r>
          </w:p>
          <w:p w14:paraId="6B0E47A1" w14:textId="77777777" w:rsidR="00092AEE" w:rsidRPr="005367E7" w:rsidRDefault="00092AEE" w:rsidP="005C0FEE">
            <w:pPr>
              <w:jc w:val="center"/>
              <w:rPr>
                <w:b/>
              </w:rPr>
            </w:pPr>
            <w:r>
              <w:rPr>
                <w:b/>
              </w:rPr>
              <w:t>(-0.28,-0.14)</w:t>
            </w:r>
          </w:p>
        </w:tc>
      </w:tr>
    </w:tbl>
    <w:p w14:paraId="3073EFA4" w14:textId="77777777" w:rsidR="005367E7" w:rsidRPr="00D63468" w:rsidRDefault="005367E7" w:rsidP="005367E7">
      <w:r w:rsidRPr="005367E7">
        <w:t>*</w:t>
      </w:r>
      <w:bookmarkStart w:id="9" w:name="_Hlk29638342"/>
      <w:r w:rsidRPr="005367E7">
        <w:t>A score of 3 is indicative of average levels of risk for stress, 4-5 indicates low levels and 1-2 high levels of risk for stress.</w:t>
      </w:r>
      <w:bookmarkEnd w:id="9"/>
    </w:p>
    <w:p w14:paraId="2AA8F2C7" w14:textId="68D5DD10" w:rsidR="009442B3" w:rsidRDefault="007A4455" w:rsidP="009442B3">
      <w:r w:rsidRPr="00F909C6">
        <w:rPr>
          <w:vertAlign w:val="superscript"/>
        </w:rPr>
        <w:t>a</w:t>
      </w:r>
      <w:r w:rsidR="00F909C6">
        <w:t xml:space="preserve"> N</w:t>
      </w:r>
      <w:r>
        <w:t>umber</w:t>
      </w:r>
      <w:r w:rsidR="00226E3C">
        <w:t>s given are those</w:t>
      </w:r>
      <w:r>
        <w:t xml:space="preserve"> with data for domain and the three factors/number with data for domain</w:t>
      </w:r>
    </w:p>
    <w:p w14:paraId="1F01A928" w14:textId="6B6CC6B7" w:rsidR="00490CF2" w:rsidRPr="00490CF2" w:rsidRDefault="00A4562A" w:rsidP="00490CF2">
      <w:r>
        <w:rPr>
          <w:vertAlign w:val="superscript"/>
        </w:rPr>
        <w:t xml:space="preserve">b </w:t>
      </w:r>
      <w:r w:rsidRPr="00A4562A">
        <w:t>Numbers with data at baseli</w:t>
      </w:r>
      <w:r w:rsidR="00490CF2">
        <w:t>ne and follow-up for the domain</w:t>
      </w:r>
      <w:r w:rsidR="00490CF2">
        <w:rPr>
          <w:b/>
          <w:sz w:val="24"/>
          <w:szCs w:val="24"/>
          <w:u w:val="single"/>
        </w:rPr>
        <w:br w:type="page"/>
      </w:r>
    </w:p>
    <w:p w14:paraId="0F69DDD6" w14:textId="2338EBFC" w:rsidR="005805D2" w:rsidRPr="008C70E2" w:rsidRDefault="00AD73C8" w:rsidP="00AD73C8">
      <w:pPr>
        <w:rPr>
          <w:b/>
        </w:rPr>
      </w:pPr>
      <w:r w:rsidRPr="00234C5D">
        <w:rPr>
          <w:b/>
          <w:sz w:val="24"/>
          <w:szCs w:val="24"/>
          <w:u w:val="single"/>
        </w:rPr>
        <w:lastRenderedPageBreak/>
        <w:t xml:space="preserve">Table </w:t>
      </w:r>
      <w:r w:rsidR="00215FA5">
        <w:rPr>
          <w:b/>
          <w:sz w:val="24"/>
          <w:szCs w:val="24"/>
          <w:u w:val="single"/>
        </w:rPr>
        <w:t>3</w:t>
      </w:r>
      <w:r w:rsidRPr="00234C5D">
        <w:rPr>
          <w:b/>
          <w:sz w:val="24"/>
          <w:szCs w:val="24"/>
        </w:rPr>
        <w:t xml:space="preserve">: </w:t>
      </w:r>
      <w:r w:rsidR="00917237">
        <w:rPr>
          <w:b/>
          <w:sz w:val="24"/>
          <w:szCs w:val="24"/>
        </w:rPr>
        <w:t>Estimates Derive</w:t>
      </w:r>
      <w:r w:rsidR="001B5820">
        <w:rPr>
          <w:b/>
          <w:sz w:val="24"/>
          <w:szCs w:val="24"/>
        </w:rPr>
        <w:t>d</w:t>
      </w:r>
      <w:r w:rsidR="00917237">
        <w:rPr>
          <w:b/>
          <w:sz w:val="24"/>
          <w:szCs w:val="24"/>
        </w:rPr>
        <w:t xml:space="preserve"> in </w:t>
      </w:r>
      <w:r w:rsidRPr="00234C5D">
        <w:rPr>
          <w:b/>
          <w:sz w:val="24"/>
          <w:szCs w:val="24"/>
        </w:rPr>
        <w:t xml:space="preserve">Analysis of covariance of </w:t>
      </w:r>
      <w:r w:rsidR="005805D2" w:rsidRPr="00234C5D">
        <w:rPr>
          <w:b/>
          <w:sz w:val="24"/>
          <w:szCs w:val="24"/>
        </w:rPr>
        <w:t xml:space="preserve">follow-up </w:t>
      </w:r>
      <w:r w:rsidRPr="00234C5D">
        <w:rPr>
          <w:b/>
          <w:sz w:val="24"/>
          <w:szCs w:val="24"/>
        </w:rPr>
        <w:t xml:space="preserve">scores for workplace risk factors (HSE questionnaire)*  </w:t>
      </w:r>
    </w:p>
    <w:tbl>
      <w:tblPr>
        <w:tblStyle w:val="TableGrid"/>
        <w:tblW w:w="14536" w:type="dxa"/>
        <w:tblInd w:w="0" w:type="dxa"/>
        <w:tblLook w:val="04A0" w:firstRow="1" w:lastRow="0" w:firstColumn="1" w:lastColumn="0" w:noHBand="0" w:noVBand="1"/>
      </w:tblPr>
      <w:tblGrid>
        <w:gridCol w:w="2189"/>
        <w:gridCol w:w="1572"/>
        <w:gridCol w:w="1264"/>
        <w:gridCol w:w="1324"/>
        <w:gridCol w:w="1257"/>
        <w:gridCol w:w="1403"/>
        <w:gridCol w:w="1460"/>
        <w:gridCol w:w="1420"/>
        <w:gridCol w:w="1375"/>
        <w:gridCol w:w="1272"/>
      </w:tblGrid>
      <w:tr w:rsidR="006678CF" w:rsidRPr="006678CF" w14:paraId="6A6E07B2" w14:textId="30338FB2" w:rsidTr="00AD179C">
        <w:trPr>
          <w:trHeight w:val="504"/>
        </w:trPr>
        <w:tc>
          <w:tcPr>
            <w:tcW w:w="2189" w:type="dxa"/>
            <w:vMerge w:val="restart"/>
          </w:tcPr>
          <w:p w14:paraId="45C882B3" w14:textId="410E8254" w:rsidR="006678CF" w:rsidRPr="006678CF" w:rsidRDefault="006678CF" w:rsidP="003A2366">
            <w:pPr>
              <w:jc w:val="left"/>
              <w:rPr>
                <w:b/>
              </w:rPr>
            </w:pPr>
            <w:r w:rsidRPr="006678CF">
              <w:rPr>
                <w:b/>
              </w:rPr>
              <w:t>Domain</w:t>
            </w:r>
          </w:p>
        </w:tc>
        <w:tc>
          <w:tcPr>
            <w:tcW w:w="1572" w:type="dxa"/>
            <w:vMerge w:val="restart"/>
          </w:tcPr>
          <w:p w14:paraId="0DECA930" w14:textId="15D056E6" w:rsidR="006678CF" w:rsidRPr="006678CF" w:rsidRDefault="006678CF" w:rsidP="002358EE">
            <w:pPr>
              <w:jc w:val="left"/>
              <w:rPr>
                <w:b/>
              </w:rPr>
            </w:pPr>
            <w:r w:rsidRPr="006678CF">
              <w:rPr>
                <w:b/>
              </w:rPr>
              <w:t>Statistic</w:t>
            </w:r>
          </w:p>
        </w:tc>
        <w:tc>
          <w:tcPr>
            <w:tcW w:w="1264" w:type="dxa"/>
            <w:vMerge w:val="restart"/>
          </w:tcPr>
          <w:p w14:paraId="25C0FD70" w14:textId="1D767876" w:rsidR="006678CF" w:rsidRPr="006678CF" w:rsidRDefault="00234C5D" w:rsidP="00AD179C">
            <w:pPr>
              <w:jc w:val="left"/>
              <w:rPr>
                <w:b/>
              </w:rPr>
            </w:pPr>
            <w:r>
              <w:rPr>
                <w:b/>
              </w:rPr>
              <w:t xml:space="preserve">Baseline </w:t>
            </w:r>
            <w:r w:rsidR="006678CF" w:rsidRPr="006678CF">
              <w:rPr>
                <w:b/>
              </w:rPr>
              <w:t>score</w:t>
            </w:r>
            <w:r w:rsidR="0057063E">
              <w:rPr>
                <w:b/>
              </w:rPr>
              <w:t xml:space="preserve"> as a covariate</w:t>
            </w:r>
          </w:p>
        </w:tc>
        <w:tc>
          <w:tcPr>
            <w:tcW w:w="2581" w:type="dxa"/>
            <w:gridSpan w:val="2"/>
          </w:tcPr>
          <w:p w14:paraId="096C4B7F" w14:textId="488B0A7B" w:rsidR="006678CF" w:rsidRPr="006678CF" w:rsidRDefault="006678CF" w:rsidP="00AD179C">
            <w:pPr>
              <w:jc w:val="left"/>
              <w:rPr>
                <w:b/>
              </w:rPr>
            </w:pPr>
            <w:r w:rsidRPr="006678CF">
              <w:rPr>
                <w:b/>
              </w:rPr>
              <w:t>District (vs Urban Freetown)</w:t>
            </w:r>
          </w:p>
        </w:tc>
        <w:tc>
          <w:tcPr>
            <w:tcW w:w="5658" w:type="dxa"/>
            <w:gridSpan w:val="4"/>
          </w:tcPr>
          <w:p w14:paraId="6BB831AB" w14:textId="6F453CC0" w:rsidR="006678CF" w:rsidRPr="006678CF" w:rsidRDefault="006678CF" w:rsidP="003A2366">
            <w:pPr>
              <w:jc w:val="center"/>
              <w:rPr>
                <w:b/>
              </w:rPr>
            </w:pPr>
            <w:r w:rsidRPr="006678CF">
              <w:rPr>
                <w:b/>
              </w:rPr>
              <w:t>Cadre (vs Registered Nurse/midwives)</w:t>
            </w:r>
          </w:p>
        </w:tc>
        <w:tc>
          <w:tcPr>
            <w:tcW w:w="1272" w:type="dxa"/>
            <w:vMerge w:val="restart"/>
          </w:tcPr>
          <w:p w14:paraId="451C75FB" w14:textId="79EDBBF0" w:rsidR="006678CF" w:rsidRPr="006678CF" w:rsidRDefault="006678CF" w:rsidP="002358EE">
            <w:pPr>
              <w:jc w:val="center"/>
              <w:rPr>
                <w:b/>
              </w:rPr>
            </w:pPr>
            <w:r w:rsidRPr="006678CF">
              <w:rPr>
                <w:b/>
              </w:rPr>
              <w:t>CEmOC vs BEmOC</w:t>
            </w:r>
          </w:p>
        </w:tc>
      </w:tr>
      <w:tr w:rsidR="0057063E" w14:paraId="4A7AE32D" w14:textId="6FE7019C" w:rsidTr="00AD179C">
        <w:trPr>
          <w:trHeight w:val="504"/>
        </w:trPr>
        <w:tc>
          <w:tcPr>
            <w:tcW w:w="2189" w:type="dxa"/>
            <w:vMerge/>
          </w:tcPr>
          <w:p w14:paraId="774786F5" w14:textId="77777777" w:rsidR="006678CF" w:rsidRDefault="006678CF">
            <w:pPr>
              <w:jc w:val="left"/>
            </w:pPr>
          </w:p>
        </w:tc>
        <w:tc>
          <w:tcPr>
            <w:tcW w:w="1572" w:type="dxa"/>
            <w:vMerge/>
          </w:tcPr>
          <w:p w14:paraId="4C1C974F" w14:textId="2FDCF45F" w:rsidR="006678CF" w:rsidRDefault="006678CF" w:rsidP="00AD179C">
            <w:pPr>
              <w:jc w:val="left"/>
            </w:pPr>
          </w:p>
        </w:tc>
        <w:tc>
          <w:tcPr>
            <w:tcW w:w="1264" w:type="dxa"/>
            <w:vMerge/>
          </w:tcPr>
          <w:p w14:paraId="7FE58CF5" w14:textId="56C36D80" w:rsidR="006678CF" w:rsidRDefault="006678CF" w:rsidP="00AD179C">
            <w:pPr>
              <w:jc w:val="left"/>
            </w:pPr>
          </w:p>
        </w:tc>
        <w:tc>
          <w:tcPr>
            <w:tcW w:w="1324" w:type="dxa"/>
          </w:tcPr>
          <w:p w14:paraId="245D9C59" w14:textId="3EBAE044" w:rsidR="006678CF" w:rsidRPr="006678CF" w:rsidRDefault="006678CF" w:rsidP="00AD179C">
            <w:pPr>
              <w:jc w:val="left"/>
              <w:rPr>
                <w:b/>
              </w:rPr>
            </w:pPr>
            <w:r w:rsidRPr="006678CF">
              <w:rPr>
                <w:b/>
              </w:rPr>
              <w:t>Rural Freetown</w:t>
            </w:r>
          </w:p>
        </w:tc>
        <w:tc>
          <w:tcPr>
            <w:tcW w:w="1257" w:type="dxa"/>
          </w:tcPr>
          <w:p w14:paraId="3643DA39" w14:textId="5D417FF4" w:rsidR="006678CF" w:rsidRPr="006678CF" w:rsidRDefault="006678CF" w:rsidP="00AD179C">
            <w:pPr>
              <w:jc w:val="left"/>
              <w:rPr>
                <w:b/>
              </w:rPr>
            </w:pPr>
            <w:r w:rsidRPr="006678CF">
              <w:rPr>
                <w:b/>
              </w:rPr>
              <w:t>Bo</w:t>
            </w:r>
          </w:p>
        </w:tc>
        <w:tc>
          <w:tcPr>
            <w:tcW w:w="1403" w:type="dxa"/>
            <w:vAlign w:val="bottom"/>
          </w:tcPr>
          <w:p w14:paraId="64179904" w14:textId="4185E512" w:rsidR="006678CF" w:rsidRPr="006678CF" w:rsidRDefault="006678CF" w:rsidP="006678CF">
            <w:pPr>
              <w:jc w:val="center"/>
              <w:rPr>
                <w:b/>
              </w:rPr>
            </w:pPr>
            <w:r w:rsidRPr="006678CF">
              <w:rPr>
                <w:b/>
              </w:rPr>
              <w:t>Middle grade staff</w:t>
            </w:r>
          </w:p>
        </w:tc>
        <w:tc>
          <w:tcPr>
            <w:tcW w:w="1460" w:type="dxa"/>
            <w:vAlign w:val="bottom"/>
          </w:tcPr>
          <w:p w14:paraId="78562643" w14:textId="65F77D6F" w:rsidR="006678CF" w:rsidRPr="006678CF" w:rsidRDefault="006678CF" w:rsidP="006678CF">
            <w:pPr>
              <w:jc w:val="center"/>
              <w:rPr>
                <w:b/>
              </w:rPr>
            </w:pPr>
            <w:r w:rsidRPr="006678CF">
              <w:rPr>
                <w:b/>
              </w:rPr>
              <w:t>MCHA / ECHN</w:t>
            </w:r>
          </w:p>
        </w:tc>
        <w:tc>
          <w:tcPr>
            <w:tcW w:w="1420" w:type="dxa"/>
            <w:vAlign w:val="bottom"/>
          </w:tcPr>
          <w:p w14:paraId="1C06C331" w14:textId="0A295981" w:rsidR="006678CF" w:rsidRPr="006678CF" w:rsidRDefault="006678CF" w:rsidP="006678CF">
            <w:pPr>
              <w:jc w:val="center"/>
              <w:rPr>
                <w:b/>
              </w:rPr>
            </w:pPr>
            <w:r w:rsidRPr="006678CF">
              <w:rPr>
                <w:b/>
              </w:rPr>
              <w:t>Untrained staff</w:t>
            </w:r>
          </w:p>
        </w:tc>
        <w:tc>
          <w:tcPr>
            <w:tcW w:w="1375" w:type="dxa"/>
            <w:vAlign w:val="bottom"/>
          </w:tcPr>
          <w:p w14:paraId="4F9EFE13" w14:textId="14224DFC" w:rsidR="006678CF" w:rsidRPr="006678CF" w:rsidRDefault="006678CF" w:rsidP="006678CF">
            <w:pPr>
              <w:jc w:val="center"/>
              <w:rPr>
                <w:b/>
              </w:rPr>
            </w:pPr>
            <w:r w:rsidRPr="006678CF">
              <w:rPr>
                <w:b/>
              </w:rPr>
              <w:t>Support staff</w:t>
            </w:r>
          </w:p>
        </w:tc>
        <w:tc>
          <w:tcPr>
            <w:tcW w:w="1272" w:type="dxa"/>
            <w:vMerge/>
          </w:tcPr>
          <w:p w14:paraId="0C35BF4D" w14:textId="33485B92" w:rsidR="006678CF" w:rsidRDefault="006678CF" w:rsidP="00210D53">
            <w:pPr>
              <w:jc w:val="center"/>
            </w:pPr>
          </w:p>
        </w:tc>
      </w:tr>
      <w:tr w:rsidR="0057063E" w14:paraId="5AB983B2" w14:textId="04F8A9BE" w:rsidTr="00A17267">
        <w:trPr>
          <w:trHeight w:val="504"/>
        </w:trPr>
        <w:tc>
          <w:tcPr>
            <w:tcW w:w="2189" w:type="dxa"/>
            <w:vAlign w:val="center"/>
          </w:tcPr>
          <w:p w14:paraId="1A2A15DA" w14:textId="70823DD0" w:rsidR="00541ABC" w:rsidRDefault="00541ABC" w:rsidP="00076586">
            <w:pPr>
              <w:jc w:val="left"/>
            </w:pPr>
            <w:r w:rsidRPr="007F6C56">
              <w:rPr>
                <w:b/>
              </w:rPr>
              <w:t>Workplace demands</w:t>
            </w:r>
            <w:r w:rsidR="00001653">
              <w:rPr>
                <w:b/>
              </w:rPr>
              <w:t xml:space="preserve"> (n=</w:t>
            </w:r>
            <w:r w:rsidR="00091F87">
              <w:rPr>
                <w:b/>
              </w:rPr>
              <w:t>136</w:t>
            </w:r>
            <w:r w:rsidR="00001653">
              <w:rPr>
                <w:b/>
              </w:rPr>
              <w:t>)</w:t>
            </w:r>
          </w:p>
        </w:tc>
        <w:tc>
          <w:tcPr>
            <w:tcW w:w="1572" w:type="dxa"/>
          </w:tcPr>
          <w:p w14:paraId="6F4986E1" w14:textId="535E528B" w:rsidR="00541ABC" w:rsidRDefault="00541ABC" w:rsidP="00AD73C8">
            <w:r>
              <w:t>Coefficient</w:t>
            </w:r>
            <w:r w:rsidR="0057063E">
              <w:t>**</w:t>
            </w:r>
            <w:r>
              <w:t xml:space="preserve"> (</w:t>
            </w:r>
            <w:r w:rsidR="00210D53">
              <w:t>95% CI</w:t>
            </w:r>
            <w:r>
              <w:t>)</w:t>
            </w:r>
          </w:p>
        </w:tc>
        <w:tc>
          <w:tcPr>
            <w:tcW w:w="1264" w:type="dxa"/>
          </w:tcPr>
          <w:p w14:paraId="7981B04A" w14:textId="77777777" w:rsidR="00541ABC" w:rsidRPr="00D15504" w:rsidRDefault="00466E61" w:rsidP="00210D53">
            <w:pPr>
              <w:jc w:val="center"/>
              <w:rPr>
                <w:b/>
              </w:rPr>
            </w:pPr>
            <w:r w:rsidRPr="00D15504">
              <w:rPr>
                <w:b/>
              </w:rPr>
              <w:t>0.29</w:t>
            </w:r>
          </w:p>
          <w:p w14:paraId="3A5DCCF4" w14:textId="50849029" w:rsidR="00431480" w:rsidRDefault="00431480" w:rsidP="00210D53">
            <w:pPr>
              <w:jc w:val="center"/>
            </w:pPr>
            <w:r w:rsidRPr="00D15504">
              <w:rPr>
                <w:b/>
              </w:rPr>
              <w:t>(0.1,0.5)</w:t>
            </w:r>
          </w:p>
        </w:tc>
        <w:tc>
          <w:tcPr>
            <w:tcW w:w="1324" w:type="dxa"/>
          </w:tcPr>
          <w:p w14:paraId="08C61D4D" w14:textId="77777777" w:rsidR="00431480" w:rsidRDefault="00466E61" w:rsidP="00431480">
            <w:pPr>
              <w:jc w:val="center"/>
            </w:pPr>
            <w:r>
              <w:t>0.03</w:t>
            </w:r>
          </w:p>
          <w:p w14:paraId="2B0BEFC6" w14:textId="26D76950" w:rsidR="00541ABC" w:rsidRDefault="00431480" w:rsidP="00431480">
            <w:pPr>
              <w:jc w:val="center"/>
            </w:pPr>
            <w:r>
              <w:t>(-0.3,0.3)</w:t>
            </w:r>
          </w:p>
        </w:tc>
        <w:tc>
          <w:tcPr>
            <w:tcW w:w="1257" w:type="dxa"/>
          </w:tcPr>
          <w:p w14:paraId="4634F408" w14:textId="77777777" w:rsidR="00431480" w:rsidRDefault="00466E61" w:rsidP="00431480">
            <w:pPr>
              <w:jc w:val="center"/>
            </w:pPr>
            <w:r>
              <w:t>0.06</w:t>
            </w:r>
          </w:p>
          <w:p w14:paraId="77DF0135" w14:textId="4725A5F1" w:rsidR="00541ABC" w:rsidRDefault="00431480" w:rsidP="00431480">
            <w:pPr>
              <w:jc w:val="center"/>
            </w:pPr>
            <w:r>
              <w:t>(-0.2,0.3)</w:t>
            </w:r>
          </w:p>
        </w:tc>
        <w:tc>
          <w:tcPr>
            <w:tcW w:w="1403" w:type="dxa"/>
          </w:tcPr>
          <w:p w14:paraId="66EA767B" w14:textId="77777777" w:rsidR="00431480" w:rsidRDefault="00466E61" w:rsidP="00431480">
            <w:pPr>
              <w:jc w:val="center"/>
            </w:pPr>
            <w:r>
              <w:t>-0.06</w:t>
            </w:r>
          </w:p>
          <w:p w14:paraId="54D97289" w14:textId="2D6063F1" w:rsidR="00541ABC" w:rsidRDefault="00431480" w:rsidP="00431480">
            <w:pPr>
              <w:jc w:val="center"/>
            </w:pPr>
            <w:r>
              <w:t>(-0.5,0.4)</w:t>
            </w:r>
          </w:p>
        </w:tc>
        <w:tc>
          <w:tcPr>
            <w:tcW w:w="1460" w:type="dxa"/>
          </w:tcPr>
          <w:p w14:paraId="4ABD5905" w14:textId="77777777" w:rsidR="00431480" w:rsidRDefault="00466E61" w:rsidP="00431480">
            <w:pPr>
              <w:jc w:val="center"/>
            </w:pPr>
            <w:r>
              <w:t>0.08</w:t>
            </w:r>
          </w:p>
          <w:p w14:paraId="7619E464" w14:textId="038AD366" w:rsidR="00541ABC" w:rsidRDefault="00431480" w:rsidP="00431480">
            <w:pPr>
              <w:jc w:val="center"/>
            </w:pPr>
            <w:r>
              <w:t>(-0.2,0.4)</w:t>
            </w:r>
          </w:p>
        </w:tc>
        <w:tc>
          <w:tcPr>
            <w:tcW w:w="1420" w:type="dxa"/>
          </w:tcPr>
          <w:p w14:paraId="0DCA406D" w14:textId="77777777" w:rsidR="00431480" w:rsidRDefault="00466E61" w:rsidP="00431480">
            <w:pPr>
              <w:jc w:val="center"/>
            </w:pPr>
            <w:r>
              <w:t>-0.08</w:t>
            </w:r>
          </w:p>
          <w:p w14:paraId="1794B86C" w14:textId="159BAF21" w:rsidR="00541ABC" w:rsidRDefault="00431480" w:rsidP="00431480">
            <w:pPr>
              <w:jc w:val="center"/>
            </w:pPr>
            <w:r>
              <w:t>(-0.5,0.3)</w:t>
            </w:r>
          </w:p>
        </w:tc>
        <w:tc>
          <w:tcPr>
            <w:tcW w:w="1375" w:type="dxa"/>
          </w:tcPr>
          <w:p w14:paraId="424CBCE1" w14:textId="77777777" w:rsidR="00431480" w:rsidRDefault="00466E61" w:rsidP="00431480">
            <w:pPr>
              <w:jc w:val="center"/>
            </w:pPr>
            <w:r>
              <w:t>0.50</w:t>
            </w:r>
          </w:p>
          <w:p w14:paraId="2DE068F6" w14:textId="2767B41D" w:rsidR="00541ABC" w:rsidRDefault="00431480" w:rsidP="00431480">
            <w:pPr>
              <w:jc w:val="center"/>
            </w:pPr>
            <w:r>
              <w:t>(-0.1,1.0)</w:t>
            </w:r>
          </w:p>
        </w:tc>
        <w:tc>
          <w:tcPr>
            <w:tcW w:w="1272" w:type="dxa"/>
          </w:tcPr>
          <w:p w14:paraId="7EEACCA6" w14:textId="77777777" w:rsidR="00431480" w:rsidRDefault="00466E61" w:rsidP="00431480">
            <w:pPr>
              <w:jc w:val="center"/>
            </w:pPr>
            <w:r>
              <w:t>0.19</w:t>
            </w:r>
          </w:p>
          <w:p w14:paraId="52949D69" w14:textId="12A12FB7" w:rsidR="00541ABC" w:rsidRDefault="00431480" w:rsidP="00431480">
            <w:pPr>
              <w:jc w:val="center"/>
            </w:pPr>
            <w:r>
              <w:t>(-0.0,0.4)</w:t>
            </w:r>
          </w:p>
        </w:tc>
      </w:tr>
      <w:tr w:rsidR="0057063E" w14:paraId="11981E62" w14:textId="7DA5E356" w:rsidTr="00A17267">
        <w:trPr>
          <w:trHeight w:val="504"/>
        </w:trPr>
        <w:tc>
          <w:tcPr>
            <w:tcW w:w="2189" w:type="dxa"/>
            <w:vAlign w:val="center"/>
          </w:tcPr>
          <w:p w14:paraId="244B2653" w14:textId="0CBA3E8D" w:rsidR="00541ABC" w:rsidRDefault="00541ABC" w:rsidP="00076586">
            <w:pPr>
              <w:jc w:val="left"/>
            </w:pPr>
            <w:r w:rsidRPr="007F6C56">
              <w:rPr>
                <w:b/>
              </w:rPr>
              <w:t>Control over work environment</w:t>
            </w:r>
            <w:r w:rsidR="00001653">
              <w:rPr>
                <w:b/>
              </w:rPr>
              <w:t xml:space="preserve"> (n=</w:t>
            </w:r>
            <w:r w:rsidR="00091F87">
              <w:rPr>
                <w:b/>
              </w:rPr>
              <w:t>141</w:t>
            </w:r>
            <w:r w:rsidR="00001653">
              <w:rPr>
                <w:b/>
              </w:rPr>
              <w:t>)</w:t>
            </w:r>
          </w:p>
        </w:tc>
        <w:tc>
          <w:tcPr>
            <w:tcW w:w="1572" w:type="dxa"/>
          </w:tcPr>
          <w:p w14:paraId="4803BD24" w14:textId="13FAA934" w:rsidR="00541ABC" w:rsidRDefault="00541ABC" w:rsidP="00AD73C8">
            <w:r>
              <w:t xml:space="preserve">Coefficient </w:t>
            </w:r>
            <w:r w:rsidR="00210D53">
              <w:t>(95% CI</w:t>
            </w:r>
            <w:r>
              <w:t>)</w:t>
            </w:r>
          </w:p>
        </w:tc>
        <w:tc>
          <w:tcPr>
            <w:tcW w:w="1264" w:type="dxa"/>
          </w:tcPr>
          <w:p w14:paraId="754C98BE" w14:textId="77777777" w:rsidR="00541ABC" w:rsidRPr="00D15504" w:rsidRDefault="00466E61" w:rsidP="00210D53">
            <w:pPr>
              <w:jc w:val="center"/>
              <w:rPr>
                <w:b/>
              </w:rPr>
            </w:pPr>
            <w:r w:rsidRPr="00D15504">
              <w:rPr>
                <w:b/>
              </w:rPr>
              <w:t>0.46</w:t>
            </w:r>
          </w:p>
          <w:p w14:paraId="3CF46A3C" w14:textId="6B8DD488" w:rsidR="00431480" w:rsidRDefault="00431480" w:rsidP="00210D53">
            <w:pPr>
              <w:jc w:val="center"/>
            </w:pPr>
            <w:r w:rsidRPr="00D15504">
              <w:rPr>
                <w:b/>
              </w:rPr>
              <w:t>(0.3,0.6)</w:t>
            </w:r>
          </w:p>
        </w:tc>
        <w:tc>
          <w:tcPr>
            <w:tcW w:w="1324" w:type="dxa"/>
          </w:tcPr>
          <w:p w14:paraId="353E99E9" w14:textId="77777777" w:rsidR="00431480" w:rsidRDefault="00835881" w:rsidP="00431480">
            <w:pPr>
              <w:jc w:val="center"/>
            </w:pPr>
            <w:r>
              <w:t>0.09</w:t>
            </w:r>
          </w:p>
          <w:p w14:paraId="61DD5756" w14:textId="76110913" w:rsidR="00541ABC" w:rsidRDefault="00431480" w:rsidP="00431480">
            <w:pPr>
              <w:jc w:val="center"/>
            </w:pPr>
            <w:r>
              <w:t>(-0.2,0.4)</w:t>
            </w:r>
          </w:p>
        </w:tc>
        <w:tc>
          <w:tcPr>
            <w:tcW w:w="1257" w:type="dxa"/>
          </w:tcPr>
          <w:p w14:paraId="5F51B7D7" w14:textId="77777777" w:rsidR="00431480" w:rsidRDefault="00835881" w:rsidP="00431480">
            <w:pPr>
              <w:jc w:val="center"/>
            </w:pPr>
            <w:r>
              <w:t>0.15</w:t>
            </w:r>
          </w:p>
          <w:p w14:paraId="41823486" w14:textId="21BA4BB2" w:rsidR="00541ABC" w:rsidRDefault="00431480" w:rsidP="00431480">
            <w:pPr>
              <w:jc w:val="center"/>
            </w:pPr>
            <w:r>
              <w:t>(-0.1,0.4)</w:t>
            </w:r>
          </w:p>
        </w:tc>
        <w:tc>
          <w:tcPr>
            <w:tcW w:w="1403" w:type="dxa"/>
          </w:tcPr>
          <w:p w14:paraId="61277A0A" w14:textId="77777777" w:rsidR="00431480" w:rsidRDefault="00835881" w:rsidP="00431480">
            <w:pPr>
              <w:jc w:val="center"/>
            </w:pPr>
            <w:r>
              <w:t>-0.11</w:t>
            </w:r>
          </w:p>
          <w:p w14:paraId="299C6506" w14:textId="03522C9D" w:rsidR="00541ABC" w:rsidRDefault="00431480" w:rsidP="00431480">
            <w:pPr>
              <w:jc w:val="center"/>
            </w:pPr>
            <w:r>
              <w:t>(-0.6,0.4)</w:t>
            </w:r>
          </w:p>
        </w:tc>
        <w:tc>
          <w:tcPr>
            <w:tcW w:w="1460" w:type="dxa"/>
          </w:tcPr>
          <w:p w14:paraId="11FBFB84" w14:textId="77777777" w:rsidR="00431480" w:rsidRDefault="00835881" w:rsidP="00431480">
            <w:pPr>
              <w:jc w:val="center"/>
            </w:pPr>
            <w:r>
              <w:t>-0.10</w:t>
            </w:r>
          </w:p>
          <w:p w14:paraId="4FBC64B8" w14:textId="6687BA52" w:rsidR="00076586" w:rsidRDefault="00431480" w:rsidP="006678CF">
            <w:pPr>
              <w:jc w:val="center"/>
            </w:pPr>
            <w:r>
              <w:t>(-0.4,0.3)</w:t>
            </w:r>
          </w:p>
        </w:tc>
        <w:tc>
          <w:tcPr>
            <w:tcW w:w="1420" w:type="dxa"/>
          </w:tcPr>
          <w:p w14:paraId="2EDE7F27" w14:textId="77777777" w:rsidR="00431480" w:rsidRDefault="00835881" w:rsidP="00431480">
            <w:pPr>
              <w:jc w:val="center"/>
            </w:pPr>
            <w:r>
              <w:t>0.02</w:t>
            </w:r>
          </w:p>
          <w:p w14:paraId="680FA156" w14:textId="7FCBD1FD" w:rsidR="00541ABC" w:rsidRDefault="00431480" w:rsidP="00431480">
            <w:pPr>
              <w:jc w:val="center"/>
            </w:pPr>
            <w:r>
              <w:t>(-0.4,0.5)</w:t>
            </w:r>
          </w:p>
        </w:tc>
        <w:tc>
          <w:tcPr>
            <w:tcW w:w="1375" w:type="dxa"/>
          </w:tcPr>
          <w:p w14:paraId="4A0D6A1D" w14:textId="77777777" w:rsidR="00431480" w:rsidRDefault="00835881" w:rsidP="00431480">
            <w:pPr>
              <w:jc w:val="center"/>
            </w:pPr>
            <w:r>
              <w:t>0.02</w:t>
            </w:r>
          </w:p>
          <w:p w14:paraId="5FB0C748" w14:textId="70879730" w:rsidR="00541ABC" w:rsidRDefault="00431480" w:rsidP="00431480">
            <w:pPr>
              <w:jc w:val="center"/>
            </w:pPr>
            <w:r>
              <w:t>(-0.7,0.7)</w:t>
            </w:r>
          </w:p>
        </w:tc>
        <w:tc>
          <w:tcPr>
            <w:tcW w:w="1272" w:type="dxa"/>
          </w:tcPr>
          <w:p w14:paraId="7127615D" w14:textId="77777777" w:rsidR="00431480" w:rsidRDefault="00835881" w:rsidP="00431480">
            <w:pPr>
              <w:jc w:val="center"/>
            </w:pPr>
            <w:r>
              <w:t>-0.14</w:t>
            </w:r>
          </w:p>
          <w:p w14:paraId="600F5BDE" w14:textId="6953AE03" w:rsidR="00541ABC" w:rsidRDefault="00431480" w:rsidP="00431480">
            <w:pPr>
              <w:jc w:val="center"/>
            </w:pPr>
            <w:r>
              <w:t>(-0.4,0.1)</w:t>
            </w:r>
          </w:p>
        </w:tc>
      </w:tr>
      <w:tr w:rsidR="0057063E" w14:paraId="42E28030" w14:textId="344FD776" w:rsidTr="00A17267">
        <w:trPr>
          <w:trHeight w:val="495"/>
        </w:trPr>
        <w:tc>
          <w:tcPr>
            <w:tcW w:w="2189" w:type="dxa"/>
            <w:vAlign w:val="center"/>
          </w:tcPr>
          <w:p w14:paraId="34F085DF" w14:textId="586ACD9C" w:rsidR="00541ABC" w:rsidRDefault="00541ABC" w:rsidP="00076586">
            <w:pPr>
              <w:jc w:val="left"/>
            </w:pPr>
            <w:r w:rsidRPr="007F6C56">
              <w:rPr>
                <w:b/>
              </w:rPr>
              <w:t>Managers' support</w:t>
            </w:r>
            <w:r w:rsidR="00001653">
              <w:rPr>
                <w:b/>
              </w:rPr>
              <w:t xml:space="preserve"> (n=</w:t>
            </w:r>
            <w:r w:rsidR="00091F87">
              <w:rPr>
                <w:b/>
              </w:rPr>
              <w:t>146</w:t>
            </w:r>
            <w:r w:rsidR="00001653">
              <w:rPr>
                <w:b/>
              </w:rPr>
              <w:t>)</w:t>
            </w:r>
          </w:p>
        </w:tc>
        <w:tc>
          <w:tcPr>
            <w:tcW w:w="1572" w:type="dxa"/>
          </w:tcPr>
          <w:p w14:paraId="29D0705D" w14:textId="7942B474" w:rsidR="00541ABC" w:rsidRDefault="00210D53" w:rsidP="00AD73C8">
            <w:r>
              <w:t>Coefficient (95% CI)</w:t>
            </w:r>
          </w:p>
        </w:tc>
        <w:tc>
          <w:tcPr>
            <w:tcW w:w="1264" w:type="dxa"/>
          </w:tcPr>
          <w:p w14:paraId="7221467F" w14:textId="77777777" w:rsidR="00431480" w:rsidRPr="00D15504" w:rsidRDefault="00466E61" w:rsidP="00431480">
            <w:pPr>
              <w:jc w:val="center"/>
              <w:rPr>
                <w:b/>
              </w:rPr>
            </w:pPr>
            <w:r w:rsidRPr="00D15504">
              <w:rPr>
                <w:b/>
              </w:rPr>
              <w:t>0.27</w:t>
            </w:r>
          </w:p>
          <w:p w14:paraId="23DA0457" w14:textId="4320E3D1" w:rsidR="00541ABC" w:rsidRPr="00D15504" w:rsidRDefault="00431480" w:rsidP="00431480">
            <w:pPr>
              <w:jc w:val="center"/>
              <w:rPr>
                <w:b/>
              </w:rPr>
            </w:pPr>
            <w:r w:rsidRPr="00D15504">
              <w:rPr>
                <w:b/>
              </w:rPr>
              <w:t>(0.1,0.4)</w:t>
            </w:r>
          </w:p>
        </w:tc>
        <w:tc>
          <w:tcPr>
            <w:tcW w:w="1324" w:type="dxa"/>
          </w:tcPr>
          <w:p w14:paraId="1673D89C" w14:textId="77777777" w:rsidR="00431480" w:rsidRDefault="00431480" w:rsidP="00431480">
            <w:pPr>
              <w:jc w:val="center"/>
            </w:pPr>
            <w:r>
              <w:t>-0.16</w:t>
            </w:r>
          </w:p>
          <w:p w14:paraId="23EB3BB8" w14:textId="63B99A24" w:rsidR="00541ABC" w:rsidRDefault="00431480" w:rsidP="00431480">
            <w:pPr>
              <w:jc w:val="center"/>
            </w:pPr>
            <w:r>
              <w:t>(-0.4,0.1)</w:t>
            </w:r>
          </w:p>
        </w:tc>
        <w:tc>
          <w:tcPr>
            <w:tcW w:w="1257" w:type="dxa"/>
          </w:tcPr>
          <w:p w14:paraId="33A1F418" w14:textId="77777777" w:rsidR="00431480" w:rsidRDefault="00431480" w:rsidP="00431480">
            <w:pPr>
              <w:jc w:val="center"/>
            </w:pPr>
            <w:r>
              <w:t>0.04</w:t>
            </w:r>
          </w:p>
          <w:p w14:paraId="4ACCB0C5" w14:textId="6552B658" w:rsidR="00541ABC" w:rsidRDefault="00431480" w:rsidP="00431480">
            <w:pPr>
              <w:jc w:val="center"/>
            </w:pPr>
            <w:r>
              <w:t>(-0.2,0.3)</w:t>
            </w:r>
          </w:p>
        </w:tc>
        <w:tc>
          <w:tcPr>
            <w:tcW w:w="1403" w:type="dxa"/>
          </w:tcPr>
          <w:p w14:paraId="0F47A302" w14:textId="77777777" w:rsidR="00431480" w:rsidRDefault="00431480" w:rsidP="00431480">
            <w:pPr>
              <w:jc w:val="center"/>
            </w:pPr>
            <w:r>
              <w:t>0.007</w:t>
            </w:r>
          </w:p>
          <w:p w14:paraId="16B7A196" w14:textId="50726756" w:rsidR="00541ABC" w:rsidRDefault="00431480" w:rsidP="00431480">
            <w:pPr>
              <w:jc w:val="center"/>
            </w:pPr>
            <w:r>
              <w:t>(-0.4,0.4)</w:t>
            </w:r>
          </w:p>
        </w:tc>
        <w:tc>
          <w:tcPr>
            <w:tcW w:w="1460" w:type="dxa"/>
          </w:tcPr>
          <w:p w14:paraId="6B9E69EB" w14:textId="77777777" w:rsidR="00431480" w:rsidRDefault="00431480" w:rsidP="00431480">
            <w:pPr>
              <w:jc w:val="center"/>
            </w:pPr>
            <w:r>
              <w:t>0.08</w:t>
            </w:r>
          </w:p>
          <w:p w14:paraId="4DB2E1F3" w14:textId="26016057" w:rsidR="00541ABC" w:rsidRDefault="00431480" w:rsidP="00431480">
            <w:pPr>
              <w:jc w:val="center"/>
            </w:pPr>
            <w:r>
              <w:t>(-0.2,0.4)</w:t>
            </w:r>
          </w:p>
        </w:tc>
        <w:tc>
          <w:tcPr>
            <w:tcW w:w="1420" w:type="dxa"/>
          </w:tcPr>
          <w:p w14:paraId="5C1979E6" w14:textId="77777777" w:rsidR="00431480" w:rsidRDefault="00431480" w:rsidP="00431480">
            <w:pPr>
              <w:jc w:val="center"/>
            </w:pPr>
            <w:r>
              <w:t>0.18</w:t>
            </w:r>
          </w:p>
          <w:p w14:paraId="6745F855" w14:textId="4FF53228" w:rsidR="00541ABC" w:rsidRDefault="00431480" w:rsidP="00431480">
            <w:pPr>
              <w:jc w:val="center"/>
            </w:pPr>
            <w:r>
              <w:t>(-0.2,0.5)</w:t>
            </w:r>
          </w:p>
        </w:tc>
        <w:tc>
          <w:tcPr>
            <w:tcW w:w="1375" w:type="dxa"/>
          </w:tcPr>
          <w:p w14:paraId="54ADACEB" w14:textId="77777777" w:rsidR="00431480" w:rsidRDefault="00431480" w:rsidP="00431480">
            <w:pPr>
              <w:jc w:val="center"/>
            </w:pPr>
            <w:r>
              <w:t>0.15</w:t>
            </w:r>
          </w:p>
          <w:p w14:paraId="04BF8C0F" w14:textId="63B35973" w:rsidR="00541ABC" w:rsidRDefault="00431480" w:rsidP="00431480">
            <w:pPr>
              <w:jc w:val="center"/>
            </w:pPr>
            <w:r>
              <w:t>(-0.4,0.7)</w:t>
            </w:r>
          </w:p>
        </w:tc>
        <w:tc>
          <w:tcPr>
            <w:tcW w:w="1272" w:type="dxa"/>
          </w:tcPr>
          <w:p w14:paraId="30348E15" w14:textId="77777777" w:rsidR="00431480" w:rsidRDefault="00431480" w:rsidP="00431480">
            <w:pPr>
              <w:jc w:val="center"/>
            </w:pPr>
            <w:r>
              <w:t>0.11</w:t>
            </w:r>
          </w:p>
          <w:p w14:paraId="7609A042" w14:textId="69C400F8" w:rsidR="00541ABC" w:rsidRDefault="00431480" w:rsidP="00431480">
            <w:pPr>
              <w:jc w:val="center"/>
            </w:pPr>
            <w:r>
              <w:t>(-0.1,0.3)</w:t>
            </w:r>
          </w:p>
        </w:tc>
      </w:tr>
      <w:tr w:rsidR="0057063E" w14:paraId="54E68E96" w14:textId="7EBB6CCE" w:rsidTr="00A17267">
        <w:trPr>
          <w:trHeight w:val="504"/>
        </w:trPr>
        <w:tc>
          <w:tcPr>
            <w:tcW w:w="2189" w:type="dxa"/>
            <w:vAlign w:val="center"/>
          </w:tcPr>
          <w:p w14:paraId="44937567" w14:textId="7E500D73" w:rsidR="00541ABC" w:rsidRDefault="00541ABC" w:rsidP="00076586">
            <w:pPr>
              <w:jc w:val="left"/>
            </w:pPr>
            <w:r w:rsidRPr="007F6C56">
              <w:rPr>
                <w:b/>
              </w:rPr>
              <w:t>Peer support</w:t>
            </w:r>
            <w:r w:rsidR="00001653">
              <w:rPr>
                <w:b/>
              </w:rPr>
              <w:t xml:space="preserve"> (n=</w:t>
            </w:r>
            <w:r w:rsidR="00091F87">
              <w:rPr>
                <w:b/>
              </w:rPr>
              <w:t>146</w:t>
            </w:r>
            <w:r w:rsidR="00001653">
              <w:rPr>
                <w:b/>
              </w:rPr>
              <w:t>)</w:t>
            </w:r>
          </w:p>
        </w:tc>
        <w:tc>
          <w:tcPr>
            <w:tcW w:w="1572" w:type="dxa"/>
          </w:tcPr>
          <w:p w14:paraId="202B2D2D" w14:textId="63096A7B" w:rsidR="00541ABC" w:rsidRDefault="00210D53" w:rsidP="00AD73C8">
            <w:r>
              <w:t>Coefficient (95% CI)</w:t>
            </w:r>
          </w:p>
        </w:tc>
        <w:tc>
          <w:tcPr>
            <w:tcW w:w="1264" w:type="dxa"/>
          </w:tcPr>
          <w:p w14:paraId="4B83CEC9" w14:textId="77777777" w:rsidR="00431480" w:rsidRPr="00D15504" w:rsidRDefault="00466E61" w:rsidP="00431480">
            <w:pPr>
              <w:jc w:val="center"/>
              <w:rPr>
                <w:b/>
              </w:rPr>
            </w:pPr>
            <w:r w:rsidRPr="00D15504">
              <w:rPr>
                <w:b/>
              </w:rPr>
              <w:t>0.44</w:t>
            </w:r>
          </w:p>
          <w:p w14:paraId="28D2B2ED" w14:textId="33E24DF3" w:rsidR="00541ABC" w:rsidRPr="00D15504" w:rsidRDefault="00431480" w:rsidP="00431480">
            <w:pPr>
              <w:jc w:val="center"/>
              <w:rPr>
                <w:b/>
              </w:rPr>
            </w:pPr>
            <w:r w:rsidRPr="00D15504">
              <w:rPr>
                <w:b/>
              </w:rPr>
              <w:t>(0.3,0.6)</w:t>
            </w:r>
          </w:p>
        </w:tc>
        <w:tc>
          <w:tcPr>
            <w:tcW w:w="1324" w:type="dxa"/>
          </w:tcPr>
          <w:p w14:paraId="1010EA4D" w14:textId="77777777" w:rsidR="00431480" w:rsidRDefault="00431480" w:rsidP="00431480">
            <w:pPr>
              <w:jc w:val="center"/>
            </w:pPr>
            <w:r>
              <w:t>-0.01</w:t>
            </w:r>
          </w:p>
          <w:p w14:paraId="3CB01981" w14:textId="6C48C5E4" w:rsidR="00541ABC" w:rsidRDefault="00431480" w:rsidP="00431480">
            <w:pPr>
              <w:jc w:val="center"/>
            </w:pPr>
            <w:r>
              <w:t>(-0.3,0.2)</w:t>
            </w:r>
          </w:p>
        </w:tc>
        <w:tc>
          <w:tcPr>
            <w:tcW w:w="1257" w:type="dxa"/>
          </w:tcPr>
          <w:p w14:paraId="6F730A7F" w14:textId="77777777" w:rsidR="00431480" w:rsidRDefault="00431480" w:rsidP="00431480">
            <w:pPr>
              <w:jc w:val="center"/>
            </w:pPr>
            <w:r>
              <w:t>0.01</w:t>
            </w:r>
          </w:p>
          <w:p w14:paraId="7D03CA62" w14:textId="7FC57535" w:rsidR="00541ABC" w:rsidRDefault="00431480" w:rsidP="00431480">
            <w:pPr>
              <w:jc w:val="center"/>
            </w:pPr>
            <w:r>
              <w:t>(-0.2,0.2)</w:t>
            </w:r>
          </w:p>
        </w:tc>
        <w:tc>
          <w:tcPr>
            <w:tcW w:w="1403" w:type="dxa"/>
          </w:tcPr>
          <w:p w14:paraId="0183037B" w14:textId="77777777" w:rsidR="00431480" w:rsidRDefault="00431480" w:rsidP="00431480">
            <w:pPr>
              <w:jc w:val="center"/>
            </w:pPr>
            <w:r>
              <w:t>-0.10</w:t>
            </w:r>
          </w:p>
          <w:p w14:paraId="4FB26040" w14:textId="04DC2E63" w:rsidR="00541ABC" w:rsidRDefault="00431480" w:rsidP="00431480">
            <w:pPr>
              <w:jc w:val="center"/>
            </w:pPr>
            <w:r>
              <w:t>(-0.5,0.3)</w:t>
            </w:r>
          </w:p>
        </w:tc>
        <w:tc>
          <w:tcPr>
            <w:tcW w:w="1460" w:type="dxa"/>
          </w:tcPr>
          <w:p w14:paraId="44E857F2" w14:textId="77777777" w:rsidR="00431480" w:rsidRDefault="00431480" w:rsidP="00431480">
            <w:pPr>
              <w:jc w:val="center"/>
            </w:pPr>
            <w:r>
              <w:t>-0.09</w:t>
            </w:r>
          </w:p>
          <w:p w14:paraId="759E19AE" w14:textId="492A1FCD" w:rsidR="00541ABC" w:rsidRDefault="00431480" w:rsidP="00431480">
            <w:pPr>
              <w:jc w:val="center"/>
            </w:pPr>
            <w:r>
              <w:t>(-0.4,0.2)</w:t>
            </w:r>
          </w:p>
        </w:tc>
        <w:tc>
          <w:tcPr>
            <w:tcW w:w="1420" w:type="dxa"/>
          </w:tcPr>
          <w:p w14:paraId="680CDE98" w14:textId="77777777" w:rsidR="00431480" w:rsidRDefault="00431480" w:rsidP="00431480">
            <w:pPr>
              <w:jc w:val="center"/>
            </w:pPr>
            <w:r>
              <w:t>-0.26</w:t>
            </w:r>
          </w:p>
          <w:p w14:paraId="1807624F" w14:textId="3E2CACEA" w:rsidR="00541ABC" w:rsidRDefault="00431480" w:rsidP="00431480">
            <w:pPr>
              <w:jc w:val="center"/>
            </w:pPr>
            <w:r>
              <w:t>(-0.6,0.1)</w:t>
            </w:r>
          </w:p>
        </w:tc>
        <w:tc>
          <w:tcPr>
            <w:tcW w:w="1375" w:type="dxa"/>
          </w:tcPr>
          <w:p w14:paraId="4C9AEA65" w14:textId="77777777" w:rsidR="00431480" w:rsidRDefault="00431480" w:rsidP="00431480">
            <w:pPr>
              <w:jc w:val="center"/>
            </w:pPr>
            <w:r>
              <w:t>-0.50</w:t>
            </w:r>
          </w:p>
          <w:p w14:paraId="68982F13" w14:textId="77D02571" w:rsidR="00541ABC" w:rsidRDefault="00431480" w:rsidP="00431480">
            <w:pPr>
              <w:jc w:val="center"/>
            </w:pPr>
            <w:r>
              <w:t>(-1.0,0.0)</w:t>
            </w:r>
          </w:p>
        </w:tc>
        <w:tc>
          <w:tcPr>
            <w:tcW w:w="1272" w:type="dxa"/>
          </w:tcPr>
          <w:p w14:paraId="7405351A" w14:textId="77777777" w:rsidR="00431480" w:rsidRDefault="00431480" w:rsidP="00431480">
            <w:pPr>
              <w:jc w:val="center"/>
            </w:pPr>
            <w:r>
              <w:t>-0.01</w:t>
            </w:r>
          </w:p>
          <w:p w14:paraId="774A15A4" w14:textId="63CE1463" w:rsidR="00541ABC" w:rsidRDefault="00431480" w:rsidP="00431480">
            <w:pPr>
              <w:jc w:val="center"/>
            </w:pPr>
            <w:r>
              <w:t>(-0.2,0.2)</w:t>
            </w:r>
          </w:p>
        </w:tc>
      </w:tr>
      <w:tr w:rsidR="0057063E" w14:paraId="1AF4C5DC" w14:textId="77777777" w:rsidTr="00A17267">
        <w:trPr>
          <w:trHeight w:val="495"/>
        </w:trPr>
        <w:tc>
          <w:tcPr>
            <w:tcW w:w="2189" w:type="dxa"/>
            <w:vAlign w:val="center"/>
          </w:tcPr>
          <w:p w14:paraId="4E6104FE" w14:textId="67A3C07D" w:rsidR="00541ABC" w:rsidRPr="007F6C56" w:rsidRDefault="00541ABC" w:rsidP="00076586">
            <w:pPr>
              <w:jc w:val="left"/>
              <w:rPr>
                <w:b/>
              </w:rPr>
            </w:pPr>
            <w:r w:rsidRPr="007F6C56">
              <w:rPr>
                <w:b/>
              </w:rPr>
              <w:t>Relationships</w:t>
            </w:r>
            <w:r w:rsidR="00001653">
              <w:rPr>
                <w:b/>
              </w:rPr>
              <w:t xml:space="preserve"> (n=</w:t>
            </w:r>
            <w:r w:rsidR="00091F87">
              <w:rPr>
                <w:b/>
              </w:rPr>
              <w:t>143</w:t>
            </w:r>
            <w:r w:rsidR="00001653">
              <w:rPr>
                <w:b/>
              </w:rPr>
              <w:t>)</w:t>
            </w:r>
          </w:p>
        </w:tc>
        <w:tc>
          <w:tcPr>
            <w:tcW w:w="1572" w:type="dxa"/>
          </w:tcPr>
          <w:p w14:paraId="2FA064E7" w14:textId="7149CAA6" w:rsidR="00541ABC" w:rsidRDefault="00210D53" w:rsidP="00AD73C8">
            <w:r>
              <w:t>Coefficient (95% CI)</w:t>
            </w:r>
          </w:p>
        </w:tc>
        <w:tc>
          <w:tcPr>
            <w:tcW w:w="1264" w:type="dxa"/>
          </w:tcPr>
          <w:p w14:paraId="45894EFE" w14:textId="77777777" w:rsidR="00431480" w:rsidRPr="00D15504" w:rsidRDefault="00466E61" w:rsidP="00431480">
            <w:pPr>
              <w:jc w:val="center"/>
              <w:rPr>
                <w:b/>
              </w:rPr>
            </w:pPr>
            <w:r w:rsidRPr="00D15504">
              <w:rPr>
                <w:b/>
              </w:rPr>
              <w:t>0.33</w:t>
            </w:r>
          </w:p>
          <w:p w14:paraId="374BAC4A" w14:textId="77F7F1A2" w:rsidR="00541ABC" w:rsidRPr="00D15504" w:rsidRDefault="00431480" w:rsidP="00431480">
            <w:pPr>
              <w:jc w:val="center"/>
              <w:rPr>
                <w:b/>
              </w:rPr>
            </w:pPr>
            <w:r w:rsidRPr="00D15504">
              <w:rPr>
                <w:b/>
              </w:rPr>
              <w:t>(0.2,0.5)</w:t>
            </w:r>
          </w:p>
        </w:tc>
        <w:tc>
          <w:tcPr>
            <w:tcW w:w="1324" w:type="dxa"/>
          </w:tcPr>
          <w:p w14:paraId="08C4412E" w14:textId="77777777" w:rsidR="00431480" w:rsidRDefault="00431480" w:rsidP="00431480">
            <w:pPr>
              <w:jc w:val="center"/>
            </w:pPr>
            <w:r>
              <w:t>-0.02</w:t>
            </w:r>
          </w:p>
          <w:p w14:paraId="6D1D5976" w14:textId="6B627620" w:rsidR="00541ABC" w:rsidRDefault="00431480" w:rsidP="00431480">
            <w:pPr>
              <w:jc w:val="center"/>
            </w:pPr>
            <w:r>
              <w:t>(-0.4,0.4)</w:t>
            </w:r>
          </w:p>
        </w:tc>
        <w:tc>
          <w:tcPr>
            <w:tcW w:w="1257" w:type="dxa"/>
          </w:tcPr>
          <w:p w14:paraId="785CF8C6" w14:textId="77777777" w:rsidR="00431480" w:rsidRDefault="00431480" w:rsidP="00431480">
            <w:pPr>
              <w:jc w:val="center"/>
            </w:pPr>
            <w:r>
              <w:t>-0.04</w:t>
            </w:r>
          </w:p>
          <w:p w14:paraId="19FE081E" w14:textId="10CF2A1C" w:rsidR="00541ABC" w:rsidRDefault="00431480" w:rsidP="00431480">
            <w:pPr>
              <w:jc w:val="center"/>
            </w:pPr>
            <w:r>
              <w:t>(-0.4,0.3)</w:t>
            </w:r>
          </w:p>
        </w:tc>
        <w:tc>
          <w:tcPr>
            <w:tcW w:w="1403" w:type="dxa"/>
          </w:tcPr>
          <w:p w14:paraId="6D38DDFE" w14:textId="77777777" w:rsidR="00431480" w:rsidRDefault="00431480" w:rsidP="00431480">
            <w:pPr>
              <w:jc w:val="center"/>
            </w:pPr>
            <w:r>
              <w:t>-0.29</w:t>
            </w:r>
          </w:p>
          <w:p w14:paraId="418A314D" w14:textId="1F9DA0FB" w:rsidR="00541ABC" w:rsidRDefault="00431480" w:rsidP="00431480">
            <w:pPr>
              <w:jc w:val="center"/>
            </w:pPr>
            <w:r>
              <w:t>(-0.9,0.3)</w:t>
            </w:r>
          </w:p>
        </w:tc>
        <w:tc>
          <w:tcPr>
            <w:tcW w:w="1460" w:type="dxa"/>
          </w:tcPr>
          <w:p w14:paraId="0D58BE58" w14:textId="77777777" w:rsidR="00431480" w:rsidRDefault="00431480" w:rsidP="00431480">
            <w:pPr>
              <w:jc w:val="center"/>
            </w:pPr>
            <w:r>
              <w:t>-0.44</w:t>
            </w:r>
          </w:p>
          <w:p w14:paraId="6D923EF8" w14:textId="668FE364" w:rsidR="00541ABC" w:rsidRDefault="00431480" w:rsidP="00431480">
            <w:pPr>
              <w:jc w:val="center"/>
            </w:pPr>
            <w:r>
              <w:t>(-0.9,0.0)</w:t>
            </w:r>
          </w:p>
        </w:tc>
        <w:tc>
          <w:tcPr>
            <w:tcW w:w="1420" w:type="dxa"/>
          </w:tcPr>
          <w:p w14:paraId="54A4F3F3" w14:textId="77777777" w:rsidR="00431480" w:rsidRPr="00D15504" w:rsidRDefault="00466E61" w:rsidP="00431480">
            <w:pPr>
              <w:jc w:val="center"/>
              <w:rPr>
                <w:b/>
              </w:rPr>
            </w:pPr>
            <w:r w:rsidRPr="00D15504">
              <w:rPr>
                <w:b/>
              </w:rPr>
              <w:t>-0.83</w:t>
            </w:r>
          </w:p>
          <w:p w14:paraId="1E86B4CB" w14:textId="66B42CDD" w:rsidR="00541ABC" w:rsidRPr="00D15504" w:rsidRDefault="00431480" w:rsidP="00431480">
            <w:pPr>
              <w:jc w:val="center"/>
              <w:rPr>
                <w:b/>
              </w:rPr>
            </w:pPr>
            <w:r w:rsidRPr="00D15504">
              <w:rPr>
                <w:b/>
              </w:rPr>
              <w:t>(-</w:t>
            </w:r>
            <w:r w:rsidR="00B61BA3" w:rsidRPr="00D15504">
              <w:rPr>
                <w:b/>
              </w:rPr>
              <w:t>1.4</w:t>
            </w:r>
            <w:r w:rsidRPr="00D15504">
              <w:rPr>
                <w:b/>
              </w:rPr>
              <w:t>,</w:t>
            </w:r>
            <w:r w:rsidR="00B61BA3" w:rsidRPr="00D15504">
              <w:rPr>
                <w:b/>
              </w:rPr>
              <w:t>-0.3</w:t>
            </w:r>
            <w:r w:rsidRPr="00D15504">
              <w:rPr>
                <w:b/>
              </w:rPr>
              <w:t>)</w:t>
            </w:r>
          </w:p>
        </w:tc>
        <w:tc>
          <w:tcPr>
            <w:tcW w:w="1375" w:type="dxa"/>
          </w:tcPr>
          <w:p w14:paraId="1020E74D" w14:textId="77777777" w:rsidR="00431480" w:rsidRDefault="00431480" w:rsidP="00431480">
            <w:pPr>
              <w:jc w:val="center"/>
            </w:pPr>
            <w:r>
              <w:t>-0.29</w:t>
            </w:r>
          </w:p>
          <w:p w14:paraId="6123B763" w14:textId="7ED3D973" w:rsidR="00541ABC" w:rsidRDefault="00431480" w:rsidP="00431480">
            <w:pPr>
              <w:jc w:val="center"/>
            </w:pPr>
            <w:r>
              <w:t>(</w:t>
            </w:r>
            <w:r w:rsidR="00B61BA3">
              <w:t>-1.1</w:t>
            </w:r>
            <w:r>
              <w:t>,</w:t>
            </w:r>
            <w:r w:rsidR="00B61BA3">
              <w:t>0.5</w:t>
            </w:r>
            <w:r>
              <w:t>)</w:t>
            </w:r>
          </w:p>
        </w:tc>
        <w:tc>
          <w:tcPr>
            <w:tcW w:w="1272" w:type="dxa"/>
          </w:tcPr>
          <w:p w14:paraId="67CDC24E" w14:textId="77777777" w:rsidR="00431480" w:rsidRDefault="00431480" w:rsidP="00431480">
            <w:pPr>
              <w:jc w:val="center"/>
            </w:pPr>
            <w:r>
              <w:t>0.22</w:t>
            </w:r>
          </w:p>
          <w:p w14:paraId="30D29D99" w14:textId="7CCF7FF8" w:rsidR="00541ABC" w:rsidRDefault="00431480" w:rsidP="00431480">
            <w:pPr>
              <w:jc w:val="center"/>
            </w:pPr>
            <w:r>
              <w:t>(</w:t>
            </w:r>
            <w:r w:rsidR="00B61BA3">
              <w:t>-0.1</w:t>
            </w:r>
            <w:r>
              <w:t>,</w:t>
            </w:r>
            <w:r w:rsidR="00B61BA3">
              <w:t>0.5</w:t>
            </w:r>
            <w:r>
              <w:t>)</w:t>
            </w:r>
          </w:p>
        </w:tc>
      </w:tr>
      <w:tr w:rsidR="0057063E" w14:paraId="74EBD87F" w14:textId="77777777" w:rsidTr="00A17267">
        <w:trPr>
          <w:trHeight w:val="504"/>
        </w:trPr>
        <w:tc>
          <w:tcPr>
            <w:tcW w:w="2189" w:type="dxa"/>
            <w:vAlign w:val="center"/>
          </w:tcPr>
          <w:p w14:paraId="6B65D358" w14:textId="0B630707" w:rsidR="00541ABC" w:rsidRPr="007F6C56" w:rsidRDefault="00541ABC" w:rsidP="00076586">
            <w:pPr>
              <w:jc w:val="left"/>
              <w:rPr>
                <w:b/>
              </w:rPr>
            </w:pPr>
            <w:r w:rsidRPr="007F6C56">
              <w:rPr>
                <w:b/>
              </w:rPr>
              <w:t>Understanding of Role</w:t>
            </w:r>
            <w:r w:rsidR="00001653">
              <w:rPr>
                <w:b/>
              </w:rPr>
              <w:t xml:space="preserve"> (n=</w:t>
            </w:r>
            <w:r w:rsidR="00091F87">
              <w:rPr>
                <w:b/>
              </w:rPr>
              <w:t>142</w:t>
            </w:r>
            <w:r w:rsidR="00001653">
              <w:rPr>
                <w:b/>
              </w:rPr>
              <w:t>)</w:t>
            </w:r>
          </w:p>
        </w:tc>
        <w:tc>
          <w:tcPr>
            <w:tcW w:w="1572" w:type="dxa"/>
          </w:tcPr>
          <w:p w14:paraId="43314794" w14:textId="27F04E20" w:rsidR="00541ABC" w:rsidRDefault="00210D53" w:rsidP="00AD73C8">
            <w:r>
              <w:t>Coefficient (95% CI)</w:t>
            </w:r>
          </w:p>
        </w:tc>
        <w:tc>
          <w:tcPr>
            <w:tcW w:w="1264" w:type="dxa"/>
          </w:tcPr>
          <w:p w14:paraId="16964C38" w14:textId="77777777" w:rsidR="00431480" w:rsidRPr="00D15504" w:rsidRDefault="00466E61" w:rsidP="00431480">
            <w:pPr>
              <w:jc w:val="center"/>
              <w:rPr>
                <w:b/>
              </w:rPr>
            </w:pPr>
            <w:r w:rsidRPr="00D15504">
              <w:rPr>
                <w:b/>
              </w:rPr>
              <w:t>0.30</w:t>
            </w:r>
          </w:p>
          <w:p w14:paraId="5493C0B2" w14:textId="396331A5" w:rsidR="00541ABC" w:rsidRPr="00D15504" w:rsidRDefault="00431480" w:rsidP="00431480">
            <w:pPr>
              <w:jc w:val="center"/>
              <w:rPr>
                <w:b/>
              </w:rPr>
            </w:pPr>
            <w:r w:rsidRPr="00D15504">
              <w:rPr>
                <w:b/>
              </w:rPr>
              <w:t>(</w:t>
            </w:r>
            <w:r w:rsidR="00B61BA3" w:rsidRPr="00D15504">
              <w:rPr>
                <w:b/>
              </w:rPr>
              <w:t>0.1</w:t>
            </w:r>
            <w:r w:rsidRPr="00D15504">
              <w:rPr>
                <w:b/>
              </w:rPr>
              <w:t>,</w:t>
            </w:r>
            <w:r w:rsidR="00B61BA3" w:rsidRPr="00D15504">
              <w:rPr>
                <w:b/>
              </w:rPr>
              <w:t>0.5</w:t>
            </w:r>
            <w:r w:rsidRPr="00D15504">
              <w:rPr>
                <w:b/>
              </w:rPr>
              <w:t>)</w:t>
            </w:r>
          </w:p>
        </w:tc>
        <w:tc>
          <w:tcPr>
            <w:tcW w:w="1324" w:type="dxa"/>
          </w:tcPr>
          <w:p w14:paraId="349C0E7F" w14:textId="77777777" w:rsidR="00431480" w:rsidRDefault="00431480" w:rsidP="00431480">
            <w:pPr>
              <w:jc w:val="center"/>
            </w:pPr>
            <w:r>
              <w:t>-0.05</w:t>
            </w:r>
          </w:p>
          <w:p w14:paraId="435454E4" w14:textId="77D7AA7F" w:rsidR="00541ABC" w:rsidRDefault="00431480" w:rsidP="00431480">
            <w:pPr>
              <w:jc w:val="center"/>
            </w:pPr>
            <w:r>
              <w:t>(</w:t>
            </w:r>
            <w:r w:rsidR="00B61BA3">
              <w:t>-0.3</w:t>
            </w:r>
            <w:r>
              <w:t>,</w:t>
            </w:r>
            <w:r w:rsidR="00B61BA3">
              <w:t>0.2</w:t>
            </w:r>
            <w:r>
              <w:t>)</w:t>
            </w:r>
          </w:p>
        </w:tc>
        <w:tc>
          <w:tcPr>
            <w:tcW w:w="1257" w:type="dxa"/>
          </w:tcPr>
          <w:p w14:paraId="52C5BDA0" w14:textId="77777777" w:rsidR="00431480" w:rsidRPr="00D15504" w:rsidRDefault="00466E61" w:rsidP="00431480">
            <w:pPr>
              <w:jc w:val="center"/>
              <w:rPr>
                <w:b/>
              </w:rPr>
            </w:pPr>
            <w:r w:rsidRPr="00D15504">
              <w:rPr>
                <w:b/>
              </w:rPr>
              <w:t>-0.26</w:t>
            </w:r>
          </w:p>
          <w:p w14:paraId="15497BB5" w14:textId="5E6D585E" w:rsidR="00541ABC" w:rsidRDefault="00431480" w:rsidP="00431480">
            <w:pPr>
              <w:jc w:val="center"/>
            </w:pPr>
            <w:r w:rsidRPr="00D15504">
              <w:rPr>
                <w:b/>
              </w:rPr>
              <w:t>(</w:t>
            </w:r>
            <w:r w:rsidR="00B61BA3" w:rsidRPr="00D15504">
              <w:rPr>
                <w:b/>
              </w:rPr>
              <w:t>-0.5</w:t>
            </w:r>
            <w:r w:rsidRPr="00D15504">
              <w:rPr>
                <w:b/>
              </w:rPr>
              <w:t>,</w:t>
            </w:r>
            <w:r w:rsidR="00B61BA3" w:rsidRPr="00D15504">
              <w:rPr>
                <w:b/>
              </w:rPr>
              <w:t>-0.1</w:t>
            </w:r>
            <w:r w:rsidRPr="00D15504">
              <w:rPr>
                <w:b/>
              </w:rPr>
              <w:t>)</w:t>
            </w:r>
          </w:p>
        </w:tc>
        <w:tc>
          <w:tcPr>
            <w:tcW w:w="1403" w:type="dxa"/>
          </w:tcPr>
          <w:p w14:paraId="62EE788D" w14:textId="77777777" w:rsidR="00431480" w:rsidRDefault="00431480" w:rsidP="00431480">
            <w:pPr>
              <w:jc w:val="center"/>
            </w:pPr>
            <w:r>
              <w:t>-0.23</w:t>
            </w:r>
          </w:p>
          <w:p w14:paraId="3F1B902B" w14:textId="0E1BF000" w:rsidR="00541ABC" w:rsidRDefault="00431480" w:rsidP="00431480">
            <w:pPr>
              <w:jc w:val="center"/>
            </w:pPr>
            <w:r>
              <w:t>(</w:t>
            </w:r>
            <w:r w:rsidR="00B61BA3">
              <w:t>-0.6</w:t>
            </w:r>
            <w:r>
              <w:t>,</w:t>
            </w:r>
            <w:r w:rsidR="00B61BA3">
              <w:t>0.1</w:t>
            </w:r>
            <w:r>
              <w:t>)</w:t>
            </w:r>
          </w:p>
        </w:tc>
        <w:tc>
          <w:tcPr>
            <w:tcW w:w="1460" w:type="dxa"/>
          </w:tcPr>
          <w:p w14:paraId="6E8D9B89" w14:textId="77777777" w:rsidR="00431480" w:rsidRPr="00D15504" w:rsidRDefault="00466E61" w:rsidP="00431480">
            <w:pPr>
              <w:jc w:val="center"/>
              <w:rPr>
                <w:b/>
              </w:rPr>
            </w:pPr>
            <w:r w:rsidRPr="00D15504">
              <w:rPr>
                <w:b/>
              </w:rPr>
              <w:t>-0.30</w:t>
            </w:r>
          </w:p>
          <w:p w14:paraId="1F768B0E" w14:textId="286A1821" w:rsidR="00541ABC" w:rsidRDefault="00431480" w:rsidP="00431480">
            <w:pPr>
              <w:jc w:val="center"/>
            </w:pPr>
            <w:r w:rsidRPr="00D15504">
              <w:rPr>
                <w:b/>
              </w:rPr>
              <w:t>(</w:t>
            </w:r>
            <w:r w:rsidR="00B61BA3" w:rsidRPr="00D15504">
              <w:rPr>
                <w:b/>
              </w:rPr>
              <w:t>-0.6</w:t>
            </w:r>
            <w:r w:rsidRPr="00D15504">
              <w:rPr>
                <w:b/>
              </w:rPr>
              <w:t>,</w:t>
            </w:r>
            <w:r w:rsidR="00B61BA3" w:rsidRPr="00D15504">
              <w:rPr>
                <w:b/>
              </w:rPr>
              <w:t>-0.0</w:t>
            </w:r>
            <w:r w:rsidRPr="00D15504">
              <w:rPr>
                <w:b/>
              </w:rPr>
              <w:t>)</w:t>
            </w:r>
          </w:p>
        </w:tc>
        <w:tc>
          <w:tcPr>
            <w:tcW w:w="1420" w:type="dxa"/>
          </w:tcPr>
          <w:p w14:paraId="201844D1" w14:textId="77777777" w:rsidR="00431480" w:rsidRPr="00D15504" w:rsidRDefault="00466E61" w:rsidP="00431480">
            <w:pPr>
              <w:jc w:val="center"/>
              <w:rPr>
                <w:b/>
              </w:rPr>
            </w:pPr>
            <w:r w:rsidRPr="00D15504">
              <w:rPr>
                <w:b/>
              </w:rPr>
              <w:t>-0.36</w:t>
            </w:r>
          </w:p>
          <w:p w14:paraId="21C14BDD" w14:textId="2962B3EA" w:rsidR="00541ABC" w:rsidRPr="00D15504" w:rsidRDefault="00431480" w:rsidP="00431480">
            <w:pPr>
              <w:jc w:val="center"/>
              <w:rPr>
                <w:b/>
              </w:rPr>
            </w:pPr>
            <w:r w:rsidRPr="00D15504">
              <w:rPr>
                <w:b/>
              </w:rPr>
              <w:t>(</w:t>
            </w:r>
            <w:r w:rsidR="00B61BA3" w:rsidRPr="00D15504">
              <w:rPr>
                <w:b/>
              </w:rPr>
              <w:t>-0.7</w:t>
            </w:r>
            <w:r w:rsidRPr="00D15504">
              <w:rPr>
                <w:b/>
              </w:rPr>
              <w:t>,</w:t>
            </w:r>
            <w:r w:rsidR="00B61BA3" w:rsidRPr="00D15504">
              <w:rPr>
                <w:b/>
              </w:rPr>
              <w:t>-0.0</w:t>
            </w:r>
            <w:r w:rsidRPr="00D15504">
              <w:rPr>
                <w:b/>
              </w:rPr>
              <w:t>)</w:t>
            </w:r>
          </w:p>
        </w:tc>
        <w:tc>
          <w:tcPr>
            <w:tcW w:w="1375" w:type="dxa"/>
          </w:tcPr>
          <w:p w14:paraId="1D6A434C" w14:textId="77777777" w:rsidR="00431480" w:rsidRDefault="00466E61" w:rsidP="00431480">
            <w:pPr>
              <w:jc w:val="center"/>
            </w:pPr>
            <w:r>
              <w:t>-0.70</w:t>
            </w:r>
          </w:p>
          <w:p w14:paraId="17A17801" w14:textId="02832C5B" w:rsidR="00541ABC" w:rsidRDefault="00431480" w:rsidP="00431480">
            <w:pPr>
              <w:jc w:val="center"/>
            </w:pPr>
            <w:r>
              <w:t>(</w:t>
            </w:r>
            <w:r w:rsidR="00B61BA3">
              <w:t>-1.2</w:t>
            </w:r>
            <w:r>
              <w:t>,</w:t>
            </w:r>
            <w:r w:rsidR="00B61BA3">
              <w:t>-0.2</w:t>
            </w:r>
            <w:r>
              <w:t>)</w:t>
            </w:r>
          </w:p>
        </w:tc>
        <w:tc>
          <w:tcPr>
            <w:tcW w:w="1272" w:type="dxa"/>
          </w:tcPr>
          <w:p w14:paraId="31E2A654" w14:textId="77777777" w:rsidR="00431480" w:rsidRDefault="00431480" w:rsidP="00431480">
            <w:pPr>
              <w:jc w:val="center"/>
            </w:pPr>
            <w:r>
              <w:t>0.05</w:t>
            </w:r>
          </w:p>
          <w:p w14:paraId="0F882478" w14:textId="44C5EC53" w:rsidR="00541ABC" w:rsidRDefault="00431480" w:rsidP="00431480">
            <w:pPr>
              <w:jc w:val="center"/>
            </w:pPr>
            <w:r>
              <w:t>(</w:t>
            </w:r>
            <w:r w:rsidR="00B61BA3">
              <w:t>-0.1</w:t>
            </w:r>
            <w:r>
              <w:t>,</w:t>
            </w:r>
            <w:r w:rsidR="00B61BA3">
              <w:t>0.3</w:t>
            </w:r>
            <w:r>
              <w:t>)</w:t>
            </w:r>
          </w:p>
        </w:tc>
      </w:tr>
      <w:tr w:rsidR="0057063E" w14:paraId="76DB36AD" w14:textId="77777777" w:rsidTr="00A17267">
        <w:trPr>
          <w:trHeight w:val="504"/>
        </w:trPr>
        <w:tc>
          <w:tcPr>
            <w:tcW w:w="2189" w:type="dxa"/>
            <w:vAlign w:val="center"/>
          </w:tcPr>
          <w:p w14:paraId="4F31C9E1" w14:textId="0BC616DE" w:rsidR="00541ABC" w:rsidRPr="007F6C56" w:rsidRDefault="00541ABC" w:rsidP="00076586">
            <w:pPr>
              <w:jc w:val="left"/>
              <w:rPr>
                <w:b/>
              </w:rPr>
            </w:pPr>
            <w:r w:rsidRPr="007F6C56">
              <w:rPr>
                <w:b/>
              </w:rPr>
              <w:t>Response to workplace Change</w:t>
            </w:r>
            <w:r w:rsidR="00001653">
              <w:rPr>
                <w:b/>
              </w:rPr>
              <w:t xml:space="preserve"> (n=</w:t>
            </w:r>
            <w:r w:rsidR="00091F87">
              <w:rPr>
                <w:b/>
              </w:rPr>
              <w:t>140</w:t>
            </w:r>
            <w:r w:rsidR="00001653">
              <w:rPr>
                <w:b/>
              </w:rPr>
              <w:t>)</w:t>
            </w:r>
          </w:p>
        </w:tc>
        <w:tc>
          <w:tcPr>
            <w:tcW w:w="1572" w:type="dxa"/>
          </w:tcPr>
          <w:p w14:paraId="4C17F18A" w14:textId="7E9393E8" w:rsidR="00541ABC" w:rsidRDefault="00210D53" w:rsidP="00AD73C8">
            <w:r>
              <w:t>Coefficient (95% CI)</w:t>
            </w:r>
          </w:p>
        </w:tc>
        <w:tc>
          <w:tcPr>
            <w:tcW w:w="1264" w:type="dxa"/>
          </w:tcPr>
          <w:p w14:paraId="36BEC0C9" w14:textId="70B67FD6" w:rsidR="00431480" w:rsidRPr="00D15504" w:rsidRDefault="00466E61" w:rsidP="00431480">
            <w:pPr>
              <w:jc w:val="center"/>
              <w:rPr>
                <w:b/>
              </w:rPr>
            </w:pPr>
            <w:r w:rsidRPr="00D15504">
              <w:rPr>
                <w:b/>
              </w:rPr>
              <w:t>0.1</w:t>
            </w:r>
            <w:r w:rsidR="00431480" w:rsidRPr="00D15504">
              <w:rPr>
                <w:b/>
              </w:rPr>
              <w:t>6</w:t>
            </w:r>
          </w:p>
          <w:p w14:paraId="4D9A1904" w14:textId="24BF1AAA" w:rsidR="00541ABC" w:rsidRPr="00D15504" w:rsidRDefault="00431480" w:rsidP="00431480">
            <w:pPr>
              <w:jc w:val="center"/>
              <w:rPr>
                <w:b/>
              </w:rPr>
            </w:pPr>
            <w:r w:rsidRPr="00D15504">
              <w:rPr>
                <w:b/>
              </w:rPr>
              <w:t>(</w:t>
            </w:r>
            <w:r w:rsidR="00B61BA3" w:rsidRPr="00D15504">
              <w:rPr>
                <w:b/>
              </w:rPr>
              <w:t>0.0</w:t>
            </w:r>
            <w:r w:rsidRPr="00D15504">
              <w:rPr>
                <w:b/>
              </w:rPr>
              <w:t>,</w:t>
            </w:r>
            <w:r w:rsidR="00B61BA3" w:rsidRPr="00D15504">
              <w:rPr>
                <w:b/>
              </w:rPr>
              <w:t>0.3</w:t>
            </w:r>
            <w:r w:rsidRPr="00D15504">
              <w:rPr>
                <w:b/>
              </w:rPr>
              <w:t>)</w:t>
            </w:r>
          </w:p>
        </w:tc>
        <w:tc>
          <w:tcPr>
            <w:tcW w:w="1324" w:type="dxa"/>
          </w:tcPr>
          <w:p w14:paraId="5425CCCF" w14:textId="77777777" w:rsidR="00431480" w:rsidRDefault="00431480" w:rsidP="00431480">
            <w:pPr>
              <w:jc w:val="center"/>
            </w:pPr>
            <w:r>
              <w:t>0.07</w:t>
            </w:r>
          </w:p>
          <w:p w14:paraId="2BBE9F26" w14:textId="338115AB" w:rsidR="00541ABC" w:rsidRDefault="00431480" w:rsidP="00431480">
            <w:pPr>
              <w:jc w:val="center"/>
            </w:pPr>
            <w:r>
              <w:t>(</w:t>
            </w:r>
            <w:r w:rsidR="00B61BA3">
              <w:t>-0.3</w:t>
            </w:r>
            <w:r>
              <w:t>,</w:t>
            </w:r>
            <w:r w:rsidR="00B61BA3">
              <w:t>0.4</w:t>
            </w:r>
            <w:r>
              <w:t>)</w:t>
            </w:r>
          </w:p>
        </w:tc>
        <w:tc>
          <w:tcPr>
            <w:tcW w:w="1257" w:type="dxa"/>
          </w:tcPr>
          <w:p w14:paraId="10A6910F" w14:textId="77777777" w:rsidR="00431480" w:rsidRDefault="00431480" w:rsidP="00431480">
            <w:pPr>
              <w:jc w:val="center"/>
            </w:pPr>
            <w:r>
              <w:t>0.06</w:t>
            </w:r>
          </w:p>
          <w:p w14:paraId="4AEC2F79" w14:textId="10004952" w:rsidR="00541ABC" w:rsidRDefault="00431480" w:rsidP="00431480">
            <w:pPr>
              <w:jc w:val="center"/>
            </w:pPr>
            <w:r>
              <w:t>(</w:t>
            </w:r>
            <w:r w:rsidR="00B61BA3">
              <w:t>-0.3</w:t>
            </w:r>
            <w:r>
              <w:t>,</w:t>
            </w:r>
            <w:r w:rsidR="00B61BA3">
              <w:t>0.4</w:t>
            </w:r>
            <w:r>
              <w:t>)</w:t>
            </w:r>
          </w:p>
        </w:tc>
        <w:tc>
          <w:tcPr>
            <w:tcW w:w="1403" w:type="dxa"/>
          </w:tcPr>
          <w:p w14:paraId="05A838A7" w14:textId="77777777" w:rsidR="00431480" w:rsidRDefault="00431480" w:rsidP="00431480">
            <w:pPr>
              <w:jc w:val="center"/>
            </w:pPr>
            <w:r>
              <w:t>0.13</w:t>
            </w:r>
          </w:p>
          <w:p w14:paraId="61E61769" w14:textId="399521B6" w:rsidR="00541ABC" w:rsidRDefault="00431480" w:rsidP="00431480">
            <w:pPr>
              <w:jc w:val="center"/>
            </w:pPr>
            <w:r>
              <w:t>(</w:t>
            </w:r>
            <w:r w:rsidR="00B61BA3">
              <w:t>-0.5</w:t>
            </w:r>
            <w:r>
              <w:t>,</w:t>
            </w:r>
            <w:r w:rsidR="00B61BA3">
              <w:t>0.7</w:t>
            </w:r>
            <w:r>
              <w:t>)</w:t>
            </w:r>
          </w:p>
        </w:tc>
        <w:tc>
          <w:tcPr>
            <w:tcW w:w="1460" w:type="dxa"/>
          </w:tcPr>
          <w:p w14:paraId="5DD14751" w14:textId="77777777" w:rsidR="00431480" w:rsidRDefault="00431480" w:rsidP="00431480">
            <w:pPr>
              <w:jc w:val="center"/>
            </w:pPr>
            <w:r>
              <w:t>-0.06</w:t>
            </w:r>
          </w:p>
          <w:p w14:paraId="531D0AE8" w14:textId="2890D825" w:rsidR="00541ABC" w:rsidRDefault="00431480" w:rsidP="00431480">
            <w:pPr>
              <w:jc w:val="center"/>
            </w:pPr>
            <w:r>
              <w:t>(</w:t>
            </w:r>
            <w:r w:rsidR="00B61BA3">
              <w:t>-0.5</w:t>
            </w:r>
            <w:r>
              <w:t>,</w:t>
            </w:r>
            <w:r w:rsidR="00B61BA3">
              <w:t>0.4</w:t>
            </w:r>
            <w:r>
              <w:t>)</w:t>
            </w:r>
          </w:p>
        </w:tc>
        <w:tc>
          <w:tcPr>
            <w:tcW w:w="1420" w:type="dxa"/>
          </w:tcPr>
          <w:p w14:paraId="1B57A56E" w14:textId="77777777" w:rsidR="00431480" w:rsidRDefault="00431480" w:rsidP="00431480">
            <w:pPr>
              <w:jc w:val="center"/>
            </w:pPr>
            <w:r>
              <w:t>-0.10</w:t>
            </w:r>
          </w:p>
          <w:p w14:paraId="1C385879" w14:textId="370823DC" w:rsidR="00541ABC" w:rsidRDefault="00431480" w:rsidP="00431480">
            <w:pPr>
              <w:jc w:val="center"/>
            </w:pPr>
            <w:r>
              <w:t>(</w:t>
            </w:r>
            <w:r w:rsidR="00B61BA3">
              <w:t>-0.6</w:t>
            </w:r>
            <w:r>
              <w:t>,</w:t>
            </w:r>
            <w:r w:rsidR="00B61BA3">
              <w:t>0.4</w:t>
            </w:r>
            <w:r>
              <w:t>)</w:t>
            </w:r>
          </w:p>
        </w:tc>
        <w:tc>
          <w:tcPr>
            <w:tcW w:w="1375" w:type="dxa"/>
          </w:tcPr>
          <w:p w14:paraId="79F9C174" w14:textId="77777777" w:rsidR="00431480" w:rsidRDefault="00431480" w:rsidP="00431480">
            <w:pPr>
              <w:jc w:val="center"/>
            </w:pPr>
            <w:r>
              <w:t>-0.07</w:t>
            </w:r>
          </w:p>
          <w:p w14:paraId="446A038C" w14:textId="42A86E1B" w:rsidR="00541ABC" w:rsidRDefault="00431480" w:rsidP="00431480">
            <w:pPr>
              <w:jc w:val="center"/>
            </w:pPr>
            <w:r>
              <w:t>(</w:t>
            </w:r>
            <w:r w:rsidR="00B61BA3">
              <w:t>-0.8</w:t>
            </w:r>
            <w:r>
              <w:t>,</w:t>
            </w:r>
            <w:r w:rsidR="00B61BA3">
              <w:t>0.7</w:t>
            </w:r>
            <w:r>
              <w:t>)</w:t>
            </w:r>
          </w:p>
        </w:tc>
        <w:tc>
          <w:tcPr>
            <w:tcW w:w="1272" w:type="dxa"/>
          </w:tcPr>
          <w:p w14:paraId="3042CC02" w14:textId="77777777" w:rsidR="00431480" w:rsidRDefault="00431480" w:rsidP="00431480">
            <w:pPr>
              <w:jc w:val="center"/>
            </w:pPr>
            <w:r>
              <w:t>-0.08</w:t>
            </w:r>
          </w:p>
          <w:p w14:paraId="38A6ECE7" w14:textId="05FDF4B1" w:rsidR="00541ABC" w:rsidRDefault="00431480" w:rsidP="00431480">
            <w:pPr>
              <w:jc w:val="center"/>
            </w:pPr>
            <w:r>
              <w:t>(</w:t>
            </w:r>
            <w:r w:rsidR="00B61BA3">
              <w:t>-0.4</w:t>
            </w:r>
            <w:r>
              <w:t>,</w:t>
            </w:r>
            <w:r w:rsidR="00B61BA3">
              <w:t>0.2</w:t>
            </w:r>
            <w:r>
              <w:t>)</w:t>
            </w:r>
          </w:p>
        </w:tc>
      </w:tr>
      <w:tr w:rsidR="0057063E" w14:paraId="22C4FD2F" w14:textId="3F0F1576" w:rsidTr="00A17267">
        <w:trPr>
          <w:trHeight w:val="504"/>
        </w:trPr>
        <w:tc>
          <w:tcPr>
            <w:tcW w:w="2189" w:type="dxa"/>
            <w:vAlign w:val="center"/>
          </w:tcPr>
          <w:p w14:paraId="7F2D73F4" w14:textId="3D66C4BE" w:rsidR="00541ABC" w:rsidRDefault="00001653" w:rsidP="00076586">
            <w:pPr>
              <w:jc w:val="left"/>
            </w:pPr>
            <w:r>
              <w:rPr>
                <w:b/>
              </w:rPr>
              <w:t xml:space="preserve">HSE </w:t>
            </w:r>
            <w:r w:rsidR="00541ABC" w:rsidRPr="007F6C56">
              <w:rPr>
                <w:b/>
              </w:rPr>
              <w:t>domains combined</w:t>
            </w:r>
            <w:r>
              <w:rPr>
                <w:b/>
              </w:rPr>
              <w:t xml:space="preserve"> (n=</w:t>
            </w:r>
            <w:r w:rsidR="00091F87">
              <w:rPr>
                <w:b/>
              </w:rPr>
              <w:t>103</w:t>
            </w:r>
            <w:r>
              <w:rPr>
                <w:b/>
              </w:rPr>
              <w:t>)</w:t>
            </w:r>
          </w:p>
        </w:tc>
        <w:tc>
          <w:tcPr>
            <w:tcW w:w="1572" w:type="dxa"/>
          </w:tcPr>
          <w:p w14:paraId="39BA2013" w14:textId="43A358AC" w:rsidR="00541ABC" w:rsidRDefault="00210D53" w:rsidP="00AD73C8">
            <w:r>
              <w:t>Coefficient (95% CI)</w:t>
            </w:r>
          </w:p>
        </w:tc>
        <w:tc>
          <w:tcPr>
            <w:tcW w:w="1264" w:type="dxa"/>
          </w:tcPr>
          <w:p w14:paraId="2936D5DA" w14:textId="2A968A50" w:rsidR="00431480" w:rsidRPr="00D15504" w:rsidRDefault="00466E61" w:rsidP="00431480">
            <w:pPr>
              <w:jc w:val="center"/>
              <w:rPr>
                <w:b/>
              </w:rPr>
            </w:pPr>
            <w:r w:rsidRPr="00D15504">
              <w:rPr>
                <w:b/>
              </w:rPr>
              <w:t>0.4</w:t>
            </w:r>
            <w:r w:rsidR="00431480" w:rsidRPr="00D15504">
              <w:rPr>
                <w:b/>
              </w:rPr>
              <w:t>8</w:t>
            </w:r>
          </w:p>
          <w:p w14:paraId="75DAB7EE" w14:textId="7500D8E1" w:rsidR="00541ABC" w:rsidRPr="00D15504" w:rsidRDefault="00431480" w:rsidP="00431480">
            <w:pPr>
              <w:jc w:val="center"/>
              <w:rPr>
                <w:b/>
              </w:rPr>
            </w:pPr>
            <w:r w:rsidRPr="00D15504">
              <w:rPr>
                <w:b/>
              </w:rPr>
              <w:t>(</w:t>
            </w:r>
            <w:r w:rsidR="00B61BA3" w:rsidRPr="00D15504">
              <w:rPr>
                <w:b/>
              </w:rPr>
              <w:t>0.3</w:t>
            </w:r>
            <w:r w:rsidRPr="00D15504">
              <w:rPr>
                <w:b/>
              </w:rPr>
              <w:t>,</w:t>
            </w:r>
            <w:r w:rsidR="00B61BA3" w:rsidRPr="00D15504">
              <w:rPr>
                <w:b/>
              </w:rPr>
              <w:t>0.7</w:t>
            </w:r>
            <w:r w:rsidRPr="00D15504">
              <w:rPr>
                <w:b/>
              </w:rPr>
              <w:t>)</w:t>
            </w:r>
          </w:p>
        </w:tc>
        <w:tc>
          <w:tcPr>
            <w:tcW w:w="1324" w:type="dxa"/>
          </w:tcPr>
          <w:p w14:paraId="14A85DC9" w14:textId="77777777" w:rsidR="00431480" w:rsidRDefault="00431480" w:rsidP="00431480">
            <w:pPr>
              <w:jc w:val="center"/>
            </w:pPr>
            <w:r>
              <w:t>-0.05</w:t>
            </w:r>
          </w:p>
          <w:p w14:paraId="5C44A1FE" w14:textId="7D941117" w:rsidR="00541ABC" w:rsidRDefault="00431480" w:rsidP="00431480">
            <w:pPr>
              <w:jc w:val="center"/>
            </w:pPr>
            <w:r>
              <w:t>(</w:t>
            </w:r>
            <w:r w:rsidR="00B61BA3">
              <w:t>-0.2</w:t>
            </w:r>
            <w:r>
              <w:t>,</w:t>
            </w:r>
            <w:r w:rsidR="00B61BA3">
              <w:t>0.2</w:t>
            </w:r>
            <w:r>
              <w:t>)</w:t>
            </w:r>
          </w:p>
        </w:tc>
        <w:tc>
          <w:tcPr>
            <w:tcW w:w="1257" w:type="dxa"/>
          </w:tcPr>
          <w:p w14:paraId="223E0EED" w14:textId="77777777" w:rsidR="00431480" w:rsidRDefault="00431480" w:rsidP="00431480">
            <w:pPr>
              <w:jc w:val="center"/>
            </w:pPr>
            <w:r>
              <w:t>-0.001</w:t>
            </w:r>
          </w:p>
          <w:p w14:paraId="60A7C2A9" w14:textId="3C41A6B4" w:rsidR="00541ABC" w:rsidRDefault="00431480" w:rsidP="00431480">
            <w:pPr>
              <w:jc w:val="center"/>
            </w:pPr>
            <w:r>
              <w:t>(</w:t>
            </w:r>
            <w:r w:rsidR="00B61BA3">
              <w:t>-0.2</w:t>
            </w:r>
            <w:r>
              <w:t>,</w:t>
            </w:r>
            <w:r w:rsidR="00B61BA3">
              <w:t>0.2</w:t>
            </w:r>
            <w:r>
              <w:t>)</w:t>
            </w:r>
          </w:p>
        </w:tc>
        <w:tc>
          <w:tcPr>
            <w:tcW w:w="1403" w:type="dxa"/>
          </w:tcPr>
          <w:p w14:paraId="48952638" w14:textId="77777777" w:rsidR="00431480" w:rsidRDefault="00431480" w:rsidP="00431480">
            <w:pPr>
              <w:jc w:val="center"/>
            </w:pPr>
            <w:r>
              <w:t>-0.22</w:t>
            </w:r>
          </w:p>
          <w:p w14:paraId="4B9979CE" w14:textId="0DDECA55" w:rsidR="00541ABC" w:rsidRDefault="00431480" w:rsidP="00431480">
            <w:pPr>
              <w:jc w:val="center"/>
            </w:pPr>
            <w:r>
              <w:t>(</w:t>
            </w:r>
            <w:r w:rsidR="00B61BA3">
              <w:t>-0.5</w:t>
            </w:r>
            <w:r>
              <w:t>,</w:t>
            </w:r>
            <w:r w:rsidR="00B61BA3">
              <w:t>0.1</w:t>
            </w:r>
            <w:r>
              <w:t>)</w:t>
            </w:r>
          </w:p>
        </w:tc>
        <w:tc>
          <w:tcPr>
            <w:tcW w:w="1460" w:type="dxa"/>
          </w:tcPr>
          <w:p w14:paraId="7ABCC8D9" w14:textId="77777777" w:rsidR="00431480" w:rsidRDefault="00431480" w:rsidP="00431480">
            <w:pPr>
              <w:jc w:val="center"/>
            </w:pPr>
            <w:r>
              <w:t>-0.12</w:t>
            </w:r>
          </w:p>
          <w:p w14:paraId="6466851F" w14:textId="7032C29A" w:rsidR="00541ABC" w:rsidRDefault="00431480" w:rsidP="00431480">
            <w:pPr>
              <w:jc w:val="center"/>
            </w:pPr>
            <w:r>
              <w:t>(</w:t>
            </w:r>
            <w:r w:rsidR="00B61BA3">
              <w:t>-0.3</w:t>
            </w:r>
            <w:r>
              <w:t>,</w:t>
            </w:r>
            <w:r w:rsidR="00B61BA3">
              <w:t>0.1</w:t>
            </w:r>
            <w:r>
              <w:t>)</w:t>
            </w:r>
          </w:p>
        </w:tc>
        <w:tc>
          <w:tcPr>
            <w:tcW w:w="1420" w:type="dxa"/>
          </w:tcPr>
          <w:p w14:paraId="10DB26ED" w14:textId="77777777" w:rsidR="00431480" w:rsidRDefault="00431480" w:rsidP="00431480">
            <w:pPr>
              <w:jc w:val="center"/>
            </w:pPr>
            <w:r>
              <w:t>-0.19</w:t>
            </w:r>
          </w:p>
          <w:p w14:paraId="27B9D5C4" w14:textId="25C0A604" w:rsidR="00541ABC" w:rsidRDefault="00431480" w:rsidP="00431480">
            <w:pPr>
              <w:jc w:val="center"/>
            </w:pPr>
            <w:r>
              <w:t>(</w:t>
            </w:r>
            <w:r w:rsidR="00B61BA3">
              <w:t>-0.4</w:t>
            </w:r>
            <w:r>
              <w:t>,</w:t>
            </w:r>
            <w:r w:rsidR="00B61BA3">
              <w:t>0.1</w:t>
            </w:r>
            <w:r>
              <w:t>)</w:t>
            </w:r>
          </w:p>
        </w:tc>
        <w:tc>
          <w:tcPr>
            <w:tcW w:w="1375" w:type="dxa"/>
          </w:tcPr>
          <w:p w14:paraId="5938FDCD" w14:textId="77777777" w:rsidR="00431480" w:rsidRDefault="00431480" w:rsidP="00431480">
            <w:pPr>
              <w:jc w:val="center"/>
            </w:pPr>
            <w:r>
              <w:t>-0.25</w:t>
            </w:r>
          </w:p>
          <w:p w14:paraId="600C3E47" w14:textId="76078D07" w:rsidR="00541ABC" w:rsidRDefault="00431480" w:rsidP="00431480">
            <w:pPr>
              <w:jc w:val="center"/>
            </w:pPr>
            <w:r>
              <w:t>(</w:t>
            </w:r>
            <w:r w:rsidR="00B61BA3">
              <w:t>-0.6</w:t>
            </w:r>
            <w:r>
              <w:t>,</w:t>
            </w:r>
            <w:r w:rsidR="00B61BA3">
              <w:t>0.1</w:t>
            </w:r>
            <w:r>
              <w:t>)</w:t>
            </w:r>
          </w:p>
        </w:tc>
        <w:tc>
          <w:tcPr>
            <w:tcW w:w="1272" w:type="dxa"/>
          </w:tcPr>
          <w:p w14:paraId="673CB6A1" w14:textId="77777777" w:rsidR="00431480" w:rsidRDefault="00431480" w:rsidP="00431480">
            <w:pPr>
              <w:jc w:val="center"/>
            </w:pPr>
            <w:r>
              <w:t>0.04</w:t>
            </w:r>
          </w:p>
          <w:p w14:paraId="40B72B94" w14:textId="58B0CC01" w:rsidR="00541ABC" w:rsidRDefault="00431480" w:rsidP="00431480">
            <w:pPr>
              <w:jc w:val="center"/>
            </w:pPr>
            <w:r>
              <w:t>(</w:t>
            </w:r>
            <w:r w:rsidR="00B61BA3">
              <w:t>-0.1</w:t>
            </w:r>
            <w:r>
              <w:t>,</w:t>
            </w:r>
            <w:r w:rsidR="00B61BA3">
              <w:t>0.2</w:t>
            </w:r>
            <w:r>
              <w:t>)</w:t>
            </w:r>
          </w:p>
        </w:tc>
      </w:tr>
    </w:tbl>
    <w:p w14:paraId="79CBAC92" w14:textId="014FBB66" w:rsidR="009442B3" w:rsidRPr="00AD179C" w:rsidRDefault="0057063E" w:rsidP="001736E0">
      <w:pPr>
        <w:rPr>
          <w:sz w:val="18"/>
          <w:szCs w:val="18"/>
        </w:rPr>
        <w:sectPr w:rsidR="009442B3" w:rsidRPr="00AD179C" w:rsidSect="00B81047">
          <w:headerReference w:type="even" r:id="rId48"/>
          <w:headerReference w:type="default" r:id="rId49"/>
          <w:footerReference w:type="even" r:id="rId50"/>
          <w:footerReference w:type="default" r:id="rId51"/>
          <w:headerReference w:type="first" r:id="rId52"/>
          <w:footerReference w:type="first" r:id="rId53"/>
          <w:pgSz w:w="16838" w:h="11906" w:orient="landscape" w:code="9"/>
          <w:pgMar w:top="1440" w:right="1440" w:bottom="1440" w:left="1440" w:header="709" w:footer="709" w:gutter="0"/>
          <w:cols w:space="708"/>
          <w:docGrid w:linePitch="360"/>
        </w:sectPr>
      </w:pPr>
      <w:r w:rsidRPr="00AD179C">
        <w:rPr>
          <w:sz w:val="18"/>
          <w:szCs w:val="18"/>
        </w:rPr>
        <w:t>** For baseline the coefficient estimates the magnitude of influence of the score at baseline on the follow-up score; for district, cadre and facility type the coefficient estimates the difference specified.</w:t>
      </w:r>
      <w:r>
        <w:rPr>
          <w:sz w:val="18"/>
          <w:szCs w:val="18"/>
        </w:rPr>
        <w:t xml:space="preserve"> </w:t>
      </w:r>
      <w:r w:rsidR="00E61388" w:rsidRPr="00AD179C">
        <w:rPr>
          <w:sz w:val="18"/>
          <w:szCs w:val="18"/>
        </w:rPr>
        <w:t xml:space="preserve">MCHA = Maternal and Child Health Aide; </w:t>
      </w:r>
      <w:r w:rsidR="00076586" w:rsidRPr="00AD179C">
        <w:rPr>
          <w:sz w:val="18"/>
          <w:szCs w:val="18"/>
        </w:rPr>
        <w:t>S</w:t>
      </w:r>
      <w:r w:rsidR="00E61388" w:rsidRPr="00AD179C">
        <w:rPr>
          <w:sz w:val="18"/>
          <w:szCs w:val="18"/>
        </w:rPr>
        <w:t xml:space="preserve">ECHN = </w:t>
      </w:r>
      <w:r w:rsidR="00076586" w:rsidRPr="00AD179C">
        <w:rPr>
          <w:sz w:val="18"/>
          <w:szCs w:val="18"/>
        </w:rPr>
        <w:t xml:space="preserve">State </w:t>
      </w:r>
      <w:r w:rsidR="00E61388" w:rsidRPr="00AD179C">
        <w:rPr>
          <w:sz w:val="18"/>
          <w:szCs w:val="18"/>
        </w:rPr>
        <w:t>Enrolled Community Health Nurses</w:t>
      </w:r>
      <w:r>
        <w:rPr>
          <w:sz w:val="18"/>
          <w:szCs w:val="18"/>
        </w:rPr>
        <w:t xml:space="preserve">; CEmOC = facility providing comprehensive </w:t>
      </w:r>
      <w:r w:rsidR="00F60EF7">
        <w:rPr>
          <w:sz w:val="18"/>
          <w:szCs w:val="18"/>
        </w:rPr>
        <w:t>emergency obstetric care; BEmOC = facility providing basic emergency obstetric care</w:t>
      </w:r>
    </w:p>
    <w:p w14:paraId="05C88241" w14:textId="6AD4FC2A" w:rsidR="00CA6CE2" w:rsidRDefault="00CA6CE2" w:rsidP="00CA6CE2">
      <w:pPr>
        <w:rPr>
          <w:b/>
        </w:rPr>
      </w:pPr>
      <w:r w:rsidRPr="001736E0">
        <w:rPr>
          <w:b/>
          <w:u w:val="single"/>
        </w:rPr>
        <w:lastRenderedPageBreak/>
        <w:t xml:space="preserve">Table </w:t>
      </w:r>
      <w:r w:rsidR="00215FA5">
        <w:rPr>
          <w:b/>
          <w:u w:val="single"/>
        </w:rPr>
        <w:t>4</w:t>
      </w:r>
      <w:r w:rsidRPr="00405360">
        <w:rPr>
          <w:b/>
        </w:rPr>
        <w:t xml:space="preserve">: </w:t>
      </w:r>
      <w:r>
        <w:rPr>
          <w:b/>
        </w:rPr>
        <w:t>Comparison of s</w:t>
      </w:r>
      <w:r w:rsidRPr="00405360">
        <w:rPr>
          <w:b/>
        </w:rPr>
        <w:t xml:space="preserve">cores at baseline </w:t>
      </w:r>
      <w:r w:rsidR="00A353E7">
        <w:rPr>
          <w:b/>
        </w:rPr>
        <w:t xml:space="preserve">and follow-up </w:t>
      </w:r>
      <w:r w:rsidRPr="00405360">
        <w:rPr>
          <w:b/>
        </w:rPr>
        <w:t>for workplace risk factors by domain (</w:t>
      </w:r>
      <w:r w:rsidR="00076586">
        <w:rPr>
          <w:b/>
        </w:rPr>
        <w:t>WHOQOL BREF questionnaire)</w:t>
      </w:r>
      <w:r w:rsidRPr="008C70E2">
        <w:rPr>
          <w:b/>
        </w:rPr>
        <w:t xml:space="preserve">  </w:t>
      </w:r>
    </w:p>
    <w:p w14:paraId="3B7F6153" w14:textId="20C58F76" w:rsidR="00CC474D" w:rsidRDefault="00CC474D" w:rsidP="00CA6CE2">
      <w:pPr>
        <w:rPr>
          <w:b/>
        </w:rPr>
      </w:pPr>
    </w:p>
    <w:tbl>
      <w:tblPr>
        <w:tblStyle w:val="TableGrid"/>
        <w:tblW w:w="13786" w:type="dxa"/>
        <w:tblInd w:w="-15" w:type="dxa"/>
        <w:tblLayout w:type="fixed"/>
        <w:tblLook w:val="04A0" w:firstRow="1" w:lastRow="0" w:firstColumn="1" w:lastColumn="0" w:noHBand="0" w:noVBand="1"/>
      </w:tblPr>
      <w:tblGrid>
        <w:gridCol w:w="1992"/>
        <w:gridCol w:w="1465"/>
        <w:gridCol w:w="708"/>
        <w:gridCol w:w="1630"/>
        <w:gridCol w:w="1275"/>
        <w:gridCol w:w="906"/>
        <w:gridCol w:w="1608"/>
        <w:gridCol w:w="1847"/>
        <w:gridCol w:w="2355"/>
      </w:tblGrid>
      <w:tr w:rsidR="00CC474D" w14:paraId="3AEA6894" w14:textId="77777777" w:rsidTr="005C0FEE">
        <w:trPr>
          <w:gridAfter w:val="1"/>
          <w:wAfter w:w="2355" w:type="dxa"/>
          <w:trHeight w:val="269"/>
        </w:trPr>
        <w:tc>
          <w:tcPr>
            <w:tcW w:w="1992" w:type="dxa"/>
            <w:vMerge w:val="restart"/>
            <w:noWrap/>
            <w:vAlign w:val="center"/>
          </w:tcPr>
          <w:p w14:paraId="402BCDF3" w14:textId="77777777" w:rsidR="00CC474D" w:rsidRDefault="00CC474D" w:rsidP="005C0FEE">
            <w:pPr>
              <w:jc w:val="center"/>
              <w:rPr>
                <w:b/>
              </w:rPr>
            </w:pPr>
            <w:r>
              <w:rPr>
                <w:b/>
              </w:rPr>
              <w:t>Domain</w:t>
            </w:r>
          </w:p>
        </w:tc>
        <w:tc>
          <w:tcPr>
            <w:tcW w:w="1465" w:type="dxa"/>
            <w:vMerge w:val="restart"/>
            <w:vAlign w:val="center"/>
          </w:tcPr>
          <w:p w14:paraId="6B88B579" w14:textId="77777777" w:rsidR="00CC474D" w:rsidRPr="000C3735" w:rsidRDefault="00CC474D" w:rsidP="005C0FEE">
            <w:pPr>
              <w:jc w:val="center"/>
              <w:rPr>
                <w:b/>
                <w:sz w:val="18"/>
              </w:rPr>
            </w:pPr>
            <w:r w:rsidRPr="000C3735">
              <w:rPr>
                <w:b/>
                <w:sz w:val="18"/>
              </w:rPr>
              <w:t>Inter</w:t>
            </w:r>
            <w:r>
              <w:rPr>
                <w:b/>
                <w:sz w:val="18"/>
              </w:rPr>
              <w:t>-</w:t>
            </w:r>
            <w:r w:rsidRPr="000C3735">
              <w:rPr>
                <w:b/>
                <w:sz w:val="18"/>
              </w:rPr>
              <w:t>national Standard (SD)</w:t>
            </w:r>
          </w:p>
        </w:tc>
        <w:tc>
          <w:tcPr>
            <w:tcW w:w="3613" w:type="dxa"/>
            <w:gridSpan w:val="3"/>
            <w:vMerge w:val="restart"/>
            <w:vAlign w:val="center"/>
          </w:tcPr>
          <w:p w14:paraId="76A6C6C2" w14:textId="77777777" w:rsidR="00CC474D" w:rsidRDefault="00CC474D" w:rsidP="005C0FEE">
            <w:pPr>
              <w:jc w:val="center"/>
              <w:rPr>
                <w:b/>
              </w:rPr>
            </w:pPr>
            <w:r>
              <w:rPr>
                <w:b/>
              </w:rPr>
              <w:t>Baseline</w:t>
            </w:r>
          </w:p>
        </w:tc>
        <w:tc>
          <w:tcPr>
            <w:tcW w:w="4361" w:type="dxa"/>
            <w:gridSpan w:val="3"/>
            <w:vMerge w:val="restart"/>
            <w:vAlign w:val="center"/>
          </w:tcPr>
          <w:p w14:paraId="7723FE94" w14:textId="77777777" w:rsidR="00CC474D" w:rsidRDefault="00CC474D" w:rsidP="005C0FEE">
            <w:pPr>
              <w:jc w:val="center"/>
              <w:rPr>
                <w:b/>
              </w:rPr>
            </w:pPr>
            <w:r>
              <w:rPr>
                <w:b/>
              </w:rPr>
              <w:t>Follow up</w:t>
            </w:r>
          </w:p>
        </w:tc>
      </w:tr>
      <w:tr w:rsidR="00CC474D" w:rsidRPr="00490CF2" w14:paraId="7EDE06E4" w14:textId="77777777" w:rsidTr="005C0FEE">
        <w:trPr>
          <w:trHeight w:val="296"/>
        </w:trPr>
        <w:tc>
          <w:tcPr>
            <w:tcW w:w="1992" w:type="dxa"/>
            <w:vMerge/>
            <w:noWrap/>
            <w:vAlign w:val="bottom"/>
          </w:tcPr>
          <w:p w14:paraId="4DBAD67F" w14:textId="77777777" w:rsidR="00CC474D" w:rsidRDefault="00CC474D" w:rsidP="005C0FEE">
            <w:pPr>
              <w:jc w:val="center"/>
              <w:rPr>
                <w:b/>
              </w:rPr>
            </w:pPr>
          </w:p>
        </w:tc>
        <w:tc>
          <w:tcPr>
            <w:tcW w:w="1465" w:type="dxa"/>
            <w:vMerge/>
            <w:vAlign w:val="bottom"/>
          </w:tcPr>
          <w:p w14:paraId="13C3B316" w14:textId="77777777" w:rsidR="00CC474D" w:rsidRDefault="00CC474D" w:rsidP="005C0FEE">
            <w:pPr>
              <w:jc w:val="center"/>
              <w:rPr>
                <w:b/>
              </w:rPr>
            </w:pPr>
          </w:p>
        </w:tc>
        <w:tc>
          <w:tcPr>
            <w:tcW w:w="3613" w:type="dxa"/>
            <w:gridSpan w:val="3"/>
            <w:vMerge/>
            <w:vAlign w:val="bottom"/>
          </w:tcPr>
          <w:p w14:paraId="55BA0A83" w14:textId="77777777" w:rsidR="00CC474D" w:rsidRDefault="00CC474D" w:rsidP="005C0FEE">
            <w:pPr>
              <w:jc w:val="center"/>
              <w:rPr>
                <w:b/>
              </w:rPr>
            </w:pPr>
          </w:p>
        </w:tc>
        <w:tc>
          <w:tcPr>
            <w:tcW w:w="4361" w:type="dxa"/>
            <w:gridSpan w:val="3"/>
            <w:vMerge/>
            <w:vAlign w:val="bottom"/>
          </w:tcPr>
          <w:p w14:paraId="5D323448" w14:textId="77777777" w:rsidR="00CC474D" w:rsidRDefault="00CC474D" w:rsidP="005C0FEE">
            <w:pPr>
              <w:jc w:val="center"/>
              <w:rPr>
                <w:b/>
              </w:rPr>
            </w:pPr>
          </w:p>
        </w:tc>
        <w:tc>
          <w:tcPr>
            <w:tcW w:w="2355" w:type="dxa"/>
            <w:vAlign w:val="bottom"/>
          </w:tcPr>
          <w:p w14:paraId="6A0C8F30" w14:textId="77777777" w:rsidR="00CC474D" w:rsidRPr="00490CF2" w:rsidRDefault="00CC474D" w:rsidP="005C0FEE">
            <w:pPr>
              <w:jc w:val="center"/>
              <w:rPr>
                <w:b/>
              </w:rPr>
            </w:pPr>
            <w:r>
              <w:rPr>
                <w:b/>
              </w:rPr>
              <w:t>Change from baseline to follow-up</w:t>
            </w:r>
          </w:p>
        </w:tc>
      </w:tr>
      <w:tr w:rsidR="00CC474D" w:rsidRPr="00490CF2" w14:paraId="0780CF6E" w14:textId="77777777" w:rsidTr="005C0FEE">
        <w:trPr>
          <w:trHeight w:val="296"/>
        </w:trPr>
        <w:tc>
          <w:tcPr>
            <w:tcW w:w="1992" w:type="dxa"/>
            <w:vMerge/>
            <w:noWrap/>
            <w:vAlign w:val="bottom"/>
          </w:tcPr>
          <w:p w14:paraId="26BB4C98" w14:textId="77777777" w:rsidR="00CC474D" w:rsidRDefault="00CC474D" w:rsidP="005C0FEE">
            <w:pPr>
              <w:jc w:val="center"/>
              <w:rPr>
                <w:b/>
              </w:rPr>
            </w:pPr>
          </w:p>
        </w:tc>
        <w:tc>
          <w:tcPr>
            <w:tcW w:w="1465" w:type="dxa"/>
            <w:vMerge/>
            <w:vAlign w:val="bottom"/>
          </w:tcPr>
          <w:p w14:paraId="7A762F1E" w14:textId="77777777" w:rsidR="00CC474D" w:rsidRDefault="00CC474D" w:rsidP="005C0FEE">
            <w:pPr>
              <w:jc w:val="center"/>
              <w:rPr>
                <w:b/>
              </w:rPr>
            </w:pPr>
          </w:p>
        </w:tc>
        <w:tc>
          <w:tcPr>
            <w:tcW w:w="708" w:type="dxa"/>
            <w:vMerge w:val="restart"/>
            <w:vAlign w:val="bottom"/>
          </w:tcPr>
          <w:p w14:paraId="22FA922E" w14:textId="77777777" w:rsidR="00CC474D" w:rsidRDefault="00CC474D" w:rsidP="005C0FEE">
            <w:pPr>
              <w:jc w:val="center"/>
              <w:rPr>
                <w:b/>
              </w:rPr>
            </w:pPr>
            <w:r>
              <w:rPr>
                <w:b/>
              </w:rPr>
              <w:t>n</w:t>
            </w:r>
            <w:r w:rsidRPr="007A4455">
              <w:rPr>
                <w:b/>
                <w:vertAlign w:val="superscript"/>
              </w:rPr>
              <w:t xml:space="preserve"> a</w:t>
            </w:r>
          </w:p>
        </w:tc>
        <w:tc>
          <w:tcPr>
            <w:tcW w:w="1630" w:type="dxa"/>
            <w:vMerge w:val="restart"/>
            <w:vAlign w:val="bottom"/>
          </w:tcPr>
          <w:p w14:paraId="01C6A0FE" w14:textId="77777777" w:rsidR="00CC474D" w:rsidRPr="00D63468" w:rsidRDefault="00CC474D" w:rsidP="005C0FEE">
            <w:pPr>
              <w:jc w:val="center"/>
              <w:rPr>
                <w:b/>
              </w:rPr>
            </w:pPr>
            <w:r>
              <w:rPr>
                <w:b/>
              </w:rPr>
              <w:t>Cronbach’s α</w:t>
            </w:r>
          </w:p>
        </w:tc>
        <w:tc>
          <w:tcPr>
            <w:tcW w:w="1274" w:type="dxa"/>
            <w:vMerge w:val="restart"/>
            <w:vAlign w:val="bottom"/>
          </w:tcPr>
          <w:p w14:paraId="3C1ADF2E" w14:textId="77777777" w:rsidR="00CC474D" w:rsidRPr="00D63468" w:rsidRDefault="00CC474D" w:rsidP="005C0FEE">
            <w:pPr>
              <w:jc w:val="center"/>
              <w:rPr>
                <w:b/>
              </w:rPr>
            </w:pPr>
            <w:r>
              <w:rPr>
                <w:b/>
              </w:rPr>
              <w:t>Mean (sd)</w:t>
            </w:r>
          </w:p>
        </w:tc>
        <w:tc>
          <w:tcPr>
            <w:tcW w:w="906" w:type="dxa"/>
            <w:vMerge w:val="restart"/>
            <w:vAlign w:val="bottom"/>
          </w:tcPr>
          <w:p w14:paraId="6DF0B650" w14:textId="77777777" w:rsidR="00CC474D" w:rsidRDefault="00CC474D" w:rsidP="005C0FEE">
            <w:pPr>
              <w:jc w:val="center"/>
              <w:rPr>
                <w:b/>
              </w:rPr>
            </w:pPr>
            <w:r>
              <w:rPr>
                <w:b/>
              </w:rPr>
              <w:t>n</w:t>
            </w:r>
          </w:p>
        </w:tc>
        <w:tc>
          <w:tcPr>
            <w:tcW w:w="1608" w:type="dxa"/>
            <w:vMerge w:val="restart"/>
            <w:vAlign w:val="bottom"/>
          </w:tcPr>
          <w:p w14:paraId="468EFA4C" w14:textId="77777777" w:rsidR="00CC474D" w:rsidRDefault="00CC474D" w:rsidP="005C0FEE">
            <w:pPr>
              <w:jc w:val="center"/>
              <w:rPr>
                <w:b/>
              </w:rPr>
            </w:pPr>
            <w:r>
              <w:rPr>
                <w:b/>
              </w:rPr>
              <w:t>Cronbach’s α</w:t>
            </w:r>
          </w:p>
        </w:tc>
        <w:tc>
          <w:tcPr>
            <w:tcW w:w="1846" w:type="dxa"/>
            <w:vMerge w:val="restart"/>
            <w:vAlign w:val="bottom"/>
          </w:tcPr>
          <w:p w14:paraId="76250A5A" w14:textId="77777777" w:rsidR="00CC474D" w:rsidRDefault="00CC474D" w:rsidP="005C0FEE">
            <w:pPr>
              <w:jc w:val="center"/>
              <w:rPr>
                <w:b/>
              </w:rPr>
            </w:pPr>
            <w:r>
              <w:rPr>
                <w:b/>
              </w:rPr>
              <w:t>Mean</w:t>
            </w:r>
          </w:p>
          <w:p w14:paraId="060B093F" w14:textId="77777777" w:rsidR="00CC474D" w:rsidRDefault="00CC474D" w:rsidP="005C0FEE">
            <w:pPr>
              <w:jc w:val="center"/>
              <w:rPr>
                <w:b/>
              </w:rPr>
            </w:pPr>
            <w:r>
              <w:rPr>
                <w:b/>
              </w:rPr>
              <w:t>(sd)</w:t>
            </w:r>
          </w:p>
        </w:tc>
        <w:tc>
          <w:tcPr>
            <w:tcW w:w="2355" w:type="dxa"/>
            <w:vMerge w:val="restart"/>
            <w:vAlign w:val="bottom"/>
          </w:tcPr>
          <w:p w14:paraId="706E74C0" w14:textId="77777777" w:rsidR="00CC474D" w:rsidRPr="00490CF2" w:rsidRDefault="00CC474D" w:rsidP="005C0FEE">
            <w:pPr>
              <w:jc w:val="center"/>
              <w:rPr>
                <w:b/>
              </w:rPr>
            </w:pPr>
            <w:r w:rsidRPr="00490CF2">
              <w:rPr>
                <w:b/>
              </w:rPr>
              <w:t>Mean</w:t>
            </w:r>
          </w:p>
          <w:p w14:paraId="5881D2CC" w14:textId="77777777" w:rsidR="00CC474D" w:rsidRPr="00490CF2" w:rsidRDefault="00CC474D" w:rsidP="005C0FEE">
            <w:pPr>
              <w:jc w:val="center"/>
              <w:rPr>
                <w:b/>
              </w:rPr>
            </w:pPr>
            <w:r w:rsidRPr="00490CF2">
              <w:rPr>
                <w:b/>
              </w:rPr>
              <w:t>(95% CI)</w:t>
            </w:r>
          </w:p>
        </w:tc>
      </w:tr>
      <w:tr w:rsidR="00CC474D" w14:paraId="35AD7784" w14:textId="77777777" w:rsidTr="005C0FEE">
        <w:trPr>
          <w:trHeight w:val="403"/>
        </w:trPr>
        <w:tc>
          <w:tcPr>
            <w:tcW w:w="1992" w:type="dxa"/>
            <w:vMerge/>
            <w:noWrap/>
          </w:tcPr>
          <w:p w14:paraId="73A250FA" w14:textId="77777777" w:rsidR="00CC474D" w:rsidRPr="007F6C56" w:rsidRDefault="00CC474D" w:rsidP="005C0FEE">
            <w:pPr>
              <w:spacing w:line="360" w:lineRule="auto"/>
              <w:jc w:val="left"/>
              <w:rPr>
                <w:b/>
              </w:rPr>
            </w:pPr>
          </w:p>
        </w:tc>
        <w:tc>
          <w:tcPr>
            <w:tcW w:w="1465" w:type="dxa"/>
            <w:vMerge/>
            <w:vAlign w:val="center"/>
          </w:tcPr>
          <w:p w14:paraId="3509727E" w14:textId="77777777" w:rsidR="00CC474D" w:rsidRDefault="00CC474D" w:rsidP="005C0FEE">
            <w:pPr>
              <w:jc w:val="center"/>
            </w:pPr>
          </w:p>
        </w:tc>
        <w:tc>
          <w:tcPr>
            <w:tcW w:w="708" w:type="dxa"/>
            <w:vMerge/>
          </w:tcPr>
          <w:p w14:paraId="467A265D" w14:textId="77777777" w:rsidR="00CC474D" w:rsidRDefault="00CC474D" w:rsidP="005C0FEE">
            <w:pPr>
              <w:jc w:val="center"/>
            </w:pPr>
          </w:p>
        </w:tc>
        <w:tc>
          <w:tcPr>
            <w:tcW w:w="1630" w:type="dxa"/>
            <w:vMerge/>
            <w:vAlign w:val="center"/>
          </w:tcPr>
          <w:p w14:paraId="571E886A" w14:textId="77777777" w:rsidR="00CC474D" w:rsidRDefault="00CC474D" w:rsidP="005C0FEE">
            <w:pPr>
              <w:jc w:val="center"/>
            </w:pPr>
          </w:p>
        </w:tc>
        <w:tc>
          <w:tcPr>
            <w:tcW w:w="1274" w:type="dxa"/>
            <w:vMerge/>
            <w:vAlign w:val="center"/>
          </w:tcPr>
          <w:p w14:paraId="4964210D" w14:textId="77777777" w:rsidR="00CC474D" w:rsidRDefault="00CC474D" w:rsidP="005C0FEE">
            <w:pPr>
              <w:jc w:val="center"/>
            </w:pPr>
          </w:p>
        </w:tc>
        <w:tc>
          <w:tcPr>
            <w:tcW w:w="906" w:type="dxa"/>
            <w:vMerge/>
          </w:tcPr>
          <w:p w14:paraId="2154C1B2" w14:textId="77777777" w:rsidR="00CC474D" w:rsidRDefault="00CC474D" w:rsidP="005C0FEE">
            <w:pPr>
              <w:jc w:val="center"/>
              <w:rPr>
                <w:b/>
              </w:rPr>
            </w:pPr>
          </w:p>
        </w:tc>
        <w:tc>
          <w:tcPr>
            <w:tcW w:w="1608" w:type="dxa"/>
            <w:vMerge/>
          </w:tcPr>
          <w:p w14:paraId="4B979890" w14:textId="77777777" w:rsidR="00CC474D" w:rsidRDefault="00CC474D" w:rsidP="005C0FEE">
            <w:pPr>
              <w:jc w:val="center"/>
              <w:rPr>
                <w:b/>
              </w:rPr>
            </w:pPr>
          </w:p>
        </w:tc>
        <w:tc>
          <w:tcPr>
            <w:tcW w:w="1846" w:type="dxa"/>
            <w:vMerge/>
            <w:vAlign w:val="center"/>
          </w:tcPr>
          <w:p w14:paraId="11C4B06B" w14:textId="77777777" w:rsidR="00CC474D" w:rsidRDefault="00CC474D" w:rsidP="005C0FEE">
            <w:pPr>
              <w:jc w:val="center"/>
              <w:rPr>
                <w:b/>
              </w:rPr>
            </w:pPr>
          </w:p>
        </w:tc>
        <w:tc>
          <w:tcPr>
            <w:tcW w:w="2355" w:type="dxa"/>
            <w:vMerge/>
          </w:tcPr>
          <w:p w14:paraId="41B0C61F" w14:textId="77777777" w:rsidR="00CC474D" w:rsidRDefault="00CC474D" w:rsidP="005C0FEE">
            <w:pPr>
              <w:jc w:val="center"/>
              <w:rPr>
                <w:b/>
              </w:rPr>
            </w:pPr>
          </w:p>
        </w:tc>
      </w:tr>
      <w:tr w:rsidR="00CC474D" w:rsidRPr="009F288B" w14:paraId="464A8D98" w14:textId="77777777" w:rsidTr="005C0FEE">
        <w:trPr>
          <w:trHeight w:val="346"/>
        </w:trPr>
        <w:tc>
          <w:tcPr>
            <w:tcW w:w="1992" w:type="dxa"/>
            <w:noWrap/>
            <w:hideMark/>
          </w:tcPr>
          <w:p w14:paraId="5ACEDE24" w14:textId="77777777" w:rsidR="00CC474D" w:rsidRPr="007F6C56" w:rsidRDefault="00CC474D" w:rsidP="005C0FEE">
            <w:pPr>
              <w:jc w:val="left"/>
              <w:rPr>
                <w:b/>
              </w:rPr>
            </w:pPr>
            <w:r>
              <w:rPr>
                <w:b/>
              </w:rPr>
              <w:t>Physical health</w:t>
            </w:r>
          </w:p>
        </w:tc>
        <w:tc>
          <w:tcPr>
            <w:tcW w:w="1465" w:type="dxa"/>
            <w:vAlign w:val="center"/>
          </w:tcPr>
          <w:p w14:paraId="4D2CE717" w14:textId="77777777" w:rsidR="00CC474D" w:rsidRPr="00076586" w:rsidRDefault="00CC474D" w:rsidP="005C0FEE">
            <w:pPr>
              <w:jc w:val="center"/>
              <w:rPr>
                <w:color w:val="000000" w:themeColor="text1"/>
              </w:rPr>
            </w:pPr>
            <w:r w:rsidRPr="00076586">
              <w:rPr>
                <w:color w:val="000000" w:themeColor="text1"/>
              </w:rPr>
              <w:t>73.5 (18.1)</w:t>
            </w:r>
          </w:p>
        </w:tc>
        <w:tc>
          <w:tcPr>
            <w:tcW w:w="708" w:type="dxa"/>
          </w:tcPr>
          <w:p w14:paraId="4EAA394B" w14:textId="77777777" w:rsidR="00CC474D" w:rsidRDefault="00CC474D" w:rsidP="005C0FEE">
            <w:pPr>
              <w:jc w:val="center"/>
              <w:rPr>
                <w:color w:val="000000" w:themeColor="text1"/>
              </w:rPr>
            </w:pPr>
            <w:r>
              <w:rPr>
                <w:color w:val="000000" w:themeColor="text1"/>
              </w:rPr>
              <w:t>208/ 217</w:t>
            </w:r>
          </w:p>
        </w:tc>
        <w:tc>
          <w:tcPr>
            <w:tcW w:w="1630" w:type="dxa"/>
            <w:vAlign w:val="center"/>
          </w:tcPr>
          <w:p w14:paraId="7364C736" w14:textId="77777777" w:rsidR="00CC474D" w:rsidRPr="00076586" w:rsidRDefault="00CC474D" w:rsidP="005C0FEE">
            <w:pPr>
              <w:jc w:val="center"/>
              <w:rPr>
                <w:color w:val="000000" w:themeColor="text1"/>
              </w:rPr>
            </w:pPr>
            <w:r>
              <w:rPr>
                <w:color w:val="000000" w:themeColor="text1"/>
              </w:rPr>
              <w:t>0.57</w:t>
            </w:r>
          </w:p>
        </w:tc>
        <w:tc>
          <w:tcPr>
            <w:tcW w:w="1274" w:type="dxa"/>
            <w:vAlign w:val="center"/>
          </w:tcPr>
          <w:p w14:paraId="7C3B6211" w14:textId="77777777" w:rsidR="00CC474D" w:rsidRDefault="00CC474D" w:rsidP="005C0FEE">
            <w:pPr>
              <w:jc w:val="center"/>
            </w:pPr>
            <w:r>
              <w:t xml:space="preserve">52.3 </w:t>
            </w:r>
          </w:p>
          <w:p w14:paraId="0D2E2555" w14:textId="77777777" w:rsidR="00CC474D" w:rsidRPr="007D2780" w:rsidRDefault="00CC474D" w:rsidP="005C0FEE">
            <w:pPr>
              <w:jc w:val="center"/>
            </w:pPr>
            <w:r>
              <w:t>(10.6)</w:t>
            </w:r>
          </w:p>
        </w:tc>
        <w:tc>
          <w:tcPr>
            <w:tcW w:w="906" w:type="dxa"/>
          </w:tcPr>
          <w:p w14:paraId="3E5AEACC" w14:textId="77777777" w:rsidR="00CC474D" w:rsidRPr="00D15504" w:rsidRDefault="00CC474D" w:rsidP="005C0FEE">
            <w:pPr>
              <w:jc w:val="center"/>
            </w:pPr>
            <w:r w:rsidRPr="00D15504">
              <w:t>150</w:t>
            </w:r>
          </w:p>
        </w:tc>
        <w:tc>
          <w:tcPr>
            <w:tcW w:w="1608" w:type="dxa"/>
            <w:vAlign w:val="center"/>
          </w:tcPr>
          <w:p w14:paraId="40EE6170" w14:textId="77777777" w:rsidR="00CC474D" w:rsidRPr="00210D53" w:rsidRDefault="00CC474D" w:rsidP="005C0FEE">
            <w:pPr>
              <w:jc w:val="center"/>
              <w:rPr>
                <w:b/>
              </w:rPr>
            </w:pPr>
            <w:r>
              <w:t>0.64</w:t>
            </w:r>
          </w:p>
        </w:tc>
        <w:tc>
          <w:tcPr>
            <w:tcW w:w="1846" w:type="dxa"/>
            <w:vAlign w:val="center"/>
          </w:tcPr>
          <w:p w14:paraId="141CCA8D" w14:textId="77777777" w:rsidR="00CC474D" w:rsidRDefault="00CC474D" w:rsidP="005C0FEE">
            <w:pPr>
              <w:jc w:val="center"/>
            </w:pPr>
            <w:r>
              <w:t>50.0</w:t>
            </w:r>
          </w:p>
          <w:p w14:paraId="2F9333ED" w14:textId="77777777" w:rsidR="00CC474D" w:rsidRPr="00210D53" w:rsidRDefault="00CC474D" w:rsidP="005C0FEE">
            <w:pPr>
              <w:jc w:val="center"/>
              <w:rPr>
                <w:b/>
              </w:rPr>
            </w:pPr>
            <w:r>
              <w:t xml:space="preserve"> (10.9)</w:t>
            </w:r>
          </w:p>
        </w:tc>
        <w:tc>
          <w:tcPr>
            <w:tcW w:w="2355" w:type="dxa"/>
            <w:vAlign w:val="center"/>
          </w:tcPr>
          <w:p w14:paraId="3D3BE77C" w14:textId="77777777" w:rsidR="00CC474D" w:rsidRPr="000504D1" w:rsidRDefault="00CC474D" w:rsidP="005C0FEE">
            <w:pPr>
              <w:jc w:val="center"/>
              <w:rPr>
                <w:b/>
              </w:rPr>
            </w:pPr>
            <w:r w:rsidRPr="000504D1">
              <w:rPr>
                <w:b/>
              </w:rPr>
              <w:t>-2.3</w:t>
            </w:r>
          </w:p>
          <w:p w14:paraId="3E2C5876" w14:textId="77777777" w:rsidR="00CC474D" w:rsidRPr="009F288B" w:rsidRDefault="00CC474D" w:rsidP="005C0FEE">
            <w:pPr>
              <w:jc w:val="center"/>
              <w:rPr>
                <w:b/>
              </w:rPr>
            </w:pPr>
            <w:r w:rsidRPr="000504D1">
              <w:rPr>
                <w:b/>
              </w:rPr>
              <w:t>(-4.1,-0.5)</w:t>
            </w:r>
          </w:p>
        </w:tc>
      </w:tr>
      <w:tr w:rsidR="00CC474D" w:rsidRPr="000504D1" w14:paraId="7E1A68DA" w14:textId="77777777" w:rsidTr="005C0FEE">
        <w:trPr>
          <w:trHeight w:val="297"/>
        </w:trPr>
        <w:tc>
          <w:tcPr>
            <w:tcW w:w="1992" w:type="dxa"/>
            <w:noWrap/>
            <w:vAlign w:val="bottom"/>
            <w:hideMark/>
          </w:tcPr>
          <w:p w14:paraId="3526DB2F" w14:textId="77777777" w:rsidR="00CC474D" w:rsidRPr="007F6C56" w:rsidRDefault="00CC474D" w:rsidP="005C0FEE">
            <w:pPr>
              <w:jc w:val="left"/>
              <w:rPr>
                <w:b/>
              </w:rPr>
            </w:pPr>
            <w:r>
              <w:rPr>
                <w:b/>
              </w:rPr>
              <w:t xml:space="preserve">Psychological well-being </w:t>
            </w:r>
          </w:p>
        </w:tc>
        <w:tc>
          <w:tcPr>
            <w:tcW w:w="1465" w:type="dxa"/>
            <w:vAlign w:val="center"/>
          </w:tcPr>
          <w:p w14:paraId="2EB3612F" w14:textId="77777777" w:rsidR="00CC474D" w:rsidRPr="00076586" w:rsidRDefault="00CC474D" w:rsidP="005C0FEE">
            <w:pPr>
              <w:jc w:val="center"/>
              <w:rPr>
                <w:color w:val="000000" w:themeColor="text1"/>
              </w:rPr>
            </w:pPr>
            <w:r w:rsidRPr="00076586">
              <w:rPr>
                <w:color w:val="000000" w:themeColor="text1"/>
              </w:rPr>
              <w:t>70.6 (14.0)</w:t>
            </w:r>
          </w:p>
        </w:tc>
        <w:tc>
          <w:tcPr>
            <w:tcW w:w="708" w:type="dxa"/>
          </w:tcPr>
          <w:p w14:paraId="32A40A03" w14:textId="77777777" w:rsidR="00CC474D" w:rsidRDefault="00CC474D" w:rsidP="005C0FEE">
            <w:pPr>
              <w:jc w:val="center"/>
              <w:rPr>
                <w:color w:val="000000" w:themeColor="text1"/>
              </w:rPr>
            </w:pPr>
            <w:r>
              <w:rPr>
                <w:color w:val="000000" w:themeColor="text1"/>
              </w:rPr>
              <w:t>212/ 221</w:t>
            </w:r>
          </w:p>
        </w:tc>
        <w:tc>
          <w:tcPr>
            <w:tcW w:w="1630" w:type="dxa"/>
            <w:vAlign w:val="center"/>
          </w:tcPr>
          <w:p w14:paraId="5A20E8EF" w14:textId="77777777" w:rsidR="00CC474D" w:rsidRPr="00076586" w:rsidRDefault="00CC474D" w:rsidP="005C0FEE">
            <w:pPr>
              <w:jc w:val="center"/>
              <w:rPr>
                <w:color w:val="000000" w:themeColor="text1"/>
              </w:rPr>
            </w:pPr>
            <w:r>
              <w:rPr>
                <w:color w:val="000000" w:themeColor="text1"/>
              </w:rPr>
              <w:t>0.65</w:t>
            </w:r>
          </w:p>
        </w:tc>
        <w:tc>
          <w:tcPr>
            <w:tcW w:w="1274" w:type="dxa"/>
            <w:vAlign w:val="center"/>
          </w:tcPr>
          <w:p w14:paraId="3B94FC7B" w14:textId="77777777" w:rsidR="00CC474D" w:rsidRPr="00076586" w:rsidRDefault="00CC474D" w:rsidP="005C0FEE">
            <w:pPr>
              <w:jc w:val="center"/>
              <w:rPr>
                <w:color w:val="000000" w:themeColor="text1"/>
              </w:rPr>
            </w:pPr>
            <w:r w:rsidRPr="00076586">
              <w:rPr>
                <w:color w:val="000000" w:themeColor="text1"/>
              </w:rPr>
              <w:t>5</w:t>
            </w:r>
            <w:r>
              <w:rPr>
                <w:color w:val="000000" w:themeColor="text1"/>
              </w:rPr>
              <w:t>4.3</w:t>
            </w:r>
          </w:p>
          <w:p w14:paraId="5DA6C47D" w14:textId="77777777" w:rsidR="00CC474D" w:rsidRPr="00076586" w:rsidRDefault="00CC474D" w:rsidP="005C0FEE">
            <w:pPr>
              <w:jc w:val="center"/>
              <w:rPr>
                <w:color w:val="000000" w:themeColor="text1"/>
              </w:rPr>
            </w:pPr>
            <w:r w:rsidRPr="00076586">
              <w:rPr>
                <w:color w:val="000000" w:themeColor="text1"/>
              </w:rPr>
              <w:t>(</w:t>
            </w:r>
            <w:r>
              <w:rPr>
                <w:color w:val="000000" w:themeColor="text1"/>
              </w:rPr>
              <w:t>9.4</w:t>
            </w:r>
            <w:r w:rsidRPr="00076586">
              <w:rPr>
                <w:color w:val="000000" w:themeColor="text1"/>
              </w:rPr>
              <w:t>)</w:t>
            </w:r>
          </w:p>
        </w:tc>
        <w:tc>
          <w:tcPr>
            <w:tcW w:w="906" w:type="dxa"/>
          </w:tcPr>
          <w:p w14:paraId="61CCC607" w14:textId="77777777" w:rsidR="00CC474D" w:rsidRPr="00D15504" w:rsidRDefault="00CC474D" w:rsidP="005C0FEE">
            <w:pPr>
              <w:jc w:val="center"/>
            </w:pPr>
            <w:r w:rsidRPr="00D15504">
              <w:rPr>
                <w:color w:val="000000" w:themeColor="text1"/>
              </w:rPr>
              <w:t>152</w:t>
            </w:r>
          </w:p>
        </w:tc>
        <w:tc>
          <w:tcPr>
            <w:tcW w:w="1608" w:type="dxa"/>
            <w:vAlign w:val="center"/>
          </w:tcPr>
          <w:p w14:paraId="07D5D37D" w14:textId="77777777" w:rsidR="00CC474D" w:rsidRPr="00076586" w:rsidRDefault="00CC474D" w:rsidP="005C0FEE">
            <w:pPr>
              <w:jc w:val="center"/>
              <w:rPr>
                <w:color w:val="000000" w:themeColor="text1"/>
              </w:rPr>
            </w:pPr>
            <w:r>
              <w:t>0.67</w:t>
            </w:r>
          </w:p>
        </w:tc>
        <w:tc>
          <w:tcPr>
            <w:tcW w:w="1846" w:type="dxa"/>
            <w:vAlign w:val="center"/>
          </w:tcPr>
          <w:p w14:paraId="311F06D4" w14:textId="77777777" w:rsidR="00CC474D" w:rsidRDefault="00CC474D" w:rsidP="005C0FEE">
            <w:pPr>
              <w:jc w:val="center"/>
            </w:pPr>
            <w:r>
              <w:t>52.2</w:t>
            </w:r>
          </w:p>
          <w:p w14:paraId="0E55B122" w14:textId="77777777" w:rsidR="00CC474D" w:rsidRPr="00076586" w:rsidRDefault="00CC474D" w:rsidP="005C0FEE">
            <w:pPr>
              <w:jc w:val="center"/>
              <w:rPr>
                <w:color w:val="000000" w:themeColor="text1"/>
              </w:rPr>
            </w:pPr>
            <w:r>
              <w:t>(10.2)</w:t>
            </w:r>
          </w:p>
        </w:tc>
        <w:tc>
          <w:tcPr>
            <w:tcW w:w="2355" w:type="dxa"/>
            <w:vAlign w:val="center"/>
          </w:tcPr>
          <w:p w14:paraId="08792F16" w14:textId="77777777" w:rsidR="00CC474D" w:rsidRPr="000504D1" w:rsidRDefault="00CC474D" w:rsidP="005C0FEE">
            <w:pPr>
              <w:jc w:val="center"/>
              <w:rPr>
                <w:b/>
              </w:rPr>
            </w:pPr>
            <w:r w:rsidRPr="000504D1">
              <w:rPr>
                <w:b/>
              </w:rPr>
              <w:t>-2.3</w:t>
            </w:r>
          </w:p>
          <w:p w14:paraId="2C100847" w14:textId="77777777" w:rsidR="00CC474D" w:rsidRPr="000504D1" w:rsidRDefault="00CC474D" w:rsidP="005C0FEE">
            <w:pPr>
              <w:jc w:val="center"/>
              <w:rPr>
                <w:b/>
                <w:color w:val="000000" w:themeColor="text1"/>
              </w:rPr>
            </w:pPr>
            <w:r w:rsidRPr="000504D1">
              <w:rPr>
                <w:b/>
              </w:rPr>
              <w:t>(-4.1,-0.4)</w:t>
            </w:r>
          </w:p>
        </w:tc>
      </w:tr>
      <w:tr w:rsidR="00CC474D" w:rsidRPr="00210D53" w14:paraId="0912ABA9" w14:textId="77777777" w:rsidTr="005C0FEE">
        <w:trPr>
          <w:trHeight w:val="213"/>
        </w:trPr>
        <w:tc>
          <w:tcPr>
            <w:tcW w:w="1992" w:type="dxa"/>
            <w:noWrap/>
            <w:hideMark/>
          </w:tcPr>
          <w:p w14:paraId="563563F6" w14:textId="77777777" w:rsidR="00CC474D" w:rsidRPr="007F6C56" w:rsidRDefault="00CC474D" w:rsidP="005C0FEE">
            <w:pPr>
              <w:jc w:val="left"/>
              <w:rPr>
                <w:b/>
              </w:rPr>
            </w:pPr>
            <w:r>
              <w:rPr>
                <w:b/>
              </w:rPr>
              <w:t xml:space="preserve">Social relationships </w:t>
            </w:r>
          </w:p>
        </w:tc>
        <w:tc>
          <w:tcPr>
            <w:tcW w:w="1465" w:type="dxa"/>
            <w:vAlign w:val="center"/>
          </w:tcPr>
          <w:p w14:paraId="5948BC71" w14:textId="77777777" w:rsidR="00CC474D" w:rsidRPr="00076586" w:rsidRDefault="00CC474D" w:rsidP="005C0FEE">
            <w:pPr>
              <w:jc w:val="center"/>
              <w:rPr>
                <w:color w:val="000000" w:themeColor="text1"/>
              </w:rPr>
            </w:pPr>
            <w:r w:rsidRPr="00076586">
              <w:rPr>
                <w:color w:val="000000" w:themeColor="text1"/>
              </w:rPr>
              <w:t>71.5 (18.2)</w:t>
            </w:r>
          </w:p>
        </w:tc>
        <w:tc>
          <w:tcPr>
            <w:tcW w:w="708" w:type="dxa"/>
          </w:tcPr>
          <w:p w14:paraId="5672205A" w14:textId="77777777" w:rsidR="00CC474D" w:rsidRDefault="00CC474D" w:rsidP="005C0FEE">
            <w:pPr>
              <w:jc w:val="center"/>
              <w:rPr>
                <w:color w:val="000000" w:themeColor="text1"/>
              </w:rPr>
            </w:pPr>
            <w:r>
              <w:rPr>
                <w:color w:val="000000" w:themeColor="text1"/>
              </w:rPr>
              <w:t>213/ 222</w:t>
            </w:r>
          </w:p>
        </w:tc>
        <w:tc>
          <w:tcPr>
            <w:tcW w:w="1630" w:type="dxa"/>
            <w:vAlign w:val="center"/>
          </w:tcPr>
          <w:p w14:paraId="73500CB6" w14:textId="77777777" w:rsidR="00CC474D" w:rsidRPr="00076586" w:rsidRDefault="00CC474D" w:rsidP="005C0FEE">
            <w:pPr>
              <w:jc w:val="center"/>
              <w:rPr>
                <w:color w:val="000000" w:themeColor="text1"/>
              </w:rPr>
            </w:pPr>
            <w:r>
              <w:rPr>
                <w:color w:val="000000" w:themeColor="text1"/>
              </w:rPr>
              <w:t>0.64</w:t>
            </w:r>
          </w:p>
        </w:tc>
        <w:tc>
          <w:tcPr>
            <w:tcW w:w="1274" w:type="dxa"/>
            <w:vAlign w:val="center"/>
          </w:tcPr>
          <w:p w14:paraId="61049129" w14:textId="77777777" w:rsidR="00CC474D" w:rsidRDefault="00CC474D" w:rsidP="005C0FEE">
            <w:pPr>
              <w:jc w:val="center"/>
            </w:pPr>
            <w:r>
              <w:t>56.3</w:t>
            </w:r>
          </w:p>
          <w:p w14:paraId="0741B33B" w14:textId="77777777" w:rsidR="00CC474D" w:rsidRPr="007D2780" w:rsidRDefault="00CC474D" w:rsidP="005C0FEE">
            <w:pPr>
              <w:jc w:val="center"/>
            </w:pPr>
            <w:r>
              <w:t>(14.2)</w:t>
            </w:r>
          </w:p>
        </w:tc>
        <w:tc>
          <w:tcPr>
            <w:tcW w:w="906" w:type="dxa"/>
          </w:tcPr>
          <w:p w14:paraId="7E859008" w14:textId="77777777" w:rsidR="00CC474D" w:rsidRPr="00D15504" w:rsidRDefault="00CC474D" w:rsidP="005C0FEE">
            <w:pPr>
              <w:jc w:val="center"/>
            </w:pPr>
            <w:r w:rsidRPr="00D15504">
              <w:t>154</w:t>
            </w:r>
          </w:p>
        </w:tc>
        <w:tc>
          <w:tcPr>
            <w:tcW w:w="1608" w:type="dxa"/>
            <w:vAlign w:val="center"/>
          </w:tcPr>
          <w:p w14:paraId="64F38C8C" w14:textId="77777777" w:rsidR="00CC474D" w:rsidRPr="00210D53" w:rsidRDefault="00CC474D" w:rsidP="005C0FEE">
            <w:pPr>
              <w:jc w:val="center"/>
            </w:pPr>
            <w:r>
              <w:t>0.67</w:t>
            </w:r>
          </w:p>
        </w:tc>
        <w:tc>
          <w:tcPr>
            <w:tcW w:w="1846" w:type="dxa"/>
            <w:vAlign w:val="center"/>
          </w:tcPr>
          <w:p w14:paraId="6E63CA9F" w14:textId="77777777" w:rsidR="00CC474D" w:rsidRDefault="00CC474D" w:rsidP="005C0FEE">
            <w:pPr>
              <w:jc w:val="center"/>
            </w:pPr>
            <w:r>
              <w:t>57.4</w:t>
            </w:r>
          </w:p>
          <w:p w14:paraId="056127F5" w14:textId="77777777" w:rsidR="00CC474D" w:rsidRPr="00210D53" w:rsidRDefault="00CC474D" w:rsidP="005C0FEE">
            <w:pPr>
              <w:jc w:val="center"/>
            </w:pPr>
            <w:r>
              <w:t>(12.8)</w:t>
            </w:r>
          </w:p>
        </w:tc>
        <w:tc>
          <w:tcPr>
            <w:tcW w:w="2355" w:type="dxa"/>
            <w:vAlign w:val="center"/>
          </w:tcPr>
          <w:p w14:paraId="7B468E95" w14:textId="77777777" w:rsidR="00CC474D" w:rsidRDefault="00CC474D" w:rsidP="005C0FEE">
            <w:pPr>
              <w:jc w:val="center"/>
            </w:pPr>
            <w:r>
              <w:t>0.7</w:t>
            </w:r>
          </w:p>
          <w:p w14:paraId="5CD8ED41" w14:textId="77777777" w:rsidR="00CC474D" w:rsidRPr="00210D53" w:rsidRDefault="00CC474D" w:rsidP="005C0FEE">
            <w:pPr>
              <w:jc w:val="center"/>
            </w:pPr>
            <w:r>
              <w:t>(-1.9,3.2)</w:t>
            </w:r>
          </w:p>
        </w:tc>
      </w:tr>
      <w:tr w:rsidR="00CC474D" w:rsidRPr="00210D53" w14:paraId="2D6A8643" w14:textId="77777777" w:rsidTr="005C0FEE">
        <w:trPr>
          <w:trHeight w:val="328"/>
        </w:trPr>
        <w:tc>
          <w:tcPr>
            <w:tcW w:w="1992" w:type="dxa"/>
            <w:noWrap/>
            <w:hideMark/>
          </w:tcPr>
          <w:p w14:paraId="2C502C17" w14:textId="77777777" w:rsidR="00CC474D" w:rsidRPr="007F6C56" w:rsidRDefault="00CC474D" w:rsidP="005C0FEE">
            <w:pPr>
              <w:jc w:val="left"/>
              <w:rPr>
                <w:b/>
              </w:rPr>
            </w:pPr>
            <w:r>
              <w:rPr>
                <w:b/>
              </w:rPr>
              <w:t xml:space="preserve">Environment </w:t>
            </w:r>
          </w:p>
        </w:tc>
        <w:tc>
          <w:tcPr>
            <w:tcW w:w="1465" w:type="dxa"/>
            <w:vAlign w:val="center"/>
          </w:tcPr>
          <w:p w14:paraId="1AB842F4" w14:textId="77777777" w:rsidR="00CC474D" w:rsidRPr="00076586" w:rsidRDefault="00CC474D" w:rsidP="005C0FEE">
            <w:pPr>
              <w:jc w:val="center"/>
              <w:rPr>
                <w:color w:val="000000" w:themeColor="text1"/>
              </w:rPr>
            </w:pPr>
            <w:r w:rsidRPr="00076586">
              <w:rPr>
                <w:color w:val="000000" w:themeColor="text1"/>
              </w:rPr>
              <w:t>75.1 (13.0)</w:t>
            </w:r>
          </w:p>
        </w:tc>
        <w:tc>
          <w:tcPr>
            <w:tcW w:w="708" w:type="dxa"/>
          </w:tcPr>
          <w:p w14:paraId="29ED40E4" w14:textId="77777777" w:rsidR="00CC474D" w:rsidRDefault="00CC474D" w:rsidP="005C0FEE">
            <w:pPr>
              <w:jc w:val="center"/>
              <w:rPr>
                <w:color w:val="000000" w:themeColor="text1"/>
              </w:rPr>
            </w:pPr>
            <w:r>
              <w:rPr>
                <w:color w:val="000000" w:themeColor="text1"/>
              </w:rPr>
              <w:t>213/ 222</w:t>
            </w:r>
          </w:p>
        </w:tc>
        <w:tc>
          <w:tcPr>
            <w:tcW w:w="1630" w:type="dxa"/>
            <w:vAlign w:val="center"/>
          </w:tcPr>
          <w:p w14:paraId="0DDF31CA" w14:textId="77777777" w:rsidR="00CC474D" w:rsidRPr="00076586" w:rsidRDefault="00CC474D" w:rsidP="005C0FEE">
            <w:pPr>
              <w:jc w:val="center"/>
              <w:rPr>
                <w:color w:val="000000" w:themeColor="text1"/>
              </w:rPr>
            </w:pPr>
            <w:r>
              <w:rPr>
                <w:color w:val="000000" w:themeColor="text1"/>
              </w:rPr>
              <w:t>0.71</w:t>
            </w:r>
          </w:p>
        </w:tc>
        <w:tc>
          <w:tcPr>
            <w:tcW w:w="1274" w:type="dxa"/>
            <w:vAlign w:val="center"/>
          </w:tcPr>
          <w:p w14:paraId="4685C662" w14:textId="77777777" w:rsidR="00CC474D" w:rsidRDefault="00CC474D" w:rsidP="005C0FEE">
            <w:pPr>
              <w:jc w:val="center"/>
            </w:pPr>
            <w:r>
              <w:t>42.4</w:t>
            </w:r>
          </w:p>
          <w:p w14:paraId="151879B1" w14:textId="77777777" w:rsidR="00CC474D" w:rsidRPr="007D2780" w:rsidRDefault="00CC474D" w:rsidP="005C0FEE">
            <w:pPr>
              <w:jc w:val="center"/>
            </w:pPr>
            <w:r>
              <w:t>(11.3)</w:t>
            </w:r>
          </w:p>
        </w:tc>
        <w:tc>
          <w:tcPr>
            <w:tcW w:w="906" w:type="dxa"/>
          </w:tcPr>
          <w:p w14:paraId="670137D7" w14:textId="77777777" w:rsidR="00CC474D" w:rsidRPr="00D15504" w:rsidRDefault="00CC474D" w:rsidP="005C0FEE">
            <w:pPr>
              <w:jc w:val="center"/>
            </w:pPr>
            <w:r w:rsidRPr="00D15504">
              <w:t>153</w:t>
            </w:r>
          </w:p>
        </w:tc>
        <w:tc>
          <w:tcPr>
            <w:tcW w:w="1608" w:type="dxa"/>
            <w:vAlign w:val="center"/>
          </w:tcPr>
          <w:p w14:paraId="34C82A51" w14:textId="77777777" w:rsidR="00CC474D" w:rsidRPr="00210D53" w:rsidRDefault="00CC474D" w:rsidP="005C0FEE">
            <w:pPr>
              <w:jc w:val="center"/>
              <w:rPr>
                <w:b/>
              </w:rPr>
            </w:pPr>
            <w:r>
              <w:t>0.76</w:t>
            </w:r>
          </w:p>
        </w:tc>
        <w:tc>
          <w:tcPr>
            <w:tcW w:w="1846" w:type="dxa"/>
            <w:vAlign w:val="center"/>
          </w:tcPr>
          <w:p w14:paraId="7E0C3EE3" w14:textId="77777777" w:rsidR="00CC474D" w:rsidRDefault="00CC474D" w:rsidP="005C0FEE">
            <w:pPr>
              <w:jc w:val="center"/>
            </w:pPr>
            <w:r>
              <w:t>41.8</w:t>
            </w:r>
          </w:p>
          <w:p w14:paraId="36D58606" w14:textId="77777777" w:rsidR="00CC474D" w:rsidRPr="00210D53" w:rsidRDefault="00CC474D" w:rsidP="005C0FEE">
            <w:pPr>
              <w:jc w:val="center"/>
              <w:rPr>
                <w:b/>
              </w:rPr>
            </w:pPr>
            <w:r>
              <w:t>(11.5)</w:t>
            </w:r>
          </w:p>
        </w:tc>
        <w:tc>
          <w:tcPr>
            <w:tcW w:w="2355" w:type="dxa"/>
            <w:vAlign w:val="center"/>
          </w:tcPr>
          <w:p w14:paraId="38835BE3" w14:textId="77777777" w:rsidR="00CC474D" w:rsidRDefault="00CC474D" w:rsidP="005C0FEE">
            <w:pPr>
              <w:jc w:val="center"/>
            </w:pPr>
            <w:r>
              <w:t>-0.7</w:t>
            </w:r>
          </w:p>
          <w:p w14:paraId="2268E6CA" w14:textId="77777777" w:rsidR="00CC474D" w:rsidRPr="00210D53" w:rsidRDefault="00CC474D" w:rsidP="005C0FEE">
            <w:pPr>
              <w:jc w:val="center"/>
              <w:rPr>
                <w:b/>
              </w:rPr>
            </w:pPr>
            <w:r>
              <w:t>(-2.2,0.9)</w:t>
            </w:r>
          </w:p>
        </w:tc>
      </w:tr>
      <w:tr w:rsidR="00CC474D" w:rsidRPr="00D37BEF" w14:paraId="6229AEBE" w14:textId="77777777" w:rsidTr="005C0FEE">
        <w:trPr>
          <w:trHeight w:val="305"/>
        </w:trPr>
        <w:tc>
          <w:tcPr>
            <w:tcW w:w="1992" w:type="dxa"/>
            <w:noWrap/>
            <w:vAlign w:val="center"/>
          </w:tcPr>
          <w:p w14:paraId="6AAD78A0" w14:textId="77777777" w:rsidR="00CC474D" w:rsidRPr="00541ABC" w:rsidRDefault="00CC474D" w:rsidP="005C0FEE">
            <w:pPr>
              <w:jc w:val="left"/>
              <w:rPr>
                <w:b/>
              </w:rPr>
            </w:pPr>
            <w:r>
              <w:rPr>
                <w:b/>
              </w:rPr>
              <w:t>WHOQOL-BREF</w:t>
            </w:r>
          </w:p>
        </w:tc>
        <w:tc>
          <w:tcPr>
            <w:tcW w:w="1465" w:type="dxa"/>
            <w:vAlign w:val="center"/>
          </w:tcPr>
          <w:p w14:paraId="1BF98C7C" w14:textId="77777777" w:rsidR="00CC474D" w:rsidRPr="00076586" w:rsidRDefault="00CC474D" w:rsidP="005C0FEE">
            <w:pPr>
              <w:jc w:val="center"/>
              <w:rPr>
                <w:b/>
                <w:color w:val="000000" w:themeColor="text1"/>
              </w:rPr>
            </w:pPr>
          </w:p>
        </w:tc>
        <w:tc>
          <w:tcPr>
            <w:tcW w:w="708" w:type="dxa"/>
          </w:tcPr>
          <w:p w14:paraId="4F8F3C46" w14:textId="77777777" w:rsidR="00CC474D" w:rsidRDefault="00CC474D" w:rsidP="005C0FEE">
            <w:pPr>
              <w:jc w:val="center"/>
              <w:rPr>
                <w:b/>
                <w:color w:val="000000" w:themeColor="text1"/>
              </w:rPr>
            </w:pPr>
            <w:r>
              <w:rPr>
                <w:color w:val="000000" w:themeColor="text1"/>
              </w:rPr>
              <w:t>207/ 216</w:t>
            </w:r>
          </w:p>
        </w:tc>
        <w:tc>
          <w:tcPr>
            <w:tcW w:w="1630" w:type="dxa"/>
            <w:vAlign w:val="center"/>
          </w:tcPr>
          <w:p w14:paraId="4508315B" w14:textId="77777777" w:rsidR="00CC474D" w:rsidRPr="00D15504" w:rsidRDefault="00CC474D" w:rsidP="005C0FEE">
            <w:pPr>
              <w:jc w:val="center"/>
              <w:rPr>
                <w:color w:val="000000" w:themeColor="text1"/>
              </w:rPr>
            </w:pPr>
            <w:r w:rsidRPr="00D15504">
              <w:rPr>
                <w:color w:val="000000" w:themeColor="text1"/>
              </w:rPr>
              <w:t>0.83</w:t>
            </w:r>
          </w:p>
        </w:tc>
        <w:tc>
          <w:tcPr>
            <w:tcW w:w="1274" w:type="dxa"/>
            <w:vAlign w:val="center"/>
          </w:tcPr>
          <w:p w14:paraId="665A476C" w14:textId="77777777" w:rsidR="00CC474D" w:rsidRPr="00D15504" w:rsidRDefault="00CC474D" w:rsidP="005C0FEE">
            <w:pPr>
              <w:jc w:val="center"/>
            </w:pPr>
            <w:r w:rsidRPr="00D15504">
              <w:t>50.1</w:t>
            </w:r>
          </w:p>
          <w:p w14:paraId="3072F27F" w14:textId="77777777" w:rsidR="00CC474D" w:rsidRPr="00D15504" w:rsidRDefault="00CC474D" w:rsidP="005C0FEE">
            <w:pPr>
              <w:jc w:val="center"/>
            </w:pPr>
            <w:r w:rsidRPr="00D15504">
              <w:t>(8.4)</w:t>
            </w:r>
          </w:p>
        </w:tc>
        <w:tc>
          <w:tcPr>
            <w:tcW w:w="906" w:type="dxa"/>
          </w:tcPr>
          <w:p w14:paraId="44CDBA11" w14:textId="77777777" w:rsidR="00CC474D" w:rsidRPr="00D15504" w:rsidRDefault="00CC474D" w:rsidP="005C0FEE">
            <w:pPr>
              <w:jc w:val="center"/>
            </w:pPr>
            <w:r w:rsidRPr="00D15504">
              <w:t>148</w:t>
            </w:r>
          </w:p>
        </w:tc>
        <w:tc>
          <w:tcPr>
            <w:tcW w:w="1608" w:type="dxa"/>
            <w:vAlign w:val="center"/>
          </w:tcPr>
          <w:p w14:paraId="23680667" w14:textId="77777777" w:rsidR="00CC474D" w:rsidRPr="00D15504" w:rsidRDefault="00CC474D" w:rsidP="005C0FEE">
            <w:pPr>
              <w:jc w:val="center"/>
            </w:pPr>
            <w:r w:rsidRPr="00D15504">
              <w:t>0.87</w:t>
            </w:r>
          </w:p>
        </w:tc>
        <w:tc>
          <w:tcPr>
            <w:tcW w:w="1846" w:type="dxa"/>
            <w:vAlign w:val="center"/>
          </w:tcPr>
          <w:p w14:paraId="68CA6A4B" w14:textId="77777777" w:rsidR="00CC474D" w:rsidRPr="00D15504" w:rsidRDefault="00CC474D" w:rsidP="005C0FEE">
            <w:pPr>
              <w:jc w:val="center"/>
            </w:pPr>
            <w:r w:rsidRPr="00D15504">
              <w:t>48.6</w:t>
            </w:r>
          </w:p>
          <w:p w14:paraId="385CA706" w14:textId="77777777" w:rsidR="00CC474D" w:rsidRPr="00D15504" w:rsidRDefault="00CC474D" w:rsidP="005C0FEE">
            <w:pPr>
              <w:jc w:val="center"/>
            </w:pPr>
            <w:r w:rsidRPr="00D15504">
              <w:t>(9.2)</w:t>
            </w:r>
          </w:p>
        </w:tc>
        <w:tc>
          <w:tcPr>
            <w:tcW w:w="2355" w:type="dxa"/>
            <w:vAlign w:val="center"/>
          </w:tcPr>
          <w:p w14:paraId="55805A9C" w14:textId="77777777" w:rsidR="00CC474D" w:rsidRDefault="00CC474D" w:rsidP="005C0FEE">
            <w:pPr>
              <w:jc w:val="center"/>
              <w:rPr>
                <w:b/>
              </w:rPr>
            </w:pPr>
            <w:r>
              <w:rPr>
                <w:b/>
              </w:rPr>
              <w:t>-1.6</w:t>
            </w:r>
          </w:p>
          <w:p w14:paraId="3820ECD0" w14:textId="77777777" w:rsidR="00CC474D" w:rsidRPr="00D37BEF" w:rsidRDefault="00CC474D" w:rsidP="005C0FEE">
            <w:pPr>
              <w:jc w:val="center"/>
              <w:rPr>
                <w:b/>
              </w:rPr>
            </w:pPr>
            <w:r>
              <w:rPr>
                <w:b/>
              </w:rPr>
              <w:t>(-3.0,-0.2)</w:t>
            </w:r>
          </w:p>
        </w:tc>
      </w:tr>
    </w:tbl>
    <w:p w14:paraId="257E2870" w14:textId="71DB5AB6" w:rsidR="00226E3C" w:rsidRDefault="00C93E2D" w:rsidP="00226E3C">
      <w:r>
        <w:rPr>
          <w:vertAlign w:val="superscript"/>
        </w:rPr>
        <w:t xml:space="preserve">a </w:t>
      </w:r>
      <w:r w:rsidR="00490CF2">
        <w:t>N</w:t>
      </w:r>
      <w:r w:rsidR="00226E3C">
        <w:t>umbers given are those with data for domain and the three factors/number with data for domain</w:t>
      </w:r>
    </w:p>
    <w:p w14:paraId="6F03DC88" w14:textId="5270E0ED" w:rsidR="002D336A" w:rsidRPr="00D63468" w:rsidRDefault="002D336A" w:rsidP="002D336A">
      <w:pPr>
        <w:rPr>
          <w:color w:val="111111"/>
          <w:lang w:eastAsia="en-GB"/>
        </w:rPr>
      </w:pPr>
      <w:r>
        <w:rPr>
          <w:color w:val="111111"/>
          <w:lang w:eastAsia="en-GB"/>
        </w:rPr>
        <w:t xml:space="preserve">:Population norms: </w:t>
      </w:r>
      <w:r w:rsidRPr="00D63468">
        <w:rPr>
          <w:color w:val="111111"/>
          <w:lang w:eastAsia="en-GB"/>
        </w:rPr>
        <w:t>Physical health 73.5 (SD = 18.1); Psychological wellbeing 70.6 (14.0); Social relationships 71.5 (SD 18.2) and Environment 75.1 (SD 13.0).</w:t>
      </w:r>
    </w:p>
    <w:p w14:paraId="0733F327" w14:textId="77777777" w:rsidR="002D336A" w:rsidRDefault="002D336A" w:rsidP="00226E3C"/>
    <w:p w14:paraId="1F612C8B" w14:textId="77777777" w:rsidR="00CA6CE2" w:rsidRDefault="00CA6CE2" w:rsidP="00CA6CE2"/>
    <w:p w14:paraId="6776AA50" w14:textId="77777777" w:rsidR="00490CF2" w:rsidRDefault="00490CF2">
      <w:pPr>
        <w:spacing w:after="160"/>
        <w:jc w:val="left"/>
      </w:pPr>
      <w:r>
        <w:br w:type="page"/>
      </w:r>
    </w:p>
    <w:p w14:paraId="12F7BDF3" w14:textId="07DAB55F" w:rsidR="00541ABC" w:rsidRPr="00C93E2D" w:rsidRDefault="00541ABC" w:rsidP="00541ABC">
      <w:pPr>
        <w:rPr>
          <w:b/>
          <w:sz w:val="24"/>
          <w:szCs w:val="24"/>
        </w:rPr>
      </w:pPr>
      <w:r w:rsidRPr="00C93E2D">
        <w:rPr>
          <w:b/>
          <w:sz w:val="24"/>
          <w:szCs w:val="24"/>
          <w:u w:val="single"/>
        </w:rPr>
        <w:lastRenderedPageBreak/>
        <w:t xml:space="preserve">Table </w:t>
      </w:r>
      <w:r w:rsidR="00215FA5">
        <w:rPr>
          <w:b/>
          <w:sz w:val="24"/>
          <w:szCs w:val="24"/>
          <w:u w:val="single"/>
        </w:rPr>
        <w:t>5</w:t>
      </w:r>
      <w:r w:rsidRPr="00C93E2D">
        <w:rPr>
          <w:b/>
          <w:sz w:val="24"/>
          <w:szCs w:val="24"/>
        </w:rPr>
        <w:t>: Analysis of covariance of</w:t>
      </w:r>
      <w:r w:rsidR="005805D2" w:rsidRPr="00C93E2D">
        <w:rPr>
          <w:b/>
          <w:sz w:val="24"/>
          <w:szCs w:val="24"/>
        </w:rPr>
        <w:t xml:space="preserve"> follow-up</w:t>
      </w:r>
      <w:r w:rsidRPr="00C93E2D">
        <w:rPr>
          <w:b/>
          <w:sz w:val="24"/>
          <w:szCs w:val="24"/>
        </w:rPr>
        <w:t xml:space="preserve"> WHOQOL-BREF mean scores </w:t>
      </w:r>
    </w:p>
    <w:p w14:paraId="453EC03C" w14:textId="77777777" w:rsidR="00541ABC" w:rsidRDefault="00541ABC" w:rsidP="00541ABC"/>
    <w:tbl>
      <w:tblPr>
        <w:tblStyle w:val="TableGrid"/>
        <w:tblW w:w="13766" w:type="dxa"/>
        <w:tblInd w:w="0" w:type="dxa"/>
        <w:tblLook w:val="04A0" w:firstRow="1" w:lastRow="0" w:firstColumn="1" w:lastColumn="0" w:noHBand="0" w:noVBand="1"/>
      </w:tblPr>
      <w:tblGrid>
        <w:gridCol w:w="1980"/>
        <w:gridCol w:w="1282"/>
        <w:gridCol w:w="1128"/>
        <w:gridCol w:w="1329"/>
        <w:gridCol w:w="1276"/>
        <w:gridCol w:w="1418"/>
        <w:gridCol w:w="1417"/>
        <w:gridCol w:w="1418"/>
        <w:gridCol w:w="1363"/>
        <w:gridCol w:w="1155"/>
      </w:tblGrid>
      <w:tr w:rsidR="008309EA" w14:paraId="2E9B25CD" w14:textId="77777777" w:rsidTr="00076586">
        <w:tc>
          <w:tcPr>
            <w:tcW w:w="1980" w:type="dxa"/>
            <w:vMerge w:val="restart"/>
            <w:vAlign w:val="center"/>
          </w:tcPr>
          <w:p w14:paraId="1361970A" w14:textId="5CD81F19" w:rsidR="008309EA" w:rsidRPr="005805D2" w:rsidRDefault="008309EA" w:rsidP="00076586">
            <w:pPr>
              <w:jc w:val="left"/>
              <w:rPr>
                <w:b/>
              </w:rPr>
            </w:pPr>
            <w:r w:rsidRPr="005805D2">
              <w:rPr>
                <w:b/>
              </w:rPr>
              <w:t>Domain</w:t>
            </w:r>
          </w:p>
        </w:tc>
        <w:tc>
          <w:tcPr>
            <w:tcW w:w="1282" w:type="dxa"/>
            <w:vMerge w:val="restart"/>
            <w:vAlign w:val="center"/>
          </w:tcPr>
          <w:p w14:paraId="21EC1AEC" w14:textId="6EF7DB84" w:rsidR="008309EA" w:rsidRPr="005805D2" w:rsidRDefault="008309EA" w:rsidP="00A654D2">
            <w:pPr>
              <w:rPr>
                <w:b/>
              </w:rPr>
            </w:pPr>
            <w:r w:rsidRPr="005805D2">
              <w:rPr>
                <w:b/>
              </w:rPr>
              <w:t>Statistic</w:t>
            </w:r>
          </w:p>
        </w:tc>
        <w:tc>
          <w:tcPr>
            <w:tcW w:w="1128" w:type="dxa"/>
            <w:vMerge w:val="restart"/>
            <w:vAlign w:val="center"/>
          </w:tcPr>
          <w:p w14:paraId="2C2546EB" w14:textId="79B84FDC" w:rsidR="008309EA" w:rsidRDefault="00A35575" w:rsidP="00210D53">
            <w:pPr>
              <w:jc w:val="center"/>
              <w:rPr>
                <w:b/>
              </w:rPr>
            </w:pPr>
            <w:r>
              <w:rPr>
                <w:b/>
              </w:rPr>
              <w:t xml:space="preserve">WHOQOL BREF </w:t>
            </w:r>
            <w:r w:rsidR="008309EA" w:rsidRPr="005805D2">
              <w:rPr>
                <w:b/>
              </w:rPr>
              <w:t>score</w:t>
            </w:r>
          </w:p>
          <w:p w14:paraId="79D1A3BA" w14:textId="15F5DEFD" w:rsidR="00C93E2D" w:rsidRPr="005805D2" w:rsidRDefault="00C93E2D" w:rsidP="00210D53">
            <w:pPr>
              <w:jc w:val="center"/>
              <w:rPr>
                <w:b/>
              </w:rPr>
            </w:pPr>
            <w:r>
              <w:rPr>
                <w:b/>
              </w:rPr>
              <w:t>at baseline</w:t>
            </w:r>
          </w:p>
        </w:tc>
        <w:tc>
          <w:tcPr>
            <w:tcW w:w="2605" w:type="dxa"/>
            <w:gridSpan w:val="2"/>
            <w:vAlign w:val="center"/>
          </w:tcPr>
          <w:p w14:paraId="7A830829" w14:textId="77777777" w:rsidR="008309EA" w:rsidRPr="005805D2" w:rsidRDefault="008309EA" w:rsidP="00210D53">
            <w:pPr>
              <w:jc w:val="center"/>
              <w:rPr>
                <w:b/>
              </w:rPr>
            </w:pPr>
            <w:r w:rsidRPr="005805D2">
              <w:rPr>
                <w:b/>
              </w:rPr>
              <w:t>District (vs Urban Freetown)</w:t>
            </w:r>
          </w:p>
        </w:tc>
        <w:tc>
          <w:tcPr>
            <w:tcW w:w="5616" w:type="dxa"/>
            <w:gridSpan w:val="4"/>
            <w:vAlign w:val="center"/>
          </w:tcPr>
          <w:p w14:paraId="0FDCF4D3" w14:textId="77777777" w:rsidR="008309EA" w:rsidRPr="005805D2" w:rsidRDefault="008309EA" w:rsidP="00210D53">
            <w:pPr>
              <w:jc w:val="center"/>
              <w:rPr>
                <w:b/>
              </w:rPr>
            </w:pPr>
            <w:r w:rsidRPr="005805D2">
              <w:rPr>
                <w:b/>
              </w:rPr>
              <w:t>Cadre (vs Registered Nurse/midwives)</w:t>
            </w:r>
          </w:p>
        </w:tc>
        <w:tc>
          <w:tcPr>
            <w:tcW w:w="1155" w:type="dxa"/>
            <w:vMerge w:val="restart"/>
            <w:vAlign w:val="center"/>
          </w:tcPr>
          <w:p w14:paraId="2AA8F3BB" w14:textId="02DF5843" w:rsidR="008309EA" w:rsidRPr="005805D2" w:rsidRDefault="008309EA" w:rsidP="00210D53">
            <w:pPr>
              <w:jc w:val="center"/>
              <w:rPr>
                <w:b/>
              </w:rPr>
            </w:pPr>
            <w:r w:rsidRPr="005805D2">
              <w:rPr>
                <w:b/>
              </w:rPr>
              <w:t>CEmOC vs BEmOC</w:t>
            </w:r>
          </w:p>
        </w:tc>
      </w:tr>
      <w:tr w:rsidR="00844670" w14:paraId="3313AF0C" w14:textId="77777777" w:rsidTr="00076586">
        <w:tc>
          <w:tcPr>
            <w:tcW w:w="1980" w:type="dxa"/>
            <w:vMerge/>
            <w:vAlign w:val="center"/>
          </w:tcPr>
          <w:p w14:paraId="1105ED49" w14:textId="77777777" w:rsidR="008309EA" w:rsidRDefault="008309EA" w:rsidP="00076586">
            <w:pPr>
              <w:jc w:val="left"/>
            </w:pPr>
          </w:p>
        </w:tc>
        <w:tc>
          <w:tcPr>
            <w:tcW w:w="1282" w:type="dxa"/>
            <w:vMerge/>
            <w:vAlign w:val="center"/>
          </w:tcPr>
          <w:p w14:paraId="2B6CCBC2" w14:textId="77777777" w:rsidR="008309EA" w:rsidRDefault="008309EA" w:rsidP="00A654D2"/>
        </w:tc>
        <w:tc>
          <w:tcPr>
            <w:tcW w:w="1128" w:type="dxa"/>
            <w:vMerge/>
            <w:vAlign w:val="center"/>
          </w:tcPr>
          <w:p w14:paraId="07D19AD6" w14:textId="56A9F1CD" w:rsidR="008309EA" w:rsidRDefault="008309EA" w:rsidP="00210D53">
            <w:pPr>
              <w:jc w:val="center"/>
            </w:pPr>
          </w:p>
        </w:tc>
        <w:tc>
          <w:tcPr>
            <w:tcW w:w="1329" w:type="dxa"/>
            <w:vAlign w:val="center"/>
          </w:tcPr>
          <w:p w14:paraId="0F2DB08D" w14:textId="771640A5" w:rsidR="008309EA" w:rsidRPr="005805D2" w:rsidRDefault="008309EA" w:rsidP="00210D53">
            <w:pPr>
              <w:jc w:val="center"/>
              <w:rPr>
                <w:b/>
              </w:rPr>
            </w:pPr>
            <w:r w:rsidRPr="005805D2">
              <w:rPr>
                <w:b/>
              </w:rPr>
              <w:t>Rural Freetown</w:t>
            </w:r>
          </w:p>
        </w:tc>
        <w:tc>
          <w:tcPr>
            <w:tcW w:w="1276" w:type="dxa"/>
            <w:vAlign w:val="center"/>
          </w:tcPr>
          <w:p w14:paraId="66DADC86" w14:textId="77777777" w:rsidR="008309EA" w:rsidRPr="005805D2" w:rsidRDefault="008309EA" w:rsidP="00210D53">
            <w:pPr>
              <w:jc w:val="center"/>
              <w:rPr>
                <w:b/>
              </w:rPr>
            </w:pPr>
            <w:r w:rsidRPr="005805D2">
              <w:rPr>
                <w:b/>
              </w:rPr>
              <w:t>Bo</w:t>
            </w:r>
          </w:p>
        </w:tc>
        <w:tc>
          <w:tcPr>
            <w:tcW w:w="1418" w:type="dxa"/>
            <w:vAlign w:val="center"/>
          </w:tcPr>
          <w:p w14:paraId="754AEF92" w14:textId="77777777" w:rsidR="008309EA" w:rsidRPr="005805D2" w:rsidRDefault="008309EA" w:rsidP="00210D53">
            <w:pPr>
              <w:jc w:val="center"/>
              <w:rPr>
                <w:b/>
              </w:rPr>
            </w:pPr>
            <w:r w:rsidRPr="005805D2">
              <w:rPr>
                <w:b/>
              </w:rPr>
              <w:t>Middle grade staff</w:t>
            </w:r>
          </w:p>
        </w:tc>
        <w:tc>
          <w:tcPr>
            <w:tcW w:w="1417" w:type="dxa"/>
            <w:vAlign w:val="center"/>
          </w:tcPr>
          <w:p w14:paraId="56D5ADA6" w14:textId="083528F7" w:rsidR="008309EA" w:rsidRPr="005805D2" w:rsidRDefault="008309EA" w:rsidP="00210D53">
            <w:pPr>
              <w:jc w:val="center"/>
              <w:rPr>
                <w:b/>
              </w:rPr>
            </w:pPr>
            <w:r w:rsidRPr="005805D2">
              <w:rPr>
                <w:b/>
              </w:rPr>
              <w:t>MCHA / ECHN</w:t>
            </w:r>
          </w:p>
        </w:tc>
        <w:tc>
          <w:tcPr>
            <w:tcW w:w="1418" w:type="dxa"/>
            <w:vAlign w:val="center"/>
          </w:tcPr>
          <w:p w14:paraId="5E738BA6" w14:textId="77777777" w:rsidR="008309EA" w:rsidRPr="005805D2" w:rsidRDefault="008309EA" w:rsidP="00210D53">
            <w:pPr>
              <w:jc w:val="center"/>
              <w:rPr>
                <w:b/>
              </w:rPr>
            </w:pPr>
            <w:r w:rsidRPr="005805D2">
              <w:rPr>
                <w:b/>
              </w:rPr>
              <w:t>Untrained staff</w:t>
            </w:r>
          </w:p>
        </w:tc>
        <w:tc>
          <w:tcPr>
            <w:tcW w:w="1363" w:type="dxa"/>
            <w:vAlign w:val="center"/>
          </w:tcPr>
          <w:p w14:paraId="11C1510D" w14:textId="77777777" w:rsidR="008309EA" w:rsidRPr="005805D2" w:rsidRDefault="008309EA" w:rsidP="00210D53">
            <w:pPr>
              <w:jc w:val="center"/>
              <w:rPr>
                <w:b/>
              </w:rPr>
            </w:pPr>
            <w:r w:rsidRPr="005805D2">
              <w:rPr>
                <w:b/>
              </w:rPr>
              <w:t>Support staff</w:t>
            </w:r>
          </w:p>
        </w:tc>
        <w:tc>
          <w:tcPr>
            <w:tcW w:w="1155" w:type="dxa"/>
            <w:vMerge/>
          </w:tcPr>
          <w:p w14:paraId="404F08DC" w14:textId="149A69F3" w:rsidR="008309EA" w:rsidRPr="005805D2" w:rsidRDefault="008309EA" w:rsidP="00210D53">
            <w:pPr>
              <w:jc w:val="center"/>
            </w:pPr>
          </w:p>
        </w:tc>
      </w:tr>
      <w:tr w:rsidR="00844670" w14:paraId="675AE370" w14:textId="77777777" w:rsidTr="00076586">
        <w:tc>
          <w:tcPr>
            <w:tcW w:w="1980" w:type="dxa"/>
          </w:tcPr>
          <w:p w14:paraId="152F3202" w14:textId="0C23D2B0" w:rsidR="003367C6" w:rsidRDefault="003367C6" w:rsidP="00076586">
            <w:pPr>
              <w:jc w:val="left"/>
            </w:pPr>
            <w:r>
              <w:rPr>
                <w:b/>
              </w:rPr>
              <w:t>Physical health (n=14</w:t>
            </w:r>
            <w:r w:rsidR="00001653">
              <w:rPr>
                <w:b/>
              </w:rPr>
              <w:t>5</w:t>
            </w:r>
            <w:r>
              <w:rPr>
                <w:b/>
              </w:rPr>
              <w:t>)</w:t>
            </w:r>
          </w:p>
        </w:tc>
        <w:tc>
          <w:tcPr>
            <w:tcW w:w="1282" w:type="dxa"/>
          </w:tcPr>
          <w:p w14:paraId="4E9E379D" w14:textId="0C49BED3" w:rsidR="003367C6" w:rsidRDefault="003367C6" w:rsidP="003367C6">
            <w:r>
              <w:t>Coefficient (95% CI)</w:t>
            </w:r>
          </w:p>
        </w:tc>
        <w:tc>
          <w:tcPr>
            <w:tcW w:w="1128" w:type="dxa"/>
          </w:tcPr>
          <w:p w14:paraId="1BF749E5" w14:textId="77777777" w:rsidR="003367C6" w:rsidRPr="00D15504" w:rsidRDefault="003367C6" w:rsidP="003367C6">
            <w:pPr>
              <w:jc w:val="center"/>
              <w:rPr>
                <w:b/>
              </w:rPr>
            </w:pPr>
            <w:r w:rsidRPr="00D15504">
              <w:rPr>
                <w:b/>
              </w:rPr>
              <w:t>0.52</w:t>
            </w:r>
          </w:p>
          <w:p w14:paraId="26C8676A" w14:textId="5989BE00" w:rsidR="003367C6" w:rsidRPr="00D15504" w:rsidRDefault="003367C6" w:rsidP="003367C6">
            <w:pPr>
              <w:jc w:val="center"/>
              <w:rPr>
                <w:b/>
              </w:rPr>
            </w:pPr>
            <w:r w:rsidRPr="00D15504">
              <w:rPr>
                <w:b/>
              </w:rPr>
              <w:t>(0.4,0.7)</w:t>
            </w:r>
          </w:p>
        </w:tc>
        <w:tc>
          <w:tcPr>
            <w:tcW w:w="1329" w:type="dxa"/>
          </w:tcPr>
          <w:p w14:paraId="54C913DF" w14:textId="199BF1A5" w:rsidR="003367C6" w:rsidRDefault="003367C6" w:rsidP="003367C6">
            <w:pPr>
              <w:jc w:val="center"/>
            </w:pPr>
            <w:r>
              <w:t>-3.79</w:t>
            </w:r>
          </w:p>
          <w:p w14:paraId="71341E21" w14:textId="7C4A562E" w:rsidR="003367C6" w:rsidRDefault="003367C6" w:rsidP="003367C6">
            <w:pPr>
              <w:jc w:val="center"/>
            </w:pPr>
            <w:r>
              <w:t>(-8.5,0.9)</w:t>
            </w:r>
          </w:p>
        </w:tc>
        <w:tc>
          <w:tcPr>
            <w:tcW w:w="1276" w:type="dxa"/>
          </w:tcPr>
          <w:p w14:paraId="22A2B550" w14:textId="7BD18699" w:rsidR="003367C6" w:rsidRDefault="003367C6" w:rsidP="003367C6">
            <w:pPr>
              <w:jc w:val="center"/>
            </w:pPr>
            <w:r>
              <w:t>0.88</w:t>
            </w:r>
          </w:p>
          <w:p w14:paraId="7774C2E8" w14:textId="41C65ED2" w:rsidR="003367C6" w:rsidRDefault="003367C6" w:rsidP="003367C6">
            <w:pPr>
              <w:jc w:val="center"/>
            </w:pPr>
            <w:r>
              <w:t>(-2.8,4.6)</w:t>
            </w:r>
          </w:p>
        </w:tc>
        <w:tc>
          <w:tcPr>
            <w:tcW w:w="1418" w:type="dxa"/>
          </w:tcPr>
          <w:p w14:paraId="74A24787" w14:textId="21420F09" w:rsidR="003367C6" w:rsidRDefault="003367C6" w:rsidP="003367C6">
            <w:pPr>
              <w:jc w:val="center"/>
            </w:pPr>
            <w:r>
              <w:t>0.82</w:t>
            </w:r>
          </w:p>
          <w:p w14:paraId="55664646" w14:textId="72F34D9A" w:rsidR="003367C6" w:rsidRDefault="003367C6" w:rsidP="003367C6">
            <w:pPr>
              <w:jc w:val="center"/>
            </w:pPr>
            <w:r>
              <w:t>(-6.3,7.9)</w:t>
            </w:r>
          </w:p>
        </w:tc>
        <w:tc>
          <w:tcPr>
            <w:tcW w:w="1417" w:type="dxa"/>
          </w:tcPr>
          <w:p w14:paraId="2C8433DF" w14:textId="77777777" w:rsidR="003367C6" w:rsidRDefault="003367C6" w:rsidP="003367C6">
            <w:pPr>
              <w:jc w:val="center"/>
            </w:pPr>
            <w:r>
              <w:t>-0.27</w:t>
            </w:r>
          </w:p>
          <w:p w14:paraId="4FA2DF58" w14:textId="289078A0" w:rsidR="003367C6" w:rsidRDefault="003367C6" w:rsidP="003367C6">
            <w:pPr>
              <w:jc w:val="center"/>
            </w:pPr>
            <w:r>
              <w:t>(--5.5,5.0)</w:t>
            </w:r>
          </w:p>
        </w:tc>
        <w:tc>
          <w:tcPr>
            <w:tcW w:w="1418" w:type="dxa"/>
          </w:tcPr>
          <w:p w14:paraId="413101F3" w14:textId="26F61DA4" w:rsidR="003367C6" w:rsidRDefault="003367C6" w:rsidP="003367C6">
            <w:pPr>
              <w:jc w:val="center"/>
            </w:pPr>
            <w:r>
              <w:t>-2.8</w:t>
            </w:r>
          </w:p>
          <w:p w14:paraId="365F0CBC" w14:textId="2C83D196" w:rsidR="003367C6" w:rsidRDefault="003367C6" w:rsidP="003367C6">
            <w:pPr>
              <w:jc w:val="center"/>
            </w:pPr>
            <w:r>
              <w:t>(-9.0,3.5)</w:t>
            </w:r>
          </w:p>
        </w:tc>
        <w:tc>
          <w:tcPr>
            <w:tcW w:w="1363" w:type="dxa"/>
          </w:tcPr>
          <w:p w14:paraId="064E6E45" w14:textId="77777777" w:rsidR="003367C6" w:rsidRPr="00D15504" w:rsidRDefault="003367C6" w:rsidP="003367C6">
            <w:pPr>
              <w:jc w:val="center"/>
              <w:rPr>
                <w:b/>
              </w:rPr>
            </w:pPr>
            <w:r w:rsidRPr="00D15504">
              <w:rPr>
                <w:b/>
              </w:rPr>
              <w:t>-13.0</w:t>
            </w:r>
          </w:p>
          <w:p w14:paraId="777852FF" w14:textId="5556571E" w:rsidR="003367C6" w:rsidRDefault="003367C6" w:rsidP="003367C6">
            <w:pPr>
              <w:jc w:val="center"/>
            </w:pPr>
            <w:r w:rsidRPr="00D15504">
              <w:rPr>
                <w:b/>
              </w:rPr>
              <w:t>(-22.4,-3.6)</w:t>
            </w:r>
          </w:p>
        </w:tc>
        <w:tc>
          <w:tcPr>
            <w:tcW w:w="1155" w:type="dxa"/>
          </w:tcPr>
          <w:p w14:paraId="19AA480E" w14:textId="4DD908D1" w:rsidR="003367C6" w:rsidRDefault="003367C6" w:rsidP="003367C6">
            <w:pPr>
              <w:jc w:val="center"/>
            </w:pPr>
            <w:r>
              <w:t>-0.66</w:t>
            </w:r>
          </w:p>
          <w:p w14:paraId="5E150482" w14:textId="742123E0" w:rsidR="003367C6" w:rsidRDefault="003367C6" w:rsidP="003367C6">
            <w:pPr>
              <w:jc w:val="center"/>
            </w:pPr>
            <w:r>
              <w:t>(-4.6,3.2)</w:t>
            </w:r>
          </w:p>
        </w:tc>
      </w:tr>
      <w:tr w:rsidR="00844670" w14:paraId="32E6977D" w14:textId="77777777" w:rsidTr="00076586">
        <w:tc>
          <w:tcPr>
            <w:tcW w:w="1980" w:type="dxa"/>
          </w:tcPr>
          <w:p w14:paraId="49F3855A" w14:textId="28148829" w:rsidR="003367C6" w:rsidRDefault="003367C6" w:rsidP="00076586">
            <w:pPr>
              <w:jc w:val="left"/>
            </w:pPr>
            <w:r>
              <w:rPr>
                <w:b/>
              </w:rPr>
              <w:t>Psychological well-being</w:t>
            </w:r>
            <w:r w:rsidR="00BB4400">
              <w:rPr>
                <w:b/>
              </w:rPr>
              <w:t xml:space="preserve"> (n=</w:t>
            </w:r>
            <w:r w:rsidR="00001653">
              <w:rPr>
                <w:b/>
              </w:rPr>
              <w:t>152</w:t>
            </w:r>
            <w:r w:rsidR="00BB4400">
              <w:rPr>
                <w:b/>
              </w:rPr>
              <w:t>)</w:t>
            </w:r>
          </w:p>
        </w:tc>
        <w:tc>
          <w:tcPr>
            <w:tcW w:w="1282" w:type="dxa"/>
          </w:tcPr>
          <w:p w14:paraId="1E4F9B06" w14:textId="529EDE43" w:rsidR="003367C6" w:rsidRDefault="003367C6" w:rsidP="003367C6">
            <w:r>
              <w:t>Coefficient (95% CI)</w:t>
            </w:r>
          </w:p>
        </w:tc>
        <w:tc>
          <w:tcPr>
            <w:tcW w:w="1128" w:type="dxa"/>
          </w:tcPr>
          <w:p w14:paraId="6ADC0BFD" w14:textId="77777777" w:rsidR="003367C6" w:rsidRPr="00D15504" w:rsidRDefault="003367C6" w:rsidP="003367C6">
            <w:pPr>
              <w:jc w:val="center"/>
              <w:rPr>
                <w:b/>
              </w:rPr>
            </w:pPr>
            <w:r w:rsidRPr="00D15504">
              <w:rPr>
                <w:b/>
              </w:rPr>
              <w:t>0.29</w:t>
            </w:r>
          </w:p>
          <w:p w14:paraId="6EFAFA09" w14:textId="04B6CA12" w:rsidR="003367C6" w:rsidRPr="00D15504" w:rsidRDefault="003367C6" w:rsidP="003367C6">
            <w:pPr>
              <w:jc w:val="center"/>
              <w:rPr>
                <w:b/>
              </w:rPr>
            </w:pPr>
            <w:r w:rsidRPr="00D15504">
              <w:rPr>
                <w:b/>
              </w:rPr>
              <w:t>(0.1,0.5)</w:t>
            </w:r>
          </w:p>
        </w:tc>
        <w:tc>
          <w:tcPr>
            <w:tcW w:w="1329" w:type="dxa"/>
          </w:tcPr>
          <w:p w14:paraId="1B2A503A" w14:textId="71018E31" w:rsidR="003367C6" w:rsidRDefault="003367C6" w:rsidP="003367C6">
            <w:pPr>
              <w:jc w:val="center"/>
            </w:pPr>
            <w:r>
              <w:t>-1.19</w:t>
            </w:r>
          </w:p>
          <w:p w14:paraId="2D5728B3" w14:textId="7AA4C459" w:rsidR="003367C6" w:rsidRDefault="003367C6" w:rsidP="003367C6">
            <w:pPr>
              <w:jc w:val="center"/>
            </w:pPr>
            <w:r>
              <w:t>(-5.8,3.5)</w:t>
            </w:r>
          </w:p>
        </w:tc>
        <w:tc>
          <w:tcPr>
            <w:tcW w:w="1276" w:type="dxa"/>
          </w:tcPr>
          <w:p w14:paraId="7B0A7C3F" w14:textId="79DAA398" w:rsidR="003367C6" w:rsidRDefault="003367C6" w:rsidP="003367C6">
            <w:pPr>
              <w:jc w:val="center"/>
            </w:pPr>
            <w:r>
              <w:t>1.06</w:t>
            </w:r>
          </w:p>
          <w:p w14:paraId="03C13791" w14:textId="59B41D7F" w:rsidR="003367C6" w:rsidRDefault="003367C6" w:rsidP="003367C6">
            <w:pPr>
              <w:jc w:val="center"/>
            </w:pPr>
            <w:r>
              <w:t>(-2.8,4.9)</w:t>
            </w:r>
          </w:p>
        </w:tc>
        <w:tc>
          <w:tcPr>
            <w:tcW w:w="1418" w:type="dxa"/>
          </w:tcPr>
          <w:p w14:paraId="4015ACC1" w14:textId="3812A450" w:rsidR="003367C6" w:rsidRDefault="003367C6" w:rsidP="003367C6">
            <w:pPr>
              <w:jc w:val="center"/>
            </w:pPr>
            <w:r>
              <w:t>0.26</w:t>
            </w:r>
          </w:p>
          <w:p w14:paraId="267D75AB" w14:textId="7A5ED17F" w:rsidR="003367C6" w:rsidRDefault="003367C6" w:rsidP="003367C6">
            <w:pPr>
              <w:jc w:val="center"/>
            </w:pPr>
            <w:r>
              <w:t>(-7.0,7.6)</w:t>
            </w:r>
          </w:p>
        </w:tc>
        <w:tc>
          <w:tcPr>
            <w:tcW w:w="1417" w:type="dxa"/>
          </w:tcPr>
          <w:p w14:paraId="191B4ABA" w14:textId="36E1A4E0" w:rsidR="003367C6" w:rsidRDefault="003367C6" w:rsidP="003367C6">
            <w:pPr>
              <w:jc w:val="center"/>
            </w:pPr>
            <w:r>
              <w:t>1.44</w:t>
            </w:r>
          </w:p>
          <w:p w14:paraId="3617D93E" w14:textId="2DBFD1F6" w:rsidR="003367C6" w:rsidRDefault="003367C6" w:rsidP="003367C6">
            <w:pPr>
              <w:jc w:val="center"/>
            </w:pPr>
            <w:r>
              <w:t>(-3.9,6.7)</w:t>
            </w:r>
          </w:p>
        </w:tc>
        <w:tc>
          <w:tcPr>
            <w:tcW w:w="1418" w:type="dxa"/>
          </w:tcPr>
          <w:p w14:paraId="650CD2AF" w14:textId="1DC5D692" w:rsidR="003367C6" w:rsidRDefault="003367C6" w:rsidP="003367C6">
            <w:pPr>
              <w:jc w:val="center"/>
            </w:pPr>
            <w:r>
              <w:t>-4.17</w:t>
            </w:r>
          </w:p>
          <w:p w14:paraId="4BF5FB3C" w14:textId="741F5370" w:rsidR="003367C6" w:rsidRDefault="003367C6" w:rsidP="003367C6">
            <w:pPr>
              <w:jc w:val="center"/>
            </w:pPr>
            <w:r>
              <w:t>(-10.5,2.1)</w:t>
            </w:r>
          </w:p>
        </w:tc>
        <w:tc>
          <w:tcPr>
            <w:tcW w:w="1363" w:type="dxa"/>
          </w:tcPr>
          <w:p w14:paraId="6254D0E4" w14:textId="61D4E8D1" w:rsidR="003367C6" w:rsidRDefault="003367C6" w:rsidP="003367C6">
            <w:pPr>
              <w:jc w:val="center"/>
            </w:pPr>
            <w:r>
              <w:t>-4.4</w:t>
            </w:r>
          </w:p>
          <w:p w14:paraId="36B4133A" w14:textId="4EBAAEB7" w:rsidR="003367C6" w:rsidRDefault="003367C6" w:rsidP="003367C6">
            <w:pPr>
              <w:jc w:val="center"/>
            </w:pPr>
            <w:r>
              <w:t>(-14.6,5.8)</w:t>
            </w:r>
          </w:p>
        </w:tc>
        <w:tc>
          <w:tcPr>
            <w:tcW w:w="1155" w:type="dxa"/>
          </w:tcPr>
          <w:p w14:paraId="39A1D318" w14:textId="14689A80" w:rsidR="003367C6" w:rsidRDefault="003367C6" w:rsidP="003367C6">
            <w:pPr>
              <w:jc w:val="center"/>
            </w:pPr>
            <w:r>
              <w:t>-1.04</w:t>
            </w:r>
          </w:p>
          <w:p w14:paraId="35525729" w14:textId="496AAECF" w:rsidR="003367C6" w:rsidRDefault="003367C6" w:rsidP="003367C6">
            <w:pPr>
              <w:jc w:val="center"/>
            </w:pPr>
            <w:r>
              <w:t>(-4.8,2.8)</w:t>
            </w:r>
          </w:p>
        </w:tc>
      </w:tr>
      <w:tr w:rsidR="00844670" w14:paraId="24C441F3" w14:textId="77777777" w:rsidTr="00076586">
        <w:tc>
          <w:tcPr>
            <w:tcW w:w="1980" w:type="dxa"/>
          </w:tcPr>
          <w:p w14:paraId="1580FD6D" w14:textId="3D5FCCFC" w:rsidR="003367C6" w:rsidRDefault="003367C6" w:rsidP="00076586">
            <w:pPr>
              <w:jc w:val="left"/>
            </w:pPr>
            <w:r>
              <w:rPr>
                <w:b/>
              </w:rPr>
              <w:t>Social relationships</w:t>
            </w:r>
            <w:r w:rsidR="00BB4400">
              <w:rPr>
                <w:b/>
              </w:rPr>
              <w:t xml:space="preserve"> (n=</w:t>
            </w:r>
            <w:r w:rsidR="00001653">
              <w:rPr>
                <w:b/>
              </w:rPr>
              <w:t>147</w:t>
            </w:r>
            <w:r w:rsidR="00BB4400">
              <w:rPr>
                <w:b/>
              </w:rPr>
              <w:t>)</w:t>
            </w:r>
          </w:p>
        </w:tc>
        <w:tc>
          <w:tcPr>
            <w:tcW w:w="1282" w:type="dxa"/>
          </w:tcPr>
          <w:p w14:paraId="108703D6" w14:textId="09A82E46" w:rsidR="003367C6" w:rsidRDefault="003367C6" w:rsidP="003367C6">
            <w:r>
              <w:t>Coefficient (95% CI)</w:t>
            </w:r>
          </w:p>
        </w:tc>
        <w:tc>
          <w:tcPr>
            <w:tcW w:w="1128" w:type="dxa"/>
          </w:tcPr>
          <w:p w14:paraId="221E45E6" w14:textId="77777777" w:rsidR="003367C6" w:rsidRPr="00D15504" w:rsidRDefault="003367C6" w:rsidP="003367C6">
            <w:pPr>
              <w:jc w:val="center"/>
              <w:rPr>
                <w:b/>
              </w:rPr>
            </w:pPr>
            <w:r w:rsidRPr="00D15504">
              <w:rPr>
                <w:b/>
              </w:rPr>
              <w:t>0.28</w:t>
            </w:r>
          </w:p>
          <w:p w14:paraId="26AAD5ED" w14:textId="087E8767" w:rsidR="003367C6" w:rsidRPr="00D15504" w:rsidRDefault="003367C6" w:rsidP="003367C6">
            <w:pPr>
              <w:jc w:val="center"/>
              <w:rPr>
                <w:b/>
              </w:rPr>
            </w:pPr>
            <w:r w:rsidRPr="00D15504">
              <w:rPr>
                <w:b/>
              </w:rPr>
              <w:t>(0.1,0.4)</w:t>
            </w:r>
          </w:p>
        </w:tc>
        <w:tc>
          <w:tcPr>
            <w:tcW w:w="1329" w:type="dxa"/>
          </w:tcPr>
          <w:p w14:paraId="18F5D89B" w14:textId="31F967BF" w:rsidR="003367C6" w:rsidRDefault="003367C6" w:rsidP="003367C6">
            <w:pPr>
              <w:jc w:val="center"/>
            </w:pPr>
            <w:r>
              <w:t>-4.52</w:t>
            </w:r>
          </w:p>
          <w:p w14:paraId="02DDACE2" w14:textId="0BA06C6F" w:rsidR="003367C6" w:rsidRDefault="003367C6" w:rsidP="003367C6">
            <w:pPr>
              <w:jc w:val="center"/>
            </w:pPr>
            <w:r>
              <w:t>(-10.3,1.2)</w:t>
            </w:r>
          </w:p>
        </w:tc>
        <w:tc>
          <w:tcPr>
            <w:tcW w:w="1276" w:type="dxa"/>
          </w:tcPr>
          <w:p w14:paraId="25235D54" w14:textId="44EDBA8F" w:rsidR="003367C6" w:rsidRDefault="003367C6" w:rsidP="003367C6">
            <w:pPr>
              <w:jc w:val="center"/>
            </w:pPr>
            <w:r>
              <w:t>-0.52</w:t>
            </w:r>
          </w:p>
          <w:p w14:paraId="0D3E0E08" w14:textId="2B94BCBF" w:rsidR="003367C6" w:rsidRDefault="003367C6" w:rsidP="003367C6">
            <w:pPr>
              <w:jc w:val="center"/>
            </w:pPr>
            <w:r>
              <w:t>(-5.2,4.2)</w:t>
            </w:r>
          </w:p>
        </w:tc>
        <w:tc>
          <w:tcPr>
            <w:tcW w:w="1418" w:type="dxa"/>
          </w:tcPr>
          <w:p w14:paraId="514E62CE" w14:textId="01D84D8E" w:rsidR="003367C6" w:rsidRDefault="003367C6" w:rsidP="003367C6">
            <w:pPr>
              <w:jc w:val="center"/>
            </w:pPr>
            <w:r>
              <w:t>-0.64</w:t>
            </w:r>
          </w:p>
          <w:p w14:paraId="20ACF7AB" w14:textId="60624731" w:rsidR="003367C6" w:rsidRDefault="003367C6" w:rsidP="003367C6">
            <w:pPr>
              <w:jc w:val="center"/>
            </w:pPr>
            <w:r>
              <w:t>(-9.7,8.4)</w:t>
            </w:r>
          </w:p>
        </w:tc>
        <w:tc>
          <w:tcPr>
            <w:tcW w:w="1417" w:type="dxa"/>
          </w:tcPr>
          <w:p w14:paraId="1098FFF1" w14:textId="198833BC" w:rsidR="003367C6" w:rsidRDefault="003367C6" w:rsidP="003367C6">
            <w:pPr>
              <w:jc w:val="center"/>
            </w:pPr>
            <w:r>
              <w:t>-2.30</w:t>
            </w:r>
          </w:p>
          <w:p w14:paraId="26A60C6B" w14:textId="7EA9A940" w:rsidR="003367C6" w:rsidRDefault="003367C6" w:rsidP="003367C6">
            <w:pPr>
              <w:jc w:val="center"/>
            </w:pPr>
            <w:r>
              <w:t>(-8.8,4.2)</w:t>
            </w:r>
          </w:p>
        </w:tc>
        <w:tc>
          <w:tcPr>
            <w:tcW w:w="1418" w:type="dxa"/>
          </w:tcPr>
          <w:p w14:paraId="45EFE6FE" w14:textId="138AD119" w:rsidR="003367C6" w:rsidRDefault="003367C6" w:rsidP="003367C6">
            <w:pPr>
              <w:jc w:val="center"/>
            </w:pPr>
            <w:r>
              <w:t>-5.2</w:t>
            </w:r>
          </w:p>
          <w:p w14:paraId="4B371D08" w14:textId="30D263D9" w:rsidR="003367C6" w:rsidRDefault="003367C6" w:rsidP="003367C6">
            <w:pPr>
              <w:jc w:val="center"/>
            </w:pPr>
            <w:r>
              <w:t>(-13.0,2.6)</w:t>
            </w:r>
          </w:p>
        </w:tc>
        <w:tc>
          <w:tcPr>
            <w:tcW w:w="1363" w:type="dxa"/>
          </w:tcPr>
          <w:p w14:paraId="668AF7E8" w14:textId="6C59080A" w:rsidR="003367C6" w:rsidRPr="00D15504" w:rsidRDefault="003367C6" w:rsidP="003367C6">
            <w:pPr>
              <w:jc w:val="center"/>
              <w:rPr>
                <w:b/>
              </w:rPr>
            </w:pPr>
            <w:r w:rsidRPr="00D15504">
              <w:rPr>
                <w:b/>
              </w:rPr>
              <w:t>-14.4</w:t>
            </w:r>
          </w:p>
          <w:p w14:paraId="1C6187EC" w14:textId="5FFDADE4" w:rsidR="003367C6" w:rsidRDefault="003367C6" w:rsidP="003367C6">
            <w:pPr>
              <w:jc w:val="center"/>
            </w:pPr>
            <w:r w:rsidRPr="00D15504">
              <w:rPr>
                <w:b/>
              </w:rPr>
              <w:t>(-26.</w:t>
            </w:r>
            <w:r w:rsidR="00BB4400" w:rsidRPr="00D15504">
              <w:rPr>
                <w:b/>
              </w:rPr>
              <w:t>2</w:t>
            </w:r>
            <w:r w:rsidRPr="00D15504">
              <w:rPr>
                <w:b/>
              </w:rPr>
              <w:t>,-2.</w:t>
            </w:r>
            <w:r w:rsidR="00BB4400" w:rsidRPr="00D15504">
              <w:rPr>
                <w:b/>
              </w:rPr>
              <w:t>6</w:t>
            </w:r>
            <w:r w:rsidR="009F288B">
              <w:rPr>
                <w:b/>
              </w:rPr>
              <w:t>)</w:t>
            </w:r>
          </w:p>
        </w:tc>
        <w:tc>
          <w:tcPr>
            <w:tcW w:w="1155" w:type="dxa"/>
          </w:tcPr>
          <w:p w14:paraId="06B7F64E" w14:textId="671973C3" w:rsidR="003367C6" w:rsidRDefault="00BB4400" w:rsidP="003367C6">
            <w:pPr>
              <w:jc w:val="center"/>
            </w:pPr>
            <w:r>
              <w:t>0.57</w:t>
            </w:r>
          </w:p>
          <w:p w14:paraId="64A839F4" w14:textId="6E33CD2F" w:rsidR="003367C6" w:rsidRDefault="003367C6" w:rsidP="003367C6">
            <w:pPr>
              <w:jc w:val="center"/>
            </w:pPr>
            <w:r>
              <w:t>(</w:t>
            </w:r>
            <w:r w:rsidR="00BB4400">
              <w:t>-4.1</w:t>
            </w:r>
            <w:r>
              <w:t>,</w:t>
            </w:r>
            <w:r w:rsidR="00BB4400">
              <w:t>5.3</w:t>
            </w:r>
            <w:r>
              <w:t>)</w:t>
            </w:r>
          </w:p>
        </w:tc>
      </w:tr>
      <w:tr w:rsidR="00844670" w14:paraId="60323EE7" w14:textId="77777777" w:rsidTr="00076586">
        <w:tc>
          <w:tcPr>
            <w:tcW w:w="1980" w:type="dxa"/>
            <w:vAlign w:val="center"/>
          </w:tcPr>
          <w:p w14:paraId="20586AC5" w14:textId="31B33718" w:rsidR="003367C6" w:rsidRDefault="003367C6" w:rsidP="00076586">
            <w:pPr>
              <w:jc w:val="left"/>
            </w:pPr>
            <w:r>
              <w:rPr>
                <w:b/>
              </w:rPr>
              <w:t>Environment</w:t>
            </w:r>
            <w:r w:rsidR="00BB4400">
              <w:rPr>
                <w:b/>
              </w:rPr>
              <w:t xml:space="preserve"> (n=148)</w:t>
            </w:r>
          </w:p>
        </w:tc>
        <w:tc>
          <w:tcPr>
            <w:tcW w:w="1282" w:type="dxa"/>
          </w:tcPr>
          <w:p w14:paraId="7B04CA40" w14:textId="22E2E50E" w:rsidR="003367C6" w:rsidRDefault="003367C6" w:rsidP="003367C6">
            <w:r>
              <w:t>Coefficient (95% CI)</w:t>
            </w:r>
          </w:p>
        </w:tc>
        <w:tc>
          <w:tcPr>
            <w:tcW w:w="1128" w:type="dxa"/>
          </w:tcPr>
          <w:p w14:paraId="04E72C1C" w14:textId="77777777" w:rsidR="003367C6" w:rsidRPr="00D15504" w:rsidRDefault="003367C6" w:rsidP="003367C6">
            <w:pPr>
              <w:jc w:val="center"/>
              <w:rPr>
                <w:b/>
              </w:rPr>
            </w:pPr>
            <w:r w:rsidRPr="00D15504">
              <w:rPr>
                <w:b/>
              </w:rPr>
              <w:t>0.64</w:t>
            </w:r>
          </w:p>
          <w:p w14:paraId="01CFEC6B" w14:textId="7DA46474" w:rsidR="003367C6" w:rsidRPr="00D15504" w:rsidRDefault="003367C6" w:rsidP="003367C6">
            <w:pPr>
              <w:jc w:val="center"/>
              <w:rPr>
                <w:b/>
              </w:rPr>
            </w:pPr>
            <w:r w:rsidRPr="00D15504">
              <w:rPr>
                <w:b/>
              </w:rPr>
              <w:t>(</w:t>
            </w:r>
            <w:r w:rsidR="00BB4400" w:rsidRPr="00D15504">
              <w:rPr>
                <w:b/>
              </w:rPr>
              <w:t>0.5</w:t>
            </w:r>
            <w:r w:rsidRPr="00D15504">
              <w:rPr>
                <w:b/>
              </w:rPr>
              <w:t>,</w:t>
            </w:r>
            <w:r w:rsidR="00BB4400" w:rsidRPr="00D15504">
              <w:rPr>
                <w:b/>
              </w:rPr>
              <w:t>0.8</w:t>
            </w:r>
            <w:r w:rsidRPr="00D15504">
              <w:rPr>
                <w:b/>
              </w:rPr>
              <w:t>)</w:t>
            </w:r>
          </w:p>
        </w:tc>
        <w:tc>
          <w:tcPr>
            <w:tcW w:w="1329" w:type="dxa"/>
          </w:tcPr>
          <w:p w14:paraId="64E48494" w14:textId="1D0BBAC8" w:rsidR="003367C6" w:rsidRDefault="00BB4400" w:rsidP="003367C6">
            <w:pPr>
              <w:jc w:val="center"/>
            </w:pPr>
            <w:r>
              <w:t>-1.47</w:t>
            </w:r>
          </w:p>
          <w:p w14:paraId="20AD7F64" w14:textId="44A13725" w:rsidR="003367C6" w:rsidRDefault="003367C6" w:rsidP="003367C6">
            <w:pPr>
              <w:jc w:val="center"/>
            </w:pPr>
            <w:r>
              <w:t>(</w:t>
            </w:r>
            <w:r w:rsidR="00BB4400">
              <w:t>-5.7</w:t>
            </w:r>
            <w:r>
              <w:t>,</w:t>
            </w:r>
            <w:r w:rsidR="00BB4400">
              <w:t>2.8</w:t>
            </w:r>
            <w:r>
              <w:t>)</w:t>
            </w:r>
          </w:p>
        </w:tc>
        <w:tc>
          <w:tcPr>
            <w:tcW w:w="1276" w:type="dxa"/>
          </w:tcPr>
          <w:p w14:paraId="5C0447AD" w14:textId="635A5E9B" w:rsidR="003367C6" w:rsidRDefault="00BB4400" w:rsidP="003367C6">
            <w:pPr>
              <w:jc w:val="center"/>
            </w:pPr>
            <w:r>
              <w:t>-0.15</w:t>
            </w:r>
          </w:p>
          <w:p w14:paraId="3AFCF3DA" w14:textId="5CC2E3D3" w:rsidR="003367C6" w:rsidRDefault="003367C6" w:rsidP="003367C6">
            <w:pPr>
              <w:jc w:val="center"/>
            </w:pPr>
            <w:r>
              <w:t>(</w:t>
            </w:r>
            <w:r w:rsidR="00BB4400">
              <w:t>-3.6</w:t>
            </w:r>
            <w:r>
              <w:t>,</w:t>
            </w:r>
            <w:r w:rsidR="00BB4400">
              <w:t>3.3</w:t>
            </w:r>
            <w:r>
              <w:t>)</w:t>
            </w:r>
          </w:p>
        </w:tc>
        <w:tc>
          <w:tcPr>
            <w:tcW w:w="1418" w:type="dxa"/>
          </w:tcPr>
          <w:p w14:paraId="4999AFE4" w14:textId="17CC7F45" w:rsidR="003367C6" w:rsidRDefault="00BB4400" w:rsidP="003367C6">
            <w:pPr>
              <w:jc w:val="center"/>
            </w:pPr>
            <w:r>
              <w:t>-0.10</w:t>
            </w:r>
          </w:p>
          <w:p w14:paraId="1523B87B" w14:textId="44231D02" w:rsidR="003367C6" w:rsidRDefault="003367C6" w:rsidP="003367C6">
            <w:pPr>
              <w:jc w:val="center"/>
            </w:pPr>
            <w:r>
              <w:t>(</w:t>
            </w:r>
            <w:r w:rsidR="00BB4400">
              <w:t>-6.8</w:t>
            </w:r>
            <w:r>
              <w:t>,</w:t>
            </w:r>
            <w:r w:rsidR="00BB4400">
              <w:t>6.6</w:t>
            </w:r>
            <w:r>
              <w:t>)</w:t>
            </w:r>
          </w:p>
        </w:tc>
        <w:tc>
          <w:tcPr>
            <w:tcW w:w="1417" w:type="dxa"/>
          </w:tcPr>
          <w:p w14:paraId="76B4B36A" w14:textId="148C6548" w:rsidR="003367C6" w:rsidRDefault="00BB4400" w:rsidP="003367C6">
            <w:pPr>
              <w:jc w:val="center"/>
            </w:pPr>
            <w:r>
              <w:t>0.14</w:t>
            </w:r>
          </w:p>
          <w:p w14:paraId="166908B3" w14:textId="3F342996" w:rsidR="003367C6" w:rsidRDefault="003367C6" w:rsidP="003367C6">
            <w:pPr>
              <w:jc w:val="center"/>
            </w:pPr>
            <w:r>
              <w:t>(</w:t>
            </w:r>
            <w:r w:rsidR="00BB4400">
              <w:t>-4.7</w:t>
            </w:r>
            <w:r>
              <w:t>,</w:t>
            </w:r>
            <w:r w:rsidR="00BB4400">
              <w:t>5.0</w:t>
            </w:r>
            <w:r>
              <w:t>)</w:t>
            </w:r>
          </w:p>
        </w:tc>
        <w:tc>
          <w:tcPr>
            <w:tcW w:w="1418" w:type="dxa"/>
          </w:tcPr>
          <w:p w14:paraId="2B5623A2" w14:textId="15157347" w:rsidR="003367C6" w:rsidRDefault="00BB4400" w:rsidP="003367C6">
            <w:pPr>
              <w:jc w:val="center"/>
            </w:pPr>
            <w:r>
              <w:t>-0.85</w:t>
            </w:r>
          </w:p>
          <w:p w14:paraId="567F6F7A" w14:textId="6566BEA7" w:rsidR="003367C6" w:rsidRDefault="003367C6" w:rsidP="003367C6">
            <w:pPr>
              <w:jc w:val="center"/>
            </w:pPr>
            <w:r>
              <w:t>(</w:t>
            </w:r>
            <w:r w:rsidR="00BB4400">
              <w:t>-6.6</w:t>
            </w:r>
            <w:r>
              <w:t>,</w:t>
            </w:r>
            <w:r w:rsidR="00BB4400">
              <w:t>4.9</w:t>
            </w:r>
            <w:r>
              <w:t>)</w:t>
            </w:r>
          </w:p>
        </w:tc>
        <w:tc>
          <w:tcPr>
            <w:tcW w:w="1363" w:type="dxa"/>
          </w:tcPr>
          <w:p w14:paraId="54A4A8C4" w14:textId="699CE3C8" w:rsidR="003367C6" w:rsidRDefault="00BB4400" w:rsidP="003367C6">
            <w:pPr>
              <w:jc w:val="center"/>
            </w:pPr>
            <w:r>
              <w:t>-6.31</w:t>
            </w:r>
          </w:p>
          <w:p w14:paraId="71E47ADA" w14:textId="2C680A98" w:rsidR="003367C6" w:rsidRDefault="003367C6" w:rsidP="003367C6">
            <w:pPr>
              <w:jc w:val="center"/>
            </w:pPr>
            <w:r>
              <w:t>(</w:t>
            </w:r>
            <w:r w:rsidR="00BB4400">
              <w:t>-15.0</w:t>
            </w:r>
            <w:r>
              <w:t>,</w:t>
            </w:r>
            <w:r w:rsidR="00BB4400">
              <w:t>2.4</w:t>
            </w:r>
            <w:r>
              <w:t>)</w:t>
            </w:r>
          </w:p>
        </w:tc>
        <w:tc>
          <w:tcPr>
            <w:tcW w:w="1155" w:type="dxa"/>
          </w:tcPr>
          <w:p w14:paraId="34FE60C2" w14:textId="34272CEE" w:rsidR="003367C6" w:rsidRDefault="00BB4400" w:rsidP="003367C6">
            <w:pPr>
              <w:jc w:val="center"/>
            </w:pPr>
            <w:r>
              <w:t>2.05</w:t>
            </w:r>
          </w:p>
          <w:p w14:paraId="6549EDBC" w14:textId="6F1B5150" w:rsidR="003367C6" w:rsidRDefault="003367C6" w:rsidP="003367C6">
            <w:pPr>
              <w:jc w:val="center"/>
            </w:pPr>
            <w:r>
              <w:t>(</w:t>
            </w:r>
            <w:r w:rsidR="00BB4400">
              <w:t>-1.5</w:t>
            </w:r>
            <w:r>
              <w:t>,</w:t>
            </w:r>
            <w:r w:rsidR="00BB4400">
              <w:t>5.6</w:t>
            </w:r>
            <w:r>
              <w:t>)</w:t>
            </w:r>
          </w:p>
        </w:tc>
      </w:tr>
      <w:tr w:rsidR="00844670" w14:paraId="328039C6" w14:textId="77777777" w:rsidTr="00076586">
        <w:tc>
          <w:tcPr>
            <w:tcW w:w="1980" w:type="dxa"/>
            <w:vAlign w:val="center"/>
          </w:tcPr>
          <w:p w14:paraId="50317C68" w14:textId="4DB78AD3" w:rsidR="003367C6" w:rsidRPr="00076586" w:rsidRDefault="00001653" w:rsidP="00076586">
            <w:pPr>
              <w:jc w:val="left"/>
              <w:rPr>
                <w:b/>
              </w:rPr>
            </w:pPr>
            <w:r>
              <w:rPr>
                <w:b/>
              </w:rPr>
              <w:t>WHOQOL-BREF</w:t>
            </w:r>
            <w:r w:rsidR="00BB4400">
              <w:rPr>
                <w:b/>
              </w:rPr>
              <w:t xml:space="preserve"> (n=</w:t>
            </w:r>
            <w:r>
              <w:rPr>
                <w:b/>
              </w:rPr>
              <w:t>149</w:t>
            </w:r>
            <w:r w:rsidR="00BB4400">
              <w:rPr>
                <w:b/>
              </w:rPr>
              <w:t>)</w:t>
            </w:r>
          </w:p>
        </w:tc>
        <w:tc>
          <w:tcPr>
            <w:tcW w:w="1282" w:type="dxa"/>
          </w:tcPr>
          <w:p w14:paraId="157E7421" w14:textId="03BC6135" w:rsidR="003367C6" w:rsidRDefault="003367C6" w:rsidP="003367C6">
            <w:r>
              <w:t>Coefficient (95% CI)</w:t>
            </w:r>
          </w:p>
        </w:tc>
        <w:tc>
          <w:tcPr>
            <w:tcW w:w="1128" w:type="dxa"/>
          </w:tcPr>
          <w:p w14:paraId="5785AE9B" w14:textId="77777777" w:rsidR="003367C6" w:rsidRPr="00D15504" w:rsidRDefault="003367C6" w:rsidP="003367C6">
            <w:pPr>
              <w:jc w:val="center"/>
              <w:rPr>
                <w:b/>
              </w:rPr>
            </w:pPr>
            <w:r w:rsidRPr="00D15504">
              <w:rPr>
                <w:b/>
              </w:rPr>
              <w:t>0.59</w:t>
            </w:r>
          </w:p>
          <w:p w14:paraId="2F39E15E" w14:textId="1646292B" w:rsidR="003367C6" w:rsidRPr="00D15504" w:rsidRDefault="003367C6" w:rsidP="003367C6">
            <w:pPr>
              <w:jc w:val="center"/>
              <w:rPr>
                <w:b/>
              </w:rPr>
            </w:pPr>
            <w:r w:rsidRPr="00D15504">
              <w:rPr>
                <w:b/>
              </w:rPr>
              <w:t>(</w:t>
            </w:r>
            <w:r w:rsidR="00BB4400" w:rsidRPr="00D15504">
              <w:rPr>
                <w:b/>
              </w:rPr>
              <w:t>0.4</w:t>
            </w:r>
            <w:r w:rsidRPr="00D15504">
              <w:rPr>
                <w:b/>
              </w:rPr>
              <w:t>,</w:t>
            </w:r>
            <w:r w:rsidR="00BB4400" w:rsidRPr="00D15504">
              <w:rPr>
                <w:b/>
              </w:rPr>
              <w:t>0.7</w:t>
            </w:r>
            <w:r w:rsidRPr="00D15504">
              <w:rPr>
                <w:b/>
              </w:rPr>
              <w:t>)</w:t>
            </w:r>
          </w:p>
        </w:tc>
        <w:tc>
          <w:tcPr>
            <w:tcW w:w="1329" w:type="dxa"/>
          </w:tcPr>
          <w:p w14:paraId="55DA105B" w14:textId="0E91BF05" w:rsidR="003367C6" w:rsidRDefault="00BB4400" w:rsidP="003367C6">
            <w:pPr>
              <w:jc w:val="center"/>
            </w:pPr>
            <w:r>
              <w:t>-3.22</w:t>
            </w:r>
          </w:p>
          <w:p w14:paraId="5A87A2A5" w14:textId="1B4A5C2A" w:rsidR="003367C6" w:rsidRDefault="003367C6" w:rsidP="003367C6">
            <w:pPr>
              <w:jc w:val="center"/>
            </w:pPr>
            <w:r>
              <w:t>(</w:t>
            </w:r>
            <w:r w:rsidR="00BB4400">
              <w:t>-6.9</w:t>
            </w:r>
            <w:r>
              <w:t>,</w:t>
            </w:r>
            <w:r w:rsidR="00BB4400">
              <w:t>0.5</w:t>
            </w:r>
            <w:r>
              <w:t>)</w:t>
            </w:r>
          </w:p>
        </w:tc>
        <w:tc>
          <w:tcPr>
            <w:tcW w:w="1276" w:type="dxa"/>
          </w:tcPr>
          <w:p w14:paraId="1CF46141" w14:textId="64A8AEE5" w:rsidR="003367C6" w:rsidRDefault="00BB4400" w:rsidP="003367C6">
            <w:pPr>
              <w:jc w:val="center"/>
            </w:pPr>
            <w:r>
              <w:t>0.50</w:t>
            </w:r>
          </w:p>
          <w:p w14:paraId="2077896E" w14:textId="3F86E903" w:rsidR="003367C6" w:rsidRDefault="003367C6" w:rsidP="003367C6">
            <w:pPr>
              <w:jc w:val="center"/>
            </w:pPr>
            <w:r>
              <w:t>(</w:t>
            </w:r>
            <w:r w:rsidR="00BB4400">
              <w:t>-2.5</w:t>
            </w:r>
            <w:r>
              <w:t>,</w:t>
            </w:r>
            <w:r w:rsidR="00BB4400">
              <w:t>3.5</w:t>
            </w:r>
            <w:r>
              <w:t>)</w:t>
            </w:r>
          </w:p>
        </w:tc>
        <w:tc>
          <w:tcPr>
            <w:tcW w:w="1418" w:type="dxa"/>
          </w:tcPr>
          <w:p w14:paraId="4754256C" w14:textId="7BF3B0DA" w:rsidR="003367C6" w:rsidRDefault="00BB4400" w:rsidP="003367C6">
            <w:pPr>
              <w:jc w:val="center"/>
            </w:pPr>
            <w:r>
              <w:t>0.07</w:t>
            </w:r>
          </w:p>
          <w:p w14:paraId="24E0139C" w14:textId="1C0B8211" w:rsidR="003367C6" w:rsidRDefault="003367C6" w:rsidP="003367C6">
            <w:pPr>
              <w:jc w:val="center"/>
            </w:pPr>
            <w:r>
              <w:t>(</w:t>
            </w:r>
            <w:r w:rsidR="00BB4400">
              <w:t>-5.6</w:t>
            </w:r>
            <w:r>
              <w:t>,</w:t>
            </w:r>
            <w:r w:rsidR="00BB4400">
              <w:t>5.8</w:t>
            </w:r>
            <w:r>
              <w:t>)</w:t>
            </w:r>
          </w:p>
        </w:tc>
        <w:tc>
          <w:tcPr>
            <w:tcW w:w="1417" w:type="dxa"/>
          </w:tcPr>
          <w:p w14:paraId="630F4CC4" w14:textId="7CE48468" w:rsidR="003367C6" w:rsidRDefault="00BB4400" w:rsidP="003367C6">
            <w:pPr>
              <w:jc w:val="center"/>
            </w:pPr>
            <w:r>
              <w:t>-0.43</w:t>
            </w:r>
          </w:p>
          <w:p w14:paraId="435D088F" w14:textId="573580BF" w:rsidR="003367C6" w:rsidRDefault="003367C6" w:rsidP="003367C6">
            <w:pPr>
              <w:jc w:val="center"/>
            </w:pPr>
            <w:r>
              <w:t>(</w:t>
            </w:r>
            <w:r w:rsidR="00BB4400">
              <w:t>-4.6</w:t>
            </w:r>
            <w:r>
              <w:t>,</w:t>
            </w:r>
            <w:r w:rsidR="00BB4400">
              <w:t>3.7</w:t>
            </w:r>
            <w:r>
              <w:t>)</w:t>
            </w:r>
          </w:p>
        </w:tc>
        <w:tc>
          <w:tcPr>
            <w:tcW w:w="1418" w:type="dxa"/>
          </w:tcPr>
          <w:p w14:paraId="3116C9F0" w14:textId="1EC78D84" w:rsidR="003367C6" w:rsidRDefault="00BB4400" w:rsidP="003367C6">
            <w:pPr>
              <w:jc w:val="center"/>
            </w:pPr>
            <w:r>
              <w:t>-3.1</w:t>
            </w:r>
          </w:p>
          <w:p w14:paraId="631E3B53" w14:textId="133D2BA7" w:rsidR="003367C6" w:rsidRDefault="003367C6" w:rsidP="003367C6">
            <w:pPr>
              <w:jc w:val="center"/>
            </w:pPr>
            <w:r>
              <w:t>(</w:t>
            </w:r>
            <w:r w:rsidR="00BB4400">
              <w:t>-8.1</w:t>
            </w:r>
            <w:r>
              <w:t>,</w:t>
            </w:r>
            <w:r w:rsidR="00BB4400">
              <w:t>1.8</w:t>
            </w:r>
            <w:r>
              <w:t>)</w:t>
            </w:r>
          </w:p>
        </w:tc>
        <w:tc>
          <w:tcPr>
            <w:tcW w:w="1363" w:type="dxa"/>
          </w:tcPr>
          <w:p w14:paraId="085C6635" w14:textId="11F1CFFB" w:rsidR="003367C6" w:rsidRPr="00D15504" w:rsidRDefault="003367C6" w:rsidP="003367C6">
            <w:pPr>
              <w:jc w:val="center"/>
              <w:rPr>
                <w:b/>
              </w:rPr>
            </w:pPr>
            <w:r w:rsidRPr="00D15504">
              <w:rPr>
                <w:b/>
              </w:rPr>
              <w:t>-</w:t>
            </w:r>
            <w:r w:rsidR="00BB4400" w:rsidRPr="00D15504">
              <w:rPr>
                <w:b/>
              </w:rPr>
              <w:t>9</w:t>
            </w:r>
            <w:r w:rsidRPr="00D15504">
              <w:rPr>
                <w:b/>
              </w:rPr>
              <w:t>.</w:t>
            </w:r>
            <w:r w:rsidR="00BB4400" w:rsidRPr="00D15504">
              <w:rPr>
                <w:b/>
              </w:rPr>
              <w:t>92</w:t>
            </w:r>
          </w:p>
          <w:p w14:paraId="19D6D624" w14:textId="02E1B1B9" w:rsidR="003367C6" w:rsidRDefault="003367C6" w:rsidP="003367C6">
            <w:pPr>
              <w:jc w:val="center"/>
            </w:pPr>
            <w:r w:rsidRPr="00D15504">
              <w:rPr>
                <w:b/>
              </w:rPr>
              <w:t>(-17.9,-</w:t>
            </w:r>
            <w:r w:rsidR="00BB4400" w:rsidRPr="00D15504">
              <w:rPr>
                <w:b/>
              </w:rPr>
              <w:t>1</w:t>
            </w:r>
            <w:r w:rsidRPr="00D15504">
              <w:rPr>
                <w:b/>
              </w:rPr>
              <w:t>.</w:t>
            </w:r>
            <w:r w:rsidR="00BB4400" w:rsidRPr="00D15504">
              <w:rPr>
                <w:b/>
              </w:rPr>
              <w:t>9</w:t>
            </w:r>
            <w:r w:rsidRPr="00D15504">
              <w:rPr>
                <w:b/>
              </w:rPr>
              <w:t>)</w:t>
            </w:r>
          </w:p>
        </w:tc>
        <w:tc>
          <w:tcPr>
            <w:tcW w:w="1155" w:type="dxa"/>
          </w:tcPr>
          <w:p w14:paraId="39F53C9C" w14:textId="5C32C5AC" w:rsidR="003367C6" w:rsidRDefault="00BB4400" w:rsidP="003367C6">
            <w:pPr>
              <w:jc w:val="center"/>
            </w:pPr>
            <w:r>
              <w:t>0.18</w:t>
            </w:r>
          </w:p>
          <w:p w14:paraId="61E1E7A3" w14:textId="7F7BD5CF" w:rsidR="003367C6" w:rsidRDefault="003367C6" w:rsidP="003367C6">
            <w:pPr>
              <w:jc w:val="center"/>
            </w:pPr>
            <w:r>
              <w:t>(</w:t>
            </w:r>
            <w:r w:rsidR="00BB4400">
              <w:t>-2.9</w:t>
            </w:r>
            <w:r>
              <w:t>,</w:t>
            </w:r>
            <w:r w:rsidR="00BB4400">
              <w:t>3.3</w:t>
            </w:r>
            <w:r>
              <w:t>)</w:t>
            </w:r>
          </w:p>
        </w:tc>
      </w:tr>
    </w:tbl>
    <w:p w14:paraId="74C1F528" w14:textId="25C7F2FB" w:rsidR="00ED252A" w:rsidRDefault="00226E3C" w:rsidP="00317681">
      <w:r>
        <w:t xml:space="preserve">MCHA = Maternal and Child Health Aide; </w:t>
      </w:r>
      <w:r w:rsidR="00076586">
        <w:t>S</w:t>
      </w:r>
      <w:r>
        <w:t xml:space="preserve">ECHN = </w:t>
      </w:r>
      <w:r w:rsidR="00076586">
        <w:t xml:space="preserve">State </w:t>
      </w:r>
      <w:r>
        <w:t>Enrolled Community Health Nurses</w:t>
      </w:r>
      <w:r w:rsidR="00F60EF7">
        <w:t xml:space="preserve">; </w:t>
      </w:r>
      <w:r w:rsidR="00F60EF7">
        <w:rPr>
          <w:sz w:val="18"/>
          <w:szCs w:val="18"/>
        </w:rPr>
        <w:t>CEmOC = facility providing comprehensive emergency obstetric care; BEmOC = facility providing basic emergency obstetric care</w:t>
      </w:r>
    </w:p>
    <w:p w14:paraId="2A11609D" w14:textId="77B44165" w:rsidR="006678CF" w:rsidRDefault="006678CF" w:rsidP="00317681"/>
    <w:p w14:paraId="35F4DCF9" w14:textId="0DCE1088" w:rsidR="006678CF" w:rsidRDefault="006678CF" w:rsidP="00AD179C">
      <w:pPr>
        <w:spacing w:after="160"/>
        <w:jc w:val="left"/>
        <w:sectPr w:rsidR="006678CF" w:rsidSect="00F636B1">
          <w:pgSz w:w="16838" w:h="11906" w:orient="landscape"/>
          <w:pgMar w:top="1276" w:right="1440" w:bottom="1440" w:left="1440" w:header="708" w:footer="708" w:gutter="0"/>
          <w:cols w:space="708"/>
          <w:docGrid w:linePitch="360"/>
        </w:sectPr>
      </w:pPr>
    </w:p>
    <w:p w14:paraId="593DC224" w14:textId="314DC20F" w:rsidR="006678CF" w:rsidRPr="00D63468" w:rsidRDefault="006678CF" w:rsidP="00AD179C">
      <w:pPr>
        <w:jc w:val="left"/>
      </w:pPr>
    </w:p>
    <w:sectPr w:rsidR="006678CF" w:rsidRPr="00D63468" w:rsidSect="00667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5663" w14:textId="77777777" w:rsidR="00891CD1" w:rsidRDefault="00891CD1" w:rsidP="001F1737">
      <w:pPr>
        <w:spacing w:line="240" w:lineRule="auto"/>
      </w:pPr>
      <w:r>
        <w:separator/>
      </w:r>
    </w:p>
  </w:endnote>
  <w:endnote w:type="continuationSeparator" w:id="0">
    <w:p w14:paraId="329B6B06" w14:textId="77777777" w:rsidR="00891CD1" w:rsidRDefault="00891CD1" w:rsidP="001F1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ヒラギノ角ゴ Pro W3">
    <w:charset w:val="28"/>
    <w:family w:val="auto"/>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86C7" w14:textId="77777777" w:rsidR="00EE0888" w:rsidRDefault="00EE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78568"/>
      <w:docPartObj>
        <w:docPartGallery w:val="Page Numbers (Bottom of Page)"/>
        <w:docPartUnique/>
      </w:docPartObj>
    </w:sdtPr>
    <w:sdtEndPr>
      <w:rPr>
        <w:noProof/>
      </w:rPr>
    </w:sdtEndPr>
    <w:sdtContent>
      <w:p w14:paraId="28F293D7" w14:textId="2518B0AB" w:rsidR="00EE0888" w:rsidRDefault="00EE088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C8802AD" w14:textId="77777777" w:rsidR="00EE0888" w:rsidRDefault="00EE0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9826" w14:textId="77777777" w:rsidR="00EE0888" w:rsidRDefault="00EE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F8F5" w14:textId="77777777" w:rsidR="00891CD1" w:rsidRDefault="00891CD1" w:rsidP="001F1737">
      <w:pPr>
        <w:spacing w:line="240" w:lineRule="auto"/>
      </w:pPr>
      <w:r>
        <w:separator/>
      </w:r>
    </w:p>
  </w:footnote>
  <w:footnote w:type="continuationSeparator" w:id="0">
    <w:p w14:paraId="2B620344" w14:textId="77777777" w:rsidR="00891CD1" w:rsidRDefault="00891CD1" w:rsidP="001F1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07BF" w14:textId="77777777" w:rsidR="00EE0888" w:rsidRDefault="00EE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074C" w14:textId="77777777" w:rsidR="00EE0888" w:rsidRDefault="00EE0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F602" w14:textId="77777777" w:rsidR="00EE0888" w:rsidRDefault="00EE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35B"/>
    <w:multiLevelType w:val="hybridMultilevel"/>
    <w:tmpl w:val="1C0C61D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15:restartNumberingAfterBreak="0">
    <w:nsid w:val="0AE77BC4"/>
    <w:multiLevelType w:val="hybridMultilevel"/>
    <w:tmpl w:val="B5D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F6166"/>
    <w:multiLevelType w:val="hybridMultilevel"/>
    <w:tmpl w:val="C31C9F0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5BE1EF0"/>
    <w:multiLevelType w:val="hybridMultilevel"/>
    <w:tmpl w:val="2212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5594B"/>
    <w:multiLevelType w:val="hybridMultilevel"/>
    <w:tmpl w:val="C444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B27C6"/>
    <w:multiLevelType w:val="hybridMultilevel"/>
    <w:tmpl w:val="F158417C"/>
    <w:lvl w:ilvl="0" w:tplc="BA4A1E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B21CF"/>
    <w:multiLevelType w:val="hybridMultilevel"/>
    <w:tmpl w:val="DF16EFF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0571225"/>
    <w:multiLevelType w:val="hybridMultilevel"/>
    <w:tmpl w:val="D40084F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261A9"/>
    <w:multiLevelType w:val="hybridMultilevel"/>
    <w:tmpl w:val="93C2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72868"/>
    <w:multiLevelType w:val="hybridMultilevel"/>
    <w:tmpl w:val="177EB09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D270961"/>
    <w:multiLevelType w:val="hybridMultilevel"/>
    <w:tmpl w:val="EF2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3C6"/>
    <w:multiLevelType w:val="multilevel"/>
    <w:tmpl w:val="7FE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C0DF1"/>
    <w:multiLevelType w:val="hybridMultilevel"/>
    <w:tmpl w:val="FCC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93F72"/>
    <w:multiLevelType w:val="hybridMultilevel"/>
    <w:tmpl w:val="569A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E001F"/>
    <w:multiLevelType w:val="multilevel"/>
    <w:tmpl w:val="C63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92A17"/>
    <w:multiLevelType w:val="hybridMultilevel"/>
    <w:tmpl w:val="D11E2B1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43AE4"/>
    <w:multiLevelType w:val="hybridMultilevel"/>
    <w:tmpl w:val="E7E03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C4CF8"/>
    <w:multiLevelType w:val="hybridMultilevel"/>
    <w:tmpl w:val="3B3E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3"/>
  </w:num>
  <w:num w:numId="5">
    <w:abstractNumId w:val="4"/>
  </w:num>
  <w:num w:numId="6">
    <w:abstractNumId w:val="14"/>
  </w:num>
  <w:num w:numId="7">
    <w:abstractNumId w:val="16"/>
  </w:num>
  <w:num w:numId="8">
    <w:abstractNumId w:val="5"/>
  </w:num>
  <w:num w:numId="9">
    <w:abstractNumId w:val="2"/>
  </w:num>
  <w:num w:numId="10">
    <w:abstractNumId w:val="13"/>
  </w:num>
  <w:num w:numId="11">
    <w:abstractNumId w:val="8"/>
  </w:num>
  <w:num w:numId="12">
    <w:abstractNumId w:val="12"/>
  </w:num>
  <w:num w:numId="13">
    <w:abstractNumId w:val="10"/>
  </w:num>
  <w:num w:numId="14">
    <w:abstractNumId w:val="1"/>
  </w:num>
  <w:num w:numId="15">
    <w:abstractNumId w:val="7"/>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97"/>
    <w:rsid w:val="00001653"/>
    <w:rsid w:val="0000395E"/>
    <w:rsid w:val="00004F5E"/>
    <w:rsid w:val="00006E79"/>
    <w:rsid w:val="00013E71"/>
    <w:rsid w:val="0001472C"/>
    <w:rsid w:val="000206F4"/>
    <w:rsid w:val="00023FD4"/>
    <w:rsid w:val="00024A7A"/>
    <w:rsid w:val="00026009"/>
    <w:rsid w:val="000270EE"/>
    <w:rsid w:val="00027247"/>
    <w:rsid w:val="00033CDA"/>
    <w:rsid w:val="00037288"/>
    <w:rsid w:val="000504D1"/>
    <w:rsid w:val="00050660"/>
    <w:rsid w:val="00050A16"/>
    <w:rsid w:val="00052918"/>
    <w:rsid w:val="00060EB5"/>
    <w:rsid w:val="00061873"/>
    <w:rsid w:val="00062E35"/>
    <w:rsid w:val="00062EC8"/>
    <w:rsid w:val="000674A2"/>
    <w:rsid w:val="00072B2A"/>
    <w:rsid w:val="00075A4B"/>
    <w:rsid w:val="00076586"/>
    <w:rsid w:val="0007791F"/>
    <w:rsid w:val="00083097"/>
    <w:rsid w:val="00084C22"/>
    <w:rsid w:val="000862B8"/>
    <w:rsid w:val="0008688D"/>
    <w:rsid w:val="0009011B"/>
    <w:rsid w:val="00091F87"/>
    <w:rsid w:val="000926C4"/>
    <w:rsid w:val="00092AEE"/>
    <w:rsid w:val="000935A1"/>
    <w:rsid w:val="00095DFD"/>
    <w:rsid w:val="00096C55"/>
    <w:rsid w:val="000A4FD6"/>
    <w:rsid w:val="000A58E5"/>
    <w:rsid w:val="000A5C73"/>
    <w:rsid w:val="000A66AD"/>
    <w:rsid w:val="000A7066"/>
    <w:rsid w:val="000A7082"/>
    <w:rsid w:val="000B0609"/>
    <w:rsid w:val="000B14D5"/>
    <w:rsid w:val="000B3651"/>
    <w:rsid w:val="000C03B1"/>
    <w:rsid w:val="000C1249"/>
    <w:rsid w:val="000C3735"/>
    <w:rsid w:val="000C3C43"/>
    <w:rsid w:val="000C4977"/>
    <w:rsid w:val="000C4CE1"/>
    <w:rsid w:val="000C6E1E"/>
    <w:rsid w:val="000D24B5"/>
    <w:rsid w:val="000D50E2"/>
    <w:rsid w:val="000D6D34"/>
    <w:rsid w:val="000E4299"/>
    <w:rsid w:val="000E4473"/>
    <w:rsid w:val="000F1730"/>
    <w:rsid w:val="000F3203"/>
    <w:rsid w:val="000F3E63"/>
    <w:rsid w:val="000F3FF1"/>
    <w:rsid w:val="000F5211"/>
    <w:rsid w:val="000F5576"/>
    <w:rsid w:val="00100C75"/>
    <w:rsid w:val="00101A0E"/>
    <w:rsid w:val="00102CE0"/>
    <w:rsid w:val="00104E3E"/>
    <w:rsid w:val="00106BE6"/>
    <w:rsid w:val="001135A2"/>
    <w:rsid w:val="001147F1"/>
    <w:rsid w:val="0011590F"/>
    <w:rsid w:val="001175F6"/>
    <w:rsid w:val="001177AF"/>
    <w:rsid w:val="0012261A"/>
    <w:rsid w:val="001239D3"/>
    <w:rsid w:val="0012785D"/>
    <w:rsid w:val="0013037F"/>
    <w:rsid w:val="001326D3"/>
    <w:rsid w:val="00132EF0"/>
    <w:rsid w:val="00132FAB"/>
    <w:rsid w:val="001379B8"/>
    <w:rsid w:val="00140F2D"/>
    <w:rsid w:val="001419BE"/>
    <w:rsid w:val="001513A6"/>
    <w:rsid w:val="00151DA7"/>
    <w:rsid w:val="00153E79"/>
    <w:rsid w:val="0015485D"/>
    <w:rsid w:val="00167D37"/>
    <w:rsid w:val="001736E0"/>
    <w:rsid w:val="001813F1"/>
    <w:rsid w:val="00182A58"/>
    <w:rsid w:val="00183A8E"/>
    <w:rsid w:val="00183F44"/>
    <w:rsid w:val="00184CC5"/>
    <w:rsid w:val="00184EDD"/>
    <w:rsid w:val="001853A6"/>
    <w:rsid w:val="0019174B"/>
    <w:rsid w:val="00196964"/>
    <w:rsid w:val="00196973"/>
    <w:rsid w:val="0019759F"/>
    <w:rsid w:val="001A1F10"/>
    <w:rsid w:val="001A28DB"/>
    <w:rsid w:val="001A5870"/>
    <w:rsid w:val="001B39A9"/>
    <w:rsid w:val="001B5820"/>
    <w:rsid w:val="001B758A"/>
    <w:rsid w:val="001C2E2C"/>
    <w:rsid w:val="001C7656"/>
    <w:rsid w:val="001D2B3A"/>
    <w:rsid w:val="001D712D"/>
    <w:rsid w:val="001D7F3F"/>
    <w:rsid w:val="001E0ADA"/>
    <w:rsid w:val="001E1BB2"/>
    <w:rsid w:val="001E7CEF"/>
    <w:rsid w:val="001F0FCF"/>
    <w:rsid w:val="001F1737"/>
    <w:rsid w:val="001F6511"/>
    <w:rsid w:val="001F76D9"/>
    <w:rsid w:val="002003AB"/>
    <w:rsid w:val="00201887"/>
    <w:rsid w:val="00204505"/>
    <w:rsid w:val="00205410"/>
    <w:rsid w:val="00207C66"/>
    <w:rsid w:val="0021021D"/>
    <w:rsid w:val="00210D53"/>
    <w:rsid w:val="00211B52"/>
    <w:rsid w:val="00212EE8"/>
    <w:rsid w:val="00215E2E"/>
    <w:rsid w:val="00215FA5"/>
    <w:rsid w:val="00220DC4"/>
    <w:rsid w:val="00226E3C"/>
    <w:rsid w:val="002278F5"/>
    <w:rsid w:val="00231080"/>
    <w:rsid w:val="00234C5D"/>
    <w:rsid w:val="002350DD"/>
    <w:rsid w:val="002358EE"/>
    <w:rsid w:val="00235D07"/>
    <w:rsid w:val="002376E8"/>
    <w:rsid w:val="00245239"/>
    <w:rsid w:val="002460B9"/>
    <w:rsid w:val="0024630C"/>
    <w:rsid w:val="00250D81"/>
    <w:rsid w:val="002529DC"/>
    <w:rsid w:val="002608B1"/>
    <w:rsid w:val="00263EC3"/>
    <w:rsid w:val="00265E86"/>
    <w:rsid w:val="002671B5"/>
    <w:rsid w:val="00270C42"/>
    <w:rsid w:val="00271375"/>
    <w:rsid w:val="00274AB3"/>
    <w:rsid w:val="002861A1"/>
    <w:rsid w:val="002907E4"/>
    <w:rsid w:val="002A0F90"/>
    <w:rsid w:val="002A19E4"/>
    <w:rsid w:val="002A6186"/>
    <w:rsid w:val="002A62DA"/>
    <w:rsid w:val="002B1BCE"/>
    <w:rsid w:val="002B4C29"/>
    <w:rsid w:val="002C5625"/>
    <w:rsid w:val="002D16F5"/>
    <w:rsid w:val="002D1721"/>
    <w:rsid w:val="002D1852"/>
    <w:rsid w:val="002D336A"/>
    <w:rsid w:val="002D4FAF"/>
    <w:rsid w:val="002D524B"/>
    <w:rsid w:val="002D52A4"/>
    <w:rsid w:val="002D5D00"/>
    <w:rsid w:val="002E28E6"/>
    <w:rsid w:val="002E36E1"/>
    <w:rsid w:val="002E52F6"/>
    <w:rsid w:val="002E7FC2"/>
    <w:rsid w:val="00303861"/>
    <w:rsid w:val="00310460"/>
    <w:rsid w:val="00310C37"/>
    <w:rsid w:val="00312174"/>
    <w:rsid w:val="003123C8"/>
    <w:rsid w:val="003144C4"/>
    <w:rsid w:val="00314A43"/>
    <w:rsid w:val="0031514B"/>
    <w:rsid w:val="0031641D"/>
    <w:rsid w:val="00317681"/>
    <w:rsid w:val="0031773C"/>
    <w:rsid w:val="0032015C"/>
    <w:rsid w:val="00324816"/>
    <w:rsid w:val="0032795F"/>
    <w:rsid w:val="00333F35"/>
    <w:rsid w:val="003367C6"/>
    <w:rsid w:val="0033757D"/>
    <w:rsid w:val="00341594"/>
    <w:rsid w:val="00350F70"/>
    <w:rsid w:val="003570BB"/>
    <w:rsid w:val="003575E2"/>
    <w:rsid w:val="003623E0"/>
    <w:rsid w:val="003711E2"/>
    <w:rsid w:val="00371FB7"/>
    <w:rsid w:val="00373564"/>
    <w:rsid w:val="0037408A"/>
    <w:rsid w:val="00374DFF"/>
    <w:rsid w:val="00377F48"/>
    <w:rsid w:val="00383454"/>
    <w:rsid w:val="00383FB3"/>
    <w:rsid w:val="003873CB"/>
    <w:rsid w:val="00387672"/>
    <w:rsid w:val="00390BE2"/>
    <w:rsid w:val="0039143D"/>
    <w:rsid w:val="00392B71"/>
    <w:rsid w:val="00393788"/>
    <w:rsid w:val="0039529C"/>
    <w:rsid w:val="003A0754"/>
    <w:rsid w:val="003A07F4"/>
    <w:rsid w:val="003A0E49"/>
    <w:rsid w:val="003A2366"/>
    <w:rsid w:val="003A74C7"/>
    <w:rsid w:val="003B09C3"/>
    <w:rsid w:val="003C4A50"/>
    <w:rsid w:val="003C5E64"/>
    <w:rsid w:val="003D057F"/>
    <w:rsid w:val="003D064D"/>
    <w:rsid w:val="003D43DC"/>
    <w:rsid w:val="003E06D8"/>
    <w:rsid w:val="003E3914"/>
    <w:rsid w:val="003E584E"/>
    <w:rsid w:val="003E6D3E"/>
    <w:rsid w:val="003F4CDF"/>
    <w:rsid w:val="003F6737"/>
    <w:rsid w:val="00405360"/>
    <w:rsid w:val="00406EF8"/>
    <w:rsid w:val="00413275"/>
    <w:rsid w:val="004267A2"/>
    <w:rsid w:val="0042794E"/>
    <w:rsid w:val="0043086A"/>
    <w:rsid w:val="00431480"/>
    <w:rsid w:val="004346F8"/>
    <w:rsid w:val="00440962"/>
    <w:rsid w:val="004450F5"/>
    <w:rsid w:val="004518E8"/>
    <w:rsid w:val="00454D67"/>
    <w:rsid w:val="004553D2"/>
    <w:rsid w:val="00461B73"/>
    <w:rsid w:val="004623C0"/>
    <w:rsid w:val="004639C3"/>
    <w:rsid w:val="004640FE"/>
    <w:rsid w:val="004659B4"/>
    <w:rsid w:val="00466BD6"/>
    <w:rsid w:val="00466E61"/>
    <w:rsid w:val="00471A95"/>
    <w:rsid w:val="004828D9"/>
    <w:rsid w:val="0048290C"/>
    <w:rsid w:val="0048462F"/>
    <w:rsid w:val="00490CF2"/>
    <w:rsid w:val="004929B0"/>
    <w:rsid w:val="00495543"/>
    <w:rsid w:val="004A0852"/>
    <w:rsid w:val="004B2A7C"/>
    <w:rsid w:val="004B3CC6"/>
    <w:rsid w:val="004B440E"/>
    <w:rsid w:val="004B79C4"/>
    <w:rsid w:val="004C0A3E"/>
    <w:rsid w:val="004C60BC"/>
    <w:rsid w:val="004C63A1"/>
    <w:rsid w:val="004C6542"/>
    <w:rsid w:val="004C7CE7"/>
    <w:rsid w:val="004D09AE"/>
    <w:rsid w:val="004D6394"/>
    <w:rsid w:val="004E20E0"/>
    <w:rsid w:val="004E4531"/>
    <w:rsid w:val="004E74C2"/>
    <w:rsid w:val="004E79C6"/>
    <w:rsid w:val="004F09A3"/>
    <w:rsid w:val="004F407B"/>
    <w:rsid w:val="004F41D4"/>
    <w:rsid w:val="004F46E9"/>
    <w:rsid w:val="004F475A"/>
    <w:rsid w:val="004F5845"/>
    <w:rsid w:val="004F71D8"/>
    <w:rsid w:val="005003AD"/>
    <w:rsid w:val="00503260"/>
    <w:rsid w:val="005040F0"/>
    <w:rsid w:val="005079B5"/>
    <w:rsid w:val="005100B3"/>
    <w:rsid w:val="00511C72"/>
    <w:rsid w:val="00513AED"/>
    <w:rsid w:val="005161CA"/>
    <w:rsid w:val="00522269"/>
    <w:rsid w:val="00524AD4"/>
    <w:rsid w:val="00527F86"/>
    <w:rsid w:val="005367E7"/>
    <w:rsid w:val="00540928"/>
    <w:rsid w:val="00541ABC"/>
    <w:rsid w:val="00550AE3"/>
    <w:rsid w:val="00554391"/>
    <w:rsid w:val="00561FF3"/>
    <w:rsid w:val="00562205"/>
    <w:rsid w:val="00562ED2"/>
    <w:rsid w:val="00563439"/>
    <w:rsid w:val="00566945"/>
    <w:rsid w:val="005676F6"/>
    <w:rsid w:val="0056786F"/>
    <w:rsid w:val="0057063E"/>
    <w:rsid w:val="00570756"/>
    <w:rsid w:val="00572380"/>
    <w:rsid w:val="00576387"/>
    <w:rsid w:val="005774EA"/>
    <w:rsid w:val="005805D2"/>
    <w:rsid w:val="00586568"/>
    <w:rsid w:val="0058689E"/>
    <w:rsid w:val="00591125"/>
    <w:rsid w:val="00592141"/>
    <w:rsid w:val="005933D5"/>
    <w:rsid w:val="005A04F0"/>
    <w:rsid w:val="005A6B90"/>
    <w:rsid w:val="005B1195"/>
    <w:rsid w:val="005C0FEE"/>
    <w:rsid w:val="005C1A86"/>
    <w:rsid w:val="005C3894"/>
    <w:rsid w:val="005D6452"/>
    <w:rsid w:val="005E3135"/>
    <w:rsid w:val="005E4996"/>
    <w:rsid w:val="00600A80"/>
    <w:rsid w:val="00607CF7"/>
    <w:rsid w:val="006110F2"/>
    <w:rsid w:val="006151D0"/>
    <w:rsid w:val="00615AA3"/>
    <w:rsid w:val="006161B1"/>
    <w:rsid w:val="006279B6"/>
    <w:rsid w:val="006358D2"/>
    <w:rsid w:val="006373A3"/>
    <w:rsid w:val="006376E4"/>
    <w:rsid w:val="00657F73"/>
    <w:rsid w:val="0066063E"/>
    <w:rsid w:val="006616C1"/>
    <w:rsid w:val="00662F4A"/>
    <w:rsid w:val="006678CF"/>
    <w:rsid w:val="00667A53"/>
    <w:rsid w:val="00670F1B"/>
    <w:rsid w:val="00671FFA"/>
    <w:rsid w:val="00674D7E"/>
    <w:rsid w:val="00675ED0"/>
    <w:rsid w:val="006774A9"/>
    <w:rsid w:val="006807AA"/>
    <w:rsid w:val="00681B58"/>
    <w:rsid w:val="006821B7"/>
    <w:rsid w:val="00682BBA"/>
    <w:rsid w:val="00683E12"/>
    <w:rsid w:val="00684D4B"/>
    <w:rsid w:val="00686151"/>
    <w:rsid w:val="00695E70"/>
    <w:rsid w:val="00696036"/>
    <w:rsid w:val="0069652A"/>
    <w:rsid w:val="00697C85"/>
    <w:rsid w:val="006A108F"/>
    <w:rsid w:val="006A1591"/>
    <w:rsid w:val="006A4FDE"/>
    <w:rsid w:val="006B36C9"/>
    <w:rsid w:val="006B41E4"/>
    <w:rsid w:val="006C283B"/>
    <w:rsid w:val="006C2F01"/>
    <w:rsid w:val="006D3261"/>
    <w:rsid w:val="006D6656"/>
    <w:rsid w:val="006E1D08"/>
    <w:rsid w:val="006E405F"/>
    <w:rsid w:val="006E6B6E"/>
    <w:rsid w:val="006F0379"/>
    <w:rsid w:val="006F4E7E"/>
    <w:rsid w:val="006F5EC4"/>
    <w:rsid w:val="006F735F"/>
    <w:rsid w:val="00703AA9"/>
    <w:rsid w:val="00706D34"/>
    <w:rsid w:val="00706FB3"/>
    <w:rsid w:val="00710047"/>
    <w:rsid w:val="007137D6"/>
    <w:rsid w:val="00715551"/>
    <w:rsid w:val="007209F6"/>
    <w:rsid w:val="0072303E"/>
    <w:rsid w:val="00724BC4"/>
    <w:rsid w:val="00730531"/>
    <w:rsid w:val="00731927"/>
    <w:rsid w:val="00735AF5"/>
    <w:rsid w:val="00740485"/>
    <w:rsid w:val="0074108C"/>
    <w:rsid w:val="00746DA4"/>
    <w:rsid w:val="007517F1"/>
    <w:rsid w:val="00752954"/>
    <w:rsid w:val="00756158"/>
    <w:rsid w:val="00760C0F"/>
    <w:rsid w:val="00761AD1"/>
    <w:rsid w:val="0076404A"/>
    <w:rsid w:val="0076698E"/>
    <w:rsid w:val="007822A2"/>
    <w:rsid w:val="007841F2"/>
    <w:rsid w:val="007856C2"/>
    <w:rsid w:val="00794C4A"/>
    <w:rsid w:val="00794E18"/>
    <w:rsid w:val="007A3AB0"/>
    <w:rsid w:val="007A4455"/>
    <w:rsid w:val="007A534A"/>
    <w:rsid w:val="007A762E"/>
    <w:rsid w:val="007B112F"/>
    <w:rsid w:val="007B259D"/>
    <w:rsid w:val="007C721D"/>
    <w:rsid w:val="007D2780"/>
    <w:rsid w:val="007D651C"/>
    <w:rsid w:val="007E059E"/>
    <w:rsid w:val="007E3212"/>
    <w:rsid w:val="00813C5E"/>
    <w:rsid w:val="00815433"/>
    <w:rsid w:val="00820E58"/>
    <w:rsid w:val="008309EA"/>
    <w:rsid w:val="00832A0E"/>
    <w:rsid w:val="008343BD"/>
    <w:rsid w:val="00835881"/>
    <w:rsid w:val="00836C3C"/>
    <w:rsid w:val="00837604"/>
    <w:rsid w:val="0084053D"/>
    <w:rsid w:val="00841708"/>
    <w:rsid w:val="00844670"/>
    <w:rsid w:val="00844938"/>
    <w:rsid w:val="0085018C"/>
    <w:rsid w:val="00850C91"/>
    <w:rsid w:val="00852DF6"/>
    <w:rsid w:val="00854C32"/>
    <w:rsid w:val="0085797A"/>
    <w:rsid w:val="0086030B"/>
    <w:rsid w:val="00866B92"/>
    <w:rsid w:val="00867693"/>
    <w:rsid w:val="00872D7C"/>
    <w:rsid w:val="00874815"/>
    <w:rsid w:val="008775B9"/>
    <w:rsid w:val="00877A32"/>
    <w:rsid w:val="00877A6A"/>
    <w:rsid w:val="00880630"/>
    <w:rsid w:val="008836DC"/>
    <w:rsid w:val="0088499F"/>
    <w:rsid w:val="00891CD1"/>
    <w:rsid w:val="00891F2D"/>
    <w:rsid w:val="00897E2D"/>
    <w:rsid w:val="008A7161"/>
    <w:rsid w:val="008B1B35"/>
    <w:rsid w:val="008C0B49"/>
    <w:rsid w:val="008C0ED6"/>
    <w:rsid w:val="008C191D"/>
    <w:rsid w:val="008C6A63"/>
    <w:rsid w:val="008C70E2"/>
    <w:rsid w:val="008D5BD1"/>
    <w:rsid w:val="008E3346"/>
    <w:rsid w:val="008E5B26"/>
    <w:rsid w:val="008F04A9"/>
    <w:rsid w:val="008F4AE5"/>
    <w:rsid w:val="00900DAF"/>
    <w:rsid w:val="00903E6E"/>
    <w:rsid w:val="00907D2C"/>
    <w:rsid w:val="0091326E"/>
    <w:rsid w:val="0091327C"/>
    <w:rsid w:val="009157B3"/>
    <w:rsid w:val="00915B08"/>
    <w:rsid w:val="00917237"/>
    <w:rsid w:val="009208AE"/>
    <w:rsid w:val="0093413E"/>
    <w:rsid w:val="009400B5"/>
    <w:rsid w:val="009442B3"/>
    <w:rsid w:val="00946325"/>
    <w:rsid w:val="00952BF3"/>
    <w:rsid w:val="009542AA"/>
    <w:rsid w:val="00961770"/>
    <w:rsid w:val="00964764"/>
    <w:rsid w:val="009673E5"/>
    <w:rsid w:val="009747D9"/>
    <w:rsid w:val="009759E8"/>
    <w:rsid w:val="00980289"/>
    <w:rsid w:val="00981653"/>
    <w:rsid w:val="0098613C"/>
    <w:rsid w:val="00991930"/>
    <w:rsid w:val="00995620"/>
    <w:rsid w:val="00995EFE"/>
    <w:rsid w:val="009A15FD"/>
    <w:rsid w:val="009B76AD"/>
    <w:rsid w:val="009C3C7B"/>
    <w:rsid w:val="009D3139"/>
    <w:rsid w:val="009D6244"/>
    <w:rsid w:val="009E199B"/>
    <w:rsid w:val="009E3450"/>
    <w:rsid w:val="009E52AF"/>
    <w:rsid w:val="009E5B53"/>
    <w:rsid w:val="009F1D91"/>
    <w:rsid w:val="009F288B"/>
    <w:rsid w:val="00A00940"/>
    <w:rsid w:val="00A0236D"/>
    <w:rsid w:val="00A03B29"/>
    <w:rsid w:val="00A04C81"/>
    <w:rsid w:val="00A04EA6"/>
    <w:rsid w:val="00A0537A"/>
    <w:rsid w:val="00A07CBF"/>
    <w:rsid w:val="00A130DA"/>
    <w:rsid w:val="00A17267"/>
    <w:rsid w:val="00A2149D"/>
    <w:rsid w:val="00A23039"/>
    <w:rsid w:val="00A23356"/>
    <w:rsid w:val="00A23EDC"/>
    <w:rsid w:val="00A244C4"/>
    <w:rsid w:val="00A2488D"/>
    <w:rsid w:val="00A25C0D"/>
    <w:rsid w:val="00A269E8"/>
    <w:rsid w:val="00A26F5F"/>
    <w:rsid w:val="00A327D0"/>
    <w:rsid w:val="00A33831"/>
    <w:rsid w:val="00A353E7"/>
    <w:rsid w:val="00A35575"/>
    <w:rsid w:val="00A37E84"/>
    <w:rsid w:val="00A4152C"/>
    <w:rsid w:val="00A43C2A"/>
    <w:rsid w:val="00A4562A"/>
    <w:rsid w:val="00A47573"/>
    <w:rsid w:val="00A51754"/>
    <w:rsid w:val="00A55949"/>
    <w:rsid w:val="00A654D2"/>
    <w:rsid w:val="00A72455"/>
    <w:rsid w:val="00A72C0E"/>
    <w:rsid w:val="00A72FE4"/>
    <w:rsid w:val="00A77D40"/>
    <w:rsid w:val="00A81F39"/>
    <w:rsid w:val="00A82DA8"/>
    <w:rsid w:val="00A86F1D"/>
    <w:rsid w:val="00A9446F"/>
    <w:rsid w:val="00A94B3A"/>
    <w:rsid w:val="00A97953"/>
    <w:rsid w:val="00AA3C12"/>
    <w:rsid w:val="00AA4F58"/>
    <w:rsid w:val="00AA6540"/>
    <w:rsid w:val="00AB4221"/>
    <w:rsid w:val="00AB63F8"/>
    <w:rsid w:val="00AB64E4"/>
    <w:rsid w:val="00AC6AC3"/>
    <w:rsid w:val="00AD179C"/>
    <w:rsid w:val="00AD23B8"/>
    <w:rsid w:val="00AD73C8"/>
    <w:rsid w:val="00AE1A90"/>
    <w:rsid w:val="00AE2056"/>
    <w:rsid w:val="00AE2998"/>
    <w:rsid w:val="00AE4832"/>
    <w:rsid w:val="00AF0313"/>
    <w:rsid w:val="00B00EA5"/>
    <w:rsid w:val="00B011C8"/>
    <w:rsid w:val="00B04CF6"/>
    <w:rsid w:val="00B061AF"/>
    <w:rsid w:val="00B065C3"/>
    <w:rsid w:val="00B07138"/>
    <w:rsid w:val="00B1387F"/>
    <w:rsid w:val="00B16BE4"/>
    <w:rsid w:val="00B20AD8"/>
    <w:rsid w:val="00B21DDE"/>
    <w:rsid w:val="00B22812"/>
    <w:rsid w:val="00B32B57"/>
    <w:rsid w:val="00B32F3C"/>
    <w:rsid w:val="00B36DE4"/>
    <w:rsid w:val="00B40D8C"/>
    <w:rsid w:val="00B417D4"/>
    <w:rsid w:val="00B47252"/>
    <w:rsid w:val="00B479B2"/>
    <w:rsid w:val="00B54BD2"/>
    <w:rsid w:val="00B61687"/>
    <w:rsid w:val="00B61BA3"/>
    <w:rsid w:val="00B641F2"/>
    <w:rsid w:val="00B64B1B"/>
    <w:rsid w:val="00B6698F"/>
    <w:rsid w:val="00B736DD"/>
    <w:rsid w:val="00B74040"/>
    <w:rsid w:val="00B74464"/>
    <w:rsid w:val="00B81047"/>
    <w:rsid w:val="00B8112B"/>
    <w:rsid w:val="00B8337C"/>
    <w:rsid w:val="00B859A3"/>
    <w:rsid w:val="00B91B7A"/>
    <w:rsid w:val="00B93687"/>
    <w:rsid w:val="00BA0234"/>
    <w:rsid w:val="00BA3F93"/>
    <w:rsid w:val="00BB1F6B"/>
    <w:rsid w:val="00BB228A"/>
    <w:rsid w:val="00BB3766"/>
    <w:rsid w:val="00BB4400"/>
    <w:rsid w:val="00BB5DC0"/>
    <w:rsid w:val="00BC6509"/>
    <w:rsid w:val="00BD07F2"/>
    <w:rsid w:val="00BD1E81"/>
    <w:rsid w:val="00BD3447"/>
    <w:rsid w:val="00BD43DD"/>
    <w:rsid w:val="00BD6766"/>
    <w:rsid w:val="00BD7D64"/>
    <w:rsid w:val="00BE0597"/>
    <w:rsid w:val="00BE5AD0"/>
    <w:rsid w:val="00BF3170"/>
    <w:rsid w:val="00BF5814"/>
    <w:rsid w:val="00BF6A65"/>
    <w:rsid w:val="00C043ED"/>
    <w:rsid w:val="00C06928"/>
    <w:rsid w:val="00C14C1F"/>
    <w:rsid w:val="00C231CE"/>
    <w:rsid w:val="00C27F0F"/>
    <w:rsid w:val="00C30E93"/>
    <w:rsid w:val="00C3105A"/>
    <w:rsid w:val="00C32264"/>
    <w:rsid w:val="00C364A1"/>
    <w:rsid w:val="00C405F6"/>
    <w:rsid w:val="00C428D9"/>
    <w:rsid w:val="00C42976"/>
    <w:rsid w:val="00C47FD0"/>
    <w:rsid w:val="00C50F5C"/>
    <w:rsid w:val="00C51DC6"/>
    <w:rsid w:val="00C60DB9"/>
    <w:rsid w:val="00C71ADD"/>
    <w:rsid w:val="00C91D50"/>
    <w:rsid w:val="00C93E2D"/>
    <w:rsid w:val="00C9551C"/>
    <w:rsid w:val="00C961F2"/>
    <w:rsid w:val="00C96F6D"/>
    <w:rsid w:val="00C975E8"/>
    <w:rsid w:val="00C9775C"/>
    <w:rsid w:val="00CA6CE2"/>
    <w:rsid w:val="00CA7744"/>
    <w:rsid w:val="00CB0FF9"/>
    <w:rsid w:val="00CB76CB"/>
    <w:rsid w:val="00CB7A7B"/>
    <w:rsid w:val="00CC04E8"/>
    <w:rsid w:val="00CC3244"/>
    <w:rsid w:val="00CC474D"/>
    <w:rsid w:val="00CC706B"/>
    <w:rsid w:val="00CC7196"/>
    <w:rsid w:val="00CD16A2"/>
    <w:rsid w:val="00CD3B9E"/>
    <w:rsid w:val="00CD554B"/>
    <w:rsid w:val="00CE342C"/>
    <w:rsid w:val="00CE53BC"/>
    <w:rsid w:val="00CF0FE6"/>
    <w:rsid w:val="00CF46F4"/>
    <w:rsid w:val="00D02A70"/>
    <w:rsid w:val="00D04B7F"/>
    <w:rsid w:val="00D06908"/>
    <w:rsid w:val="00D15504"/>
    <w:rsid w:val="00D201D4"/>
    <w:rsid w:val="00D24985"/>
    <w:rsid w:val="00D2703D"/>
    <w:rsid w:val="00D37BEF"/>
    <w:rsid w:val="00D424B2"/>
    <w:rsid w:val="00D42F07"/>
    <w:rsid w:val="00D4471E"/>
    <w:rsid w:val="00D45287"/>
    <w:rsid w:val="00D532F0"/>
    <w:rsid w:val="00D54F9A"/>
    <w:rsid w:val="00D63468"/>
    <w:rsid w:val="00D64049"/>
    <w:rsid w:val="00D64E2F"/>
    <w:rsid w:val="00D66726"/>
    <w:rsid w:val="00D733FD"/>
    <w:rsid w:val="00D75761"/>
    <w:rsid w:val="00D820C3"/>
    <w:rsid w:val="00D821FC"/>
    <w:rsid w:val="00D82A46"/>
    <w:rsid w:val="00D85684"/>
    <w:rsid w:val="00D875D4"/>
    <w:rsid w:val="00D90B9F"/>
    <w:rsid w:val="00D93A47"/>
    <w:rsid w:val="00D949AA"/>
    <w:rsid w:val="00D97A01"/>
    <w:rsid w:val="00DA6CE5"/>
    <w:rsid w:val="00DB2A53"/>
    <w:rsid w:val="00DB623B"/>
    <w:rsid w:val="00DC16FE"/>
    <w:rsid w:val="00DC469C"/>
    <w:rsid w:val="00DC48A7"/>
    <w:rsid w:val="00DC566F"/>
    <w:rsid w:val="00DC779C"/>
    <w:rsid w:val="00DC789E"/>
    <w:rsid w:val="00DC7CCF"/>
    <w:rsid w:val="00DD041C"/>
    <w:rsid w:val="00DD4D26"/>
    <w:rsid w:val="00DD5062"/>
    <w:rsid w:val="00DD7666"/>
    <w:rsid w:val="00DE2040"/>
    <w:rsid w:val="00DE20F5"/>
    <w:rsid w:val="00DE4505"/>
    <w:rsid w:val="00DE4551"/>
    <w:rsid w:val="00DE4B49"/>
    <w:rsid w:val="00DE6C5F"/>
    <w:rsid w:val="00DE7AE1"/>
    <w:rsid w:val="00DF0CEA"/>
    <w:rsid w:val="00DF52EE"/>
    <w:rsid w:val="00E0281A"/>
    <w:rsid w:val="00E02FF3"/>
    <w:rsid w:val="00E067E7"/>
    <w:rsid w:val="00E06BAD"/>
    <w:rsid w:val="00E15F1C"/>
    <w:rsid w:val="00E221BC"/>
    <w:rsid w:val="00E2540F"/>
    <w:rsid w:val="00E32119"/>
    <w:rsid w:val="00E3387A"/>
    <w:rsid w:val="00E3394F"/>
    <w:rsid w:val="00E35362"/>
    <w:rsid w:val="00E43A41"/>
    <w:rsid w:val="00E45554"/>
    <w:rsid w:val="00E4659E"/>
    <w:rsid w:val="00E61388"/>
    <w:rsid w:val="00E67940"/>
    <w:rsid w:val="00E70ABF"/>
    <w:rsid w:val="00E76567"/>
    <w:rsid w:val="00E771DE"/>
    <w:rsid w:val="00E8003F"/>
    <w:rsid w:val="00E93505"/>
    <w:rsid w:val="00E94025"/>
    <w:rsid w:val="00EA3602"/>
    <w:rsid w:val="00EA4C95"/>
    <w:rsid w:val="00EA4E54"/>
    <w:rsid w:val="00EA5315"/>
    <w:rsid w:val="00EA552B"/>
    <w:rsid w:val="00EB4555"/>
    <w:rsid w:val="00EB7AFF"/>
    <w:rsid w:val="00EC09E3"/>
    <w:rsid w:val="00EC603F"/>
    <w:rsid w:val="00EC64AA"/>
    <w:rsid w:val="00ED252A"/>
    <w:rsid w:val="00ED60B7"/>
    <w:rsid w:val="00ED612F"/>
    <w:rsid w:val="00EE0020"/>
    <w:rsid w:val="00EE0888"/>
    <w:rsid w:val="00EE2174"/>
    <w:rsid w:val="00EE60D2"/>
    <w:rsid w:val="00F06183"/>
    <w:rsid w:val="00F0696C"/>
    <w:rsid w:val="00F07333"/>
    <w:rsid w:val="00F1140D"/>
    <w:rsid w:val="00F11948"/>
    <w:rsid w:val="00F11F58"/>
    <w:rsid w:val="00F1224A"/>
    <w:rsid w:val="00F122C5"/>
    <w:rsid w:val="00F12E1C"/>
    <w:rsid w:val="00F151CE"/>
    <w:rsid w:val="00F2036C"/>
    <w:rsid w:val="00F21808"/>
    <w:rsid w:val="00F218EB"/>
    <w:rsid w:val="00F26A04"/>
    <w:rsid w:val="00F3237C"/>
    <w:rsid w:val="00F3379E"/>
    <w:rsid w:val="00F35C14"/>
    <w:rsid w:val="00F433F5"/>
    <w:rsid w:val="00F4639D"/>
    <w:rsid w:val="00F46A9A"/>
    <w:rsid w:val="00F46DF1"/>
    <w:rsid w:val="00F52396"/>
    <w:rsid w:val="00F54EA5"/>
    <w:rsid w:val="00F60EF7"/>
    <w:rsid w:val="00F636B1"/>
    <w:rsid w:val="00F643E0"/>
    <w:rsid w:val="00F64CD1"/>
    <w:rsid w:val="00F64FC0"/>
    <w:rsid w:val="00F71D10"/>
    <w:rsid w:val="00F7510E"/>
    <w:rsid w:val="00F767F2"/>
    <w:rsid w:val="00F8359B"/>
    <w:rsid w:val="00F8719B"/>
    <w:rsid w:val="00F9024B"/>
    <w:rsid w:val="00F909C6"/>
    <w:rsid w:val="00F91BB3"/>
    <w:rsid w:val="00F94739"/>
    <w:rsid w:val="00F94EA9"/>
    <w:rsid w:val="00F97C07"/>
    <w:rsid w:val="00FA3E51"/>
    <w:rsid w:val="00FA406B"/>
    <w:rsid w:val="00FA5E36"/>
    <w:rsid w:val="00FA68C9"/>
    <w:rsid w:val="00FA7CB4"/>
    <w:rsid w:val="00FB2E47"/>
    <w:rsid w:val="00FC00BB"/>
    <w:rsid w:val="00FC258E"/>
    <w:rsid w:val="00FC2629"/>
    <w:rsid w:val="00FC3C3A"/>
    <w:rsid w:val="00FD2D3D"/>
    <w:rsid w:val="00FD6A43"/>
    <w:rsid w:val="00FE01B8"/>
    <w:rsid w:val="00FF295A"/>
    <w:rsid w:val="00FF3048"/>
    <w:rsid w:val="00FF3C52"/>
    <w:rsid w:val="00FF4308"/>
    <w:rsid w:val="00FF570F"/>
    <w:rsid w:val="00FF623C"/>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C4C6"/>
  <w15:docId w15:val="{0544CA27-2385-47DD-A84B-445855C3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81"/>
    <w:pPr>
      <w:spacing w:after="0"/>
      <w:jc w:val="both"/>
    </w:pPr>
  </w:style>
  <w:style w:type="paragraph" w:styleId="Heading1">
    <w:name w:val="heading 1"/>
    <w:basedOn w:val="Normal"/>
    <w:next w:val="Normal"/>
    <w:link w:val="Heading1Char"/>
    <w:uiPriority w:val="9"/>
    <w:qFormat/>
    <w:rsid w:val="00AA3C12"/>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C3C7B"/>
    <w:pPr>
      <w:keepNext/>
      <w:keepLines/>
      <w:spacing w:before="40"/>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AA3C12"/>
    <w:pPr>
      <w:outlineLvl w:val="2"/>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308"/>
    <w:rPr>
      <w:color w:val="0563C1" w:themeColor="hyperlink"/>
      <w:u w:val="single"/>
    </w:rPr>
  </w:style>
  <w:style w:type="paragraph" w:styleId="Caption">
    <w:name w:val="caption"/>
    <w:basedOn w:val="Normal"/>
    <w:next w:val="Normal"/>
    <w:uiPriority w:val="35"/>
    <w:unhideWhenUsed/>
    <w:qFormat/>
    <w:rsid w:val="000C1249"/>
    <w:pPr>
      <w:spacing w:after="200" w:line="240" w:lineRule="auto"/>
    </w:pPr>
    <w:rPr>
      <w:rFonts w:ascii="Calibri" w:eastAsia="Calibri" w:hAnsi="Calibri" w:cs="Times New Roman"/>
      <w:i/>
      <w:iCs/>
      <w:color w:val="44546A"/>
      <w:sz w:val="18"/>
      <w:szCs w:val="18"/>
    </w:rPr>
  </w:style>
  <w:style w:type="table" w:styleId="TableGrid">
    <w:name w:val="Table Grid"/>
    <w:basedOn w:val="TableNormal"/>
    <w:uiPriority w:val="39"/>
    <w:rsid w:val="00153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DFD"/>
    <w:rPr>
      <w:sz w:val="16"/>
      <w:szCs w:val="16"/>
    </w:rPr>
  </w:style>
  <w:style w:type="paragraph" w:styleId="CommentText">
    <w:name w:val="annotation text"/>
    <w:basedOn w:val="Normal"/>
    <w:link w:val="CommentTextChar"/>
    <w:uiPriority w:val="99"/>
    <w:unhideWhenUsed/>
    <w:rsid w:val="00095DFD"/>
    <w:pPr>
      <w:spacing w:line="240" w:lineRule="auto"/>
    </w:pPr>
    <w:rPr>
      <w:sz w:val="20"/>
      <w:szCs w:val="20"/>
    </w:rPr>
  </w:style>
  <w:style w:type="character" w:customStyle="1" w:styleId="CommentTextChar">
    <w:name w:val="Comment Text Char"/>
    <w:basedOn w:val="DefaultParagraphFont"/>
    <w:link w:val="CommentText"/>
    <w:uiPriority w:val="99"/>
    <w:rsid w:val="00095DFD"/>
    <w:rPr>
      <w:sz w:val="20"/>
      <w:szCs w:val="20"/>
    </w:rPr>
  </w:style>
  <w:style w:type="paragraph" w:styleId="CommentSubject">
    <w:name w:val="annotation subject"/>
    <w:basedOn w:val="CommentText"/>
    <w:next w:val="CommentText"/>
    <w:link w:val="CommentSubjectChar"/>
    <w:uiPriority w:val="99"/>
    <w:semiHidden/>
    <w:unhideWhenUsed/>
    <w:rsid w:val="00095DFD"/>
    <w:rPr>
      <w:b/>
      <w:bCs/>
    </w:rPr>
  </w:style>
  <w:style w:type="character" w:customStyle="1" w:styleId="CommentSubjectChar">
    <w:name w:val="Comment Subject Char"/>
    <w:basedOn w:val="CommentTextChar"/>
    <w:link w:val="CommentSubject"/>
    <w:uiPriority w:val="99"/>
    <w:semiHidden/>
    <w:rsid w:val="00095DFD"/>
    <w:rPr>
      <w:b/>
      <w:bCs/>
      <w:sz w:val="20"/>
      <w:szCs w:val="20"/>
    </w:rPr>
  </w:style>
  <w:style w:type="paragraph" w:styleId="BalloonText">
    <w:name w:val="Balloon Text"/>
    <w:basedOn w:val="Normal"/>
    <w:link w:val="BalloonTextChar"/>
    <w:uiPriority w:val="99"/>
    <w:semiHidden/>
    <w:unhideWhenUsed/>
    <w:rsid w:val="00095D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FD"/>
    <w:rPr>
      <w:rFonts w:ascii="Segoe UI" w:hAnsi="Segoe UI" w:cs="Segoe UI"/>
      <w:sz w:val="18"/>
      <w:szCs w:val="18"/>
    </w:rPr>
  </w:style>
  <w:style w:type="paragraph" w:styleId="Header">
    <w:name w:val="header"/>
    <w:basedOn w:val="Normal"/>
    <w:link w:val="HeaderChar"/>
    <w:uiPriority w:val="99"/>
    <w:unhideWhenUsed/>
    <w:rsid w:val="00F06183"/>
    <w:pPr>
      <w:tabs>
        <w:tab w:val="center" w:pos="4513"/>
        <w:tab w:val="right" w:pos="9026"/>
      </w:tabs>
      <w:spacing w:line="240" w:lineRule="auto"/>
    </w:pPr>
  </w:style>
  <w:style w:type="character" w:customStyle="1" w:styleId="HeaderChar">
    <w:name w:val="Header Char"/>
    <w:basedOn w:val="DefaultParagraphFont"/>
    <w:link w:val="Header"/>
    <w:uiPriority w:val="99"/>
    <w:rsid w:val="00F06183"/>
  </w:style>
  <w:style w:type="paragraph" w:styleId="Footer">
    <w:name w:val="footer"/>
    <w:basedOn w:val="Normal"/>
    <w:link w:val="FooterChar"/>
    <w:uiPriority w:val="99"/>
    <w:unhideWhenUsed/>
    <w:rsid w:val="00F06183"/>
    <w:pPr>
      <w:tabs>
        <w:tab w:val="center" w:pos="4513"/>
        <w:tab w:val="right" w:pos="9026"/>
      </w:tabs>
      <w:spacing w:line="240" w:lineRule="auto"/>
    </w:pPr>
  </w:style>
  <w:style w:type="character" w:customStyle="1" w:styleId="FooterChar">
    <w:name w:val="Footer Char"/>
    <w:basedOn w:val="DefaultParagraphFont"/>
    <w:link w:val="Footer"/>
    <w:uiPriority w:val="99"/>
    <w:rsid w:val="00F06183"/>
  </w:style>
  <w:style w:type="table" w:customStyle="1" w:styleId="TableGrid1">
    <w:name w:val="Table Grid1"/>
    <w:basedOn w:val="TableNormal"/>
    <w:next w:val="TableGrid"/>
    <w:uiPriority w:val="39"/>
    <w:rsid w:val="0021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B3"/>
    <w:pPr>
      <w:ind w:left="720"/>
      <w:contextualSpacing/>
    </w:pPr>
  </w:style>
  <w:style w:type="character" w:customStyle="1" w:styleId="Heading1Char">
    <w:name w:val="Heading 1 Char"/>
    <w:basedOn w:val="DefaultParagraphFont"/>
    <w:link w:val="Heading1"/>
    <w:uiPriority w:val="9"/>
    <w:rsid w:val="00AA3C12"/>
    <w:rPr>
      <w:rFonts w:eastAsiaTheme="majorEastAsia" w:cstheme="majorBidi"/>
      <w:b/>
      <w:sz w:val="32"/>
      <w:szCs w:val="32"/>
    </w:rPr>
  </w:style>
  <w:style w:type="character" w:customStyle="1" w:styleId="Heading2Char">
    <w:name w:val="Heading 2 Char"/>
    <w:basedOn w:val="DefaultParagraphFont"/>
    <w:link w:val="Heading2"/>
    <w:uiPriority w:val="9"/>
    <w:rsid w:val="009C3C7B"/>
    <w:rPr>
      <w:rFonts w:eastAsiaTheme="majorEastAsia" w:cstheme="majorBidi"/>
      <w:b/>
      <w:sz w:val="36"/>
      <w:szCs w:val="28"/>
    </w:rPr>
  </w:style>
  <w:style w:type="character" w:customStyle="1" w:styleId="Heading3Char">
    <w:name w:val="Heading 3 Char"/>
    <w:basedOn w:val="DefaultParagraphFont"/>
    <w:link w:val="Heading3"/>
    <w:uiPriority w:val="9"/>
    <w:rsid w:val="00AA3C12"/>
    <w:rPr>
      <w:rFonts w:ascii="Calibri" w:hAnsi="Calibri"/>
      <w:b/>
      <w:sz w:val="24"/>
      <w:szCs w:val="24"/>
    </w:rPr>
  </w:style>
  <w:style w:type="character" w:customStyle="1" w:styleId="UnresolvedMention1">
    <w:name w:val="Unresolved Mention1"/>
    <w:basedOn w:val="DefaultParagraphFont"/>
    <w:uiPriority w:val="99"/>
    <w:semiHidden/>
    <w:unhideWhenUsed/>
    <w:rsid w:val="00471A95"/>
    <w:rPr>
      <w:color w:val="808080"/>
      <w:shd w:val="clear" w:color="auto" w:fill="E6E6E6"/>
    </w:rPr>
  </w:style>
  <w:style w:type="character" w:styleId="FollowedHyperlink">
    <w:name w:val="FollowedHyperlink"/>
    <w:basedOn w:val="DefaultParagraphFont"/>
    <w:uiPriority w:val="99"/>
    <w:semiHidden/>
    <w:unhideWhenUsed/>
    <w:rsid w:val="00E67940"/>
    <w:rPr>
      <w:color w:val="954F72" w:themeColor="followedHyperlink"/>
      <w:u w:val="single"/>
    </w:rPr>
  </w:style>
  <w:style w:type="character" w:customStyle="1" w:styleId="UnresolvedMention2">
    <w:name w:val="Unresolved Mention2"/>
    <w:basedOn w:val="DefaultParagraphFont"/>
    <w:uiPriority w:val="99"/>
    <w:semiHidden/>
    <w:unhideWhenUsed/>
    <w:rsid w:val="00F8719B"/>
    <w:rPr>
      <w:color w:val="808080"/>
      <w:shd w:val="clear" w:color="auto" w:fill="E6E6E6"/>
    </w:rPr>
  </w:style>
  <w:style w:type="paragraph" w:styleId="Revision">
    <w:name w:val="Revision"/>
    <w:hidden/>
    <w:uiPriority w:val="99"/>
    <w:semiHidden/>
    <w:rsid w:val="00A4562A"/>
    <w:pPr>
      <w:spacing w:after="0" w:line="240" w:lineRule="auto"/>
    </w:pPr>
  </w:style>
  <w:style w:type="character" w:customStyle="1" w:styleId="UnresolvedMention3">
    <w:name w:val="Unresolved Mention3"/>
    <w:basedOn w:val="DefaultParagraphFont"/>
    <w:uiPriority w:val="99"/>
    <w:semiHidden/>
    <w:unhideWhenUsed/>
    <w:rsid w:val="00E45554"/>
    <w:rPr>
      <w:color w:val="808080"/>
      <w:shd w:val="clear" w:color="auto" w:fill="E6E6E6"/>
    </w:rPr>
  </w:style>
  <w:style w:type="paragraph" w:customStyle="1" w:styleId="desc2">
    <w:name w:val="desc2"/>
    <w:basedOn w:val="Normal"/>
    <w:rsid w:val="00DE6C5F"/>
    <w:pPr>
      <w:spacing w:line="240" w:lineRule="auto"/>
      <w:jc w:val="left"/>
    </w:pPr>
    <w:rPr>
      <w:rFonts w:ascii="Times New Roman" w:eastAsia="Times New Roman" w:hAnsi="Times New Roman" w:cs="Times New Roman"/>
      <w:sz w:val="26"/>
      <w:szCs w:val="26"/>
      <w:lang w:eastAsia="en-GB"/>
    </w:rPr>
  </w:style>
  <w:style w:type="paragraph" w:customStyle="1" w:styleId="details1">
    <w:name w:val="details1"/>
    <w:basedOn w:val="Normal"/>
    <w:rsid w:val="00DE6C5F"/>
    <w:pPr>
      <w:spacing w:line="240" w:lineRule="auto"/>
      <w:jc w:val="left"/>
    </w:pPr>
    <w:rPr>
      <w:rFonts w:ascii="Times New Roman" w:eastAsia="Times New Roman" w:hAnsi="Times New Roman" w:cs="Times New Roman"/>
      <w:lang w:eastAsia="en-GB"/>
    </w:rPr>
  </w:style>
  <w:style w:type="character" w:customStyle="1" w:styleId="jrnl">
    <w:name w:val="jrnl"/>
    <w:basedOn w:val="DefaultParagraphFont"/>
    <w:rsid w:val="00DE6C5F"/>
  </w:style>
  <w:style w:type="character" w:customStyle="1" w:styleId="highlight">
    <w:name w:val="highlight"/>
    <w:basedOn w:val="DefaultParagraphFont"/>
    <w:rsid w:val="00234C5D"/>
  </w:style>
  <w:style w:type="character" w:styleId="UnresolvedMention">
    <w:name w:val="Unresolved Mention"/>
    <w:basedOn w:val="DefaultParagraphFont"/>
    <w:uiPriority w:val="99"/>
    <w:semiHidden/>
    <w:unhideWhenUsed/>
    <w:rsid w:val="000F3FF1"/>
    <w:rPr>
      <w:color w:val="605E5C"/>
      <w:shd w:val="clear" w:color="auto" w:fill="E1DFDD"/>
    </w:rPr>
  </w:style>
  <w:style w:type="character" w:customStyle="1" w:styleId="cit">
    <w:name w:val="cit"/>
    <w:basedOn w:val="DefaultParagraphFont"/>
    <w:rsid w:val="00461B73"/>
  </w:style>
  <w:style w:type="character" w:customStyle="1" w:styleId="doi">
    <w:name w:val="doi"/>
    <w:basedOn w:val="DefaultParagraphFont"/>
    <w:rsid w:val="00461B73"/>
  </w:style>
  <w:style w:type="character" w:customStyle="1" w:styleId="fm-citation-ids-label">
    <w:name w:val="fm-citation-ids-label"/>
    <w:basedOn w:val="DefaultParagraphFont"/>
    <w:rsid w:val="0046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270">
      <w:bodyDiv w:val="1"/>
      <w:marLeft w:val="0"/>
      <w:marRight w:val="0"/>
      <w:marTop w:val="0"/>
      <w:marBottom w:val="0"/>
      <w:divBdr>
        <w:top w:val="none" w:sz="0" w:space="0" w:color="auto"/>
        <w:left w:val="none" w:sz="0" w:space="0" w:color="auto"/>
        <w:bottom w:val="none" w:sz="0" w:space="0" w:color="auto"/>
        <w:right w:val="none" w:sz="0" w:space="0" w:color="auto"/>
      </w:divBdr>
    </w:div>
    <w:div w:id="149249110">
      <w:bodyDiv w:val="1"/>
      <w:marLeft w:val="0"/>
      <w:marRight w:val="0"/>
      <w:marTop w:val="0"/>
      <w:marBottom w:val="0"/>
      <w:divBdr>
        <w:top w:val="none" w:sz="0" w:space="0" w:color="auto"/>
        <w:left w:val="none" w:sz="0" w:space="0" w:color="auto"/>
        <w:bottom w:val="none" w:sz="0" w:space="0" w:color="auto"/>
        <w:right w:val="none" w:sz="0" w:space="0" w:color="auto"/>
      </w:divBdr>
    </w:div>
    <w:div w:id="205526361">
      <w:bodyDiv w:val="1"/>
      <w:marLeft w:val="0"/>
      <w:marRight w:val="0"/>
      <w:marTop w:val="0"/>
      <w:marBottom w:val="0"/>
      <w:divBdr>
        <w:top w:val="none" w:sz="0" w:space="0" w:color="auto"/>
        <w:left w:val="none" w:sz="0" w:space="0" w:color="auto"/>
        <w:bottom w:val="none" w:sz="0" w:space="0" w:color="auto"/>
        <w:right w:val="none" w:sz="0" w:space="0" w:color="auto"/>
      </w:divBdr>
    </w:div>
    <w:div w:id="229854805">
      <w:bodyDiv w:val="1"/>
      <w:marLeft w:val="0"/>
      <w:marRight w:val="0"/>
      <w:marTop w:val="0"/>
      <w:marBottom w:val="0"/>
      <w:divBdr>
        <w:top w:val="none" w:sz="0" w:space="0" w:color="auto"/>
        <w:left w:val="none" w:sz="0" w:space="0" w:color="auto"/>
        <w:bottom w:val="none" w:sz="0" w:space="0" w:color="auto"/>
        <w:right w:val="none" w:sz="0" w:space="0" w:color="auto"/>
      </w:divBdr>
    </w:div>
    <w:div w:id="243803155">
      <w:bodyDiv w:val="1"/>
      <w:marLeft w:val="0"/>
      <w:marRight w:val="0"/>
      <w:marTop w:val="0"/>
      <w:marBottom w:val="0"/>
      <w:divBdr>
        <w:top w:val="none" w:sz="0" w:space="0" w:color="auto"/>
        <w:left w:val="none" w:sz="0" w:space="0" w:color="auto"/>
        <w:bottom w:val="none" w:sz="0" w:space="0" w:color="auto"/>
        <w:right w:val="none" w:sz="0" w:space="0" w:color="auto"/>
      </w:divBdr>
    </w:div>
    <w:div w:id="258105775">
      <w:bodyDiv w:val="1"/>
      <w:marLeft w:val="0"/>
      <w:marRight w:val="0"/>
      <w:marTop w:val="0"/>
      <w:marBottom w:val="0"/>
      <w:divBdr>
        <w:top w:val="none" w:sz="0" w:space="0" w:color="auto"/>
        <w:left w:val="none" w:sz="0" w:space="0" w:color="auto"/>
        <w:bottom w:val="none" w:sz="0" w:space="0" w:color="auto"/>
        <w:right w:val="none" w:sz="0" w:space="0" w:color="auto"/>
      </w:divBdr>
    </w:div>
    <w:div w:id="259339962">
      <w:bodyDiv w:val="1"/>
      <w:marLeft w:val="0"/>
      <w:marRight w:val="0"/>
      <w:marTop w:val="0"/>
      <w:marBottom w:val="0"/>
      <w:divBdr>
        <w:top w:val="none" w:sz="0" w:space="0" w:color="auto"/>
        <w:left w:val="none" w:sz="0" w:space="0" w:color="auto"/>
        <w:bottom w:val="none" w:sz="0" w:space="0" w:color="auto"/>
        <w:right w:val="none" w:sz="0" w:space="0" w:color="auto"/>
      </w:divBdr>
    </w:div>
    <w:div w:id="430665179">
      <w:bodyDiv w:val="1"/>
      <w:marLeft w:val="0"/>
      <w:marRight w:val="0"/>
      <w:marTop w:val="0"/>
      <w:marBottom w:val="0"/>
      <w:divBdr>
        <w:top w:val="none" w:sz="0" w:space="0" w:color="auto"/>
        <w:left w:val="none" w:sz="0" w:space="0" w:color="auto"/>
        <w:bottom w:val="none" w:sz="0" w:space="0" w:color="auto"/>
        <w:right w:val="none" w:sz="0" w:space="0" w:color="auto"/>
      </w:divBdr>
      <w:divsChild>
        <w:div w:id="1732804597">
          <w:marLeft w:val="0"/>
          <w:marRight w:val="0"/>
          <w:marTop w:val="150"/>
          <w:marBottom w:val="100"/>
          <w:divBdr>
            <w:top w:val="none" w:sz="0" w:space="0" w:color="auto"/>
            <w:left w:val="none" w:sz="0" w:space="0" w:color="auto"/>
            <w:bottom w:val="none" w:sz="0" w:space="0" w:color="auto"/>
            <w:right w:val="none" w:sz="0" w:space="0" w:color="auto"/>
          </w:divBdr>
          <w:divsChild>
            <w:div w:id="799809954">
              <w:marLeft w:val="0"/>
              <w:marRight w:val="0"/>
              <w:marTop w:val="0"/>
              <w:marBottom w:val="0"/>
              <w:divBdr>
                <w:top w:val="none" w:sz="0" w:space="0" w:color="auto"/>
                <w:left w:val="none" w:sz="0" w:space="0" w:color="auto"/>
                <w:bottom w:val="none" w:sz="0" w:space="0" w:color="auto"/>
                <w:right w:val="none" w:sz="0" w:space="0" w:color="auto"/>
              </w:divBdr>
              <w:divsChild>
                <w:div w:id="1889223883">
                  <w:marLeft w:val="105"/>
                  <w:marRight w:val="105"/>
                  <w:marTop w:val="105"/>
                  <w:marBottom w:val="105"/>
                  <w:divBdr>
                    <w:top w:val="none" w:sz="0" w:space="0" w:color="auto"/>
                    <w:left w:val="none" w:sz="0" w:space="0" w:color="auto"/>
                    <w:bottom w:val="none" w:sz="0" w:space="0" w:color="auto"/>
                    <w:right w:val="none" w:sz="0" w:space="0" w:color="auto"/>
                  </w:divBdr>
                  <w:divsChild>
                    <w:div w:id="558639086">
                      <w:marLeft w:val="0"/>
                      <w:marRight w:val="0"/>
                      <w:marTop w:val="0"/>
                      <w:marBottom w:val="0"/>
                      <w:divBdr>
                        <w:top w:val="none" w:sz="0" w:space="0" w:color="auto"/>
                        <w:left w:val="none" w:sz="0" w:space="0" w:color="auto"/>
                        <w:bottom w:val="none" w:sz="0" w:space="0" w:color="auto"/>
                        <w:right w:val="none" w:sz="0" w:space="0" w:color="auto"/>
                      </w:divBdr>
                      <w:divsChild>
                        <w:div w:id="1244871665">
                          <w:marLeft w:val="0"/>
                          <w:marRight w:val="0"/>
                          <w:marTop w:val="0"/>
                          <w:marBottom w:val="0"/>
                          <w:divBdr>
                            <w:top w:val="none" w:sz="0" w:space="0" w:color="auto"/>
                            <w:left w:val="none" w:sz="0" w:space="0" w:color="auto"/>
                            <w:bottom w:val="none" w:sz="0" w:space="0" w:color="auto"/>
                            <w:right w:val="none" w:sz="0" w:space="0" w:color="auto"/>
                          </w:divBdr>
                          <w:divsChild>
                            <w:div w:id="1474328626">
                              <w:marLeft w:val="0"/>
                              <w:marRight w:val="0"/>
                              <w:marTop w:val="0"/>
                              <w:marBottom w:val="0"/>
                              <w:divBdr>
                                <w:top w:val="none" w:sz="0" w:space="0" w:color="auto"/>
                                <w:left w:val="none" w:sz="0" w:space="0" w:color="auto"/>
                                <w:bottom w:val="none" w:sz="0" w:space="0" w:color="auto"/>
                                <w:right w:val="none" w:sz="0" w:space="0" w:color="auto"/>
                              </w:divBdr>
                              <w:divsChild>
                                <w:div w:id="1257666597">
                                  <w:marLeft w:val="0"/>
                                  <w:marRight w:val="0"/>
                                  <w:marTop w:val="0"/>
                                  <w:marBottom w:val="0"/>
                                  <w:divBdr>
                                    <w:top w:val="none" w:sz="0" w:space="0" w:color="auto"/>
                                    <w:left w:val="none" w:sz="0" w:space="0" w:color="auto"/>
                                    <w:bottom w:val="none" w:sz="0" w:space="0" w:color="auto"/>
                                    <w:right w:val="none" w:sz="0" w:space="0" w:color="auto"/>
                                  </w:divBdr>
                                  <w:divsChild>
                                    <w:div w:id="2078431840">
                                      <w:marLeft w:val="105"/>
                                      <w:marRight w:val="105"/>
                                      <w:marTop w:val="105"/>
                                      <w:marBottom w:val="105"/>
                                      <w:divBdr>
                                        <w:top w:val="none" w:sz="0" w:space="0" w:color="auto"/>
                                        <w:left w:val="none" w:sz="0" w:space="0" w:color="auto"/>
                                        <w:bottom w:val="none" w:sz="0" w:space="0" w:color="auto"/>
                                        <w:right w:val="none" w:sz="0" w:space="0" w:color="auto"/>
                                      </w:divBdr>
                                      <w:divsChild>
                                        <w:div w:id="1153789529">
                                          <w:marLeft w:val="0"/>
                                          <w:marRight w:val="0"/>
                                          <w:marTop w:val="0"/>
                                          <w:marBottom w:val="0"/>
                                          <w:divBdr>
                                            <w:top w:val="none" w:sz="0" w:space="0" w:color="auto"/>
                                            <w:left w:val="none" w:sz="0" w:space="0" w:color="auto"/>
                                            <w:bottom w:val="none" w:sz="0" w:space="0" w:color="auto"/>
                                            <w:right w:val="none" w:sz="0" w:space="0" w:color="auto"/>
                                          </w:divBdr>
                                          <w:divsChild>
                                            <w:div w:id="1742022003">
                                              <w:marLeft w:val="0"/>
                                              <w:marRight w:val="0"/>
                                              <w:marTop w:val="0"/>
                                              <w:marBottom w:val="0"/>
                                              <w:divBdr>
                                                <w:top w:val="none" w:sz="0" w:space="0" w:color="auto"/>
                                                <w:left w:val="none" w:sz="0" w:space="0" w:color="auto"/>
                                                <w:bottom w:val="none" w:sz="0" w:space="0" w:color="auto"/>
                                                <w:right w:val="none" w:sz="0" w:space="0" w:color="auto"/>
                                              </w:divBdr>
                                              <w:divsChild>
                                                <w:div w:id="1106923278">
                                                  <w:marLeft w:val="0"/>
                                                  <w:marRight w:val="0"/>
                                                  <w:marTop w:val="0"/>
                                                  <w:marBottom w:val="0"/>
                                                  <w:divBdr>
                                                    <w:top w:val="none" w:sz="0" w:space="0" w:color="auto"/>
                                                    <w:left w:val="none" w:sz="0" w:space="0" w:color="auto"/>
                                                    <w:bottom w:val="none" w:sz="0" w:space="0" w:color="auto"/>
                                                    <w:right w:val="none" w:sz="0" w:space="0" w:color="auto"/>
                                                  </w:divBdr>
                                                  <w:divsChild>
                                                    <w:div w:id="50931146">
                                                      <w:marLeft w:val="0"/>
                                                      <w:marRight w:val="0"/>
                                                      <w:marTop w:val="0"/>
                                                      <w:marBottom w:val="0"/>
                                                      <w:divBdr>
                                                        <w:top w:val="none" w:sz="0" w:space="0" w:color="auto"/>
                                                        <w:left w:val="none" w:sz="0" w:space="0" w:color="auto"/>
                                                        <w:bottom w:val="none" w:sz="0" w:space="0" w:color="auto"/>
                                                        <w:right w:val="none" w:sz="0" w:space="0" w:color="auto"/>
                                                      </w:divBdr>
                                                      <w:divsChild>
                                                        <w:div w:id="960379318">
                                                          <w:marLeft w:val="0"/>
                                                          <w:marRight w:val="0"/>
                                                          <w:marTop w:val="0"/>
                                                          <w:marBottom w:val="0"/>
                                                          <w:divBdr>
                                                            <w:top w:val="none" w:sz="0" w:space="0" w:color="auto"/>
                                                            <w:left w:val="none" w:sz="0" w:space="0" w:color="auto"/>
                                                            <w:bottom w:val="none" w:sz="0" w:space="0" w:color="auto"/>
                                                            <w:right w:val="none" w:sz="0" w:space="0" w:color="auto"/>
                                                          </w:divBdr>
                                                          <w:divsChild>
                                                            <w:div w:id="1820997037">
                                                              <w:marLeft w:val="105"/>
                                                              <w:marRight w:val="105"/>
                                                              <w:marTop w:val="105"/>
                                                              <w:marBottom w:val="105"/>
                                                              <w:divBdr>
                                                                <w:top w:val="none" w:sz="0" w:space="0" w:color="auto"/>
                                                                <w:left w:val="none" w:sz="0" w:space="0" w:color="auto"/>
                                                                <w:bottom w:val="none" w:sz="0" w:space="0" w:color="auto"/>
                                                                <w:right w:val="none" w:sz="0" w:space="0" w:color="auto"/>
                                                              </w:divBdr>
                                                              <w:divsChild>
                                                                <w:div w:id="1390686911">
                                                                  <w:marLeft w:val="0"/>
                                                                  <w:marRight w:val="0"/>
                                                                  <w:marTop w:val="0"/>
                                                                  <w:marBottom w:val="0"/>
                                                                  <w:divBdr>
                                                                    <w:top w:val="none" w:sz="0" w:space="0" w:color="auto"/>
                                                                    <w:left w:val="none" w:sz="0" w:space="0" w:color="auto"/>
                                                                    <w:bottom w:val="none" w:sz="0" w:space="0" w:color="auto"/>
                                                                    <w:right w:val="none" w:sz="0" w:space="0" w:color="auto"/>
                                                                  </w:divBdr>
                                                                  <w:divsChild>
                                                                    <w:div w:id="1073814452">
                                                                      <w:marLeft w:val="0"/>
                                                                      <w:marRight w:val="0"/>
                                                                      <w:marTop w:val="0"/>
                                                                      <w:marBottom w:val="0"/>
                                                                      <w:divBdr>
                                                                        <w:top w:val="none" w:sz="0" w:space="0" w:color="auto"/>
                                                                        <w:left w:val="none" w:sz="0" w:space="0" w:color="auto"/>
                                                                        <w:bottom w:val="none" w:sz="0" w:space="0" w:color="auto"/>
                                                                        <w:right w:val="none" w:sz="0" w:space="0" w:color="auto"/>
                                                                      </w:divBdr>
                                                                      <w:divsChild>
                                                                        <w:div w:id="255557522">
                                                                          <w:marLeft w:val="0"/>
                                                                          <w:marRight w:val="0"/>
                                                                          <w:marTop w:val="120"/>
                                                                          <w:marBottom w:val="0"/>
                                                                          <w:divBdr>
                                                                            <w:top w:val="none" w:sz="0" w:space="0" w:color="auto"/>
                                                                            <w:left w:val="none" w:sz="0" w:space="0" w:color="auto"/>
                                                                            <w:bottom w:val="none" w:sz="0" w:space="0" w:color="auto"/>
                                                                            <w:right w:val="none" w:sz="0" w:space="0" w:color="auto"/>
                                                                          </w:divBdr>
                                                                          <w:divsChild>
                                                                            <w:div w:id="896404689">
                                                                              <w:marLeft w:val="0"/>
                                                                              <w:marRight w:val="0"/>
                                                                              <w:marTop w:val="0"/>
                                                                              <w:marBottom w:val="0"/>
                                                                              <w:divBdr>
                                                                                <w:top w:val="none" w:sz="0" w:space="0" w:color="auto"/>
                                                                                <w:left w:val="none" w:sz="0" w:space="0" w:color="auto"/>
                                                                                <w:bottom w:val="none" w:sz="0" w:space="0" w:color="auto"/>
                                                                                <w:right w:val="none" w:sz="0" w:space="0" w:color="auto"/>
                                                                              </w:divBdr>
                                                                              <w:divsChild>
                                                                                <w:div w:id="381828155">
                                                                                  <w:marLeft w:val="0"/>
                                                                                  <w:marRight w:val="0"/>
                                                                                  <w:marTop w:val="0"/>
                                                                                  <w:marBottom w:val="0"/>
                                                                                  <w:divBdr>
                                                                                    <w:top w:val="none" w:sz="0" w:space="0" w:color="auto"/>
                                                                                    <w:left w:val="none" w:sz="0" w:space="0" w:color="auto"/>
                                                                                    <w:bottom w:val="none" w:sz="0" w:space="0" w:color="auto"/>
                                                                                    <w:right w:val="none" w:sz="0" w:space="0" w:color="auto"/>
                                                                                  </w:divBdr>
                                                                                </w:div>
                                                                                <w:div w:id="959071825">
                                                                                  <w:marLeft w:val="0"/>
                                                                                  <w:marRight w:val="0"/>
                                                                                  <w:marTop w:val="0"/>
                                                                                  <w:marBottom w:val="0"/>
                                                                                  <w:divBdr>
                                                                                    <w:top w:val="none" w:sz="0" w:space="0" w:color="auto"/>
                                                                                    <w:left w:val="none" w:sz="0" w:space="0" w:color="auto"/>
                                                                                    <w:bottom w:val="none" w:sz="0" w:space="0" w:color="auto"/>
                                                                                    <w:right w:val="none" w:sz="0" w:space="0" w:color="auto"/>
                                                                                  </w:divBdr>
                                                                                </w:div>
                                                                              </w:divsChild>
                                                                            </w:div>
                                                                            <w:div w:id="1502307525">
                                                                              <w:marLeft w:val="0"/>
                                                                              <w:marRight w:val="0"/>
                                                                              <w:marTop w:val="0"/>
                                                                              <w:marBottom w:val="285"/>
                                                                              <w:divBdr>
                                                                                <w:top w:val="none" w:sz="0" w:space="0" w:color="auto"/>
                                                                                <w:left w:val="none" w:sz="0" w:space="0" w:color="auto"/>
                                                                                <w:bottom w:val="none" w:sz="0" w:space="0" w:color="auto"/>
                                                                                <w:right w:val="none" w:sz="0" w:space="0" w:color="auto"/>
                                                                              </w:divBdr>
                                                                              <w:divsChild>
                                                                                <w:div w:id="1776095612">
                                                                                  <w:marLeft w:val="0"/>
                                                                                  <w:marRight w:val="0"/>
                                                                                  <w:marTop w:val="0"/>
                                                                                  <w:marBottom w:val="0"/>
                                                                                  <w:divBdr>
                                                                                    <w:top w:val="none" w:sz="0" w:space="0" w:color="auto"/>
                                                                                    <w:left w:val="none" w:sz="0" w:space="0" w:color="auto"/>
                                                                                    <w:bottom w:val="none" w:sz="0" w:space="0" w:color="auto"/>
                                                                                    <w:right w:val="none" w:sz="0" w:space="0" w:color="auto"/>
                                                                                  </w:divBdr>
                                                                                  <w:divsChild>
                                                                                    <w:div w:id="96293210">
                                                                                      <w:marLeft w:val="-15"/>
                                                                                      <w:marRight w:val="-15"/>
                                                                                      <w:marTop w:val="0"/>
                                                                                      <w:marBottom w:val="0"/>
                                                                                      <w:divBdr>
                                                                                        <w:top w:val="none" w:sz="0" w:space="0" w:color="auto"/>
                                                                                        <w:left w:val="none" w:sz="0" w:space="0" w:color="auto"/>
                                                                                        <w:bottom w:val="none" w:sz="0" w:space="0" w:color="auto"/>
                                                                                        <w:right w:val="none" w:sz="0" w:space="0" w:color="auto"/>
                                                                                      </w:divBdr>
                                                                                    </w:div>
                                                                                    <w:div w:id="424113409">
                                                                                      <w:marLeft w:val="-15"/>
                                                                                      <w:marRight w:val="-15"/>
                                                                                      <w:marTop w:val="0"/>
                                                                                      <w:marBottom w:val="0"/>
                                                                                      <w:divBdr>
                                                                                        <w:top w:val="none" w:sz="0" w:space="0" w:color="auto"/>
                                                                                        <w:left w:val="none" w:sz="0" w:space="0" w:color="auto"/>
                                                                                        <w:bottom w:val="none" w:sz="0" w:space="0" w:color="auto"/>
                                                                                        <w:right w:val="none" w:sz="0" w:space="0" w:color="auto"/>
                                                                                      </w:divBdr>
                                                                                    </w:div>
                                                                                    <w:div w:id="629017982">
                                                                                      <w:marLeft w:val="-15"/>
                                                                                      <w:marRight w:val="-15"/>
                                                                                      <w:marTop w:val="0"/>
                                                                                      <w:marBottom w:val="0"/>
                                                                                      <w:divBdr>
                                                                                        <w:top w:val="none" w:sz="0" w:space="0" w:color="auto"/>
                                                                                        <w:left w:val="none" w:sz="0" w:space="0" w:color="auto"/>
                                                                                        <w:bottom w:val="none" w:sz="0" w:space="0" w:color="auto"/>
                                                                                        <w:right w:val="none" w:sz="0" w:space="0" w:color="auto"/>
                                                                                      </w:divBdr>
                                                                                    </w:div>
                                                                                    <w:div w:id="943995677">
                                                                                      <w:marLeft w:val="-15"/>
                                                                                      <w:marRight w:val="-15"/>
                                                                                      <w:marTop w:val="0"/>
                                                                                      <w:marBottom w:val="0"/>
                                                                                      <w:divBdr>
                                                                                        <w:top w:val="none" w:sz="0" w:space="0" w:color="auto"/>
                                                                                        <w:left w:val="none" w:sz="0" w:space="0" w:color="auto"/>
                                                                                        <w:bottom w:val="none" w:sz="0" w:space="0" w:color="auto"/>
                                                                                        <w:right w:val="none" w:sz="0" w:space="0" w:color="auto"/>
                                                                                      </w:divBdr>
                                                                                    </w:div>
                                                                                    <w:div w:id="1067191043">
                                                                                      <w:marLeft w:val="-15"/>
                                                                                      <w:marRight w:val="-15"/>
                                                                                      <w:marTop w:val="0"/>
                                                                                      <w:marBottom w:val="0"/>
                                                                                      <w:divBdr>
                                                                                        <w:top w:val="none" w:sz="0" w:space="0" w:color="auto"/>
                                                                                        <w:left w:val="none" w:sz="0" w:space="0" w:color="auto"/>
                                                                                        <w:bottom w:val="none" w:sz="0" w:space="0" w:color="auto"/>
                                                                                        <w:right w:val="none" w:sz="0" w:space="0" w:color="auto"/>
                                                                                      </w:divBdr>
                                                                                    </w:div>
                                                                                    <w:div w:id="11396876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6288">
      <w:bodyDiv w:val="1"/>
      <w:marLeft w:val="0"/>
      <w:marRight w:val="0"/>
      <w:marTop w:val="0"/>
      <w:marBottom w:val="0"/>
      <w:divBdr>
        <w:top w:val="none" w:sz="0" w:space="0" w:color="auto"/>
        <w:left w:val="none" w:sz="0" w:space="0" w:color="auto"/>
        <w:bottom w:val="none" w:sz="0" w:space="0" w:color="auto"/>
        <w:right w:val="none" w:sz="0" w:space="0" w:color="auto"/>
      </w:divBdr>
      <w:divsChild>
        <w:div w:id="176619721">
          <w:marLeft w:val="0"/>
          <w:marRight w:val="1"/>
          <w:marTop w:val="0"/>
          <w:marBottom w:val="0"/>
          <w:divBdr>
            <w:top w:val="none" w:sz="0" w:space="0" w:color="auto"/>
            <w:left w:val="none" w:sz="0" w:space="0" w:color="auto"/>
            <w:bottom w:val="none" w:sz="0" w:space="0" w:color="auto"/>
            <w:right w:val="none" w:sz="0" w:space="0" w:color="auto"/>
          </w:divBdr>
          <w:divsChild>
            <w:div w:id="241181812">
              <w:marLeft w:val="0"/>
              <w:marRight w:val="0"/>
              <w:marTop w:val="0"/>
              <w:marBottom w:val="0"/>
              <w:divBdr>
                <w:top w:val="none" w:sz="0" w:space="0" w:color="auto"/>
                <w:left w:val="none" w:sz="0" w:space="0" w:color="auto"/>
                <w:bottom w:val="none" w:sz="0" w:space="0" w:color="auto"/>
                <w:right w:val="none" w:sz="0" w:space="0" w:color="auto"/>
              </w:divBdr>
              <w:divsChild>
                <w:div w:id="1090810872">
                  <w:marLeft w:val="0"/>
                  <w:marRight w:val="1"/>
                  <w:marTop w:val="0"/>
                  <w:marBottom w:val="0"/>
                  <w:divBdr>
                    <w:top w:val="none" w:sz="0" w:space="0" w:color="auto"/>
                    <w:left w:val="none" w:sz="0" w:space="0" w:color="auto"/>
                    <w:bottom w:val="none" w:sz="0" w:space="0" w:color="auto"/>
                    <w:right w:val="none" w:sz="0" w:space="0" w:color="auto"/>
                  </w:divBdr>
                  <w:divsChild>
                    <w:div w:id="1475371343">
                      <w:marLeft w:val="0"/>
                      <w:marRight w:val="0"/>
                      <w:marTop w:val="0"/>
                      <w:marBottom w:val="0"/>
                      <w:divBdr>
                        <w:top w:val="none" w:sz="0" w:space="0" w:color="auto"/>
                        <w:left w:val="none" w:sz="0" w:space="0" w:color="auto"/>
                        <w:bottom w:val="none" w:sz="0" w:space="0" w:color="auto"/>
                        <w:right w:val="none" w:sz="0" w:space="0" w:color="auto"/>
                      </w:divBdr>
                      <w:divsChild>
                        <w:div w:id="93793485">
                          <w:marLeft w:val="0"/>
                          <w:marRight w:val="0"/>
                          <w:marTop w:val="0"/>
                          <w:marBottom w:val="0"/>
                          <w:divBdr>
                            <w:top w:val="none" w:sz="0" w:space="0" w:color="auto"/>
                            <w:left w:val="none" w:sz="0" w:space="0" w:color="auto"/>
                            <w:bottom w:val="none" w:sz="0" w:space="0" w:color="auto"/>
                            <w:right w:val="none" w:sz="0" w:space="0" w:color="auto"/>
                          </w:divBdr>
                          <w:divsChild>
                            <w:div w:id="934824812">
                              <w:marLeft w:val="0"/>
                              <w:marRight w:val="0"/>
                              <w:marTop w:val="120"/>
                              <w:marBottom w:val="360"/>
                              <w:divBdr>
                                <w:top w:val="none" w:sz="0" w:space="0" w:color="auto"/>
                                <w:left w:val="none" w:sz="0" w:space="0" w:color="auto"/>
                                <w:bottom w:val="none" w:sz="0" w:space="0" w:color="auto"/>
                                <w:right w:val="none" w:sz="0" w:space="0" w:color="auto"/>
                              </w:divBdr>
                              <w:divsChild>
                                <w:div w:id="1826894629">
                                  <w:marLeft w:val="420"/>
                                  <w:marRight w:val="0"/>
                                  <w:marTop w:val="0"/>
                                  <w:marBottom w:val="0"/>
                                  <w:divBdr>
                                    <w:top w:val="none" w:sz="0" w:space="0" w:color="auto"/>
                                    <w:left w:val="none" w:sz="0" w:space="0" w:color="auto"/>
                                    <w:bottom w:val="none" w:sz="0" w:space="0" w:color="auto"/>
                                    <w:right w:val="none" w:sz="0" w:space="0" w:color="auto"/>
                                  </w:divBdr>
                                  <w:divsChild>
                                    <w:div w:id="1412971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906902">
      <w:bodyDiv w:val="1"/>
      <w:marLeft w:val="0"/>
      <w:marRight w:val="0"/>
      <w:marTop w:val="0"/>
      <w:marBottom w:val="0"/>
      <w:divBdr>
        <w:top w:val="none" w:sz="0" w:space="0" w:color="auto"/>
        <w:left w:val="none" w:sz="0" w:space="0" w:color="auto"/>
        <w:bottom w:val="none" w:sz="0" w:space="0" w:color="auto"/>
        <w:right w:val="none" w:sz="0" w:space="0" w:color="auto"/>
      </w:divBdr>
      <w:divsChild>
        <w:div w:id="1382091711">
          <w:marLeft w:val="0"/>
          <w:marRight w:val="0"/>
          <w:marTop w:val="0"/>
          <w:marBottom w:val="0"/>
          <w:divBdr>
            <w:top w:val="none" w:sz="0" w:space="0" w:color="auto"/>
            <w:left w:val="none" w:sz="0" w:space="0" w:color="auto"/>
            <w:bottom w:val="none" w:sz="0" w:space="0" w:color="auto"/>
            <w:right w:val="none" w:sz="0" w:space="0" w:color="auto"/>
          </w:divBdr>
        </w:div>
      </w:divsChild>
    </w:div>
    <w:div w:id="686175598">
      <w:bodyDiv w:val="1"/>
      <w:marLeft w:val="0"/>
      <w:marRight w:val="0"/>
      <w:marTop w:val="0"/>
      <w:marBottom w:val="0"/>
      <w:divBdr>
        <w:top w:val="none" w:sz="0" w:space="0" w:color="auto"/>
        <w:left w:val="none" w:sz="0" w:space="0" w:color="auto"/>
        <w:bottom w:val="none" w:sz="0" w:space="0" w:color="auto"/>
        <w:right w:val="none" w:sz="0" w:space="0" w:color="auto"/>
      </w:divBdr>
    </w:div>
    <w:div w:id="793909020">
      <w:bodyDiv w:val="1"/>
      <w:marLeft w:val="0"/>
      <w:marRight w:val="0"/>
      <w:marTop w:val="0"/>
      <w:marBottom w:val="0"/>
      <w:divBdr>
        <w:top w:val="none" w:sz="0" w:space="0" w:color="auto"/>
        <w:left w:val="none" w:sz="0" w:space="0" w:color="auto"/>
        <w:bottom w:val="none" w:sz="0" w:space="0" w:color="auto"/>
        <w:right w:val="none" w:sz="0" w:space="0" w:color="auto"/>
      </w:divBdr>
    </w:div>
    <w:div w:id="884830284">
      <w:bodyDiv w:val="1"/>
      <w:marLeft w:val="0"/>
      <w:marRight w:val="0"/>
      <w:marTop w:val="0"/>
      <w:marBottom w:val="0"/>
      <w:divBdr>
        <w:top w:val="none" w:sz="0" w:space="0" w:color="auto"/>
        <w:left w:val="none" w:sz="0" w:space="0" w:color="auto"/>
        <w:bottom w:val="none" w:sz="0" w:space="0" w:color="auto"/>
        <w:right w:val="none" w:sz="0" w:space="0" w:color="auto"/>
      </w:divBdr>
    </w:div>
    <w:div w:id="1633174731">
      <w:bodyDiv w:val="1"/>
      <w:marLeft w:val="0"/>
      <w:marRight w:val="0"/>
      <w:marTop w:val="0"/>
      <w:marBottom w:val="0"/>
      <w:divBdr>
        <w:top w:val="none" w:sz="0" w:space="0" w:color="auto"/>
        <w:left w:val="none" w:sz="0" w:space="0" w:color="auto"/>
        <w:bottom w:val="none" w:sz="0" w:space="0" w:color="auto"/>
        <w:right w:val="none" w:sz="0" w:space="0" w:color="auto"/>
      </w:divBdr>
    </w:div>
    <w:div w:id="1668436382">
      <w:bodyDiv w:val="1"/>
      <w:marLeft w:val="0"/>
      <w:marRight w:val="0"/>
      <w:marTop w:val="0"/>
      <w:marBottom w:val="0"/>
      <w:divBdr>
        <w:top w:val="none" w:sz="0" w:space="0" w:color="auto"/>
        <w:left w:val="none" w:sz="0" w:space="0" w:color="auto"/>
        <w:bottom w:val="none" w:sz="0" w:space="0" w:color="auto"/>
        <w:right w:val="none" w:sz="0" w:space="0" w:color="auto"/>
      </w:divBdr>
    </w:div>
    <w:div w:id="1670674283">
      <w:bodyDiv w:val="1"/>
      <w:marLeft w:val="0"/>
      <w:marRight w:val="0"/>
      <w:marTop w:val="0"/>
      <w:marBottom w:val="0"/>
      <w:divBdr>
        <w:top w:val="none" w:sz="0" w:space="0" w:color="auto"/>
        <w:left w:val="none" w:sz="0" w:space="0" w:color="auto"/>
        <w:bottom w:val="none" w:sz="0" w:space="0" w:color="auto"/>
        <w:right w:val="none" w:sz="0" w:space="0" w:color="auto"/>
      </w:divBdr>
      <w:divsChild>
        <w:div w:id="1293287817">
          <w:marLeft w:val="0"/>
          <w:marRight w:val="0"/>
          <w:marTop w:val="0"/>
          <w:marBottom w:val="0"/>
          <w:divBdr>
            <w:top w:val="none" w:sz="0" w:space="0" w:color="auto"/>
            <w:left w:val="none" w:sz="0" w:space="0" w:color="auto"/>
            <w:bottom w:val="none" w:sz="0" w:space="0" w:color="auto"/>
            <w:right w:val="none" w:sz="0" w:space="0" w:color="auto"/>
          </w:divBdr>
          <w:divsChild>
            <w:div w:id="239801624">
              <w:marLeft w:val="0"/>
              <w:marRight w:val="0"/>
              <w:marTop w:val="0"/>
              <w:marBottom w:val="0"/>
              <w:divBdr>
                <w:top w:val="none" w:sz="0" w:space="0" w:color="auto"/>
                <w:left w:val="none" w:sz="0" w:space="0" w:color="auto"/>
                <w:bottom w:val="none" w:sz="0" w:space="0" w:color="auto"/>
                <w:right w:val="none" w:sz="0" w:space="0" w:color="auto"/>
              </w:divBdr>
              <w:divsChild>
                <w:div w:id="3866892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2897093">
          <w:marLeft w:val="0"/>
          <w:marRight w:val="0"/>
          <w:marTop w:val="0"/>
          <w:marBottom w:val="0"/>
          <w:divBdr>
            <w:top w:val="none" w:sz="0" w:space="0" w:color="auto"/>
            <w:left w:val="none" w:sz="0" w:space="0" w:color="auto"/>
            <w:bottom w:val="none" w:sz="0" w:space="0" w:color="auto"/>
            <w:right w:val="none" w:sz="0" w:space="0" w:color="auto"/>
          </w:divBdr>
          <w:divsChild>
            <w:div w:id="520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6950">
      <w:bodyDiv w:val="1"/>
      <w:marLeft w:val="0"/>
      <w:marRight w:val="0"/>
      <w:marTop w:val="0"/>
      <w:marBottom w:val="0"/>
      <w:divBdr>
        <w:top w:val="none" w:sz="0" w:space="0" w:color="auto"/>
        <w:left w:val="none" w:sz="0" w:space="0" w:color="auto"/>
        <w:bottom w:val="none" w:sz="0" w:space="0" w:color="auto"/>
        <w:right w:val="none" w:sz="0" w:space="0" w:color="auto"/>
      </w:divBdr>
      <w:divsChild>
        <w:div w:id="81686622">
          <w:marLeft w:val="0"/>
          <w:marRight w:val="0"/>
          <w:marTop w:val="0"/>
          <w:marBottom w:val="166"/>
          <w:divBdr>
            <w:top w:val="none" w:sz="0" w:space="0" w:color="auto"/>
            <w:left w:val="none" w:sz="0" w:space="0" w:color="auto"/>
            <w:bottom w:val="none" w:sz="0" w:space="0" w:color="auto"/>
            <w:right w:val="none" w:sz="0" w:space="0" w:color="auto"/>
          </w:divBdr>
          <w:divsChild>
            <w:div w:id="542326692">
              <w:marLeft w:val="0"/>
              <w:marRight w:val="0"/>
              <w:marTop w:val="0"/>
              <w:marBottom w:val="0"/>
              <w:divBdr>
                <w:top w:val="none" w:sz="0" w:space="0" w:color="auto"/>
                <w:left w:val="none" w:sz="0" w:space="0" w:color="auto"/>
                <w:bottom w:val="none" w:sz="0" w:space="0" w:color="auto"/>
                <w:right w:val="none" w:sz="0" w:space="0" w:color="auto"/>
              </w:divBdr>
              <w:divsChild>
                <w:div w:id="1456824965">
                  <w:marLeft w:val="0"/>
                  <w:marRight w:val="0"/>
                  <w:marTop w:val="0"/>
                  <w:marBottom w:val="0"/>
                  <w:divBdr>
                    <w:top w:val="none" w:sz="0" w:space="0" w:color="auto"/>
                    <w:left w:val="none" w:sz="0" w:space="0" w:color="auto"/>
                    <w:bottom w:val="none" w:sz="0" w:space="0" w:color="auto"/>
                    <w:right w:val="none" w:sz="0" w:space="0" w:color="auto"/>
                  </w:divBdr>
                  <w:divsChild>
                    <w:div w:id="518468241">
                      <w:marLeft w:val="0"/>
                      <w:marRight w:val="0"/>
                      <w:marTop w:val="0"/>
                      <w:marBottom w:val="0"/>
                      <w:divBdr>
                        <w:top w:val="none" w:sz="0" w:space="0" w:color="auto"/>
                        <w:left w:val="none" w:sz="0" w:space="0" w:color="auto"/>
                        <w:bottom w:val="none" w:sz="0" w:space="0" w:color="auto"/>
                        <w:right w:val="none" w:sz="0" w:space="0" w:color="auto"/>
                      </w:divBdr>
                    </w:div>
                    <w:div w:id="479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228">
              <w:marLeft w:val="0"/>
              <w:marRight w:val="0"/>
              <w:marTop w:val="0"/>
              <w:marBottom w:val="0"/>
              <w:divBdr>
                <w:top w:val="none" w:sz="0" w:space="0" w:color="auto"/>
                <w:left w:val="none" w:sz="0" w:space="0" w:color="auto"/>
                <w:bottom w:val="none" w:sz="0" w:space="0" w:color="auto"/>
                <w:right w:val="none" w:sz="0" w:space="0" w:color="auto"/>
              </w:divBdr>
              <w:divsChild>
                <w:div w:id="613446268">
                  <w:marLeft w:val="0"/>
                  <w:marRight w:val="0"/>
                  <w:marTop w:val="0"/>
                  <w:marBottom w:val="0"/>
                  <w:divBdr>
                    <w:top w:val="none" w:sz="0" w:space="0" w:color="auto"/>
                    <w:left w:val="none" w:sz="0" w:space="0" w:color="auto"/>
                    <w:bottom w:val="none" w:sz="0" w:space="0" w:color="auto"/>
                    <w:right w:val="none" w:sz="0" w:space="0" w:color="auto"/>
                  </w:divBdr>
                </w:div>
                <w:div w:id="819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1118">
          <w:marLeft w:val="0"/>
          <w:marRight w:val="0"/>
          <w:marTop w:val="166"/>
          <w:marBottom w:val="166"/>
          <w:divBdr>
            <w:top w:val="none" w:sz="0" w:space="0" w:color="auto"/>
            <w:left w:val="none" w:sz="0" w:space="0" w:color="auto"/>
            <w:bottom w:val="none" w:sz="0" w:space="0" w:color="auto"/>
            <w:right w:val="none" w:sz="0" w:space="0" w:color="auto"/>
          </w:divBdr>
          <w:divsChild>
            <w:div w:id="17247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3771">
      <w:bodyDiv w:val="1"/>
      <w:marLeft w:val="0"/>
      <w:marRight w:val="0"/>
      <w:marTop w:val="0"/>
      <w:marBottom w:val="0"/>
      <w:divBdr>
        <w:top w:val="none" w:sz="0" w:space="0" w:color="auto"/>
        <w:left w:val="none" w:sz="0" w:space="0" w:color="auto"/>
        <w:bottom w:val="none" w:sz="0" w:space="0" w:color="auto"/>
        <w:right w:val="none" w:sz="0" w:space="0" w:color="auto"/>
      </w:divBdr>
    </w:div>
    <w:div w:id="1784614305">
      <w:bodyDiv w:val="1"/>
      <w:marLeft w:val="0"/>
      <w:marRight w:val="0"/>
      <w:marTop w:val="0"/>
      <w:marBottom w:val="0"/>
      <w:divBdr>
        <w:top w:val="none" w:sz="0" w:space="0" w:color="auto"/>
        <w:left w:val="none" w:sz="0" w:space="0" w:color="auto"/>
        <w:bottom w:val="none" w:sz="0" w:space="0" w:color="auto"/>
        <w:right w:val="none" w:sz="0" w:space="0" w:color="auto"/>
      </w:divBdr>
    </w:div>
    <w:div w:id="1826043828">
      <w:bodyDiv w:val="1"/>
      <w:marLeft w:val="0"/>
      <w:marRight w:val="0"/>
      <w:marTop w:val="0"/>
      <w:marBottom w:val="0"/>
      <w:divBdr>
        <w:top w:val="none" w:sz="0" w:space="0" w:color="auto"/>
        <w:left w:val="none" w:sz="0" w:space="0" w:color="auto"/>
        <w:bottom w:val="none" w:sz="0" w:space="0" w:color="auto"/>
        <w:right w:val="none" w:sz="0" w:space="0" w:color="auto"/>
      </w:divBdr>
    </w:div>
    <w:div w:id="20305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nbpieh@gmail.com" TargetMode="External"/><Relationship Id="rId18" Type="http://schemas.openxmlformats.org/officeDocument/2006/relationships/hyperlink" Target="http://apps.who.int/iris/bitstream/10665/112738/1/9789240692671_eng.pdf" TargetMode="External"/><Relationship Id="rId26" Type="http://schemas.openxmlformats.org/officeDocument/2006/relationships/hyperlink" Target="https://www.ncbi.nlm.nih.gov/pubmed/?term=Ameh%20CA%5BAuthor%5D&amp;cauthor=true&amp;cauthor_uid=28570857" TargetMode="External"/><Relationship Id="rId39" Type="http://schemas.openxmlformats.org/officeDocument/2006/relationships/hyperlink" Target="http://www.hse.gov.uk/stress/standards/downloads.htm" TargetMode="External"/><Relationship Id="rId21" Type="http://schemas.openxmlformats.org/officeDocument/2006/relationships/hyperlink" Target="https://www.ncbi.nlm.nih.gov/pubmed/?term=Sam%20B%5BAuthor%5D&amp;cauthor=true&amp;cauthor_uid=28570857" TargetMode="External"/><Relationship Id="rId34" Type="http://schemas.openxmlformats.org/officeDocument/2006/relationships/hyperlink" Target="https://www.ncbi.nlm.nih.gov/pubmed/?term=Lohse%20AW%5BAuthor%5D&amp;cauthor=true&amp;cauthor_uid=25897490" TargetMode="External"/><Relationship Id="rId42" Type="http://schemas.openxmlformats.org/officeDocument/2006/relationships/hyperlink" Target="javascript:;" TargetMode="External"/><Relationship Id="rId47" Type="http://schemas.openxmlformats.org/officeDocument/2006/relationships/hyperlink" Target="https://doi.org/10.1027/1015-5759/a000122"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lorence.Bull@lstmed.ac.uk" TargetMode="External"/><Relationship Id="rId17" Type="http://schemas.openxmlformats.org/officeDocument/2006/relationships/hyperlink" Target="http://www.who.int/mental_health/media/en/76.pdf" TargetMode="External"/><Relationship Id="rId25" Type="http://schemas.openxmlformats.org/officeDocument/2006/relationships/hyperlink" Target="https://www.ncbi.nlm.nih.gov/pubmed/?term=Gopalakrishnan%20S%5BAuthor%5D&amp;cauthor=true&amp;cauthor_uid=28570857" TargetMode="External"/><Relationship Id="rId33" Type="http://schemas.openxmlformats.org/officeDocument/2006/relationships/hyperlink" Target="https://www.ncbi.nlm.nih.gov/pubmed/?term=Schmiedel%20S%5BAuthor%5D&amp;cauthor=true&amp;cauthor_uid=25897490" TargetMode="External"/><Relationship Id="rId38" Type="http://schemas.openxmlformats.org/officeDocument/2006/relationships/hyperlink" Target="http://www.biomedcentral.com/1472-6963/12/156" TargetMode="External"/><Relationship Id="rId46" Type="http://schemas.openxmlformats.org/officeDocument/2006/relationships/hyperlink" Target="https://doi.org/10.1093/occmed/kqt078" TargetMode="External"/><Relationship Id="rId2" Type="http://schemas.openxmlformats.org/officeDocument/2006/relationships/numbering" Target="numbering.xml"/><Relationship Id="rId16" Type="http://schemas.openxmlformats.org/officeDocument/2006/relationships/hyperlink" Target="mailto:s.jones@hud.ac.uk" TargetMode="External"/><Relationship Id="rId20" Type="http://schemas.openxmlformats.org/officeDocument/2006/relationships/hyperlink" Target="https://www.ncbi.nlm.nih.gov/pubmed/?term=Jones%20S%5BAuthor%5D&amp;cauthor=true&amp;cauthor_uid=28570857" TargetMode="External"/><Relationship Id="rId29" Type="http://schemas.openxmlformats.org/officeDocument/2006/relationships/hyperlink" Target="https://www.ncbi.nlm.nih.gov/pubmed/?term=Lehmann%20M%5BAuthor%5D&amp;cauthor=true&amp;cauthor_uid=25897490"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ty.Sam@lstmed.ac.uk" TargetMode="External"/><Relationship Id="rId24" Type="http://schemas.openxmlformats.org/officeDocument/2006/relationships/hyperlink" Target="https://www.ncbi.nlm.nih.gov/pubmed/?term=Mgawadere%20F%5BAuthor%5D&amp;cauthor=true&amp;cauthor_uid=28570857" TargetMode="External"/><Relationship Id="rId32" Type="http://schemas.openxmlformats.org/officeDocument/2006/relationships/hyperlink" Target="https://www.ncbi.nlm.nih.gov/pubmed/?term=Addo%20MM%5BAuthor%5D&amp;cauthor=true&amp;cauthor_uid=25897490" TargetMode="External"/><Relationship Id="rId37" Type="http://schemas.openxmlformats.org/officeDocument/2006/relationships/hyperlink" Target="https://dx.doi.org/10.3201%2Feid2105.141988" TargetMode="External"/><Relationship Id="rId40" Type="http://schemas.openxmlformats.org/officeDocument/2006/relationships/hyperlink" Target="https://www.who.int/mental_health/publications/whoqol/en/" TargetMode="External"/><Relationship Id="rId45" Type="http://schemas.openxmlformats.org/officeDocument/2006/relationships/hyperlink" Target="javascript:;"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ynke.vandenBroek@lstmed.ac.uk" TargetMode="External"/><Relationship Id="rId23" Type="http://schemas.openxmlformats.org/officeDocument/2006/relationships/hyperlink" Target="https://www.ncbi.nlm.nih.gov/pubmed/?term=Lambert%20J%5BAuthor%5D&amp;cauthor=true&amp;cauthor_uid=28570857" TargetMode="External"/><Relationship Id="rId28" Type="http://schemas.openxmlformats.org/officeDocument/2006/relationships/hyperlink" Target="https://www.ncbi.nlm.nih.gov/pubmed/28570857" TargetMode="External"/><Relationship Id="rId36" Type="http://schemas.openxmlformats.org/officeDocument/2006/relationships/hyperlink" Target="https://www.ncbi.nlm.nih.gov/pmc/articles/PMC4412243/" TargetMode="External"/><Relationship Id="rId49" Type="http://schemas.openxmlformats.org/officeDocument/2006/relationships/header" Target="header2.xml"/><Relationship Id="rId10" Type="http://schemas.openxmlformats.org/officeDocument/2006/relationships/hyperlink" Target="mailto:judith.ormrod@manchester.ac.uk" TargetMode="External"/><Relationship Id="rId19" Type="http://schemas.openxmlformats.org/officeDocument/2006/relationships/hyperlink" Target="Http://apps.who.int/ebola/current-situation/ebola" TargetMode="External"/><Relationship Id="rId31" Type="http://schemas.openxmlformats.org/officeDocument/2006/relationships/hyperlink" Target="https://www.ncbi.nlm.nih.gov/pubmed/?term=L%26%23x000f6%3Bwe%20B%5BAuthor%5D&amp;cauthor=true&amp;cauthor_uid=25897490" TargetMode="External"/><Relationship Id="rId44" Type="http://schemas.openxmlformats.org/officeDocument/2006/relationships/hyperlink" Target="javascrip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arah.White@lstmed.ac.uk" TargetMode="External"/><Relationship Id="rId14" Type="http://schemas.openxmlformats.org/officeDocument/2006/relationships/hyperlink" Target="mailto:Somla.Gopalakrishnan@lstmed.ac.uk" TargetMode="External"/><Relationship Id="rId22" Type="http://schemas.openxmlformats.org/officeDocument/2006/relationships/hyperlink" Target="https://www.ncbi.nlm.nih.gov/pubmed/?term=Pieh%20SB%5BAuthor%5D&amp;cauthor=true&amp;cauthor_uid=28570857" TargetMode="External"/><Relationship Id="rId27" Type="http://schemas.openxmlformats.org/officeDocument/2006/relationships/hyperlink" Target="https://www.ncbi.nlm.nih.gov/pubmed/?term=van%20den%20Broek%20N%5BAuthor%5D&amp;cauthor=true&amp;cauthor_uid=28570857" TargetMode="External"/><Relationship Id="rId30" Type="http://schemas.openxmlformats.org/officeDocument/2006/relationships/hyperlink" Target="https://www.ncbi.nlm.nih.gov/pubmed/?term=Bruenahl%20CA%5BAuthor%5D&amp;cauthor=true&amp;cauthor_uid=25897490" TargetMode="External"/><Relationship Id="rId35" Type="http://schemas.openxmlformats.org/officeDocument/2006/relationships/hyperlink" Target="https://www.ncbi.nlm.nih.gov/pubmed/?term=Schramm%20C%5BAuthor%5D&amp;cauthor=true&amp;cauthor_uid=25897490" TargetMode="External"/><Relationship Id="rId43" Type="http://schemas.openxmlformats.org/officeDocument/2006/relationships/hyperlink" Target="javascript:;" TargetMode="External"/><Relationship Id="rId48" Type="http://schemas.openxmlformats.org/officeDocument/2006/relationships/header" Target="header1.xml"/><Relationship Id="rId8" Type="http://schemas.openxmlformats.org/officeDocument/2006/relationships/hyperlink" Target="mailto:s.jones@hud.ac.uk"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4A30-4096-4E98-AFEA-C094449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8288</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 Jones</dc:creator>
  <cp:keywords/>
  <dc:description/>
  <cp:lastModifiedBy>Susan Jones</cp:lastModifiedBy>
  <cp:revision>7</cp:revision>
  <cp:lastPrinted>2018-01-15T16:04:00Z</cp:lastPrinted>
  <dcterms:created xsi:type="dcterms:W3CDTF">2020-08-01T12:01:00Z</dcterms:created>
  <dcterms:modified xsi:type="dcterms:W3CDTF">2020-08-11T13:32:00Z</dcterms:modified>
</cp:coreProperties>
</file>