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CC3CA" w14:textId="45B0C12E" w:rsidR="008C1133" w:rsidRPr="008C1133" w:rsidRDefault="008C1133" w:rsidP="008C1133">
      <w:pPr>
        <w:spacing w:line="480" w:lineRule="auto"/>
        <w:jc w:val="center"/>
        <w:rPr>
          <w:b/>
        </w:rPr>
      </w:pPr>
      <w:r w:rsidRPr="008C1133">
        <w:rPr>
          <w:b/>
        </w:rPr>
        <w:t xml:space="preserve">Understanding the complexities of unexplained stillbirth </w:t>
      </w:r>
      <w:r w:rsidRPr="0033396C">
        <w:rPr>
          <w:b/>
        </w:rPr>
        <w:t xml:space="preserve">in </w:t>
      </w:r>
      <w:r w:rsidR="0009428D" w:rsidRPr="0033396C">
        <w:rPr>
          <w:b/>
        </w:rPr>
        <w:t>sub-Saharan Africa</w:t>
      </w:r>
      <w:r w:rsidRPr="0033396C">
        <w:rPr>
          <w:b/>
        </w:rPr>
        <w:t>;</w:t>
      </w:r>
      <w:r w:rsidRPr="008C1133">
        <w:rPr>
          <w:b/>
        </w:rPr>
        <w:t xml:space="preserve"> a mixed-methods study</w:t>
      </w:r>
    </w:p>
    <w:p w14:paraId="1DCC6EBF" w14:textId="653C3963" w:rsidR="008C1133" w:rsidRPr="008C1133" w:rsidRDefault="004D3665" w:rsidP="004D3665">
      <w:pPr>
        <w:spacing w:line="480" w:lineRule="auto"/>
      </w:pPr>
      <w:r w:rsidRPr="0009428D">
        <w:rPr>
          <w:b/>
          <w:bCs/>
        </w:rPr>
        <w:t>Running title:</w:t>
      </w:r>
      <w:r w:rsidRPr="0009428D">
        <w:t xml:space="preserve"> </w:t>
      </w:r>
      <w:r w:rsidR="00891AFB" w:rsidRPr="0009428D">
        <w:t>U</w:t>
      </w:r>
      <w:r w:rsidRPr="0009428D">
        <w:t>nexplained stillbirth</w:t>
      </w:r>
      <w:r w:rsidR="00891AFB" w:rsidRPr="0009428D">
        <w:t xml:space="preserve"> </w:t>
      </w:r>
      <w:r w:rsidR="00891AFB" w:rsidRPr="0033396C">
        <w:t xml:space="preserve">in </w:t>
      </w:r>
      <w:r w:rsidR="0009428D" w:rsidRPr="0033396C">
        <w:t>sub-Saharan Africa</w:t>
      </w:r>
    </w:p>
    <w:p w14:paraId="46C169E8" w14:textId="44922D91" w:rsidR="008C1133" w:rsidRPr="008C1133" w:rsidRDefault="008C1133" w:rsidP="004D3665">
      <w:pPr>
        <w:spacing w:line="480" w:lineRule="auto"/>
        <w:rPr>
          <w:vertAlign w:val="superscript"/>
        </w:rPr>
      </w:pPr>
      <w:r w:rsidRPr="008C1133">
        <w:t>Carol Bedwell</w:t>
      </w:r>
      <w:r w:rsidRPr="008C1133">
        <w:rPr>
          <w:vertAlign w:val="superscript"/>
        </w:rPr>
        <w:t>1</w:t>
      </w:r>
      <w:r w:rsidRPr="008C1133">
        <w:t>, Kieran Blaikie</w:t>
      </w:r>
      <w:r w:rsidR="004D3665">
        <w:rPr>
          <w:vertAlign w:val="superscript"/>
        </w:rPr>
        <w:t>2</w:t>
      </w:r>
      <w:r w:rsidRPr="008C1133">
        <w:t xml:space="preserve">, Valentina </w:t>
      </w:r>
      <w:proofErr w:type="spellStart"/>
      <w:r w:rsidRPr="008C1133">
        <w:t>Actis</w:t>
      </w:r>
      <w:proofErr w:type="spellEnd"/>
      <w:r w:rsidRPr="008C1133">
        <w:t xml:space="preserve"> Danna</w:t>
      </w:r>
      <w:r w:rsidRPr="008C1133">
        <w:rPr>
          <w:vertAlign w:val="superscript"/>
        </w:rPr>
        <w:t>1</w:t>
      </w:r>
      <w:r w:rsidRPr="008C1133">
        <w:t>, Chris Sutton</w:t>
      </w:r>
      <w:r w:rsidR="004D3665">
        <w:rPr>
          <w:vertAlign w:val="superscript"/>
        </w:rPr>
        <w:t>2</w:t>
      </w:r>
      <w:r w:rsidRPr="008C1133">
        <w:t>, Rose Laisser</w:t>
      </w:r>
      <w:r w:rsidR="004D3665">
        <w:rPr>
          <w:vertAlign w:val="superscript"/>
        </w:rPr>
        <w:t>3</w:t>
      </w:r>
      <w:r w:rsidR="00CC64B2">
        <w:t>,</w:t>
      </w:r>
      <w:r w:rsidRPr="008C1133">
        <w:rPr>
          <w:vertAlign w:val="superscript"/>
        </w:rPr>
        <w:t xml:space="preserve"> </w:t>
      </w:r>
      <w:proofErr w:type="spellStart"/>
      <w:r w:rsidRPr="008C1133">
        <w:t>Chowa</w:t>
      </w:r>
      <w:proofErr w:type="spellEnd"/>
      <w:r w:rsidRPr="008C1133">
        <w:t xml:space="preserve"> </w:t>
      </w:r>
      <w:proofErr w:type="spellStart"/>
      <w:r w:rsidRPr="008C1133">
        <w:t>Tembo</w:t>
      </w:r>
      <w:proofErr w:type="spellEnd"/>
      <w:r w:rsidRPr="008C1133">
        <w:t xml:space="preserve"> Kasengele</w:t>
      </w:r>
      <w:r w:rsidR="004D3665">
        <w:rPr>
          <w:vertAlign w:val="superscript"/>
        </w:rPr>
        <w:t>4</w:t>
      </w:r>
      <w:r w:rsidR="00CC64B2">
        <w:t>,</w:t>
      </w:r>
      <w:r w:rsidRPr="008C1133">
        <w:t xml:space="preserve"> Sabina Wakasiaka</w:t>
      </w:r>
      <w:r w:rsidR="004D3665">
        <w:rPr>
          <w:vertAlign w:val="superscript"/>
        </w:rPr>
        <w:t>5</w:t>
      </w:r>
      <w:r w:rsidRPr="008C1133">
        <w:t>, Suresh Victor</w:t>
      </w:r>
      <w:r w:rsidR="004D3665">
        <w:rPr>
          <w:vertAlign w:val="superscript"/>
        </w:rPr>
        <w:t>6</w:t>
      </w:r>
      <w:r w:rsidRPr="008C1133">
        <w:t>, Tina Lavender</w:t>
      </w:r>
      <w:r w:rsidRPr="008C1133">
        <w:rPr>
          <w:vertAlign w:val="superscript"/>
        </w:rPr>
        <w:t>1</w:t>
      </w:r>
    </w:p>
    <w:p w14:paraId="0508BEEE" w14:textId="77777777" w:rsidR="008C1133" w:rsidRPr="008C1133" w:rsidRDefault="008C1133" w:rsidP="008C1133">
      <w:pPr>
        <w:spacing w:line="480" w:lineRule="auto"/>
        <w:jc w:val="center"/>
        <w:rPr>
          <w:vertAlign w:val="superscript"/>
        </w:rPr>
      </w:pPr>
    </w:p>
    <w:p w14:paraId="17C9ABDE" w14:textId="5134D82D" w:rsidR="004D3665" w:rsidRPr="0009428D" w:rsidRDefault="004D3665" w:rsidP="008C1133">
      <w:pPr>
        <w:pStyle w:val="ListParagraph"/>
        <w:numPr>
          <w:ilvl w:val="0"/>
          <w:numId w:val="2"/>
        </w:numPr>
        <w:spacing w:after="0" w:line="480" w:lineRule="auto"/>
      </w:pPr>
      <w:r w:rsidRPr="0009428D">
        <w:t>International Public Health, Liverpool School of Tropical Medicine, Liverpool, UK</w:t>
      </w:r>
    </w:p>
    <w:p w14:paraId="517D7956" w14:textId="19A987C1" w:rsidR="008C1133" w:rsidRPr="008C1133" w:rsidRDefault="00CA7203" w:rsidP="008C1133">
      <w:pPr>
        <w:pStyle w:val="ListParagraph"/>
        <w:numPr>
          <w:ilvl w:val="0"/>
          <w:numId w:val="2"/>
        </w:numPr>
        <w:spacing w:after="0" w:line="480" w:lineRule="auto"/>
      </w:pPr>
      <w:r>
        <w:t xml:space="preserve">School of Health Sciences, </w:t>
      </w:r>
      <w:r w:rsidR="008C1133" w:rsidRPr="008C1133">
        <w:t>University of Manchester, Manchester, UK</w:t>
      </w:r>
      <w:r w:rsidR="008C1133">
        <w:t>.</w:t>
      </w:r>
      <w:r w:rsidR="008C1133" w:rsidRPr="008C1133">
        <w:t xml:space="preserve"> </w:t>
      </w:r>
    </w:p>
    <w:p w14:paraId="2B2DF758" w14:textId="53D92F71" w:rsidR="008C1133" w:rsidRPr="008C1133" w:rsidRDefault="008C1133" w:rsidP="008C1133">
      <w:pPr>
        <w:pStyle w:val="ListParagraph"/>
        <w:numPr>
          <w:ilvl w:val="0"/>
          <w:numId w:val="2"/>
        </w:numPr>
        <w:spacing w:after="0" w:line="480" w:lineRule="auto"/>
        <w:ind w:left="709" w:hanging="349"/>
        <w:rPr>
          <w:rStyle w:val="Hyperlink"/>
          <w:color w:val="auto"/>
        </w:rPr>
      </w:pPr>
      <w:r w:rsidRPr="008C1133">
        <w:t xml:space="preserve">Archbishop Antony </w:t>
      </w:r>
      <w:proofErr w:type="spellStart"/>
      <w:r w:rsidRPr="008C1133">
        <w:t>Mayala</w:t>
      </w:r>
      <w:proofErr w:type="spellEnd"/>
      <w:r w:rsidRPr="008C1133">
        <w:t xml:space="preserve"> School of Nursing, Catholic University of Health and Allied Health Sciences, Mwanza, Tanzania. </w:t>
      </w:r>
    </w:p>
    <w:p w14:paraId="19A9A3B2" w14:textId="77777777" w:rsidR="008C1133" w:rsidRPr="008C1133" w:rsidRDefault="008C1133" w:rsidP="008C1133">
      <w:pPr>
        <w:pStyle w:val="ListParagraph"/>
        <w:numPr>
          <w:ilvl w:val="0"/>
          <w:numId w:val="2"/>
        </w:numPr>
        <w:spacing w:after="0" w:line="480" w:lineRule="auto"/>
        <w:rPr>
          <w:rStyle w:val="Hyperlink"/>
          <w:color w:val="auto"/>
          <w:u w:val="none"/>
        </w:rPr>
      </w:pPr>
      <w:r w:rsidRPr="008C1133">
        <w:rPr>
          <w:rStyle w:val="Hyperlink"/>
          <w:color w:val="auto"/>
          <w:u w:val="none"/>
        </w:rPr>
        <w:t>Ministry of Health Headquarters, Department of Public Health and Research, Lusaka</w:t>
      </w:r>
    </w:p>
    <w:p w14:paraId="1BF9950B" w14:textId="1088C09F" w:rsidR="008C1133" w:rsidRPr="008C1133" w:rsidRDefault="008C1133" w:rsidP="008C1133">
      <w:pPr>
        <w:pStyle w:val="ListParagraph"/>
        <w:spacing w:after="0" w:line="480" w:lineRule="auto"/>
        <w:rPr>
          <w:rStyle w:val="Hyperlink"/>
          <w:color w:val="auto"/>
          <w:u w:val="none"/>
        </w:rPr>
      </w:pPr>
      <w:r w:rsidRPr="008C1133">
        <w:rPr>
          <w:rStyle w:val="Hyperlink"/>
          <w:color w:val="auto"/>
          <w:u w:val="none"/>
        </w:rPr>
        <w:t>Zambia.</w:t>
      </w:r>
    </w:p>
    <w:p w14:paraId="6F98E717" w14:textId="39A61F75" w:rsidR="008C1133" w:rsidRPr="008C1133" w:rsidRDefault="008C1133" w:rsidP="008C1133">
      <w:pPr>
        <w:pStyle w:val="ListParagraph"/>
        <w:numPr>
          <w:ilvl w:val="0"/>
          <w:numId w:val="2"/>
        </w:numPr>
        <w:spacing w:after="0" w:line="480" w:lineRule="auto"/>
      </w:pPr>
      <w:r w:rsidRPr="008C1133">
        <w:t xml:space="preserve">University of Nairobi, Nairobi, Kenya. </w:t>
      </w:r>
    </w:p>
    <w:p w14:paraId="0A5E9F8C" w14:textId="79FEEAD5" w:rsidR="008C1133" w:rsidRPr="008C1133" w:rsidRDefault="00AE48DA" w:rsidP="008C1133">
      <w:pPr>
        <w:pStyle w:val="ListParagraph"/>
        <w:numPr>
          <w:ilvl w:val="0"/>
          <w:numId w:val="2"/>
        </w:numPr>
        <w:spacing w:after="0" w:line="480" w:lineRule="auto"/>
      </w:pPr>
      <w:r>
        <w:t xml:space="preserve">Perinatal Imaging and Health, </w:t>
      </w:r>
      <w:r w:rsidR="008C1133" w:rsidRPr="008C1133">
        <w:t>King</w:t>
      </w:r>
      <w:r w:rsidR="00CC64B2">
        <w:t>’</w:t>
      </w:r>
      <w:r w:rsidR="008C1133" w:rsidRPr="008C1133">
        <w:t>s College London, London</w:t>
      </w:r>
      <w:r w:rsidR="008C1133">
        <w:t>, UK</w:t>
      </w:r>
      <w:r w:rsidR="008C1133" w:rsidRPr="008C1133">
        <w:t>.</w:t>
      </w:r>
    </w:p>
    <w:p w14:paraId="6EC83D9F" w14:textId="77777777" w:rsidR="008C1133" w:rsidRPr="008C1133" w:rsidRDefault="008C1133" w:rsidP="008C1133">
      <w:pPr>
        <w:spacing w:after="0" w:line="480" w:lineRule="auto"/>
        <w:rPr>
          <w:b/>
        </w:rPr>
      </w:pPr>
    </w:p>
    <w:p w14:paraId="12F0EC42" w14:textId="77777777" w:rsidR="008C1133" w:rsidRPr="008C1133" w:rsidRDefault="008C1133" w:rsidP="008C1133">
      <w:pPr>
        <w:spacing w:after="0" w:line="480" w:lineRule="auto"/>
        <w:rPr>
          <w:b/>
        </w:rPr>
      </w:pPr>
    </w:p>
    <w:p w14:paraId="3FA45E3E" w14:textId="77777777" w:rsidR="008C1133" w:rsidRPr="008C1133" w:rsidRDefault="008C1133" w:rsidP="008C1133">
      <w:pPr>
        <w:spacing w:after="0" w:line="480" w:lineRule="auto"/>
        <w:rPr>
          <w:b/>
        </w:rPr>
      </w:pPr>
      <w:r w:rsidRPr="008C1133">
        <w:rPr>
          <w:b/>
        </w:rPr>
        <w:t>Corresponding Author:</w:t>
      </w:r>
    </w:p>
    <w:p w14:paraId="244B1C52" w14:textId="77777777" w:rsidR="008C1133" w:rsidRPr="008C1133" w:rsidRDefault="008C1133" w:rsidP="008C1133">
      <w:pPr>
        <w:spacing w:after="0" w:line="480" w:lineRule="auto"/>
      </w:pPr>
      <w:r w:rsidRPr="008C1133">
        <w:t>Dr Carol Bedwell</w:t>
      </w:r>
    </w:p>
    <w:p w14:paraId="1E505AB8" w14:textId="77777777" w:rsidR="004D3665" w:rsidRPr="0009428D" w:rsidRDefault="004D3665" w:rsidP="008C1133">
      <w:pPr>
        <w:spacing w:after="0" w:line="480" w:lineRule="auto"/>
      </w:pPr>
      <w:r w:rsidRPr="0009428D">
        <w:t>Liverpool School of Tropical Medicine</w:t>
      </w:r>
    </w:p>
    <w:p w14:paraId="76094189" w14:textId="35B1286D" w:rsidR="008C1133" w:rsidRPr="0009428D" w:rsidRDefault="004D3665" w:rsidP="008C1133">
      <w:pPr>
        <w:spacing w:after="0" w:line="480" w:lineRule="auto"/>
      </w:pPr>
      <w:r w:rsidRPr="0009428D">
        <w:t xml:space="preserve">Liverpool, L3 5QA </w:t>
      </w:r>
      <w:r w:rsidR="008C1133" w:rsidRPr="0009428D">
        <w:t>UK</w:t>
      </w:r>
    </w:p>
    <w:p w14:paraId="05391A2B" w14:textId="6C82533C" w:rsidR="004D3665" w:rsidRPr="0009428D" w:rsidRDefault="0033396C" w:rsidP="008C1133">
      <w:pPr>
        <w:spacing w:after="0" w:line="480" w:lineRule="auto"/>
      </w:pPr>
      <w:hyperlink r:id="rId8" w:history="1">
        <w:r w:rsidR="004D3665" w:rsidRPr="0009428D">
          <w:rPr>
            <w:rStyle w:val="Hyperlink"/>
          </w:rPr>
          <w:t>Carol.Bedwell@lstmed.ac.uk</w:t>
        </w:r>
      </w:hyperlink>
    </w:p>
    <w:p w14:paraId="6D9D84F7" w14:textId="41772366" w:rsidR="008C1133" w:rsidRPr="008C1133" w:rsidRDefault="008C1133" w:rsidP="008C1133">
      <w:pPr>
        <w:spacing w:after="0" w:line="480" w:lineRule="auto"/>
      </w:pPr>
      <w:r w:rsidRPr="0009428D">
        <w:t>+44 (0)1</w:t>
      </w:r>
      <w:r w:rsidR="004D3665" w:rsidRPr="0009428D">
        <w:t>5</w:t>
      </w:r>
      <w:r w:rsidRPr="0009428D">
        <w:t xml:space="preserve">1 </w:t>
      </w:r>
      <w:r w:rsidR="004D3665" w:rsidRPr="0009428D">
        <w:t>705 3100</w:t>
      </w:r>
    </w:p>
    <w:p w14:paraId="31A595AF" w14:textId="77777777" w:rsidR="008C1133" w:rsidRDefault="008C1133" w:rsidP="00AF1779">
      <w:pPr>
        <w:spacing w:line="480" w:lineRule="auto"/>
        <w:rPr>
          <w:b/>
        </w:rPr>
      </w:pPr>
    </w:p>
    <w:p w14:paraId="5F276319" w14:textId="7325A917" w:rsidR="00BA1CAB" w:rsidRPr="002014FF" w:rsidRDefault="004E3948" w:rsidP="00AF1779">
      <w:pPr>
        <w:spacing w:line="480" w:lineRule="auto"/>
        <w:rPr>
          <w:b/>
        </w:rPr>
      </w:pPr>
      <w:bookmarkStart w:id="0" w:name="_Hlk42437774"/>
      <w:bookmarkStart w:id="1" w:name="_Hlk35945522"/>
      <w:r>
        <w:rPr>
          <w:b/>
        </w:rPr>
        <w:lastRenderedPageBreak/>
        <w:t>Understanding the complexities of u</w:t>
      </w:r>
      <w:r w:rsidR="006C7FCB" w:rsidRPr="002014FF">
        <w:rPr>
          <w:b/>
        </w:rPr>
        <w:t>nexplained stillbirth</w:t>
      </w:r>
      <w:r>
        <w:rPr>
          <w:b/>
        </w:rPr>
        <w:t xml:space="preserve"> in </w:t>
      </w:r>
      <w:r w:rsidR="0009428D" w:rsidRPr="0033396C">
        <w:rPr>
          <w:b/>
        </w:rPr>
        <w:t>sub-Saharan Africa</w:t>
      </w:r>
      <w:r w:rsidR="00406BE9" w:rsidRPr="0033396C">
        <w:rPr>
          <w:b/>
        </w:rPr>
        <w:t>; a mixed</w:t>
      </w:r>
      <w:r w:rsidR="00406BE9">
        <w:rPr>
          <w:b/>
        </w:rPr>
        <w:t>-methods study</w:t>
      </w:r>
      <w:bookmarkEnd w:id="0"/>
      <w:r w:rsidR="00406BE9">
        <w:rPr>
          <w:b/>
        </w:rPr>
        <w:t xml:space="preserve"> </w:t>
      </w:r>
    </w:p>
    <w:bookmarkEnd w:id="1"/>
    <w:p w14:paraId="57EAC2CD" w14:textId="77E48135" w:rsidR="00D410FF" w:rsidRPr="002014FF" w:rsidRDefault="00D410FF" w:rsidP="00AF1779">
      <w:pPr>
        <w:spacing w:line="480" w:lineRule="auto"/>
      </w:pPr>
      <w:r w:rsidRPr="002014FF">
        <w:rPr>
          <w:b/>
        </w:rPr>
        <w:t>Abstract</w:t>
      </w:r>
    </w:p>
    <w:p w14:paraId="1225A7EC" w14:textId="25B930B7" w:rsidR="006C7FCB" w:rsidRDefault="00A83AAA" w:rsidP="006E7994">
      <w:pPr>
        <w:spacing w:line="480" w:lineRule="auto"/>
        <w:jc w:val="both"/>
      </w:pPr>
      <w:r>
        <w:rPr>
          <w:b/>
        </w:rPr>
        <w:t xml:space="preserve">Objective: </w:t>
      </w:r>
      <w:r w:rsidRPr="00A83AAA">
        <w:rPr>
          <w:bCs/>
        </w:rPr>
        <w:t>T</w:t>
      </w:r>
      <w:r w:rsidR="004C6DF3">
        <w:t xml:space="preserve">o </w:t>
      </w:r>
      <w:r w:rsidR="004C6DF3" w:rsidRPr="004C6DF3">
        <w:t xml:space="preserve">understand the complexities surrounding </w:t>
      </w:r>
      <w:r w:rsidR="005360FE">
        <w:t xml:space="preserve">unexplained stillbirth </w:t>
      </w:r>
      <w:r w:rsidR="00AE48DA">
        <w:t xml:space="preserve">for </w:t>
      </w:r>
      <w:r w:rsidR="004C6DF3" w:rsidRPr="004C6DF3">
        <w:t xml:space="preserve">the development and implementation of </w:t>
      </w:r>
      <w:r w:rsidR="005360FE">
        <w:t xml:space="preserve">culturally acceptable </w:t>
      </w:r>
      <w:r w:rsidR="004C6DF3" w:rsidRPr="004C6DF3">
        <w:t xml:space="preserve">interventions to </w:t>
      </w:r>
      <w:r w:rsidR="005360FE">
        <w:t xml:space="preserve">underpin care </w:t>
      </w:r>
      <w:r w:rsidR="004C6DF3" w:rsidRPr="004C6DF3">
        <w:t>in Tanzania and Zambia</w:t>
      </w:r>
      <w:r w:rsidR="001C6969">
        <w:t>.</w:t>
      </w:r>
    </w:p>
    <w:p w14:paraId="541EBC7E" w14:textId="28D7BF9B" w:rsidR="00A83AAA" w:rsidRDefault="00A83AAA" w:rsidP="006E7994">
      <w:pPr>
        <w:spacing w:line="480" w:lineRule="auto"/>
        <w:jc w:val="both"/>
      </w:pPr>
      <w:r w:rsidRPr="00A83AAA">
        <w:rPr>
          <w:b/>
          <w:bCs/>
        </w:rPr>
        <w:t>Design:</w:t>
      </w:r>
      <w:r>
        <w:t xml:space="preserve"> </w:t>
      </w:r>
      <w:r w:rsidR="003D64EC">
        <w:t>M</w:t>
      </w:r>
      <w:r>
        <w:t>ixed-methods</w:t>
      </w:r>
      <w:r w:rsidR="001C6969">
        <w:t>.</w:t>
      </w:r>
    </w:p>
    <w:p w14:paraId="699BF500" w14:textId="2CB52033" w:rsidR="00A83AAA" w:rsidRDefault="00A83AAA" w:rsidP="006E7994">
      <w:pPr>
        <w:spacing w:line="480" w:lineRule="auto"/>
        <w:jc w:val="both"/>
        <w:rPr>
          <w:b/>
          <w:bCs/>
        </w:rPr>
      </w:pPr>
      <w:r w:rsidRPr="00A83AAA">
        <w:rPr>
          <w:b/>
          <w:bCs/>
        </w:rPr>
        <w:t>Setting</w:t>
      </w:r>
      <w:r>
        <w:rPr>
          <w:b/>
          <w:bCs/>
        </w:rPr>
        <w:t xml:space="preserve">: </w:t>
      </w:r>
      <w:r w:rsidRPr="00AE48DA">
        <w:t xml:space="preserve">Tertiary, secondary and primary </w:t>
      </w:r>
      <w:r w:rsidR="00AE48DA" w:rsidRPr="00AE48DA">
        <w:t xml:space="preserve">care </w:t>
      </w:r>
      <w:r w:rsidRPr="00AE48DA">
        <w:t>facilities</w:t>
      </w:r>
      <w:r w:rsidRPr="00A83AAA">
        <w:t xml:space="preserve"> in </w:t>
      </w:r>
      <w:r w:rsidR="000D42DC">
        <w:t xml:space="preserve">Mansa, </w:t>
      </w:r>
      <w:r w:rsidR="008C5AD8">
        <w:t>Zambia</w:t>
      </w:r>
      <w:r w:rsidRPr="00A83AAA">
        <w:t xml:space="preserve"> and </w:t>
      </w:r>
      <w:r w:rsidR="000D42DC">
        <w:t xml:space="preserve">Mwanza, </w:t>
      </w:r>
      <w:r w:rsidR="008C5AD8">
        <w:t>Tanzania</w:t>
      </w:r>
      <w:r>
        <w:t>.</w:t>
      </w:r>
    </w:p>
    <w:p w14:paraId="4C12B1E4" w14:textId="26811558" w:rsidR="00A83AAA" w:rsidRPr="00A83AAA" w:rsidRDefault="000D42DC" w:rsidP="006E7994">
      <w:pPr>
        <w:spacing w:line="480" w:lineRule="auto"/>
        <w:jc w:val="both"/>
      </w:pPr>
      <w:r>
        <w:rPr>
          <w:b/>
          <w:bCs/>
        </w:rPr>
        <w:t>S</w:t>
      </w:r>
      <w:r w:rsidR="00A83AAA">
        <w:rPr>
          <w:b/>
          <w:bCs/>
        </w:rPr>
        <w:t xml:space="preserve">ample: </w:t>
      </w:r>
      <w:r w:rsidR="00A83AAA" w:rsidRPr="00A83AAA">
        <w:t xml:space="preserve">Quantitative; </w:t>
      </w:r>
      <w:r w:rsidR="00D73104">
        <w:t>1997</w:t>
      </w:r>
      <w:r w:rsidR="00D73104" w:rsidRPr="00A83AAA">
        <w:t xml:space="preserve"> </w:t>
      </w:r>
      <w:r w:rsidR="00A83AAA" w:rsidRPr="00A83AAA">
        <w:t xml:space="preserve">women giving birth at two tertiary </w:t>
      </w:r>
      <w:r w:rsidR="00AE48DA">
        <w:t xml:space="preserve">care </w:t>
      </w:r>
      <w:r w:rsidR="00A83AAA" w:rsidRPr="00A83AAA">
        <w:t>facilities (one in each country)</w:t>
      </w:r>
      <w:r w:rsidR="00A83AAA">
        <w:t>. Qualitative; 48 women and 1</w:t>
      </w:r>
      <w:r w:rsidR="00AE18F2">
        <w:t>9</w:t>
      </w:r>
      <w:r w:rsidR="00A83AAA">
        <w:t xml:space="preserve"> partners</w:t>
      </w:r>
      <w:r w:rsidR="004911B1">
        <w:t xml:space="preserve"> from tertiary, secondary and primary</w:t>
      </w:r>
      <w:r w:rsidR="001F699D">
        <w:t xml:space="preserve"> care</w:t>
      </w:r>
      <w:r w:rsidR="004911B1">
        <w:t xml:space="preserve"> facilities</w:t>
      </w:r>
      <w:r w:rsidR="00A83AAA">
        <w:t>.</w:t>
      </w:r>
    </w:p>
    <w:p w14:paraId="2E790CB0" w14:textId="0EDFBF92" w:rsidR="00D410FF" w:rsidRDefault="00D410FF" w:rsidP="006E7994">
      <w:pPr>
        <w:spacing w:line="480" w:lineRule="auto"/>
        <w:jc w:val="both"/>
      </w:pPr>
      <w:r w:rsidRPr="00F4195E">
        <w:rPr>
          <w:b/>
        </w:rPr>
        <w:t>Methods:</w:t>
      </w:r>
      <w:r>
        <w:t xml:space="preserve"> </w:t>
      </w:r>
      <w:r w:rsidR="009F2BF1">
        <w:t>Case review using d</w:t>
      </w:r>
      <w:r w:rsidR="00AF1779">
        <w:t xml:space="preserve">ata </w:t>
      </w:r>
      <w:r w:rsidR="00F4195E">
        <w:t xml:space="preserve">from </w:t>
      </w:r>
      <w:r w:rsidR="00F06F3F">
        <w:t xml:space="preserve">a </w:t>
      </w:r>
      <w:r w:rsidR="00F4195E">
        <w:t xml:space="preserve">2000 </w:t>
      </w:r>
      <w:r w:rsidR="00CC64B2">
        <w:t xml:space="preserve">consecutive </w:t>
      </w:r>
      <w:r w:rsidR="00F4195E">
        <w:t>case record</w:t>
      </w:r>
      <w:r w:rsidR="00F06F3F">
        <w:t xml:space="preserve"> target</w:t>
      </w:r>
      <w:r w:rsidR="008C5AD8">
        <w:t>.</w:t>
      </w:r>
      <w:r w:rsidR="00F4195E">
        <w:t xml:space="preserve"> Qualitative interviews with </w:t>
      </w:r>
      <w:r w:rsidR="0029367A">
        <w:t>a purposive sample of women and partners</w:t>
      </w:r>
      <w:r w:rsidR="00F4195E">
        <w:t>, using a grounded theory approach.</w:t>
      </w:r>
    </w:p>
    <w:p w14:paraId="06D6F454" w14:textId="338ACFB7" w:rsidR="00312B9F" w:rsidRDefault="00A83AAA" w:rsidP="006E7994">
      <w:pPr>
        <w:spacing w:line="480" w:lineRule="auto"/>
        <w:jc w:val="both"/>
      </w:pPr>
      <w:r w:rsidRPr="00A83AAA">
        <w:rPr>
          <w:b/>
          <w:bCs/>
        </w:rPr>
        <w:t>Results:</w:t>
      </w:r>
      <w:r w:rsidR="00F4195E">
        <w:t xml:space="preserve"> </w:t>
      </w:r>
      <w:r w:rsidR="006C3FB6" w:rsidRPr="00711C91">
        <w:t>A total of 2</w:t>
      </w:r>
      <w:r w:rsidR="00847E4A" w:rsidRPr="00711C91">
        <w:t>6</w:t>
      </w:r>
      <w:r w:rsidR="00E51FEF" w:rsidRPr="00711C91">
        <w:t>1</w:t>
      </w:r>
      <w:r w:rsidR="00702808" w:rsidRPr="00711C91">
        <w:t xml:space="preserve"> </w:t>
      </w:r>
      <w:r w:rsidR="006C3FB6" w:rsidRPr="00711C91">
        <w:t xml:space="preserve">stillbirths were </w:t>
      </w:r>
      <w:r w:rsidR="00334FB0" w:rsidRPr="00711C91">
        <w:t>recorded</w:t>
      </w:r>
      <w:r w:rsidR="00E51FEF" w:rsidRPr="00711C91">
        <w:t xml:space="preserve">; </w:t>
      </w:r>
      <w:r w:rsidR="0013194A" w:rsidRPr="00711C91">
        <w:t xml:space="preserve">Tanzania </w:t>
      </w:r>
      <w:r w:rsidR="0072516A" w:rsidRPr="0009428D">
        <w:t>r</w:t>
      </w:r>
      <w:r w:rsidR="00711C91" w:rsidRPr="0009428D">
        <w:t>ate</w:t>
      </w:r>
      <w:r w:rsidR="0072516A" w:rsidRPr="0009428D">
        <w:t xml:space="preserve"> </w:t>
      </w:r>
      <w:r w:rsidR="00E51FEF" w:rsidRPr="0009428D">
        <w:t xml:space="preserve">16%, </w:t>
      </w:r>
      <w:r w:rsidR="0013194A" w:rsidRPr="0009428D">
        <w:t xml:space="preserve">Zambia </w:t>
      </w:r>
      <w:r w:rsidR="00E51FEF" w:rsidRPr="0009428D">
        <w:t>10%</w:t>
      </w:r>
      <w:r w:rsidR="00334FB0" w:rsidRPr="0009428D">
        <w:t xml:space="preserve">, </w:t>
      </w:r>
      <w:r w:rsidR="00F4195E" w:rsidRPr="0009428D">
        <w:t>higher than previous</w:t>
      </w:r>
      <w:r w:rsidR="00E51FEF" w:rsidRPr="0009428D">
        <w:t xml:space="preserve"> country</w:t>
      </w:r>
      <w:r w:rsidR="00F4195E" w:rsidRPr="0009428D">
        <w:t xml:space="preserve"> </w:t>
      </w:r>
      <w:r w:rsidR="00334FB0" w:rsidRPr="0009428D">
        <w:t>estimate</w:t>
      </w:r>
      <w:r w:rsidR="00E51FEF" w:rsidRPr="0009428D">
        <w:t>s of 2.24% and 2.09%</w:t>
      </w:r>
      <w:r w:rsidR="00100D79" w:rsidRPr="0009428D">
        <w:t>, respectively</w:t>
      </w:r>
      <w:r w:rsidR="00F4195E" w:rsidRPr="0009428D">
        <w:t xml:space="preserve">. </w:t>
      </w:r>
      <w:r w:rsidR="00406BE9" w:rsidRPr="0009428D">
        <w:t xml:space="preserve">Women </w:t>
      </w:r>
      <w:r w:rsidR="00896143" w:rsidRPr="0009428D">
        <w:t xml:space="preserve">in both countries </w:t>
      </w:r>
      <w:r w:rsidR="00FA6724" w:rsidRPr="0009428D">
        <w:t xml:space="preserve">who reported a previous </w:t>
      </w:r>
      <w:r w:rsidR="00406BE9" w:rsidRPr="0009428D">
        <w:t>stillbirth were more likely to have stillbirth</w:t>
      </w:r>
      <w:r w:rsidR="00474517" w:rsidRPr="0009428D">
        <w:t xml:space="preserve"> </w:t>
      </w:r>
      <w:r w:rsidR="002F4287" w:rsidRPr="0009428D">
        <w:t>(RR (95% CI): 1.86 (1.23 – 2.81))</w:t>
      </w:r>
      <w:r w:rsidR="00406BE9" w:rsidRPr="0009428D">
        <w:t>.</w:t>
      </w:r>
      <w:r w:rsidR="00F4195E" w:rsidRPr="0009428D">
        <w:t xml:space="preserve"> </w:t>
      </w:r>
      <w:r w:rsidR="00474517" w:rsidRPr="0009428D">
        <w:t>C</w:t>
      </w:r>
      <w:r w:rsidR="00F4195E" w:rsidRPr="0009428D">
        <w:t>ause</w:t>
      </w:r>
      <w:r w:rsidR="00F4195E">
        <w:t xml:space="preserve"> of death was unexplained in </w:t>
      </w:r>
      <w:r w:rsidR="001377BD">
        <w:t>2</w:t>
      </w:r>
      <w:r w:rsidR="00E51FEF">
        <w:t>8</w:t>
      </w:r>
      <w:r w:rsidR="001377BD">
        <w:t>%</w:t>
      </w:r>
      <w:r w:rsidR="00CA5050">
        <w:t xml:space="preserve"> of cases</w:t>
      </w:r>
      <w:r w:rsidR="00F4195E">
        <w:t xml:space="preserve">. </w:t>
      </w:r>
      <w:r w:rsidR="009F2BF1">
        <w:t xml:space="preserve"> </w:t>
      </w:r>
    </w:p>
    <w:p w14:paraId="2A1871EA" w14:textId="0907EA3A" w:rsidR="00312B9F" w:rsidRDefault="00312B9F" w:rsidP="006E7994">
      <w:pPr>
        <w:spacing w:line="480" w:lineRule="auto"/>
        <w:jc w:val="both"/>
      </w:pPr>
      <w:r>
        <w:t xml:space="preserve">Qualitative findings indicated that not knowing what caused the baby to be stillborn prevented women from grieving. This was compounded by poor communication </w:t>
      </w:r>
      <w:r w:rsidR="00685922">
        <w:t xml:space="preserve">skills </w:t>
      </w:r>
      <w:r w:rsidR="002B1A6B">
        <w:t xml:space="preserve">of </w:t>
      </w:r>
      <w:r>
        <w:t xml:space="preserve">health professionals who </w:t>
      </w:r>
      <w:r w:rsidRPr="00124CF0">
        <w:t>display</w:t>
      </w:r>
      <w:r>
        <w:t>ed</w:t>
      </w:r>
      <w:r w:rsidRPr="00124CF0">
        <w:t xml:space="preserve"> little empathy and skill </w:t>
      </w:r>
      <w:r w:rsidR="00685922">
        <w:t>when</w:t>
      </w:r>
      <w:r w:rsidRPr="00124CF0">
        <w:t xml:space="preserve"> </w:t>
      </w:r>
      <w:r w:rsidR="007C2CC9">
        <w:t>counselling</w:t>
      </w:r>
      <w:r>
        <w:t xml:space="preserve"> </w:t>
      </w:r>
      <w:r w:rsidR="00E92798">
        <w:t xml:space="preserve">bereaved </w:t>
      </w:r>
      <w:r w:rsidR="00685922">
        <w:t>families</w:t>
      </w:r>
      <w:r w:rsidR="002B1A6B">
        <w:t>.</w:t>
      </w:r>
    </w:p>
    <w:p w14:paraId="61809D43" w14:textId="69B91C37" w:rsidR="003D64EC" w:rsidRDefault="00F4195E" w:rsidP="006E7994">
      <w:pPr>
        <w:spacing w:line="480" w:lineRule="auto"/>
        <w:jc w:val="both"/>
      </w:pPr>
      <w:r w:rsidRPr="00F4195E">
        <w:rPr>
          <w:b/>
        </w:rPr>
        <w:t xml:space="preserve">Conclusion: </w:t>
      </w:r>
      <w:r w:rsidR="00A524F3">
        <w:rPr>
          <w:bCs/>
        </w:rPr>
        <w:t>S</w:t>
      </w:r>
      <w:r w:rsidR="00FA6724">
        <w:rPr>
          <w:bCs/>
        </w:rPr>
        <w:t xml:space="preserve">tillbirth </w:t>
      </w:r>
      <w:r w:rsidR="00A524F3">
        <w:rPr>
          <w:bCs/>
        </w:rPr>
        <w:t xml:space="preserve">risk </w:t>
      </w:r>
      <w:r w:rsidR="00FA6724">
        <w:rPr>
          <w:bCs/>
        </w:rPr>
        <w:t xml:space="preserve">in both facilities was far higher </w:t>
      </w:r>
      <w:r w:rsidR="00F53260">
        <w:rPr>
          <w:bCs/>
        </w:rPr>
        <w:t xml:space="preserve">than </w:t>
      </w:r>
      <w:r w:rsidR="00A524F3">
        <w:rPr>
          <w:bCs/>
        </w:rPr>
        <w:t>national data</w:t>
      </w:r>
      <w:r w:rsidR="00F53260">
        <w:rPr>
          <w:bCs/>
        </w:rPr>
        <w:t xml:space="preserve">, </w:t>
      </w:r>
      <w:r w:rsidR="00A524F3">
        <w:rPr>
          <w:bCs/>
        </w:rPr>
        <w:t xml:space="preserve">with </w:t>
      </w:r>
      <w:r w:rsidR="00F53260">
        <w:rPr>
          <w:bCs/>
        </w:rPr>
        <w:t>women reporting a previous stillbirth</w:t>
      </w:r>
      <w:r w:rsidR="00A524F3">
        <w:rPr>
          <w:bCs/>
        </w:rPr>
        <w:t xml:space="preserve"> at higher risk</w:t>
      </w:r>
      <w:r w:rsidR="00124CF0">
        <w:t xml:space="preserve">. </w:t>
      </w:r>
      <w:r w:rsidR="003D64EC">
        <w:t>W</w:t>
      </w:r>
      <w:r w:rsidR="005C7EC2">
        <w:t xml:space="preserve">omen want to know the cause of </w:t>
      </w:r>
      <w:r w:rsidR="00685922">
        <w:t>stillbirth</w:t>
      </w:r>
      <w:r w:rsidR="005C7EC2">
        <w:t xml:space="preserve"> and exploration of appropriate investigations in this setting</w:t>
      </w:r>
      <w:r w:rsidR="00124CF0">
        <w:t xml:space="preserve"> is required</w:t>
      </w:r>
      <w:r w:rsidR="005C7EC2">
        <w:t>.</w:t>
      </w:r>
      <w:r w:rsidR="00124CF0">
        <w:t xml:space="preserve"> </w:t>
      </w:r>
      <w:r w:rsidR="00CA5050" w:rsidRPr="00CA5050">
        <w:t>Providing health professionals with support and ongoing training is key to improving the experiences of women</w:t>
      </w:r>
      <w:r w:rsidR="00CA5050">
        <w:t xml:space="preserve"> </w:t>
      </w:r>
      <w:r w:rsidR="00111CA3">
        <w:t>and future care</w:t>
      </w:r>
      <w:r w:rsidR="00124CF0">
        <w:t>.</w:t>
      </w:r>
    </w:p>
    <w:p w14:paraId="6BE85A0E" w14:textId="519E7B71" w:rsidR="003D64EC" w:rsidRDefault="003D64EC" w:rsidP="006E7994">
      <w:pPr>
        <w:spacing w:line="480" w:lineRule="auto"/>
        <w:jc w:val="both"/>
      </w:pPr>
      <w:r w:rsidRPr="00E51FEF">
        <w:rPr>
          <w:b/>
          <w:bCs/>
        </w:rPr>
        <w:t>Funding:</w:t>
      </w:r>
      <w:r w:rsidRPr="003D64EC">
        <w:t xml:space="preserve"> National Institute for Health Research</w:t>
      </w:r>
      <w:r w:rsidR="00E51FEF">
        <w:t>.</w:t>
      </w:r>
      <w:r w:rsidRPr="003D64EC">
        <w:t xml:space="preserve"> </w:t>
      </w:r>
    </w:p>
    <w:p w14:paraId="47F28274" w14:textId="4D03BD0A" w:rsidR="00F10071" w:rsidRPr="0009428D" w:rsidRDefault="00F10071" w:rsidP="006E7994">
      <w:pPr>
        <w:spacing w:line="480" w:lineRule="auto"/>
        <w:jc w:val="both"/>
      </w:pPr>
      <w:r w:rsidRPr="0009428D">
        <w:rPr>
          <w:b/>
          <w:bCs/>
        </w:rPr>
        <w:lastRenderedPageBreak/>
        <w:t xml:space="preserve">Keywords: </w:t>
      </w:r>
      <w:r w:rsidRPr="0009428D">
        <w:t>Stillbirth, autopsy, communication, grief</w:t>
      </w:r>
      <w:r w:rsidR="003B1FD1" w:rsidRPr="0009428D">
        <w:t>, sub-Saharan Africa, mixed-methods</w:t>
      </w:r>
      <w:r w:rsidRPr="0009428D">
        <w:t>.</w:t>
      </w:r>
    </w:p>
    <w:p w14:paraId="458FE93B" w14:textId="07E5A665" w:rsidR="00F10071" w:rsidRPr="0009428D" w:rsidRDefault="00F10071" w:rsidP="006E7994">
      <w:pPr>
        <w:spacing w:line="480" w:lineRule="auto"/>
        <w:jc w:val="both"/>
      </w:pPr>
      <w:r w:rsidRPr="0009428D">
        <w:rPr>
          <w:b/>
          <w:bCs/>
        </w:rPr>
        <w:t>Tweetable abstract:</w:t>
      </w:r>
      <w:r w:rsidRPr="0009428D">
        <w:t xml:space="preserve"> </w:t>
      </w:r>
      <w:r w:rsidR="003B1FD1" w:rsidRPr="0009428D">
        <w:t>Stillbirth</w:t>
      </w:r>
      <w:r w:rsidR="002B6F7B" w:rsidRPr="0009428D">
        <w:t>s</w:t>
      </w:r>
      <w:r w:rsidR="003B1FD1" w:rsidRPr="0009428D">
        <w:t xml:space="preserve"> receive little</w:t>
      </w:r>
      <w:r w:rsidR="002B6F7B" w:rsidRPr="0009428D">
        <w:t xml:space="preserve"> investigation </w:t>
      </w:r>
      <w:r w:rsidR="003B1FD1" w:rsidRPr="0009428D">
        <w:t xml:space="preserve">and </w:t>
      </w:r>
      <w:r w:rsidR="002B6F7B" w:rsidRPr="0009428D">
        <w:t xml:space="preserve">are </w:t>
      </w:r>
      <w:r w:rsidR="003B1FD1" w:rsidRPr="0009428D">
        <w:t>often unexplained</w:t>
      </w:r>
      <w:r w:rsidR="002B6F7B" w:rsidRPr="0009428D">
        <w:t>. Communication with women about the death of their baby is limited</w:t>
      </w:r>
      <w:r w:rsidR="003B1FD1" w:rsidRPr="0009428D">
        <w:t>.</w:t>
      </w:r>
    </w:p>
    <w:p w14:paraId="44538520" w14:textId="50BBEE9F" w:rsidR="006C7FCB" w:rsidRPr="00204BCC" w:rsidRDefault="0015761F" w:rsidP="006E7994">
      <w:pPr>
        <w:spacing w:line="480" w:lineRule="auto"/>
        <w:jc w:val="both"/>
        <w:rPr>
          <w:b/>
        </w:rPr>
      </w:pPr>
      <w:r w:rsidRPr="0009428D">
        <w:rPr>
          <w:b/>
        </w:rPr>
        <w:t>Introduction</w:t>
      </w:r>
    </w:p>
    <w:p w14:paraId="525A3BC4" w14:textId="4D1B5D84" w:rsidR="00134BCE" w:rsidRDefault="00E70D9A" w:rsidP="006E7994">
      <w:pPr>
        <w:spacing w:line="480" w:lineRule="auto"/>
        <w:jc w:val="both"/>
      </w:pPr>
      <w:r w:rsidRPr="00E70D9A">
        <w:t xml:space="preserve">Stillbirth remains a major </w:t>
      </w:r>
      <w:r w:rsidR="00AD6860">
        <w:t xml:space="preserve">public health </w:t>
      </w:r>
      <w:r w:rsidRPr="00E70D9A">
        <w:t>problem in low- and middle-income countries (LMICs) with 98% of the 2.6 million estimated stillbirths occurring in these settings. Over half of stillbirths occur during labour and birth and are mostly preventable</w:t>
      </w:r>
      <w:r w:rsidR="00C273D3">
        <w:rPr>
          <w:vertAlign w:val="superscript"/>
        </w:rPr>
        <w:t>1</w:t>
      </w:r>
      <w:r w:rsidRPr="00E70D9A">
        <w:t xml:space="preserve">. </w:t>
      </w:r>
      <w:r>
        <w:t xml:space="preserve">Failure to prioritise stillbirth globally has meant that little has been done to reduce this burden, with many </w:t>
      </w:r>
      <w:r w:rsidRPr="00E70D9A">
        <w:t>LMICs lack</w:t>
      </w:r>
      <w:r>
        <w:t>ing the</w:t>
      </w:r>
      <w:r w:rsidRPr="00E70D9A">
        <w:t xml:space="preserve"> resources or poli</w:t>
      </w:r>
      <w:r>
        <w:t>tical will to</w:t>
      </w:r>
      <w:r w:rsidR="00134BCE">
        <w:t xml:space="preserve"> address the issue.</w:t>
      </w:r>
      <w:r w:rsidR="0085490D">
        <w:t xml:space="preserve"> </w:t>
      </w:r>
      <w:r w:rsidR="00204BCC">
        <w:t>Although the number of stillbirths has declined by 19.4% i</w:t>
      </w:r>
      <w:r w:rsidR="0085490D">
        <w:t>n the period 2000 to 2015</w:t>
      </w:r>
      <w:r w:rsidR="00204BCC">
        <w:t>, this</w:t>
      </w:r>
      <w:r w:rsidR="0085490D" w:rsidRPr="0085490D">
        <w:t xml:space="preserve"> represent</w:t>
      </w:r>
      <w:r w:rsidR="00204BCC">
        <w:t>s</w:t>
      </w:r>
      <w:r w:rsidR="0085490D" w:rsidRPr="0085490D">
        <w:t xml:space="preserve"> an </w:t>
      </w:r>
      <w:r w:rsidR="00D13E9E">
        <w:t xml:space="preserve">average </w:t>
      </w:r>
      <w:r w:rsidR="0085490D" w:rsidRPr="0085490D">
        <w:t>annual rate of reduction (ARR) of 2%</w:t>
      </w:r>
      <w:r w:rsidR="0085490D">
        <w:t xml:space="preserve">; which is less than both </w:t>
      </w:r>
      <w:r w:rsidR="007E5DC3">
        <w:t xml:space="preserve">the </w:t>
      </w:r>
      <w:r w:rsidR="0085490D">
        <w:t>maternal mortality (3%) and under</w:t>
      </w:r>
      <w:r w:rsidR="001A2FDC">
        <w:t>-</w:t>
      </w:r>
      <w:r w:rsidR="0085490D">
        <w:t>five mortality rates (5.5%)</w:t>
      </w:r>
      <w:r w:rsidR="00C273D3">
        <w:rPr>
          <w:vertAlign w:val="superscript"/>
        </w:rPr>
        <w:t>1</w:t>
      </w:r>
      <w:r w:rsidR="0085490D" w:rsidRPr="0085490D">
        <w:t>.</w:t>
      </w:r>
    </w:p>
    <w:p w14:paraId="31F8480C" w14:textId="2960B976" w:rsidR="00C16F73" w:rsidRDefault="005542FA" w:rsidP="006E7994">
      <w:pPr>
        <w:spacing w:line="480" w:lineRule="auto"/>
        <w:jc w:val="both"/>
      </w:pPr>
      <w:r w:rsidRPr="005542FA">
        <w:t xml:space="preserve">Classification and reporting of </w:t>
      </w:r>
      <w:r>
        <w:t>stillbirth is limited in many LMICs, with differing definitions and inadequate reporting systems</w:t>
      </w:r>
      <w:r w:rsidR="00C273D3">
        <w:rPr>
          <w:vertAlign w:val="superscript"/>
        </w:rPr>
        <w:t>2,3</w:t>
      </w:r>
      <w:r>
        <w:t>.</w:t>
      </w:r>
      <w:r w:rsidRPr="005542FA">
        <w:t xml:space="preserve"> </w:t>
      </w:r>
      <w:r w:rsidR="00134BCE">
        <w:t>S</w:t>
      </w:r>
      <w:r w:rsidR="00E70D9A">
        <w:t xml:space="preserve">tillbirths </w:t>
      </w:r>
      <w:r w:rsidR="00CA063B">
        <w:t xml:space="preserve">are </w:t>
      </w:r>
      <w:r w:rsidR="00E70D9A">
        <w:t xml:space="preserve">underreported, particularly in rural areas and where women </w:t>
      </w:r>
      <w:r w:rsidR="00D13E9E">
        <w:t>may</w:t>
      </w:r>
      <w:r w:rsidR="00E70D9A">
        <w:t xml:space="preserve"> not attend facility</w:t>
      </w:r>
      <w:r w:rsidR="00FD1804">
        <w:t>-</w:t>
      </w:r>
      <w:r w:rsidR="00E70D9A">
        <w:t>based care</w:t>
      </w:r>
      <w:r w:rsidR="00C273D3">
        <w:rPr>
          <w:vertAlign w:val="superscript"/>
        </w:rPr>
        <w:t>4</w:t>
      </w:r>
      <w:r w:rsidR="00134BCE">
        <w:t xml:space="preserve">. </w:t>
      </w:r>
      <w:r w:rsidR="0015761F">
        <w:t>T</w:t>
      </w:r>
      <w:r w:rsidR="00CA063B">
        <w:t xml:space="preserve">here is </w:t>
      </w:r>
      <w:r w:rsidR="0015761F">
        <w:t xml:space="preserve">also </w:t>
      </w:r>
      <w:r w:rsidR="00CA063B">
        <w:t>considerable stigma associated with stillbirth in low-income s</w:t>
      </w:r>
      <w:r w:rsidR="00204BCC">
        <w:t>ettings and the occurrence is</w:t>
      </w:r>
      <w:r w:rsidR="00CA063B">
        <w:t xml:space="preserve"> often hidden from </w:t>
      </w:r>
      <w:r w:rsidR="0008325A">
        <w:t>local communities</w:t>
      </w:r>
      <w:r w:rsidR="00C273D3">
        <w:rPr>
          <w:vertAlign w:val="superscript"/>
        </w:rPr>
        <w:t>5</w:t>
      </w:r>
      <w:r>
        <w:t>, impacting on recording of deaths</w:t>
      </w:r>
      <w:r w:rsidR="00CA063B">
        <w:t xml:space="preserve">. </w:t>
      </w:r>
      <w:r w:rsidR="00134BCE">
        <w:t>Hence</w:t>
      </w:r>
      <w:r w:rsidR="00204BCC">
        <w:t>,</w:t>
      </w:r>
      <w:r w:rsidR="00134BCE">
        <w:t xml:space="preserve"> the</w:t>
      </w:r>
      <w:r w:rsidR="00CA063B">
        <w:t xml:space="preserve"> stillbirth</w:t>
      </w:r>
      <w:r w:rsidR="00134BCE">
        <w:t xml:space="preserve"> rate is likely to be higher than that reported.  </w:t>
      </w:r>
    </w:p>
    <w:p w14:paraId="590BA2DB" w14:textId="5D176944" w:rsidR="00C46B66" w:rsidRDefault="00C46B66" w:rsidP="006E7994">
      <w:pPr>
        <w:spacing w:line="480" w:lineRule="auto"/>
        <w:jc w:val="both"/>
      </w:pPr>
      <w:r>
        <w:t xml:space="preserve">Women who suffer stillbirth </w:t>
      </w:r>
      <w:r w:rsidR="00712841">
        <w:t xml:space="preserve">may </w:t>
      </w:r>
      <w:r w:rsidR="00892D70">
        <w:t>face health issues</w:t>
      </w:r>
      <w:r w:rsidR="00CB245B">
        <w:t xml:space="preserve"> </w:t>
      </w:r>
      <w:r w:rsidR="00892D70">
        <w:t xml:space="preserve">and </w:t>
      </w:r>
      <w:r w:rsidR="00712841">
        <w:t>require specialised care in future pregnancies.</w:t>
      </w:r>
      <w:r>
        <w:t xml:space="preserve"> </w:t>
      </w:r>
      <w:r w:rsidR="00DB64AB">
        <w:t xml:space="preserve">Whilst there is considerable evidence around the impact of stillbirth in </w:t>
      </w:r>
      <w:r w:rsidR="00D23000">
        <w:t>high-income</w:t>
      </w:r>
      <w:r w:rsidR="00DB64AB">
        <w:t xml:space="preserve"> settings, there is limited evidence from LMICs</w:t>
      </w:r>
      <w:r w:rsidR="001F0847">
        <w:rPr>
          <w:vertAlign w:val="superscript"/>
        </w:rPr>
        <w:t>6</w:t>
      </w:r>
      <w:r w:rsidR="00DB64AB">
        <w:t xml:space="preserve">. Furthermore, the </w:t>
      </w:r>
      <w:r>
        <w:t>experiences and understanding of stillbirth from the perspective of partners in LMICs</w:t>
      </w:r>
      <w:r w:rsidR="00DB64AB">
        <w:t xml:space="preserve"> requires exploration, particularly given the stigma women face in the community</w:t>
      </w:r>
      <w:r w:rsidR="00B029BF">
        <w:t>.</w:t>
      </w:r>
    </w:p>
    <w:p w14:paraId="101003DA" w14:textId="698A8B97" w:rsidR="006C7FCB" w:rsidRDefault="00332102" w:rsidP="006E7994">
      <w:pPr>
        <w:spacing w:line="480" w:lineRule="auto"/>
        <w:jc w:val="both"/>
      </w:pPr>
      <w:r>
        <w:t>T</w:t>
      </w:r>
      <w:r w:rsidR="00201E76">
        <w:t xml:space="preserve">he slow reduction in stillbirths in LMICs </w:t>
      </w:r>
      <w:r>
        <w:t xml:space="preserve">makes </w:t>
      </w:r>
      <w:r w:rsidR="00201E76">
        <w:t xml:space="preserve">it important to determine both </w:t>
      </w:r>
      <w:r w:rsidR="005542FA">
        <w:t>a</w:t>
      </w:r>
      <w:r w:rsidR="00201E76">
        <w:t>ccura</w:t>
      </w:r>
      <w:r w:rsidR="005542FA">
        <w:t>cy in</w:t>
      </w:r>
      <w:r w:rsidR="00201E76">
        <w:t xml:space="preserve"> </w:t>
      </w:r>
      <w:r w:rsidR="005542FA">
        <w:t>numbers</w:t>
      </w:r>
      <w:r w:rsidR="00201E76">
        <w:t xml:space="preserve"> and the causes</w:t>
      </w:r>
      <w:r w:rsidR="005542FA">
        <w:t xml:space="preserve"> of </w:t>
      </w:r>
      <w:r w:rsidR="00385FEA">
        <w:t xml:space="preserve">death </w:t>
      </w:r>
      <w:r w:rsidR="00201E76">
        <w:t>in order to tackle this problem</w:t>
      </w:r>
      <w:r w:rsidR="006C7FCB">
        <w:t>.</w:t>
      </w:r>
      <w:r w:rsidR="005542FA" w:rsidRPr="005542FA">
        <w:t xml:space="preserve"> </w:t>
      </w:r>
      <w:r>
        <w:t xml:space="preserve">Few papers report causes of stillbirth in detail </w:t>
      </w:r>
      <w:r>
        <w:lastRenderedPageBreak/>
        <w:t>and note the difficulties in reviewing cause of death</w:t>
      </w:r>
      <w:r w:rsidR="001F0847">
        <w:rPr>
          <w:vertAlign w:val="superscript"/>
        </w:rPr>
        <w:t>7</w:t>
      </w:r>
      <w:r w:rsidR="005360FE">
        <w:t>.</w:t>
      </w:r>
      <w:r>
        <w:t xml:space="preserve"> </w:t>
      </w:r>
      <w:r w:rsidR="005542FA" w:rsidRPr="005542FA">
        <w:t xml:space="preserve">Availability of post-mortem is extremely limited, and where available, costs are often prohibitive to individuals.  </w:t>
      </w:r>
    </w:p>
    <w:p w14:paraId="29F66E75" w14:textId="1B744231" w:rsidR="005542FA" w:rsidRDefault="00892138" w:rsidP="006E7994">
      <w:pPr>
        <w:spacing w:line="480" w:lineRule="auto"/>
        <w:jc w:val="both"/>
      </w:pPr>
      <w:r>
        <w:t xml:space="preserve">The aim of this mixed-methods study was to understand the complexities surrounding </w:t>
      </w:r>
      <w:r w:rsidR="005360FE">
        <w:t xml:space="preserve">unexplained stillbirths </w:t>
      </w:r>
      <w:r>
        <w:t xml:space="preserve">to enable the development and implementation of interventions to </w:t>
      </w:r>
      <w:r w:rsidR="005360FE">
        <w:t xml:space="preserve">support appropriate care for women </w:t>
      </w:r>
      <w:r>
        <w:t xml:space="preserve">in Tanzania and Zambia. </w:t>
      </w:r>
      <w:r w:rsidR="001E625D">
        <w:t>In order to determine the extent and causes of stillbirth</w:t>
      </w:r>
      <w:r w:rsidR="00F27FBF">
        <w:t>,</w:t>
      </w:r>
      <w:r w:rsidR="001E625D">
        <w:t xml:space="preserve"> we </w:t>
      </w:r>
      <w:r w:rsidR="005542FA" w:rsidRPr="005542FA">
        <w:t>collected data from two countrie</w:t>
      </w:r>
      <w:r w:rsidR="001E625D">
        <w:t>s with high stillbirth rates;</w:t>
      </w:r>
      <w:r w:rsidR="005542FA" w:rsidRPr="005542FA">
        <w:t xml:space="preserve"> Tanzania</w:t>
      </w:r>
      <w:r w:rsidR="00346F71">
        <w:t xml:space="preserve"> (</w:t>
      </w:r>
      <w:r w:rsidR="00346F71" w:rsidRPr="00346F71">
        <w:t xml:space="preserve">22.4 </w:t>
      </w:r>
      <w:r w:rsidR="00346F71">
        <w:t xml:space="preserve">per 1000 </w:t>
      </w:r>
      <w:r w:rsidR="00847E4A">
        <w:t>total</w:t>
      </w:r>
      <w:r w:rsidR="008C4F26">
        <w:t xml:space="preserve"> </w:t>
      </w:r>
      <w:r w:rsidR="00346F71">
        <w:t>births)</w:t>
      </w:r>
      <w:r w:rsidR="005542FA" w:rsidRPr="005542FA">
        <w:t xml:space="preserve"> and Zambia (</w:t>
      </w:r>
      <w:r w:rsidR="00346F71">
        <w:t xml:space="preserve">20.9 </w:t>
      </w:r>
      <w:r w:rsidR="005542FA" w:rsidRPr="005542FA">
        <w:t xml:space="preserve">per 1000 </w:t>
      </w:r>
      <w:r w:rsidR="00847E4A">
        <w:t>total</w:t>
      </w:r>
      <w:r w:rsidR="005542FA" w:rsidRPr="005542FA">
        <w:t xml:space="preserve"> births)</w:t>
      </w:r>
      <w:r w:rsidR="001F0847">
        <w:rPr>
          <w:vertAlign w:val="superscript"/>
        </w:rPr>
        <w:t>8</w:t>
      </w:r>
      <w:r w:rsidR="00346F71">
        <w:t>,</w:t>
      </w:r>
      <w:r w:rsidR="001E625D">
        <w:rPr>
          <w:color w:val="767171" w:themeColor="background2" w:themeShade="80"/>
        </w:rPr>
        <w:t xml:space="preserve"> </w:t>
      </w:r>
      <w:r w:rsidR="001E625D" w:rsidRPr="001E625D">
        <w:t xml:space="preserve">as part of a larger programme of work investigating prevention and management of stillbirth in sub-Saharan Africa. </w:t>
      </w:r>
    </w:p>
    <w:p w14:paraId="35507897" w14:textId="77777777" w:rsidR="00D615A2" w:rsidRDefault="00D615A2" w:rsidP="006E7994">
      <w:pPr>
        <w:spacing w:line="480" w:lineRule="auto"/>
        <w:jc w:val="both"/>
      </w:pPr>
    </w:p>
    <w:p w14:paraId="34971D60" w14:textId="14316D2C" w:rsidR="006C7FCB" w:rsidRPr="009C0B8E" w:rsidRDefault="006C7FCB" w:rsidP="006E7994">
      <w:pPr>
        <w:spacing w:line="480" w:lineRule="auto"/>
        <w:jc w:val="both"/>
        <w:rPr>
          <w:b/>
        </w:rPr>
      </w:pPr>
      <w:r w:rsidRPr="009C0B8E">
        <w:rPr>
          <w:b/>
        </w:rPr>
        <w:t>Methods</w:t>
      </w:r>
    </w:p>
    <w:p w14:paraId="04889EAB" w14:textId="2BE30DFF" w:rsidR="009E390C" w:rsidRDefault="002F2800" w:rsidP="006E7994">
      <w:pPr>
        <w:spacing w:line="480" w:lineRule="auto"/>
        <w:jc w:val="both"/>
      </w:pPr>
      <w:r>
        <w:t xml:space="preserve">A </w:t>
      </w:r>
      <w:r w:rsidRPr="002F2800">
        <w:t>convergent parallel</w:t>
      </w:r>
      <w:r w:rsidR="00ED10D2">
        <w:t>-</w:t>
      </w:r>
      <w:r w:rsidRPr="002F2800">
        <w:t xml:space="preserve">design </w:t>
      </w:r>
      <w:r>
        <w:t>mixed-</w:t>
      </w:r>
      <w:r w:rsidR="00B864B0">
        <w:t>methods study was undertaken</w:t>
      </w:r>
      <w:r w:rsidR="00127BBC">
        <w:t xml:space="preserve">, </w:t>
      </w:r>
      <w:r w:rsidR="001D7856" w:rsidRPr="0009428D">
        <w:t xml:space="preserve">to </w:t>
      </w:r>
      <w:r w:rsidR="00127BBC" w:rsidRPr="0009428D">
        <w:t>enable a comprehensive understanding of the topic through the interpretation of different but complementary data.</w:t>
      </w:r>
      <w:r w:rsidR="00127BBC">
        <w:t xml:space="preserve"> </w:t>
      </w:r>
      <w:r w:rsidR="00B864B0">
        <w:t xml:space="preserve"> </w:t>
      </w:r>
      <w:r w:rsidR="0007437C" w:rsidRPr="00127BBC">
        <w:t>Quantitative data collection took place in a tertiary f</w:t>
      </w:r>
      <w:r w:rsidR="00C60779" w:rsidRPr="00127BBC">
        <w:t>acilit</w:t>
      </w:r>
      <w:r w:rsidR="0007437C" w:rsidRPr="00127BBC">
        <w:t>y in</w:t>
      </w:r>
      <w:r w:rsidR="0007437C">
        <w:t xml:space="preserve"> </w:t>
      </w:r>
      <w:r w:rsidR="00127BBC" w:rsidRPr="001D7856">
        <w:t>Mansa region, Zambia and Lake Zone, Tanzania,</w:t>
      </w:r>
      <w:r w:rsidR="00C60779">
        <w:t xml:space="preserve"> provid</w:t>
      </w:r>
      <w:r w:rsidR="0007437C">
        <w:t>ing</w:t>
      </w:r>
      <w:r w:rsidR="00C60779">
        <w:t xml:space="preserve"> care for local women, women previously identified as high risk from pregnancy complications and women transferred from primary and secondary facilities with complications in labour</w:t>
      </w:r>
      <w:r w:rsidR="00C60779" w:rsidRPr="0009428D">
        <w:t>.</w:t>
      </w:r>
      <w:r w:rsidR="0007437C" w:rsidRPr="0009428D">
        <w:t xml:space="preserve"> Qualitative data </w:t>
      </w:r>
      <w:r w:rsidR="00B77383" w:rsidRPr="0009428D">
        <w:t xml:space="preserve">recruitment took place in </w:t>
      </w:r>
      <w:r w:rsidR="00100F38" w:rsidRPr="0009428D">
        <w:t xml:space="preserve">antenatal and postnatal clinics in </w:t>
      </w:r>
      <w:r w:rsidR="0007437C" w:rsidRPr="0009428D">
        <w:t>the tertiary facility in each region, along with a primary and secondary facilit</w:t>
      </w:r>
      <w:r w:rsidR="00312911" w:rsidRPr="0009428D">
        <w:t>ies and the community</w:t>
      </w:r>
      <w:r w:rsidR="0007437C" w:rsidRPr="0009428D">
        <w:t xml:space="preserve">. </w:t>
      </w:r>
      <w:r w:rsidR="002F51AC" w:rsidRPr="0009428D">
        <w:t>Primary facilities included small local clinics providing basic care only</w:t>
      </w:r>
      <w:r w:rsidR="001D7856" w:rsidRPr="0009428D">
        <w:t xml:space="preserve"> for low-risk women</w:t>
      </w:r>
      <w:r w:rsidR="002F51AC" w:rsidRPr="0009428D">
        <w:t>. Secondary facilities provided a greater range of care during labour, b</w:t>
      </w:r>
      <w:r w:rsidR="001D7856" w:rsidRPr="0009428D">
        <w:t>ut women at high-risk or w</w:t>
      </w:r>
      <w:r w:rsidR="00312911" w:rsidRPr="0009428D">
        <w:t>i</w:t>
      </w:r>
      <w:r w:rsidR="001D7856" w:rsidRPr="0009428D">
        <w:t>th pregnancy complications required transfer to tertiary facilities.</w:t>
      </w:r>
      <w:r w:rsidR="00D916A7" w:rsidRPr="0009428D">
        <w:t xml:space="preserve"> </w:t>
      </w:r>
      <w:r w:rsidR="00937BF2" w:rsidRPr="0009428D">
        <w:t xml:space="preserve">Recruitment and data collection for both aspects of the study were completed by research assistants, trained and mentored by the UK and local research teams. The research assistants were all </w:t>
      </w:r>
      <w:r w:rsidR="00D916A7" w:rsidRPr="0009428D">
        <w:t>midwives (Zambia =2, Tanzania=3) w</w:t>
      </w:r>
      <w:r w:rsidR="00937BF2" w:rsidRPr="0009428D">
        <w:t>ith</w:t>
      </w:r>
      <w:r w:rsidR="00D916A7" w:rsidRPr="0009428D">
        <w:t xml:space="preserve"> experience in recruitment and data collection</w:t>
      </w:r>
      <w:r w:rsidR="00937BF2" w:rsidRPr="0009428D">
        <w:t>.</w:t>
      </w:r>
    </w:p>
    <w:p w14:paraId="75E19909" w14:textId="60903235" w:rsidR="009E390C" w:rsidRPr="006B037E" w:rsidRDefault="009E390C" w:rsidP="006E7994">
      <w:pPr>
        <w:spacing w:line="480" w:lineRule="auto"/>
        <w:jc w:val="both"/>
        <w:rPr>
          <w:iCs/>
        </w:rPr>
      </w:pPr>
      <w:r w:rsidRPr="009E390C">
        <w:rPr>
          <w:i/>
        </w:rPr>
        <w:t>Quantitative data collection and analysis</w:t>
      </w:r>
      <w:r w:rsidR="006B037E">
        <w:rPr>
          <w:i/>
        </w:rPr>
        <w:t xml:space="preserve"> </w:t>
      </w:r>
    </w:p>
    <w:p w14:paraId="56D280BF" w14:textId="1C6A07F2" w:rsidR="00532740" w:rsidRPr="0009428D" w:rsidRDefault="00B864B0" w:rsidP="00BC28C6">
      <w:pPr>
        <w:spacing w:line="480" w:lineRule="auto"/>
        <w:jc w:val="both"/>
      </w:pPr>
      <w:r>
        <w:lastRenderedPageBreak/>
        <w:t>Quantitative data</w:t>
      </w:r>
      <w:r w:rsidR="00E06D7B">
        <w:t xml:space="preserve">, </w:t>
      </w:r>
      <w:r w:rsidR="00E06D7B" w:rsidRPr="0009428D">
        <w:t xml:space="preserve">to determine extent and cause of </w:t>
      </w:r>
      <w:r w:rsidR="006249B5" w:rsidRPr="0009428D">
        <w:t>stillbirth in two regions</w:t>
      </w:r>
      <w:r w:rsidR="00E06D7B" w:rsidRPr="0009428D">
        <w:t>,</w:t>
      </w:r>
      <w:r w:rsidRPr="0009428D">
        <w:t xml:space="preserve"> w</w:t>
      </w:r>
      <w:r w:rsidR="00A071EB" w:rsidRPr="0009428D">
        <w:t>ere</w:t>
      </w:r>
      <w:r w:rsidRPr="0009428D">
        <w:t xml:space="preserve"> collected</w:t>
      </w:r>
      <w:r w:rsidR="00B159CF" w:rsidRPr="0009428D">
        <w:t xml:space="preserve"> </w:t>
      </w:r>
      <w:r w:rsidR="00AD7186" w:rsidRPr="0009428D">
        <w:t xml:space="preserve">via a </w:t>
      </w:r>
      <w:r w:rsidR="00532740" w:rsidRPr="0009428D">
        <w:t xml:space="preserve">retrospective </w:t>
      </w:r>
      <w:r w:rsidR="00AD7186" w:rsidRPr="0009428D">
        <w:t>consecutive case</w:t>
      </w:r>
      <w:r w:rsidR="00E92798" w:rsidRPr="0009428D">
        <w:t>-</w:t>
      </w:r>
      <w:r w:rsidR="00AD7186" w:rsidRPr="0009428D">
        <w:t>note review</w:t>
      </w:r>
      <w:r w:rsidR="00E06D7B" w:rsidRPr="0009428D">
        <w:t>, as part of a larger programme of work,</w:t>
      </w:r>
      <w:r w:rsidR="00AD7186" w:rsidRPr="0009428D">
        <w:t xml:space="preserve"> </w:t>
      </w:r>
      <w:r w:rsidR="00532740" w:rsidRPr="0009428D">
        <w:t xml:space="preserve">between July and September 2018 </w:t>
      </w:r>
      <w:r w:rsidR="00AD7186" w:rsidRPr="0009428D">
        <w:t xml:space="preserve">at the main tertiary facility in each region. </w:t>
      </w:r>
      <w:r w:rsidR="00BE4127" w:rsidRPr="0009428D">
        <w:t xml:space="preserve">As </w:t>
      </w:r>
      <w:r w:rsidR="00426211" w:rsidRPr="0009428D">
        <w:t xml:space="preserve">this was </w:t>
      </w:r>
      <w:r w:rsidR="00BE4127" w:rsidRPr="0009428D">
        <w:t>a retrospective review participant consent was not required</w:t>
      </w:r>
      <w:r w:rsidR="00417AAD" w:rsidRPr="0009428D">
        <w:t>,</w:t>
      </w:r>
      <w:r w:rsidR="00BE4127" w:rsidRPr="0009428D">
        <w:t xml:space="preserve"> as </w:t>
      </w:r>
      <w:r w:rsidR="008B54A9" w:rsidRPr="0009428D">
        <w:t>confirmed</w:t>
      </w:r>
      <w:r w:rsidR="00BE4127" w:rsidRPr="0009428D">
        <w:t xml:space="preserve"> by the ethics committees in each country.  </w:t>
      </w:r>
      <w:r w:rsidR="001A2FDC" w:rsidRPr="0009428D">
        <w:t xml:space="preserve">The </w:t>
      </w:r>
      <w:r w:rsidR="00281667" w:rsidRPr="0009428D">
        <w:t xml:space="preserve">target </w:t>
      </w:r>
      <w:r w:rsidR="001A2FDC" w:rsidRPr="0009428D">
        <w:t xml:space="preserve">sample size </w:t>
      </w:r>
      <w:r w:rsidR="00281667" w:rsidRPr="0009428D">
        <w:t xml:space="preserve">of 1000 case-notes in each country </w:t>
      </w:r>
      <w:r w:rsidR="001A2FDC" w:rsidRPr="0009428D">
        <w:t>was chosen to enable good precision of the estimation of the risk of intrapartum stillbirth in each country, and to enable predictive modelling of factors related to stillbirth to be performed (results to be presented elsewhere)</w:t>
      </w:r>
      <w:r w:rsidR="00306068" w:rsidRPr="0009428D">
        <w:t>.</w:t>
      </w:r>
      <w:r w:rsidR="00884C1A" w:rsidRPr="0009428D">
        <w:t xml:space="preserve"> </w:t>
      </w:r>
      <w:r w:rsidR="00BC28C6" w:rsidRPr="0009428D">
        <w:t xml:space="preserve">Data were collected from all women attending the participating facilities in the intrapartum period with a pregnancy of </w:t>
      </w:r>
      <w:r w:rsidR="00BC28C6" w:rsidRPr="0009428D">
        <w:rPr>
          <w:rFonts w:cstheme="minorHAnsi"/>
        </w:rPr>
        <w:t>≥</w:t>
      </w:r>
      <w:r w:rsidR="00BC28C6" w:rsidRPr="0009428D">
        <w:t xml:space="preserve">28 weeks gestation during the study duration. </w:t>
      </w:r>
      <w:r w:rsidR="00B42661" w:rsidRPr="0009428D">
        <w:t>For the purposes</w:t>
      </w:r>
      <w:r w:rsidR="00B42661" w:rsidRPr="00D615A2">
        <w:t xml:space="preserve"> of the research, we used the WHO definition of stillbirth as a baby born with no signs of life at or after 28 weeks' gestation</w:t>
      </w:r>
      <w:r w:rsidR="00B42661">
        <w:rPr>
          <w:vertAlign w:val="superscript"/>
        </w:rPr>
        <w:t>1</w:t>
      </w:r>
      <w:r w:rsidR="00CA5050">
        <w:t>.</w:t>
      </w:r>
      <w:r w:rsidR="00B42661">
        <w:t xml:space="preserve"> </w:t>
      </w:r>
      <w:r w:rsidR="00532740">
        <w:t xml:space="preserve">The case </w:t>
      </w:r>
      <w:r w:rsidR="00731015">
        <w:t xml:space="preserve">report </w:t>
      </w:r>
      <w:r w:rsidR="00532740">
        <w:t xml:space="preserve">form (CRF) was adapted from the </w:t>
      </w:r>
      <w:r w:rsidR="00532740" w:rsidRPr="00532740">
        <w:t>WHO ICD-PM audit form</w:t>
      </w:r>
      <w:r w:rsidR="001F0847">
        <w:rPr>
          <w:vertAlign w:val="superscript"/>
        </w:rPr>
        <w:t>10</w:t>
      </w:r>
      <w:r w:rsidR="00111608">
        <w:t>.</w:t>
      </w:r>
      <w:r w:rsidR="00532740">
        <w:t xml:space="preserve"> The form was reviewed and agreed by the stakeholder groups (UK and in-country) and </w:t>
      </w:r>
      <w:r w:rsidR="00532740" w:rsidRPr="00532740">
        <w:t xml:space="preserve">the local </w:t>
      </w:r>
      <w:r w:rsidR="00532740">
        <w:t>Patient and Public Involvement (</w:t>
      </w:r>
      <w:r w:rsidR="00532740" w:rsidRPr="00532740">
        <w:t>PPI</w:t>
      </w:r>
      <w:r w:rsidR="00532740">
        <w:t xml:space="preserve">) groups for applicability. Piloting of the CRF was undertaken </w:t>
      </w:r>
      <w:r w:rsidR="0069509D">
        <w:t>i</w:t>
      </w:r>
      <w:r w:rsidR="00532740">
        <w:t xml:space="preserve">n both countries </w:t>
      </w:r>
      <w:r w:rsidR="00E87856">
        <w:t>(n=</w:t>
      </w:r>
      <w:r w:rsidR="0069509D">
        <w:t>15</w:t>
      </w:r>
      <w:r w:rsidR="00E87856">
        <w:t xml:space="preserve">) prior to data collection. Data were entered into </w:t>
      </w:r>
      <w:r w:rsidR="00E92798">
        <w:t xml:space="preserve">a web-based software - Research Electronic Data Capture </w:t>
      </w:r>
      <w:r w:rsidR="00E92798">
        <w:rPr>
          <w:vertAlign w:val="superscript"/>
        </w:rPr>
        <w:t>11</w:t>
      </w:r>
      <w:r w:rsidR="0084281C">
        <w:t xml:space="preserve"> </w:t>
      </w:r>
      <w:r w:rsidR="00E87856">
        <w:t xml:space="preserve">by </w:t>
      </w:r>
      <w:r w:rsidR="00E87856" w:rsidRPr="00417AAD">
        <w:t>trained research assistants in-country</w:t>
      </w:r>
      <w:r w:rsidR="00E87856">
        <w:t xml:space="preserve">. Records were reviewed weekly </w:t>
      </w:r>
      <w:r w:rsidR="004911B1">
        <w:t xml:space="preserve">online by the UK Research Associate (VAD) </w:t>
      </w:r>
      <w:r w:rsidR="00E87856">
        <w:t>for missing data</w:t>
      </w:r>
      <w:r w:rsidR="00907486">
        <w:t>. D</w:t>
      </w:r>
      <w:r w:rsidR="00E87856">
        <w:t>ata validation of 10% of the total records was completed after data collection had ceased</w:t>
      </w:r>
      <w:r w:rsidR="00660C3F">
        <w:t>, demonstrating an error rate of less than</w:t>
      </w:r>
      <w:r w:rsidR="0069509D">
        <w:t xml:space="preserve"> 1%</w:t>
      </w:r>
      <w:r w:rsidR="005A4C2D">
        <w:t xml:space="preserve"> in </w:t>
      </w:r>
      <w:r w:rsidR="005A4C2D" w:rsidRPr="0009428D">
        <w:t>both countries</w:t>
      </w:r>
      <w:r w:rsidR="0069509D" w:rsidRPr="0009428D">
        <w:t>.</w:t>
      </w:r>
      <w:r w:rsidR="00270331" w:rsidRPr="0009428D">
        <w:t xml:space="preserve"> </w:t>
      </w:r>
    </w:p>
    <w:p w14:paraId="04003F1E" w14:textId="58C3B9F6" w:rsidR="00270331" w:rsidRDefault="00270331" w:rsidP="006E7994">
      <w:pPr>
        <w:spacing w:line="480" w:lineRule="auto"/>
        <w:jc w:val="both"/>
      </w:pPr>
      <w:r w:rsidRPr="0009428D">
        <w:t xml:space="preserve">Data were anonymised </w:t>
      </w:r>
      <w:r w:rsidR="00A85ECD" w:rsidRPr="0009428D">
        <w:t xml:space="preserve">and </w:t>
      </w:r>
      <w:r w:rsidRPr="0009428D">
        <w:t>transferred into R Version 3.5.1</w:t>
      </w:r>
      <w:r w:rsidR="001F0847" w:rsidRPr="0009428D">
        <w:rPr>
          <w:vertAlign w:val="superscript"/>
        </w:rPr>
        <w:t>12</w:t>
      </w:r>
      <w:r w:rsidR="00306068" w:rsidRPr="0009428D">
        <w:t xml:space="preserve"> </w:t>
      </w:r>
      <w:r w:rsidRPr="0009428D">
        <w:t xml:space="preserve">for analysis. </w:t>
      </w:r>
      <w:bookmarkStart w:id="2" w:name="_Hlk53489855"/>
      <w:r w:rsidR="001944D0" w:rsidRPr="0009428D">
        <w:t xml:space="preserve">Only data related to stillbirth </w:t>
      </w:r>
      <w:r w:rsidR="00777A60" w:rsidRPr="0009428D">
        <w:t>are</w:t>
      </w:r>
      <w:r w:rsidR="001944D0" w:rsidRPr="0009428D">
        <w:t xml:space="preserve"> presented in this paper.</w:t>
      </w:r>
      <w:bookmarkEnd w:id="2"/>
      <w:r w:rsidR="001944D0" w:rsidRPr="0009428D">
        <w:t xml:space="preserve"> </w:t>
      </w:r>
      <w:r w:rsidRPr="0009428D">
        <w:t>Descriptive statistics were produced outlining</w:t>
      </w:r>
      <w:r w:rsidRPr="00270331">
        <w:t xml:space="preserve"> how population characteristics differed by country.</w:t>
      </w:r>
      <w:r>
        <w:t xml:space="preserve"> </w:t>
      </w:r>
      <w:r w:rsidR="00C65EC6">
        <w:t xml:space="preserve">Characteristics of those with and without stillbirth allowed for comparison between groups. Data </w:t>
      </w:r>
      <w:r w:rsidR="00376C8F">
        <w:t xml:space="preserve">from pregnancies resulting in </w:t>
      </w:r>
      <w:r w:rsidR="00C65EC6">
        <w:t xml:space="preserve">twins and neonatal death were excluded </w:t>
      </w:r>
      <w:r w:rsidR="00DE41A3">
        <w:t>from this comparison.</w:t>
      </w:r>
    </w:p>
    <w:p w14:paraId="67510433" w14:textId="77777777" w:rsidR="009E390C" w:rsidRDefault="009E390C" w:rsidP="006E7994">
      <w:pPr>
        <w:spacing w:line="480" w:lineRule="auto"/>
        <w:jc w:val="both"/>
      </w:pPr>
    </w:p>
    <w:p w14:paraId="75540D23" w14:textId="01DBC63F" w:rsidR="009E390C" w:rsidRPr="009E390C" w:rsidRDefault="009E390C" w:rsidP="006E7994">
      <w:pPr>
        <w:spacing w:line="480" w:lineRule="auto"/>
        <w:jc w:val="both"/>
        <w:rPr>
          <w:i/>
        </w:rPr>
      </w:pPr>
      <w:r w:rsidRPr="009E390C">
        <w:rPr>
          <w:i/>
        </w:rPr>
        <w:t>Qualitative data collection and analysis</w:t>
      </w:r>
    </w:p>
    <w:p w14:paraId="7CB0DDBE" w14:textId="1CDEEE5B" w:rsidR="002F2800" w:rsidRDefault="00B864B0" w:rsidP="006E7994">
      <w:pPr>
        <w:spacing w:line="480" w:lineRule="auto"/>
        <w:jc w:val="both"/>
      </w:pPr>
      <w:r>
        <w:lastRenderedPageBreak/>
        <w:t>Qualitative data</w:t>
      </w:r>
      <w:r w:rsidR="002F2800">
        <w:t xml:space="preserve"> w</w:t>
      </w:r>
      <w:r w:rsidR="00346304">
        <w:t>ere</w:t>
      </w:r>
      <w:r w:rsidR="002F2800">
        <w:t xml:space="preserve"> collected based on a </w:t>
      </w:r>
      <w:proofErr w:type="spellStart"/>
      <w:r w:rsidR="002F2800">
        <w:t>Straussian</w:t>
      </w:r>
      <w:proofErr w:type="spellEnd"/>
      <w:r w:rsidR="002F2800">
        <w:t xml:space="preserve"> </w:t>
      </w:r>
      <w:r>
        <w:t>grounded theory</w:t>
      </w:r>
      <w:r w:rsidR="002F2800">
        <w:t xml:space="preserve"> approach</w:t>
      </w:r>
      <w:r w:rsidR="001F0847">
        <w:rPr>
          <w:vertAlign w:val="superscript"/>
        </w:rPr>
        <w:t>13</w:t>
      </w:r>
      <w:r w:rsidR="00BD010B">
        <w:t>, which</w:t>
      </w:r>
      <w:r w:rsidR="00A85ECD" w:rsidRPr="000059D3">
        <w:t xml:space="preserve"> allows for</w:t>
      </w:r>
      <w:r w:rsidR="00A85ECD">
        <w:t xml:space="preserve"> </w:t>
      </w:r>
      <w:r w:rsidR="000059D3">
        <w:t>interpretation of complex social phenomena using an inductive and deductive approach</w:t>
      </w:r>
      <w:r w:rsidR="001F0847">
        <w:rPr>
          <w:vertAlign w:val="superscript"/>
        </w:rPr>
        <w:t>13,14</w:t>
      </w:r>
      <w:r w:rsidR="000059D3">
        <w:t xml:space="preserve">. </w:t>
      </w:r>
      <w:r w:rsidR="008663A0">
        <w:t>The</w:t>
      </w:r>
      <w:r w:rsidR="00683BF3" w:rsidRPr="00711C91">
        <w:rPr>
          <w:highlight w:val="yellow"/>
        </w:rPr>
        <w:t xml:space="preserve"> </w:t>
      </w:r>
      <w:r w:rsidR="00683BF3" w:rsidRPr="008663A0">
        <w:t>research</w:t>
      </w:r>
      <w:r w:rsidR="008663A0" w:rsidRPr="008663A0">
        <w:t xml:space="preserve"> assistants</w:t>
      </w:r>
      <w:r w:rsidR="00683BF3">
        <w:t xml:space="preserve"> recruited </w:t>
      </w:r>
      <w:r w:rsidR="00312911" w:rsidRPr="0009428D">
        <w:t xml:space="preserve">and obtained informed consent from </w:t>
      </w:r>
      <w:r w:rsidR="002F2800" w:rsidRPr="0009428D">
        <w:t xml:space="preserve">women and partners </w:t>
      </w:r>
      <w:r w:rsidR="00683BF3" w:rsidRPr="0009428D">
        <w:t xml:space="preserve">from tertiary and district </w:t>
      </w:r>
      <w:r w:rsidR="002F2800" w:rsidRPr="0009428D">
        <w:t>facilities</w:t>
      </w:r>
      <w:r w:rsidR="00D615A2" w:rsidRPr="0009428D">
        <w:t>, local clinics</w:t>
      </w:r>
      <w:r w:rsidR="00683BF3" w:rsidRPr="0009428D">
        <w:t xml:space="preserve"> </w:t>
      </w:r>
      <w:r w:rsidR="002F2800" w:rsidRPr="0009428D">
        <w:t>and the community</w:t>
      </w:r>
      <w:r w:rsidR="00CC07F7" w:rsidRPr="0009428D">
        <w:t>, representing both urban and rural areas</w:t>
      </w:r>
      <w:r w:rsidR="002F2800" w:rsidRPr="0009428D">
        <w:t>.</w:t>
      </w:r>
      <w:r w:rsidR="00683BF3" w:rsidRPr="0009428D">
        <w:t xml:space="preserve"> </w:t>
      </w:r>
      <w:r w:rsidR="001944D0" w:rsidRPr="0009428D">
        <w:t>The participants in the qualitative sample were different from those in the quantitative aspect of the study.</w:t>
      </w:r>
      <w:r w:rsidR="001944D0">
        <w:t xml:space="preserve"> </w:t>
      </w:r>
      <w:r w:rsidR="00A4012E">
        <w:t>A</w:t>
      </w:r>
      <w:r w:rsidR="00A4012E" w:rsidRPr="00A4012E">
        <w:t>n initial purposive sample of 3 participants</w:t>
      </w:r>
      <w:r w:rsidR="00BD010B">
        <w:t xml:space="preserve"> per group</w:t>
      </w:r>
      <w:r w:rsidR="00A4012E" w:rsidRPr="00A4012E">
        <w:t>, in each country, were recruited: pregnant women, postnatal women with a live birth, postnatal women with a stillbirth, postnatal women with a near</w:t>
      </w:r>
      <w:r w:rsidR="004E70E0">
        <w:t>-</w:t>
      </w:r>
      <w:r w:rsidR="00A4012E" w:rsidRPr="00A4012E">
        <w:t>miss mortality, partners of pregnant women</w:t>
      </w:r>
      <w:r w:rsidR="00A4012E">
        <w:t xml:space="preserve"> and</w:t>
      </w:r>
      <w:r w:rsidR="00A4012E" w:rsidRPr="00A4012E">
        <w:t xml:space="preserve"> partners of postnatal women</w:t>
      </w:r>
      <w:r w:rsidR="00A4012E">
        <w:t>. Participants were required to be 18 years of age and competent to consent.</w:t>
      </w:r>
      <w:r w:rsidR="00A4012E" w:rsidRPr="00A4012E">
        <w:t xml:space="preserve"> </w:t>
      </w:r>
      <w:r w:rsidR="00D615A2">
        <w:t xml:space="preserve">Theoretical sampling </w:t>
      </w:r>
      <w:r w:rsidR="00932033">
        <w:t>continued</w:t>
      </w:r>
      <w:r w:rsidR="00D615A2">
        <w:t xml:space="preserve"> recruitment until data saturation was achieved</w:t>
      </w:r>
      <w:r w:rsidR="001F0847">
        <w:rPr>
          <w:vertAlign w:val="superscript"/>
        </w:rPr>
        <w:t>15</w:t>
      </w:r>
      <w:r w:rsidR="00D615A2">
        <w:t xml:space="preserve">. </w:t>
      </w:r>
      <w:r w:rsidR="00683BF3">
        <w:t>Semi-structured interviews were conducted in local language in the community</w:t>
      </w:r>
      <w:r w:rsidR="00057383">
        <w:t xml:space="preserve"> setting</w:t>
      </w:r>
      <w:r w:rsidR="002D0A33">
        <w:t>, with demographic data collected to allow for contextualization of findings</w:t>
      </w:r>
      <w:r w:rsidR="00683BF3">
        <w:t xml:space="preserve">. </w:t>
      </w:r>
      <w:r w:rsidR="008601ED">
        <w:t xml:space="preserve">An interview guide and prompts enabled </w:t>
      </w:r>
      <w:r w:rsidR="009E390C">
        <w:t xml:space="preserve">researchers to explore key areas, whilst providing freedom to the participant to discuss areas of importance. </w:t>
      </w:r>
      <w:r w:rsidR="00616BDE">
        <w:t xml:space="preserve">This </w:t>
      </w:r>
      <w:r w:rsidR="009E390C">
        <w:t xml:space="preserve">was adapted in line with developing theory. </w:t>
      </w:r>
      <w:r w:rsidR="002D133D">
        <w:t xml:space="preserve">Translation and back translation of transcripts </w:t>
      </w:r>
      <w:r w:rsidR="00337D80">
        <w:t xml:space="preserve">confirmed accuracy and </w:t>
      </w:r>
      <w:r w:rsidR="002D133D">
        <w:t>ensured quality.</w:t>
      </w:r>
      <w:r w:rsidR="009E390C">
        <w:t xml:space="preserve"> </w:t>
      </w:r>
      <w:r w:rsidR="00D615A2">
        <w:t>Constant comparative a</w:t>
      </w:r>
      <w:r w:rsidR="00057383">
        <w:t>nalysis using the Strauss and Corbin</w:t>
      </w:r>
      <w:r w:rsidR="001F0847">
        <w:rPr>
          <w:vertAlign w:val="superscript"/>
        </w:rPr>
        <w:t>13</w:t>
      </w:r>
      <w:r w:rsidR="00057383">
        <w:t xml:space="preserve"> approach was conducted by the UK </w:t>
      </w:r>
      <w:r w:rsidR="00DC0F18">
        <w:t xml:space="preserve">and country </w:t>
      </w:r>
      <w:r w:rsidR="00057383">
        <w:t xml:space="preserve">leads and </w:t>
      </w:r>
      <w:r w:rsidR="00D615A2">
        <w:t xml:space="preserve">findings </w:t>
      </w:r>
      <w:r w:rsidR="00057383">
        <w:t xml:space="preserve">confirmed by local PPI groups. </w:t>
      </w:r>
    </w:p>
    <w:p w14:paraId="63D8A034" w14:textId="2F8B042E" w:rsidR="003D64EC" w:rsidRDefault="003D64EC" w:rsidP="006E7994">
      <w:pPr>
        <w:spacing w:line="480" w:lineRule="auto"/>
        <w:jc w:val="both"/>
      </w:pPr>
      <w:bookmarkStart w:id="3" w:name="_Hlk35945390"/>
      <w:r w:rsidRPr="003D64EC">
        <w:rPr>
          <w:i/>
          <w:iCs/>
        </w:rPr>
        <w:t>Funding</w:t>
      </w:r>
    </w:p>
    <w:p w14:paraId="032C3819" w14:textId="2EE508D9" w:rsidR="003D64EC" w:rsidRPr="003D64EC" w:rsidRDefault="003D64EC" w:rsidP="006E7994">
      <w:pPr>
        <w:spacing w:line="480" w:lineRule="auto"/>
        <w:jc w:val="both"/>
      </w:pPr>
      <w:r w:rsidRPr="003D64EC">
        <w:t>This research was funded by the National Institute for Health Research (NIHR) (16/137/53) using UK aid from the UK Government to support global health research. The views expressed in this publication are those of the author(s) and not necessarily those of the NIHR or the UK Department of Health and Social Care.</w:t>
      </w:r>
    </w:p>
    <w:bookmarkEnd w:id="3"/>
    <w:p w14:paraId="772FC189" w14:textId="46278CB3" w:rsidR="007A5AB7" w:rsidRDefault="003E0642" w:rsidP="006E7994">
      <w:pPr>
        <w:spacing w:line="480" w:lineRule="auto"/>
        <w:jc w:val="both"/>
      </w:pPr>
      <w:r>
        <w:rPr>
          <w:i/>
        </w:rPr>
        <w:t>Patient and Public Involvement (PPI)</w:t>
      </w:r>
    </w:p>
    <w:p w14:paraId="0897084B" w14:textId="7CCEF6DB" w:rsidR="00CC2DAD" w:rsidRDefault="003E0642" w:rsidP="006E7994">
      <w:pPr>
        <w:spacing w:line="480" w:lineRule="auto"/>
        <w:jc w:val="both"/>
      </w:pPr>
      <w:r>
        <w:t>PPI groups</w:t>
      </w:r>
      <w:r w:rsidR="00CF757B">
        <w:t xml:space="preserve"> were established in both countries with the aim of </w:t>
      </w:r>
      <w:r>
        <w:t>provid</w:t>
      </w:r>
      <w:r w:rsidR="00CF757B">
        <w:t xml:space="preserve">ing </w:t>
      </w:r>
      <w:r>
        <w:t>input into the study design and conduct</w:t>
      </w:r>
      <w:r w:rsidR="00777A60">
        <w:t>,</w:t>
      </w:r>
      <w:r w:rsidR="00C367B6" w:rsidRPr="00C367B6">
        <w:t xml:space="preserve"> </w:t>
      </w:r>
      <w:r w:rsidR="00C367B6">
        <w:t xml:space="preserve">informed by </w:t>
      </w:r>
      <w:r w:rsidR="00C367B6" w:rsidRPr="00C367B6">
        <w:t>cultural understanding</w:t>
      </w:r>
      <w:r w:rsidR="005510CA">
        <w:t>.</w:t>
      </w:r>
      <w:r w:rsidR="00C367B6" w:rsidRPr="00C367B6">
        <w:t xml:space="preserve"> </w:t>
      </w:r>
    </w:p>
    <w:p w14:paraId="7EE33CEE" w14:textId="7A542186" w:rsidR="003E0642" w:rsidRPr="003E0642" w:rsidRDefault="00F72399" w:rsidP="006E7994">
      <w:pPr>
        <w:spacing w:line="480" w:lineRule="auto"/>
        <w:jc w:val="both"/>
      </w:pPr>
      <w:r w:rsidRPr="00C367B6">
        <w:lastRenderedPageBreak/>
        <w:t xml:space="preserve"> </w:t>
      </w:r>
    </w:p>
    <w:p w14:paraId="23CC86FA" w14:textId="6757EC3B" w:rsidR="006C7FCB" w:rsidRPr="009C0B8E" w:rsidRDefault="007A5AB7" w:rsidP="006E7994">
      <w:pPr>
        <w:spacing w:line="480" w:lineRule="auto"/>
        <w:jc w:val="both"/>
        <w:rPr>
          <w:b/>
        </w:rPr>
      </w:pPr>
      <w:r>
        <w:rPr>
          <w:b/>
        </w:rPr>
        <w:t>Results</w:t>
      </w:r>
      <w:r w:rsidR="006C7FCB" w:rsidRPr="009C0B8E">
        <w:rPr>
          <w:b/>
        </w:rPr>
        <w:t xml:space="preserve"> </w:t>
      </w:r>
    </w:p>
    <w:p w14:paraId="53BFC7CA" w14:textId="6A188B37" w:rsidR="00847E4A" w:rsidRDefault="00346304" w:rsidP="006E7994">
      <w:pPr>
        <w:spacing w:line="480" w:lineRule="auto"/>
        <w:jc w:val="both"/>
      </w:pPr>
      <w:r w:rsidRPr="003F3934">
        <w:rPr>
          <w:b/>
          <w:bCs/>
        </w:rPr>
        <w:t>Quantitative</w:t>
      </w:r>
    </w:p>
    <w:p w14:paraId="2F9C80AB" w14:textId="4D8F0CD3" w:rsidR="0000074C" w:rsidRPr="00F41273" w:rsidRDefault="008C3419" w:rsidP="006E7994">
      <w:pPr>
        <w:spacing w:line="480" w:lineRule="auto"/>
        <w:jc w:val="both"/>
      </w:pPr>
      <w:r w:rsidRPr="00F41273">
        <w:t>Data from 199</w:t>
      </w:r>
      <w:r w:rsidR="004912BC" w:rsidRPr="00F41273">
        <w:t>7</w:t>
      </w:r>
      <w:r w:rsidRPr="00F41273">
        <w:t xml:space="preserve"> records were analysed, following exclusions for t</w:t>
      </w:r>
      <w:r w:rsidR="004912BC" w:rsidRPr="00F41273">
        <w:t>hree</w:t>
      </w:r>
      <w:r w:rsidRPr="00F41273">
        <w:t xml:space="preserve"> </w:t>
      </w:r>
      <w:r w:rsidR="004E212A" w:rsidRPr="00F41273">
        <w:t xml:space="preserve">miscarriages </w:t>
      </w:r>
      <w:r w:rsidRPr="00F41273">
        <w:t xml:space="preserve">misclassified </w:t>
      </w:r>
      <w:r w:rsidR="004E212A" w:rsidRPr="00F41273">
        <w:t xml:space="preserve">as </w:t>
      </w:r>
      <w:r w:rsidRPr="00F41273">
        <w:t xml:space="preserve">stillbirths. </w:t>
      </w:r>
      <w:r w:rsidR="00C42BC6" w:rsidRPr="00F41273">
        <w:t xml:space="preserve">A total of </w:t>
      </w:r>
      <w:r w:rsidR="006E1906" w:rsidRPr="00F41273">
        <w:t>26</w:t>
      </w:r>
      <w:r w:rsidR="00E51FEF" w:rsidRPr="00F41273">
        <w:t>1</w:t>
      </w:r>
      <w:r w:rsidR="006E1906" w:rsidRPr="00F41273">
        <w:t xml:space="preserve"> </w:t>
      </w:r>
      <w:r w:rsidR="000B42E1" w:rsidRPr="00F41273">
        <w:t xml:space="preserve">(161 Tanzania, 100 Zambia) </w:t>
      </w:r>
      <w:r w:rsidR="006E1906" w:rsidRPr="00F41273">
        <w:t>stillbirths</w:t>
      </w:r>
      <w:r w:rsidR="00C42BC6" w:rsidRPr="00F41273">
        <w:t xml:space="preserve"> were recorded during the data collection period</w:t>
      </w:r>
      <w:r w:rsidR="00907486" w:rsidRPr="00F41273">
        <w:t>,</w:t>
      </w:r>
      <w:r w:rsidR="006E1906" w:rsidRPr="00F41273">
        <w:t xml:space="preserve"> of which </w:t>
      </w:r>
      <w:r w:rsidR="00702808" w:rsidRPr="00F41273">
        <w:t>2</w:t>
      </w:r>
      <w:r w:rsidR="00E51FEF" w:rsidRPr="00F41273">
        <w:t>40</w:t>
      </w:r>
      <w:r w:rsidR="00702808" w:rsidRPr="00F41273">
        <w:t xml:space="preserve"> </w:t>
      </w:r>
      <w:r w:rsidR="00B36BC1" w:rsidRPr="00F41273">
        <w:t xml:space="preserve">were </w:t>
      </w:r>
      <w:r w:rsidR="006E1906" w:rsidRPr="00F41273">
        <w:t>singleton</w:t>
      </w:r>
      <w:r w:rsidR="00C42BC6" w:rsidRPr="00F41273">
        <w:t xml:space="preserve"> </w:t>
      </w:r>
      <w:r w:rsidR="006E1906" w:rsidRPr="00F41273">
        <w:t>births</w:t>
      </w:r>
      <w:r w:rsidR="00953B6A" w:rsidRPr="00F41273">
        <w:t xml:space="preserve"> (Table 1)</w:t>
      </w:r>
      <w:r w:rsidR="00C42BC6" w:rsidRPr="00F41273">
        <w:t xml:space="preserve">. </w:t>
      </w:r>
      <w:r w:rsidR="00C30768" w:rsidRPr="00F41273">
        <w:t>Th</w:t>
      </w:r>
      <w:r w:rsidR="0064377F" w:rsidRPr="00F41273">
        <w:t xml:space="preserve">e stillbirth rate </w:t>
      </w:r>
      <w:r w:rsidR="00C30768" w:rsidRPr="00F41273">
        <w:t>was</w:t>
      </w:r>
      <w:r w:rsidR="00C16F73" w:rsidRPr="00F41273">
        <w:t xml:space="preserve"> higher than </w:t>
      </w:r>
      <w:r w:rsidR="0064377F" w:rsidRPr="00F41273">
        <w:t>anticipated</w:t>
      </w:r>
      <w:r w:rsidR="009E390C" w:rsidRPr="00F41273">
        <w:t>;</w:t>
      </w:r>
      <w:r w:rsidR="00702808" w:rsidRPr="00F41273">
        <w:t xml:space="preserve"> </w:t>
      </w:r>
      <w:r w:rsidR="0064377F" w:rsidRPr="00F41273">
        <w:t>16</w:t>
      </w:r>
      <w:r w:rsidR="00982D60" w:rsidRPr="00F41273">
        <w:t>.1</w:t>
      </w:r>
      <w:r w:rsidR="0064377F" w:rsidRPr="00F41273">
        <w:t>% in Tanzania and 10</w:t>
      </w:r>
      <w:r w:rsidR="00982D60" w:rsidRPr="00F41273">
        <w:t>.0</w:t>
      </w:r>
      <w:r w:rsidR="0064377F" w:rsidRPr="00F41273">
        <w:t>% in Zambia</w:t>
      </w:r>
      <w:r w:rsidR="007B589C" w:rsidRPr="00F41273">
        <w:t>,</w:t>
      </w:r>
      <w:r w:rsidR="0064377F" w:rsidRPr="00F41273">
        <w:t xml:space="preserve"> </w:t>
      </w:r>
      <w:r w:rsidR="00397C1F" w:rsidRPr="00F41273">
        <w:t xml:space="preserve">compared with </w:t>
      </w:r>
      <w:r w:rsidR="00953B6A" w:rsidRPr="00F41273">
        <w:t xml:space="preserve">WHO </w:t>
      </w:r>
      <w:r w:rsidR="00397C1F" w:rsidRPr="00F41273">
        <w:t xml:space="preserve">estimates of </w:t>
      </w:r>
      <w:bookmarkStart w:id="4" w:name="_Hlk40432043"/>
      <w:r w:rsidR="00007C78" w:rsidRPr="00F41273">
        <w:t>2</w:t>
      </w:r>
      <w:r w:rsidR="008F3C03" w:rsidRPr="00F41273">
        <w:t>.</w:t>
      </w:r>
      <w:r w:rsidR="00007C78" w:rsidRPr="00F41273">
        <w:t>24</w:t>
      </w:r>
      <w:r w:rsidR="008F3C03" w:rsidRPr="00F41273">
        <w:t>%</w:t>
      </w:r>
      <w:r w:rsidR="00097109" w:rsidRPr="00F41273">
        <w:t xml:space="preserve"> </w:t>
      </w:r>
      <w:r w:rsidR="00953B6A" w:rsidRPr="00F41273">
        <w:t>(</w:t>
      </w:r>
      <w:r w:rsidR="00702808" w:rsidRPr="00F41273">
        <w:t>Tanzania</w:t>
      </w:r>
      <w:r w:rsidR="00953B6A" w:rsidRPr="00F41273">
        <w:t>)</w:t>
      </w:r>
      <w:r w:rsidR="00ED7D4D" w:rsidRPr="00F41273">
        <w:t xml:space="preserve"> and</w:t>
      </w:r>
      <w:r w:rsidR="00702808" w:rsidRPr="00F41273">
        <w:t xml:space="preserve"> </w:t>
      </w:r>
      <w:r w:rsidR="00007C78" w:rsidRPr="00F41273">
        <w:t>2</w:t>
      </w:r>
      <w:r w:rsidR="008F3C03" w:rsidRPr="00F41273">
        <w:t>.</w:t>
      </w:r>
      <w:r w:rsidR="00007C78" w:rsidRPr="00F41273">
        <w:t>09</w:t>
      </w:r>
      <w:r w:rsidR="008F3C03" w:rsidRPr="00F41273">
        <w:t>%</w:t>
      </w:r>
      <w:r w:rsidR="00C30768" w:rsidRPr="00F41273">
        <w:t xml:space="preserve"> </w:t>
      </w:r>
      <w:r w:rsidR="00953B6A" w:rsidRPr="00F41273">
        <w:t>(</w:t>
      </w:r>
      <w:r w:rsidR="00C30768" w:rsidRPr="00F41273">
        <w:t>Zambia</w:t>
      </w:r>
      <w:bookmarkEnd w:id="4"/>
      <w:r w:rsidR="00953B6A" w:rsidRPr="00F41273">
        <w:t>)</w:t>
      </w:r>
      <w:r w:rsidR="007B589C" w:rsidRPr="00F41273">
        <w:rPr>
          <w:vertAlign w:val="superscript"/>
        </w:rPr>
        <w:t>8</w:t>
      </w:r>
      <w:r w:rsidR="007B589C" w:rsidRPr="00F41273">
        <w:t>.</w:t>
      </w:r>
      <w:r w:rsidR="00E51FEF" w:rsidRPr="00F41273">
        <w:t xml:space="preserve"> </w:t>
      </w:r>
      <w:r w:rsidR="00953B6A" w:rsidRPr="00F41273">
        <w:t>Stillbirth occurred in 1</w:t>
      </w:r>
      <w:r w:rsidR="00AD184B" w:rsidRPr="00F41273">
        <w:t>7.</w:t>
      </w:r>
      <w:r w:rsidR="00953B6A" w:rsidRPr="00F41273">
        <w:t>8% of twin births compared with 12</w:t>
      </w:r>
      <w:r w:rsidR="00AD184B" w:rsidRPr="00F41273">
        <w:t>.4</w:t>
      </w:r>
      <w:r w:rsidR="00953B6A" w:rsidRPr="00F41273">
        <w:t>% of singleton births.</w:t>
      </w:r>
    </w:p>
    <w:p w14:paraId="3F5EAEA0" w14:textId="61475C66" w:rsidR="00C947F2" w:rsidRPr="00F41273" w:rsidRDefault="00C947F2" w:rsidP="006E7994">
      <w:pPr>
        <w:spacing w:line="480" w:lineRule="auto"/>
        <w:jc w:val="both"/>
      </w:pPr>
      <w:r w:rsidRPr="00F41273">
        <w:t xml:space="preserve">The recorded causes of stillbirth are presented in table </w:t>
      </w:r>
      <w:r w:rsidR="00BD44BA" w:rsidRPr="00F41273">
        <w:t>2</w:t>
      </w:r>
      <w:r w:rsidRPr="00F41273">
        <w:t>. Twenty</w:t>
      </w:r>
      <w:r w:rsidR="00982D60" w:rsidRPr="00F41273">
        <w:t>-</w:t>
      </w:r>
      <w:r w:rsidRPr="00F41273">
        <w:t>eight percent of stillbirths (n=73) were unexplained in that no reason was provided in the case notes (</w:t>
      </w:r>
      <w:r w:rsidR="006A3521" w:rsidRPr="00F41273">
        <w:t xml:space="preserve">Tanzania </w:t>
      </w:r>
      <w:r w:rsidRPr="00F41273">
        <w:t>20.5%, n=33</w:t>
      </w:r>
      <w:r w:rsidR="006A3521" w:rsidRPr="00F41273">
        <w:t>;</w:t>
      </w:r>
      <w:r w:rsidRPr="00F41273">
        <w:t xml:space="preserve"> </w:t>
      </w:r>
      <w:r w:rsidR="006A3521" w:rsidRPr="00F41273">
        <w:t xml:space="preserve">Zambia </w:t>
      </w:r>
      <w:r w:rsidRPr="00F41273">
        <w:t>40%, n=40). There was no record of post-mortem for all cases of stillbirth in both countries. Reasons were provided in some instances by attending clinicians</w:t>
      </w:r>
      <w:r w:rsidR="007B589C" w:rsidRPr="00F41273">
        <w:t>, b</w:t>
      </w:r>
      <w:r w:rsidRPr="00F41273">
        <w:t>ut it is unclear as to what extent examination of the stillborn baby occurred</w:t>
      </w:r>
      <w:r w:rsidR="00517B31" w:rsidRPr="00F41273">
        <w:t xml:space="preserve"> and to what extent these were subjective judgements</w:t>
      </w:r>
      <w:r w:rsidRPr="00F41273">
        <w:t xml:space="preserve">. </w:t>
      </w:r>
      <w:r w:rsidR="00517B31" w:rsidRPr="00F41273">
        <w:t>Therefore, w</w:t>
      </w:r>
      <w:r w:rsidRPr="00F41273">
        <w:t>here reasons were provided, it is uncertain as to whether these were causative factors or if they may have contributed to the stillbirth. It is possible that although an explanation was provided within the notes, these may not be completely accurate.</w:t>
      </w:r>
      <w:r w:rsidR="00426211" w:rsidRPr="00F41273">
        <w:t xml:space="preserve"> Hence, </w:t>
      </w:r>
      <w:r w:rsidR="00517B31" w:rsidRPr="00F41273">
        <w:t>although 72% (n=</w:t>
      </w:r>
      <w:r w:rsidR="00CD14D5" w:rsidRPr="00F41273">
        <w:t>188</w:t>
      </w:r>
      <w:r w:rsidR="00517B31" w:rsidRPr="00F41273">
        <w:t xml:space="preserve">) of stillbirths appear to be explained, </w:t>
      </w:r>
      <w:r w:rsidR="00426211" w:rsidRPr="00F41273">
        <w:t xml:space="preserve">the </w:t>
      </w:r>
      <w:r w:rsidR="00517B31" w:rsidRPr="00F41273">
        <w:t>attributed causes reported may be incorrect.</w:t>
      </w:r>
    </w:p>
    <w:p w14:paraId="73BB0F2B" w14:textId="4E6C310D" w:rsidR="00A646D9" w:rsidRPr="00F41273" w:rsidRDefault="00B064BF" w:rsidP="006E7994">
      <w:pPr>
        <w:spacing w:line="480" w:lineRule="auto"/>
        <w:jc w:val="both"/>
      </w:pPr>
      <w:r w:rsidRPr="00F41273">
        <w:t xml:space="preserve">The characteristics of </w:t>
      </w:r>
      <w:r w:rsidR="00097109" w:rsidRPr="00F41273">
        <w:t xml:space="preserve">the 1885 </w:t>
      </w:r>
      <w:r w:rsidRPr="00F41273">
        <w:t>participants</w:t>
      </w:r>
      <w:r w:rsidR="007A40DD" w:rsidRPr="00F41273">
        <w:t xml:space="preserve"> who experienced singleton birth</w:t>
      </w:r>
      <w:r w:rsidRPr="00F41273">
        <w:t xml:space="preserve"> </w:t>
      </w:r>
      <w:r w:rsidR="00CC2DAD" w:rsidRPr="00F41273">
        <w:t>are</w:t>
      </w:r>
      <w:r w:rsidRPr="00F41273">
        <w:t xml:space="preserve"> presented in table </w:t>
      </w:r>
      <w:r w:rsidR="00D96DAA" w:rsidRPr="00F41273">
        <w:t>3</w:t>
      </w:r>
      <w:r w:rsidR="008174E1" w:rsidRPr="00F41273">
        <w:t>, following exclusion of twins/neonatal death</w:t>
      </w:r>
      <w:r w:rsidRPr="00F41273">
        <w:t>.</w:t>
      </w:r>
      <w:r w:rsidR="00270331" w:rsidRPr="00F41273">
        <w:t xml:space="preserve"> The majority of participants were married </w:t>
      </w:r>
      <w:r w:rsidR="009138B6" w:rsidRPr="00F41273">
        <w:t>(</w:t>
      </w:r>
      <w:r w:rsidR="00A06557" w:rsidRPr="00F41273">
        <w:t>89</w:t>
      </w:r>
      <w:r w:rsidR="009138B6" w:rsidRPr="00F41273">
        <w:t xml:space="preserve">%) </w:t>
      </w:r>
      <w:r w:rsidR="00270331" w:rsidRPr="00F41273">
        <w:t xml:space="preserve">and </w:t>
      </w:r>
      <w:r w:rsidR="005B7653" w:rsidRPr="00F41273">
        <w:t>educat</w:t>
      </w:r>
      <w:r w:rsidR="00C367B6" w:rsidRPr="00F41273">
        <w:t>ed</w:t>
      </w:r>
      <w:r w:rsidR="00270331" w:rsidRPr="00F41273">
        <w:t xml:space="preserve"> to primary</w:t>
      </w:r>
      <w:r w:rsidR="005B7653" w:rsidRPr="00F41273">
        <w:t xml:space="preserve"> school</w:t>
      </w:r>
      <w:r w:rsidR="00C367B6" w:rsidRPr="00F41273">
        <w:t xml:space="preserve"> level</w:t>
      </w:r>
      <w:r w:rsidR="009138B6" w:rsidRPr="00F41273">
        <w:t xml:space="preserve"> (</w:t>
      </w:r>
      <w:r w:rsidR="0027072C" w:rsidRPr="00F41273">
        <w:t>9</w:t>
      </w:r>
      <w:r w:rsidR="007A40DD" w:rsidRPr="00F41273">
        <w:t>8</w:t>
      </w:r>
      <w:r w:rsidR="009138B6" w:rsidRPr="00F41273">
        <w:t>%)</w:t>
      </w:r>
      <w:r w:rsidR="00C367B6" w:rsidRPr="00F41273">
        <w:t>.</w:t>
      </w:r>
      <w:r w:rsidR="00270331" w:rsidRPr="00F41273">
        <w:t xml:space="preserve"> </w:t>
      </w:r>
      <w:r w:rsidR="001A7628" w:rsidRPr="00F41273">
        <w:t>Most women</w:t>
      </w:r>
      <w:r w:rsidR="00C3154F" w:rsidRPr="00F41273">
        <w:t xml:space="preserve"> </w:t>
      </w:r>
      <w:r w:rsidR="009138B6" w:rsidRPr="00F41273">
        <w:t>(</w:t>
      </w:r>
      <w:r w:rsidR="00D10843" w:rsidRPr="00F41273">
        <w:t>78</w:t>
      </w:r>
      <w:r w:rsidR="009138B6" w:rsidRPr="00F41273">
        <w:t xml:space="preserve">%) </w:t>
      </w:r>
      <w:r w:rsidR="00C3154F" w:rsidRPr="00F41273">
        <w:t>booked for care in the second trimester</w:t>
      </w:r>
      <w:r w:rsidR="003D2371" w:rsidRPr="00F41273">
        <w:t>.</w:t>
      </w:r>
      <w:r w:rsidR="00C3154F" w:rsidRPr="00F41273">
        <w:t xml:space="preserve"> </w:t>
      </w:r>
      <w:r w:rsidRPr="00F41273">
        <w:t>Over</w:t>
      </w:r>
      <w:r w:rsidR="009C787F" w:rsidRPr="00F41273">
        <w:t>all,</w:t>
      </w:r>
      <w:r w:rsidRPr="00F41273">
        <w:t xml:space="preserve"> 9</w:t>
      </w:r>
      <w:r w:rsidR="00CE78F8" w:rsidRPr="00F41273">
        <w:t>7</w:t>
      </w:r>
      <w:r w:rsidR="00250695" w:rsidRPr="00F41273">
        <w:t>.6</w:t>
      </w:r>
      <w:r w:rsidRPr="00F41273">
        <w:t xml:space="preserve">% </w:t>
      </w:r>
      <w:r w:rsidR="009C787F" w:rsidRPr="00F41273">
        <w:t>(n=</w:t>
      </w:r>
      <w:r w:rsidR="00205754" w:rsidRPr="00F41273">
        <w:t>200</w:t>
      </w:r>
      <w:r w:rsidR="009C787F" w:rsidRPr="00F41273">
        <w:t>)</w:t>
      </w:r>
      <w:r w:rsidR="00931E7E" w:rsidRPr="00F41273">
        <w:t xml:space="preserve"> </w:t>
      </w:r>
      <w:r w:rsidRPr="00F41273">
        <w:t xml:space="preserve">of participants </w:t>
      </w:r>
      <w:r w:rsidR="00C3154F" w:rsidRPr="00F41273">
        <w:t xml:space="preserve">experiencing stillbirth </w:t>
      </w:r>
      <w:r w:rsidRPr="00F41273">
        <w:t xml:space="preserve">attended at least one antenatal clinic </w:t>
      </w:r>
      <w:r w:rsidR="000575DC" w:rsidRPr="00F41273">
        <w:t xml:space="preserve">(ANC) </w:t>
      </w:r>
      <w:r w:rsidRPr="00F41273">
        <w:t>visit,</w:t>
      </w:r>
      <w:r w:rsidR="009C787F" w:rsidRPr="00F41273">
        <w:t xml:space="preserve"> although there was a country difference: 100% (n=</w:t>
      </w:r>
      <w:r w:rsidR="00993961" w:rsidRPr="00F41273">
        <w:t>14</w:t>
      </w:r>
      <w:r w:rsidR="00205754" w:rsidRPr="00F41273">
        <w:t>5</w:t>
      </w:r>
      <w:r w:rsidR="009C787F" w:rsidRPr="00F41273">
        <w:t>) Tanzania, 9</w:t>
      </w:r>
      <w:r w:rsidR="00E109DA" w:rsidRPr="00F41273">
        <w:t>1.7</w:t>
      </w:r>
      <w:r w:rsidR="009C787F" w:rsidRPr="00F41273">
        <w:t>% (n=</w:t>
      </w:r>
      <w:r w:rsidR="00993961" w:rsidRPr="00F41273">
        <w:t>55</w:t>
      </w:r>
      <w:r w:rsidR="009C787F" w:rsidRPr="00F41273">
        <w:t xml:space="preserve">) Zambia. </w:t>
      </w:r>
      <w:r w:rsidR="00B029BF" w:rsidRPr="00F41273">
        <w:t>However, t</w:t>
      </w:r>
      <w:r w:rsidR="00A459CD" w:rsidRPr="00F41273">
        <w:t xml:space="preserve">here </w:t>
      </w:r>
      <w:r w:rsidR="008174E1" w:rsidRPr="00F41273">
        <w:t>is</w:t>
      </w:r>
      <w:r w:rsidR="00A459CD" w:rsidRPr="00F41273">
        <w:t xml:space="preserve"> </w:t>
      </w:r>
      <w:r w:rsidR="00B029BF" w:rsidRPr="00F41273">
        <w:t xml:space="preserve">also </w:t>
      </w:r>
      <w:r w:rsidR="00BD44BA" w:rsidRPr="00F41273">
        <w:t xml:space="preserve">more </w:t>
      </w:r>
      <w:r w:rsidR="00A459CD" w:rsidRPr="00F41273">
        <w:t xml:space="preserve">missing data </w:t>
      </w:r>
      <w:r w:rsidR="00BD44BA" w:rsidRPr="00F41273">
        <w:t>from</w:t>
      </w:r>
      <w:r w:rsidR="00A459CD" w:rsidRPr="00F41273">
        <w:t xml:space="preserve"> Zambia</w:t>
      </w:r>
      <w:r w:rsidR="00097109" w:rsidRPr="00F41273">
        <w:t xml:space="preserve"> for </w:t>
      </w:r>
      <w:r w:rsidR="00BD44BA" w:rsidRPr="00F41273">
        <w:t xml:space="preserve">both </w:t>
      </w:r>
      <w:r w:rsidR="00097109" w:rsidRPr="00F41273">
        <w:t>booking and antenatal attendance</w:t>
      </w:r>
      <w:r w:rsidR="00BD44BA" w:rsidRPr="00F41273">
        <w:t xml:space="preserve"> </w:t>
      </w:r>
      <w:r w:rsidR="00BD44BA" w:rsidRPr="00F41273">
        <w:lastRenderedPageBreak/>
        <w:t xml:space="preserve">(table </w:t>
      </w:r>
      <w:r w:rsidR="00D96DAA" w:rsidRPr="00F41273">
        <w:t>4</w:t>
      </w:r>
      <w:r w:rsidR="00BD44BA" w:rsidRPr="00F41273">
        <w:t>)</w:t>
      </w:r>
      <w:r w:rsidR="00097109" w:rsidRPr="00F41273">
        <w:t>.</w:t>
      </w:r>
      <w:r w:rsidR="00A459CD" w:rsidRPr="00F41273">
        <w:t xml:space="preserve"> </w:t>
      </w:r>
      <w:r w:rsidR="00F54E14" w:rsidRPr="00F41273">
        <w:t>A smaller percentage of women experiencing stillbirth in this pregnancy attended for four or more visits (</w:t>
      </w:r>
      <w:r w:rsidR="009C787F" w:rsidRPr="00F41273">
        <w:t>5</w:t>
      </w:r>
      <w:r w:rsidR="005E4CF6" w:rsidRPr="00F41273">
        <w:t>8.6</w:t>
      </w:r>
      <w:r w:rsidR="009C787F" w:rsidRPr="00F41273">
        <w:t>% (n=</w:t>
      </w:r>
      <w:r w:rsidR="00993961" w:rsidRPr="00F41273">
        <w:t>85</w:t>
      </w:r>
      <w:r w:rsidR="009C787F" w:rsidRPr="00F41273">
        <w:t>) Tanzania, 45</w:t>
      </w:r>
      <w:r w:rsidR="005E4CF6" w:rsidRPr="00F41273">
        <w:t>.0</w:t>
      </w:r>
      <w:r w:rsidR="009C787F" w:rsidRPr="00F41273">
        <w:t>% (n=</w:t>
      </w:r>
      <w:r w:rsidR="00993961" w:rsidRPr="00F41273">
        <w:t>27</w:t>
      </w:r>
      <w:r w:rsidR="009C787F" w:rsidRPr="00F41273">
        <w:t>) Zambia</w:t>
      </w:r>
      <w:r w:rsidR="006A3521" w:rsidRPr="00F41273">
        <w:t>).</w:t>
      </w:r>
      <w:r w:rsidR="009138B6" w:rsidRPr="00F41273">
        <w:t xml:space="preserve"> </w:t>
      </w:r>
      <w:r w:rsidR="00397C1F" w:rsidRPr="00F41273">
        <w:t xml:space="preserve">More participants experiencing stillbirth </w:t>
      </w:r>
      <w:r w:rsidR="005F5EC8" w:rsidRPr="00F41273">
        <w:t xml:space="preserve">in the current pregnancy </w:t>
      </w:r>
      <w:r w:rsidR="00397C1F" w:rsidRPr="00F41273">
        <w:t xml:space="preserve">were transferred to a </w:t>
      </w:r>
      <w:r w:rsidR="00CB4C66" w:rsidRPr="00F41273">
        <w:t>higher-level</w:t>
      </w:r>
      <w:r w:rsidR="00397C1F" w:rsidRPr="00F41273">
        <w:t xml:space="preserve"> facility </w:t>
      </w:r>
      <w:r w:rsidR="00B779E4" w:rsidRPr="00F41273">
        <w:t xml:space="preserve">during labour </w:t>
      </w:r>
      <w:r w:rsidR="0030423E" w:rsidRPr="00F41273">
        <w:t xml:space="preserve">than those who did not experience stillbirth </w:t>
      </w:r>
      <w:r w:rsidR="00397C1F" w:rsidRPr="00F41273">
        <w:t>(</w:t>
      </w:r>
      <w:r w:rsidR="0093769E" w:rsidRPr="00F41273">
        <w:t>46</w:t>
      </w:r>
      <w:r w:rsidR="005E4CF6" w:rsidRPr="00F41273">
        <w:t>.2</w:t>
      </w:r>
      <w:r w:rsidR="0093769E" w:rsidRPr="00F41273">
        <w:t>%, n=1</w:t>
      </w:r>
      <w:r w:rsidR="00205754" w:rsidRPr="00F41273">
        <w:t>11</w:t>
      </w:r>
      <w:r w:rsidR="0093769E" w:rsidRPr="00F41273">
        <w:t xml:space="preserve"> </w:t>
      </w:r>
      <w:r w:rsidR="00BE76AD" w:rsidRPr="00F41273">
        <w:t>vs</w:t>
      </w:r>
      <w:r w:rsidR="006343EB" w:rsidRPr="00F41273">
        <w:t>.</w:t>
      </w:r>
      <w:r w:rsidR="0093769E" w:rsidRPr="00F41273">
        <w:t xml:space="preserve"> 20.</w:t>
      </w:r>
      <w:r w:rsidR="00205754" w:rsidRPr="00F41273">
        <w:t>3</w:t>
      </w:r>
      <w:r w:rsidR="0093769E" w:rsidRPr="00F41273">
        <w:t>%, n=33</w:t>
      </w:r>
      <w:r w:rsidR="00205754" w:rsidRPr="00F41273">
        <w:t>4</w:t>
      </w:r>
      <w:r w:rsidR="0093769E" w:rsidRPr="00F41273">
        <w:t>)</w:t>
      </w:r>
      <w:r w:rsidR="00B779E4" w:rsidRPr="00F41273">
        <w:t xml:space="preserve"> and were more likely to have </w:t>
      </w:r>
      <w:r w:rsidR="00911E5F" w:rsidRPr="00F41273">
        <w:t xml:space="preserve">an obstetrician present at </w:t>
      </w:r>
      <w:r w:rsidR="0093769E" w:rsidRPr="00F41273">
        <w:t>birth</w:t>
      </w:r>
      <w:r w:rsidR="00911E5F" w:rsidRPr="00F41273">
        <w:t xml:space="preserve"> (</w:t>
      </w:r>
      <w:r w:rsidR="0093769E" w:rsidRPr="00F41273">
        <w:t>4</w:t>
      </w:r>
      <w:r w:rsidR="00205754" w:rsidRPr="00F41273">
        <w:t>9.2</w:t>
      </w:r>
      <w:r w:rsidR="0093769E" w:rsidRPr="00F41273">
        <w:t>%, n=11</w:t>
      </w:r>
      <w:r w:rsidR="00205754" w:rsidRPr="00F41273">
        <w:t>8</w:t>
      </w:r>
      <w:r w:rsidR="0093769E" w:rsidRPr="00F41273">
        <w:t xml:space="preserve"> </w:t>
      </w:r>
      <w:r w:rsidR="00BE76AD" w:rsidRPr="00F41273">
        <w:t>vs</w:t>
      </w:r>
      <w:r w:rsidR="006343EB" w:rsidRPr="00F41273">
        <w:t>.</w:t>
      </w:r>
      <w:r w:rsidR="0093769E" w:rsidRPr="00F41273">
        <w:t xml:space="preserve"> 30.6%, n=50</w:t>
      </w:r>
      <w:r w:rsidR="00205754" w:rsidRPr="00F41273">
        <w:t>4</w:t>
      </w:r>
      <w:r w:rsidR="00911E5F" w:rsidRPr="00F41273">
        <w:t>)</w:t>
      </w:r>
      <w:r w:rsidR="00397C1F" w:rsidRPr="00F41273">
        <w:t>.</w:t>
      </w:r>
      <w:r w:rsidR="0093769E" w:rsidRPr="00F41273">
        <w:t xml:space="preserve"> </w:t>
      </w:r>
      <w:r w:rsidR="00A359B0" w:rsidRPr="00F41273">
        <w:t xml:space="preserve">More women in Zambia </w:t>
      </w:r>
      <w:r w:rsidR="00B04AFB" w:rsidRPr="00F41273">
        <w:t>had experience</w:t>
      </w:r>
      <w:r w:rsidR="00A359B0" w:rsidRPr="00F41273">
        <w:t>d a previous stillbirth (65</w:t>
      </w:r>
      <w:r w:rsidR="00505B01" w:rsidRPr="00F41273">
        <w:t>; 6.8%</w:t>
      </w:r>
      <w:r w:rsidR="00A359B0" w:rsidRPr="00F41273">
        <w:t xml:space="preserve"> vs. 18</w:t>
      </w:r>
      <w:r w:rsidR="00505B01" w:rsidRPr="00F41273">
        <w:t>; 1.9%</w:t>
      </w:r>
      <w:r w:rsidR="00A359B0" w:rsidRPr="00F41273">
        <w:t xml:space="preserve">), with those </w:t>
      </w:r>
      <w:r w:rsidR="00847E4A" w:rsidRPr="00F41273">
        <w:t xml:space="preserve">who had experienced a previous stillbirth </w:t>
      </w:r>
      <w:r w:rsidR="00A359B0" w:rsidRPr="00F41273">
        <w:t xml:space="preserve">being </w:t>
      </w:r>
      <w:r w:rsidR="00847E4A" w:rsidRPr="00F41273">
        <w:t>more likely to experience a stillbirth</w:t>
      </w:r>
      <w:r w:rsidR="006A3521" w:rsidRPr="00F41273">
        <w:t xml:space="preserve"> in the current pregnancy </w:t>
      </w:r>
      <w:r w:rsidR="00833DA1" w:rsidRPr="00F41273">
        <w:t xml:space="preserve">(RR </w:t>
      </w:r>
      <w:r w:rsidR="00205754" w:rsidRPr="00F41273">
        <w:t>(95% CI)</w:t>
      </w:r>
      <w:r w:rsidR="00A43F5D" w:rsidRPr="00F41273">
        <w:t xml:space="preserve">: </w:t>
      </w:r>
      <w:bookmarkStart w:id="5" w:name="_Hlk41559866"/>
      <w:r w:rsidR="00A43F5D" w:rsidRPr="00F41273">
        <w:t>Tanzania: 2.17 (1.11 – 4.24),</w:t>
      </w:r>
      <w:r w:rsidR="00833DA1" w:rsidRPr="00F41273">
        <w:t xml:space="preserve"> </w:t>
      </w:r>
      <w:r w:rsidR="00A43F5D" w:rsidRPr="00F41273">
        <w:t>Zambia: 2.19 (1.29 – 3.71)</w:t>
      </w:r>
      <w:r w:rsidR="00833DA1" w:rsidRPr="00F41273">
        <w:t>).</w:t>
      </w:r>
      <w:bookmarkEnd w:id="5"/>
    </w:p>
    <w:p w14:paraId="5DDCAD4A" w14:textId="3B7526B9" w:rsidR="00F755A1" w:rsidRPr="00F41273" w:rsidRDefault="00EF7787" w:rsidP="006E7994">
      <w:pPr>
        <w:spacing w:line="480" w:lineRule="auto"/>
        <w:jc w:val="both"/>
      </w:pPr>
      <w:r w:rsidRPr="00F41273">
        <w:t>For singleton stillbirths</w:t>
      </w:r>
      <w:r w:rsidR="007B589C" w:rsidRPr="00F41273">
        <w:t>,</w:t>
      </w:r>
      <w:r w:rsidRPr="00F41273">
        <w:t xml:space="preserve"> t</w:t>
      </w:r>
      <w:r w:rsidR="00F755A1" w:rsidRPr="00F41273">
        <w:t xml:space="preserve">he recorded time of death indicated </w:t>
      </w:r>
      <w:r w:rsidR="009C2601" w:rsidRPr="00F41273">
        <w:t>42% (n=</w:t>
      </w:r>
      <w:r w:rsidR="00205754" w:rsidRPr="00F41273">
        <w:t>101</w:t>
      </w:r>
      <w:r w:rsidR="009C2601" w:rsidRPr="00F41273">
        <w:t>)</w:t>
      </w:r>
      <w:r w:rsidR="002E1BA3" w:rsidRPr="00F41273">
        <w:t xml:space="preserve"> </w:t>
      </w:r>
      <w:r w:rsidR="00F755A1" w:rsidRPr="00F41273">
        <w:t xml:space="preserve">occurred </w:t>
      </w:r>
      <w:r w:rsidR="002E1BA3" w:rsidRPr="00F41273">
        <w:t xml:space="preserve">antenatally and </w:t>
      </w:r>
      <w:r w:rsidR="009C2601" w:rsidRPr="00F41273">
        <w:t>48% (n=</w:t>
      </w:r>
      <w:r w:rsidR="00702808" w:rsidRPr="00F41273">
        <w:t>11</w:t>
      </w:r>
      <w:r w:rsidR="00205754" w:rsidRPr="00F41273">
        <w:t>4</w:t>
      </w:r>
      <w:r w:rsidR="009C2601" w:rsidRPr="00F41273">
        <w:t>)</w:t>
      </w:r>
      <w:r w:rsidR="002E1BA3" w:rsidRPr="00F41273">
        <w:t xml:space="preserve"> in labour</w:t>
      </w:r>
      <w:r w:rsidR="00F755A1" w:rsidRPr="00F41273">
        <w:t xml:space="preserve">, with the timing of death unclear in </w:t>
      </w:r>
      <w:r w:rsidR="009C2601" w:rsidRPr="00F41273">
        <w:t>1</w:t>
      </w:r>
      <w:r w:rsidR="00205754" w:rsidRPr="00F41273">
        <w:t>0</w:t>
      </w:r>
      <w:r w:rsidR="009C2601" w:rsidRPr="00F41273">
        <w:t>% (n=</w:t>
      </w:r>
      <w:r w:rsidR="00F755A1" w:rsidRPr="00F41273">
        <w:t>25</w:t>
      </w:r>
      <w:r w:rsidR="009C2601" w:rsidRPr="00F41273">
        <w:t>)</w:t>
      </w:r>
      <w:r w:rsidR="00F755A1" w:rsidRPr="00F41273">
        <w:t xml:space="preserve"> cases</w:t>
      </w:r>
      <w:r w:rsidR="00FF38CA" w:rsidRPr="00F41273">
        <w:t xml:space="preserve">. </w:t>
      </w:r>
      <w:r w:rsidR="00F755A1" w:rsidRPr="00F41273">
        <w:t xml:space="preserve">The condition of the </w:t>
      </w:r>
      <w:proofErr w:type="spellStart"/>
      <w:r w:rsidR="00F755A1" w:rsidRPr="00F41273">
        <w:t>fetus</w:t>
      </w:r>
      <w:proofErr w:type="spellEnd"/>
      <w:r w:rsidR="00F755A1" w:rsidRPr="00F41273">
        <w:t xml:space="preserve"> was noted as macerated in </w:t>
      </w:r>
      <w:r w:rsidR="009C2601" w:rsidRPr="00F41273">
        <w:t>4</w:t>
      </w:r>
      <w:r w:rsidR="007A7517" w:rsidRPr="00F41273">
        <w:t>5</w:t>
      </w:r>
      <w:r w:rsidR="009C2601" w:rsidRPr="00F41273">
        <w:t>% (n=</w:t>
      </w:r>
      <w:r w:rsidR="00F755A1" w:rsidRPr="00F41273">
        <w:t>10</w:t>
      </w:r>
      <w:r w:rsidR="00205754" w:rsidRPr="00F41273">
        <w:t>9</w:t>
      </w:r>
      <w:r w:rsidR="009C2601" w:rsidRPr="00F41273">
        <w:t>)</w:t>
      </w:r>
      <w:r w:rsidR="00F755A1" w:rsidRPr="00F41273">
        <w:t xml:space="preserve"> and fresh in </w:t>
      </w:r>
      <w:r w:rsidR="009C2601" w:rsidRPr="00F41273">
        <w:t>54% (n=</w:t>
      </w:r>
      <w:r w:rsidR="00F755A1" w:rsidRPr="00F41273">
        <w:t>1</w:t>
      </w:r>
      <w:r w:rsidR="00205754" w:rsidRPr="00F41273">
        <w:t>30</w:t>
      </w:r>
      <w:r w:rsidR="009C2601" w:rsidRPr="00F41273">
        <w:t>)</w:t>
      </w:r>
      <w:r w:rsidR="00F755A1" w:rsidRPr="00F41273">
        <w:t xml:space="preserve"> </w:t>
      </w:r>
      <w:r w:rsidR="009C2601" w:rsidRPr="00F41273">
        <w:t xml:space="preserve">of </w:t>
      </w:r>
      <w:r w:rsidR="00F755A1" w:rsidRPr="00F41273">
        <w:t>cases</w:t>
      </w:r>
      <w:r w:rsidR="00BE76AD" w:rsidRPr="00F41273">
        <w:t xml:space="preserve"> and not recorded in one case</w:t>
      </w:r>
      <w:r w:rsidR="003D64EC" w:rsidRPr="00F41273">
        <w:t>.</w:t>
      </w:r>
      <w:r w:rsidR="002E1BA3" w:rsidRPr="00F41273">
        <w:t xml:space="preserve"> </w:t>
      </w:r>
      <w:r w:rsidR="00391484" w:rsidRPr="00F41273">
        <w:t>Th</w:t>
      </w:r>
      <w:r w:rsidR="003F3934" w:rsidRPr="00F41273">
        <w:t xml:space="preserve">is </w:t>
      </w:r>
      <w:r w:rsidR="00066256" w:rsidRPr="00F41273">
        <w:t>confirm</w:t>
      </w:r>
      <w:r w:rsidR="003F3934" w:rsidRPr="00F41273">
        <w:t>s</w:t>
      </w:r>
      <w:r w:rsidR="00391484" w:rsidRPr="00F41273">
        <w:t xml:space="preserve"> current understanding that </w:t>
      </w:r>
      <w:r w:rsidR="00FF38CA" w:rsidRPr="00F41273">
        <w:t>classification of time of death is difficult in LMICs</w:t>
      </w:r>
      <w:r w:rsidR="00FF38CA" w:rsidRPr="00F41273">
        <w:rPr>
          <w:vertAlign w:val="superscript"/>
        </w:rPr>
        <w:t>16</w:t>
      </w:r>
      <w:r w:rsidR="00FF38CA" w:rsidRPr="00F41273">
        <w:t xml:space="preserve"> and that </w:t>
      </w:r>
      <w:r w:rsidR="00B91BE9" w:rsidRPr="00F41273">
        <w:t xml:space="preserve">around </w:t>
      </w:r>
      <w:r w:rsidR="00737484" w:rsidRPr="00F41273">
        <w:t>half</w:t>
      </w:r>
      <w:r w:rsidR="00391484" w:rsidRPr="00F41273">
        <w:t xml:space="preserve"> of deaths occur during labour</w:t>
      </w:r>
      <w:r w:rsidR="001F0847" w:rsidRPr="00F41273">
        <w:rPr>
          <w:vertAlign w:val="superscript"/>
        </w:rPr>
        <w:t>17,7</w:t>
      </w:r>
      <w:r w:rsidR="00F12793" w:rsidRPr="00F41273">
        <w:t>.</w:t>
      </w:r>
      <w:r w:rsidR="002E1BA3" w:rsidRPr="00F41273">
        <w:t xml:space="preserve"> </w:t>
      </w:r>
    </w:p>
    <w:p w14:paraId="4DF5C6C7" w14:textId="77777777" w:rsidR="003102B5" w:rsidRPr="00F41273" w:rsidRDefault="003102B5" w:rsidP="006E7994">
      <w:pPr>
        <w:spacing w:line="480" w:lineRule="auto"/>
        <w:jc w:val="both"/>
      </w:pPr>
    </w:p>
    <w:p w14:paraId="2364845B" w14:textId="7DE24C99" w:rsidR="003102B5" w:rsidRPr="00F41273" w:rsidRDefault="003102B5" w:rsidP="006E7994">
      <w:pPr>
        <w:spacing w:line="480" w:lineRule="auto"/>
        <w:jc w:val="both"/>
        <w:rPr>
          <w:b/>
        </w:rPr>
      </w:pPr>
      <w:r w:rsidRPr="00F41273">
        <w:rPr>
          <w:b/>
        </w:rPr>
        <w:t>Qualitative</w:t>
      </w:r>
    </w:p>
    <w:p w14:paraId="68D78E24" w14:textId="0930CE93" w:rsidR="003102B5" w:rsidRDefault="00AD068F" w:rsidP="006E7994">
      <w:pPr>
        <w:spacing w:line="480" w:lineRule="auto"/>
        <w:jc w:val="both"/>
      </w:pPr>
      <w:r w:rsidRPr="00F41273">
        <w:t>Forty-eight</w:t>
      </w:r>
      <w:r w:rsidR="003102B5" w:rsidRPr="00F41273">
        <w:t xml:space="preserve"> interviews were conducted with women and </w:t>
      </w:r>
      <w:r w:rsidR="00B57773" w:rsidRPr="00F41273">
        <w:t>1</w:t>
      </w:r>
      <w:r w:rsidR="00AE18F2" w:rsidRPr="00F41273">
        <w:t>9</w:t>
      </w:r>
      <w:r w:rsidR="003102B5" w:rsidRPr="00F41273">
        <w:t xml:space="preserve"> with partners</w:t>
      </w:r>
      <w:r w:rsidR="0018787A" w:rsidRPr="00F41273">
        <w:t xml:space="preserve"> across the two countries</w:t>
      </w:r>
      <w:r w:rsidR="003102B5" w:rsidRPr="00F41273">
        <w:t xml:space="preserve">. </w:t>
      </w:r>
      <w:r w:rsidR="005F2901" w:rsidRPr="00F41273">
        <w:t>D</w:t>
      </w:r>
      <w:r w:rsidR="008D429E" w:rsidRPr="00F41273">
        <w:t xml:space="preserve">emographics are provided in </w:t>
      </w:r>
      <w:r w:rsidR="008E10CA" w:rsidRPr="00F41273">
        <w:t>Table</w:t>
      </w:r>
      <w:r w:rsidR="0018787A" w:rsidRPr="00F41273">
        <w:t xml:space="preserve"> </w:t>
      </w:r>
      <w:r w:rsidR="00146251" w:rsidRPr="0033396C">
        <w:t>S</w:t>
      </w:r>
      <w:r w:rsidR="00777A60" w:rsidRPr="0033396C">
        <w:t>1</w:t>
      </w:r>
      <w:r w:rsidR="008D429E" w:rsidRPr="0033396C">
        <w:t>.</w:t>
      </w:r>
      <w:r w:rsidR="00BE0844" w:rsidRPr="00F41273">
        <w:t xml:space="preserve"> </w:t>
      </w:r>
      <w:r w:rsidR="005510CA" w:rsidRPr="00F41273">
        <w:t>T</w:t>
      </w:r>
      <w:r w:rsidR="00BE0844" w:rsidRPr="00F41273">
        <w:t xml:space="preserve">he findings indicated that stillbirth was barely acknowledged </w:t>
      </w:r>
      <w:r w:rsidR="00B71F63" w:rsidRPr="00F41273">
        <w:t xml:space="preserve">by health workers </w:t>
      </w:r>
      <w:r w:rsidR="00BE0844" w:rsidRPr="00F41273">
        <w:t>and communication around</w:t>
      </w:r>
      <w:r w:rsidR="007C4C6B" w:rsidRPr="00F41273">
        <w:t xml:space="preserve"> stillbirth was poor.</w:t>
      </w:r>
      <w:r w:rsidR="0018787A" w:rsidRPr="00F41273">
        <w:t xml:space="preserve"> Failure to explain the reasons for stillbirth perpetuated elements of blame between women and health professionals.</w:t>
      </w:r>
    </w:p>
    <w:p w14:paraId="3AE748BF" w14:textId="227FBBDF" w:rsidR="00BE0844" w:rsidRPr="00BE0844" w:rsidRDefault="00DD05EA" w:rsidP="006E7994">
      <w:pPr>
        <w:spacing w:line="480" w:lineRule="auto"/>
        <w:jc w:val="both"/>
        <w:rPr>
          <w:b/>
          <w:bCs/>
          <w:i/>
          <w:iCs/>
        </w:rPr>
      </w:pPr>
      <w:r>
        <w:rPr>
          <w:b/>
          <w:bCs/>
          <w:i/>
          <w:iCs/>
        </w:rPr>
        <w:t>‘It just happens’</w:t>
      </w:r>
    </w:p>
    <w:p w14:paraId="6F48AA19" w14:textId="4CD87021" w:rsidR="00073A06" w:rsidRDefault="005510CA" w:rsidP="006E7994">
      <w:pPr>
        <w:spacing w:line="480" w:lineRule="auto"/>
        <w:jc w:val="both"/>
      </w:pPr>
      <w:r>
        <w:t>D</w:t>
      </w:r>
      <w:r w:rsidR="002E1BA3">
        <w:t xml:space="preserve">ata indicated that communication with women about the death of their baby was poor and </w:t>
      </w:r>
      <w:r w:rsidR="00006B7B">
        <w:t xml:space="preserve">frequently </w:t>
      </w:r>
      <w:r w:rsidR="008F3CA0">
        <w:t>no explanation for the cause of death was given.</w:t>
      </w:r>
      <w:r w:rsidR="00006B7B">
        <w:t xml:space="preserve"> </w:t>
      </w:r>
      <w:r w:rsidR="001009B9">
        <w:t xml:space="preserve">The way in which the news was conveyed indicated that </w:t>
      </w:r>
      <w:r w:rsidR="006573C3">
        <w:t>stillbirth</w:t>
      </w:r>
      <w:r w:rsidR="00667F22">
        <w:t xml:space="preserve"> was a routine occurrence</w:t>
      </w:r>
      <w:r w:rsidR="00204BCC">
        <w:t xml:space="preserve"> and </w:t>
      </w:r>
      <w:r w:rsidR="006573C3">
        <w:t xml:space="preserve">was </w:t>
      </w:r>
      <w:r w:rsidR="00204BCC">
        <w:t>afforded no value</w:t>
      </w:r>
      <w:r w:rsidR="00667F22">
        <w:t>.</w:t>
      </w:r>
    </w:p>
    <w:p w14:paraId="26276E7C" w14:textId="4E07EFE2" w:rsidR="008F3CA0" w:rsidRDefault="008F3CA0" w:rsidP="006E7994">
      <w:pPr>
        <w:spacing w:line="480" w:lineRule="auto"/>
        <w:ind w:left="720"/>
        <w:jc w:val="both"/>
        <w:rPr>
          <w:i/>
        </w:rPr>
      </w:pPr>
      <w:r>
        <w:rPr>
          <w:i/>
        </w:rPr>
        <w:t>‘</w:t>
      </w:r>
      <w:r w:rsidRPr="00073A06">
        <w:rPr>
          <w:i/>
        </w:rPr>
        <w:t xml:space="preserve">I just came to the hospital and they </w:t>
      </w:r>
      <w:r w:rsidR="005960E5" w:rsidRPr="00073A06">
        <w:rPr>
          <w:i/>
        </w:rPr>
        <w:t>said,</w:t>
      </w:r>
      <w:r w:rsidRPr="00073A06">
        <w:rPr>
          <w:i/>
        </w:rPr>
        <w:t xml:space="preserve"> </w:t>
      </w:r>
      <w:r w:rsidR="00737484">
        <w:rPr>
          <w:i/>
        </w:rPr>
        <w:t>“</w:t>
      </w:r>
      <w:r w:rsidRPr="00073A06">
        <w:rPr>
          <w:i/>
        </w:rPr>
        <w:t>it just happens</w:t>
      </w:r>
      <w:r w:rsidR="00737484">
        <w:rPr>
          <w:i/>
        </w:rPr>
        <w:t>”</w:t>
      </w:r>
      <w:r w:rsidRPr="00073A06">
        <w:rPr>
          <w:i/>
        </w:rPr>
        <w:t>.</w:t>
      </w:r>
      <w:r w:rsidR="00435D49">
        <w:rPr>
          <w:i/>
        </w:rPr>
        <w:t xml:space="preserve"> [Woman, Tanzania</w:t>
      </w:r>
      <w:r>
        <w:rPr>
          <w:i/>
        </w:rPr>
        <w:t>]</w:t>
      </w:r>
    </w:p>
    <w:p w14:paraId="22364B73" w14:textId="2DD10E9D" w:rsidR="00737484" w:rsidRDefault="00737484" w:rsidP="006E7994">
      <w:pPr>
        <w:spacing w:line="480" w:lineRule="auto"/>
        <w:jc w:val="both"/>
        <w:rPr>
          <w:i/>
        </w:rPr>
      </w:pPr>
      <w:r>
        <w:lastRenderedPageBreak/>
        <w:t xml:space="preserve">In communicating with women, staff displayed an uncaring attitude and a lack of compassion, which may be reflective of the insignificance attributed to the event by health workers or may be a symptom of disrespectful care in general. </w:t>
      </w:r>
      <w:r w:rsidR="00C7244A">
        <w:t xml:space="preserve">Cultural belief may also play a part, whereby a stillborn baby is not viewed as human and, hence, </w:t>
      </w:r>
      <w:r w:rsidR="00BA79BA">
        <w:t xml:space="preserve">is </w:t>
      </w:r>
      <w:r w:rsidR="00C7244A">
        <w:t xml:space="preserve">inconsequential. </w:t>
      </w:r>
      <w:r>
        <w:t>One partner recalled the behaviour of staff.</w:t>
      </w:r>
    </w:p>
    <w:p w14:paraId="17F935E6" w14:textId="06FE2928" w:rsidR="00737484" w:rsidRDefault="00737484" w:rsidP="006E7994">
      <w:pPr>
        <w:spacing w:line="480" w:lineRule="auto"/>
        <w:ind w:left="720"/>
        <w:jc w:val="both"/>
        <w:rPr>
          <w:i/>
        </w:rPr>
      </w:pPr>
      <w:r>
        <w:rPr>
          <w:i/>
        </w:rPr>
        <w:t>‘</w:t>
      </w:r>
      <w:r w:rsidRPr="00680FD3">
        <w:rPr>
          <w:i/>
        </w:rPr>
        <w:t>When she loses the baby</w:t>
      </w:r>
      <w:r>
        <w:rPr>
          <w:i/>
        </w:rPr>
        <w:t>,</w:t>
      </w:r>
      <w:r w:rsidRPr="00680FD3">
        <w:rPr>
          <w:i/>
        </w:rPr>
        <w:t xml:space="preserve"> they don’t even sympathize with the mother. They will say it is bad luck</w:t>
      </w:r>
      <w:r>
        <w:rPr>
          <w:i/>
        </w:rPr>
        <w:t>,</w:t>
      </w:r>
      <w:r w:rsidRPr="00680FD3">
        <w:rPr>
          <w:i/>
        </w:rPr>
        <w:t xml:space="preserve"> go home</w:t>
      </w:r>
      <w:r>
        <w:rPr>
          <w:i/>
        </w:rPr>
        <w:t>,</w:t>
      </w:r>
      <w:r w:rsidRPr="00680FD3">
        <w:rPr>
          <w:i/>
        </w:rPr>
        <w:t xml:space="preserve"> and that’s all.</w:t>
      </w:r>
      <w:r>
        <w:rPr>
          <w:i/>
        </w:rPr>
        <w:t>’ [</w:t>
      </w:r>
      <w:r w:rsidRPr="000404FD">
        <w:rPr>
          <w:i/>
        </w:rPr>
        <w:t>P</w:t>
      </w:r>
      <w:r w:rsidR="00435D49">
        <w:rPr>
          <w:i/>
        </w:rPr>
        <w:t>artner,</w:t>
      </w:r>
      <w:r w:rsidRPr="000404FD">
        <w:rPr>
          <w:i/>
        </w:rPr>
        <w:t xml:space="preserve"> </w:t>
      </w:r>
      <w:r>
        <w:rPr>
          <w:i/>
        </w:rPr>
        <w:t>T</w:t>
      </w:r>
      <w:r w:rsidR="008D429E">
        <w:rPr>
          <w:i/>
        </w:rPr>
        <w:t>anzania</w:t>
      </w:r>
      <w:r>
        <w:rPr>
          <w:i/>
        </w:rPr>
        <w:t>]</w:t>
      </w:r>
    </w:p>
    <w:p w14:paraId="066FDD8C" w14:textId="65693648" w:rsidR="00205AB3" w:rsidRDefault="00A261F9" w:rsidP="006E7994">
      <w:pPr>
        <w:spacing w:line="480" w:lineRule="auto"/>
        <w:jc w:val="both"/>
      </w:pPr>
      <w:r>
        <w:t>The failure to acknowledge the stillbirth</w:t>
      </w:r>
      <w:r w:rsidR="00205AB3">
        <w:t xml:space="preserve"> </w:t>
      </w:r>
      <w:r>
        <w:t xml:space="preserve">and its impact on the woman </w:t>
      </w:r>
      <w:r w:rsidR="00205AB3">
        <w:t>compounded the impression of the irrelevance of the loss to health professionals.</w:t>
      </w:r>
    </w:p>
    <w:p w14:paraId="0C9303A0" w14:textId="5957A45D" w:rsidR="00205AB3" w:rsidRDefault="00D22449" w:rsidP="006E7994">
      <w:pPr>
        <w:spacing w:line="480" w:lineRule="auto"/>
        <w:ind w:left="720"/>
        <w:jc w:val="both"/>
        <w:rPr>
          <w:iCs/>
        </w:rPr>
      </w:pPr>
      <w:r>
        <w:rPr>
          <w:i/>
        </w:rPr>
        <w:t>‘</w:t>
      </w:r>
      <w:r w:rsidR="00205AB3" w:rsidRPr="00205AB3">
        <w:rPr>
          <w:i/>
        </w:rPr>
        <w:t>On discharge, no one talked or counselled me about my loss; to them it was business as usual.’ [</w:t>
      </w:r>
      <w:r w:rsidR="00435D49">
        <w:rPr>
          <w:i/>
        </w:rPr>
        <w:t>Woman, Zambia</w:t>
      </w:r>
      <w:r w:rsidR="00205AB3" w:rsidRPr="00205AB3">
        <w:rPr>
          <w:i/>
        </w:rPr>
        <w:t>]</w:t>
      </w:r>
    </w:p>
    <w:p w14:paraId="1DC82F1A" w14:textId="3BFDC276" w:rsidR="007C4C6B" w:rsidRPr="007C4C6B" w:rsidRDefault="00DD05EA" w:rsidP="006E7994">
      <w:pPr>
        <w:spacing w:line="480" w:lineRule="auto"/>
        <w:jc w:val="both"/>
        <w:rPr>
          <w:b/>
          <w:bCs/>
          <w:i/>
          <w:iCs/>
        </w:rPr>
      </w:pPr>
      <w:r>
        <w:rPr>
          <w:b/>
          <w:bCs/>
          <w:i/>
          <w:iCs/>
        </w:rPr>
        <w:t>‘Avoiding the question’</w:t>
      </w:r>
    </w:p>
    <w:p w14:paraId="0E20874E" w14:textId="5F8B76C1" w:rsidR="00006B7B" w:rsidRDefault="00006B7B" w:rsidP="006E7994">
      <w:pPr>
        <w:spacing w:line="480" w:lineRule="auto"/>
        <w:jc w:val="both"/>
      </w:pPr>
      <w:r>
        <w:t>In many cases women were not informed about the stillbirth at the time</w:t>
      </w:r>
      <w:r w:rsidR="00667F22">
        <w:t xml:space="preserve"> it occurred</w:t>
      </w:r>
      <w:r>
        <w:t>. The rationale for this was unclear but</w:t>
      </w:r>
      <w:r w:rsidR="00DF1BA9">
        <w:t>,</w:t>
      </w:r>
      <w:r>
        <w:t xml:space="preserve"> in some </w:t>
      </w:r>
      <w:r w:rsidR="00B33D06">
        <w:t>situations</w:t>
      </w:r>
      <w:r>
        <w:t xml:space="preserve">, </w:t>
      </w:r>
      <w:r w:rsidR="003102B5">
        <w:t xml:space="preserve">health workers </w:t>
      </w:r>
      <w:r>
        <w:t xml:space="preserve">appeared to be waiting for a relative to arrive and they would communicate the loss to them. </w:t>
      </w:r>
      <w:r w:rsidR="002A3F58">
        <w:t xml:space="preserve">The relative would then </w:t>
      </w:r>
      <w:r w:rsidR="006573C3">
        <w:t xml:space="preserve">inform </w:t>
      </w:r>
      <w:r w:rsidR="002A3F58">
        <w:t xml:space="preserve">the woman. </w:t>
      </w:r>
      <w:r>
        <w:t>A partner describe</w:t>
      </w:r>
      <w:r w:rsidR="00667F22">
        <w:t>d</w:t>
      </w:r>
      <w:r>
        <w:t xml:space="preserve"> what the midwife said to him when he asked about the baby on arrival at the facility.</w:t>
      </w:r>
    </w:p>
    <w:p w14:paraId="11585A95" w14:textId="12495948" w:rsidR="00006B7B" w:rsidRDefault="00006B7B" w:rsidP="006E7994">
      <w:pPr>
        <w:spacing w:line="480" w:lineRule="auto"/>
        <w:ind w:left="720"/>
        <w:jc w:val="both"/>
        <w:rPr>
          <w:i/>
          <w:iCs/>
        </w:rPr>
      </w:pPr>
      <w:r>
        <w:rPr>
          <w:i/>
          <w:iCs/>
        </w:rPr>
        <w:t>‘</w:t>
      </w:r>
      <w:r w:rsidRPr="00006B7B">
        <w:rPr>
          <w:i/>
          <w:iCs/>
        </w:rPr>
        <w:t xml:space="preserve">The child had died we did not tell her </w:t>
      </w:r>
      <w:r w:rsidR="0039560C" w:rsidRPr="00006B7B">
        <w:rPr>
          <w:i/>
          <w:iCs/>
        </w:rPr>
        <w:t>mother;</w:t>
      </w:r>
      <w:r w:rsidRPr="00006B7B">
        <w:rPr>
          <w:i/>
          <w:iCs/>
        </w:rPr>
        <w:t xml:space="preserve"> we were waiting for another person to come.’ [</w:t>
      </w:r>
      <w:r w:rsidR="00435D49">
        <w:rPr>
          <w:i/>
          <w:iCs/>
        </w:rPr>
        <w:t>Partner, Tanzania</w:t>
      </w:r>
      <w:r w:rsidRPr="00006B7B">
        <w:rPr>
          <w:i/>
          <w:iCs/>
        </w:rPr>
        <w:t>]</w:t>
      </w:r>
    </w:p>
    <w:p w14:paraId="307073D5" w14:textId="387C9F11" w:rsidR="00006B7B" w:rsidRPr="00006B7B" w:rsidRDefault="00B460FD" w:rsidP="006E7994">
      <w:pPr>
        <w:spacing w:line="480" w:lineRule="auto"/>
        <w:jc w:val="both"/>
      </w:pPr>
      <w:r>
        <w:t>On occasions</w:t>
      </w:r>
      <w:r w:rsidR="00006B7B">
        <w:t xml:space="preserve"> there appeared to be c</w:t>
      </w:r>
      <w:r>
        <w:t xml:space="preserve">ollusion between the staff and </w:t>
      </w:r>
      <w:r w:rsidR="00006B7B">
        <w:t>relative</w:t>
      </w:r>
      <w:r>
        <w:t>s</w:t>
      </w:r>
      <w:r w:rsidR="00006B7B">
        <w:t xml:space="preserve"> over the loss</w:t>
      </w:r>
      <w:r w:rsidR="003102B5">
        <w:t>, resulting in concealment of the stillbirth from the woman.</w:t>
      </w:r>
    </w:p>
    <w:p w14:paraId="42D6F7D3" w14:textId="59FA31D7" w:rsidR="004F3801" w:rsidRDefault="004F3801" w:rsidP="006E7994">
      <w:pPr>
        <w:spacing w:line="480" w:lineRule="auto"/>
        <w:ind w:left="720"/>
        <w:jc w:val="both"/>
      </w:pPr>
      <w:r>
        <w:rPr>
          <w:i/>
        </w:rPr>
        <w:t>‘</w:t>
      </w:r>
      <w:r w:rsidRPr="004F3801">
        <w:rPr>
          <w:i/>
        </w:rPr>
        <w:t>When I woke up, I found two of my fellow women I was with sleeping next to their babies, I looked around I didn’t see mine.  When the nurse came in</w:t>
      </w:r>
      <w:r w:rsidR="00E96EFD">
        <w:rPr>
          <w:i/>
        </w:rPr>
        <w:t>,</w:t>
      </w:r>
      <w:r w:rsidRPr="004F3801">
        <w:rPr>
          <w:i/>
        </w:rPr>
        <w:t xml:space="preserve"> I asked her where my baby was, she just said I will come back and left but she never came back. In the evening I insisted I wanted to know where my baby was, the nurse then told me that my baby was in intensive care unit for observation and left immediately, I wanted to ask what </w:t>
      </w:r>
      <w:r w:rsidR="00006B7B" w:rsidRPr="004F3801">
        <w:rPr>
          <w:i/>
        </w:rPr>
        <w:t>happened,</w:t>
      </w:r>
      <w:r w:rsidRPr="004F3801">
        <w:rPr>
          <w:i/>
        </w:rPr>
        <w:t xml:space="preserve"> but she left. It’s like she </w:t>
      </w:r>
      <w:r w:rsidRPr="004F3801">
        <w:rPr>
          <w:i/>
        </w:rPr>
        <w:lastRenderedPageBreak/>
        <w:t>was avoiding my question.  In the night my grandmother brought me some porridge, I took this opportunity to ask her where my baby. She told me the same that my baby was in an intensive care unit for observation. The following day my grandmother came</w:t>
      </w:r>
      <w:r w:rsidR="007A7517">
        <w:rPr>
          <w:i/>
        </w:rPr>
        <w:t>,</w:t>
      </w:r>
      <w:r w:rsidRPr="004F3801">
        <w:rPr>
          <w:i/>
        </w:rPr>
        <w:t xml:space="preserve"> she thought I was sleeping and then I overhead her telling my neighbo</w:t>
      </w:r>
      <w:r w:rsidR="00006B7B">
        <w:rPr>
          <w:i/>
        </w:rPr>
        <w:t>u</w:t>
      </w:r>
      <w:r w:rsidR="00B33D06">
        <w:rPr>
          <w:i/>
        </w:rPr>
        <w:t>r that I delivered a still</w:t>
      </w:r>
      <w:r w:rsidRPr="004F3801">
        <w:rPr>
          <w:i/>
        </w:rPr>
        <w:t>birth, but told her not to tell me.</w:t>
      </w:r>
      <w:r>
        <w:rPr>
          <w:i/>
        </w:rPr>
        <w:t xml:space="preserve">’ </w:t>
      </w:r>
      <w:r w:rsidRPr="00435D49">
        <w:rPr>
          <w:i/>
        </w:rPr>
        <w:t>[</w:t>
      </w:r>
      <w:r w:rsidR="00435D49" w:rsidRPr="00435D49">
        <w:rPr>
          <w:i/>
        </w:rPr>
        <w:t>Woman, Zambia</w:t>
      </w:r>
      <w:r w:rsidRPr="00435D49">
        <w:rPr>
          <w:i/>
        </w:rPr>
        <w:t>]</w:t>
      </w:r>
    </w:p>
    <w:p w14:paraId="0A0A4088" w14:textId="2B076403" w:rsidR="00F066C9" w:rsidRPr="00F066C9" w:rsidRDefault="00F066C9" w:rsidP="006E7994">
      <w:pPr>
        <w:spacing w:line="480" w:lineRule="auto"/>
        <w:jc w:val="both"/>
        <w:rPr>
          <w:iCs/>
        </w:rPr>
      </w:pPr>
      <w:r>
        <w:rPr>
          <w:iCs/>
        </w:rPr>
        <w:t xml:space="preserve">For many </w:t>
      </w:r>
      <w:r w:rsidR="00A96A1A">
        <w:rPr>
          <w:iCs/>
        </w:rPr>
        <w:t>women,</w:t>
      </w:r>
      <w:r>
        <w:rPr>
          <w:iCs/>
        </w:rPr>
        <w:t xml:space="preserve"> the failure to inform them in a timely manner meant they had no opportunity to see their baby and </w:t>
      </w:r>
      <w:r w:rsidR="008D43EA">
        <w:rPr>
          <w:iCs/>
        </w:rPr>
        <w:t>relatives had often already buried the infant</w:t>
      </w:r>
      <w:r>
        <w:rPr>
          <w:iCs/>
        </w:rPr>
        <w:t xml:space="preserve"> before the woman left hospital.</w:t>
      </w:r>
    </w:p>
    <w:p w14:paraId="17BBE812" w14:textId="4474C582" w:rsidR="007C4C6B" w:rsidRPr="007C4C6B" w:rsidRDefault="00DD05EA" w:rsidP="006E7994">
      <w:pPr>
        <w:spacing w:line="480" w:lineRule="auto"/>
        <w:jc w:val="both"/>
        <w:rPr>
          <w:b/>
          <w:bCs/>
          <w:i/>
          <w:iCs/>
        </w:rPr>
      </w:pPr>
      <w:r>
        <w:rPr>
          <w:b/>
          <w:bCs/>
          <w:i/>
          <w:iCs/>
        </w:rPr>
        <w:t>‘I needed a proper answer’</w:t>
      </w:r>
    </w:p>
    <w:p w14:paraId="73F40132" w14:textId="44B444E7" w:rsidR="002A3F58" w:rsidRDefault="003102B5" w:rsidP="006E7994">
      <w:pPr>
        <w:spacing w:line="480" w:lineRule="auto"/>
        <w:jc w:val="both"/>
      </w:pPr>
      <w:r>
        <w:t>When women were made aware of the stillbirth</w:t>
      </w:r>
      <w:r w:rsidR="00AD068F">
        <w:t>,</w:t>
      </w:r>
      <w:r>
        <w:t xml:space="preserve"> </w:t>
      </w:r>
      <w:r w:rsidR="006573C3">
        <w:t xml:space="preserve">they </w:t>
      </w:r>
      <w:r>
        <w:t xml:space="preserve">discussed wanting to understand the reasons for the death of their baby. However, </w:t>
      </w:r>
      <w:r w:rsidR="002A3F58">
        <w:t>they did not feel they could ask the staff due to their attitude, bringing about a feeling of helplessness in the women.</w:t>
      </w:r>
    </w:p>
    <w:p w14:paraId="29597A38" w14:textId="6E56E3F6" w:rsidR="00073A06" w:rsidRPr="00073A06" w:rsidRDefault="00073A06" w:rsidP="006E7994">
      <w:pPr>
        <w:spacing w:line="480" w:lineRule="auto"/>
        <w:ind w:left="720"/>
        <w:jc w:val="both"/>
      </w:pPr>
      <w:r w:rsidRPr="00073A06">
        <w:rPr>
          <w:i/>
        </w:rPr>
        <w:t>‘I am even feel</w:t>
      </w:r>
      <w:r w:rsidR="0039560C">
        <w:rPr>
          <w:i/>
        </w:rPr>
        <w:t>ing</w:t>
      </w:r>
      <w:r w:rsidRPr="00073A06">
        <w:rPr>
          <w:i/>
        </w:rPr>
        <w:t xml:space="preserve"> frightened to ask the nurses they are too harsh…. I am afraid I can't even ask, what am I going to ask, the child is already dead</w:t>
      </w:r>
      <w:r w:rsidR="0039560C">
        <w:rPr>
          <w:i/>
        </w:rPr>
        <w:t>,</w:t>
      </w:r>
      <w:r w:rsidRPr="00073A06">
        <w:rPr>
          <w:i/>
        </w:rPr>
        <w:t xml:space="preserve"> even if I ask what will I do the child is already dead</w:t>
      </w:r>
      <w:r w:rsidR="0039560C">
        <w:rPr>
          <w:i/>
        </w:rPr>
        <w:t>?</w:t>
      </w:r>
      <w:r w:rsidRPr="00073A06">
        <w:rPr>
          <w:i/>
        </w:rPr>
        <w:t>’</w:t>
      </w:r>
      <w:r>
        <w:t xml:space="preserve"> </w:t>
      </w:r>
      <w:r w:rsidRPr="00435D49">
        <w:rPr>
          <w:i/>
        </w:rPr>
        <w:t>[</w:t>
      </w:r>
      <w:r w:rsidR="00435D49" w:rsidRPr="00435D49">
        <w:rPr>
          <w:i/>
        </w:rPr>
        <w:t>Woman, Tanzania</w:t>
      </w:r>
      <w:r w:rsidRPr="00435D49">
        <w:rPr>
          <w:i/>
        </w:rPr>
        <w:t>]</w:t>
      </w:r>
    </w:p>
    <w:p w14:paraId="1A8DA37A" w14:textId="23C30D83" w:rsidR="007A7F00" w:rsidRDefault="006573C3" w:rsidP="006E7994">
      <w:pPr>
        <w:spacing w:line="480" w:lineRule="auto"/>
        <w:jc w:val="both"/>
      </w:pPr>
      <w:r>
        <w:t xml:space="preserve">There appeared to be no will on the part of healthcare workers to help women and families understand the reasons for the stillbirth. </w:t>
      </w:r>
      <w:r w:rsidR="00BC6787">
        <w:t>The lack of provision of investigations, such as post-mortem, further limited parents</w:t>
      </w:r>
      <w:r w:rsidR="00A330C7">
        <w:t>’</w:t>
      </w:r>
      <w:r w:rsidR="00BC6787">
        <w:t xml:space="preserve"> understanding of the </w:t>
      </w:r>
      <w:r>
        <w:t xml:space="preserve">cause of the </w:t>
      </w:r>
      <w:r w:rsidR="00BC6787">
        <w:t xml:space="preserve">stillbirth.  </w:t>
      </w:r>
    </w:p>
    <w:p w14:paraId="46C545C1" w14:textId="167452ED" w:rsidR="007A7F00" w:rsidRPr="008D43EA" w:rsidRDefault="007A7F00" w:rsidP="006E7994">
      <w:pPr>
        <w:spacing w:line="480" w:lineRule="auto"/>
        <w:ind w:left="720"/>
        <w:jc w:val="both"/>
        <w:rPr>
          <w:i/>
        </w:rPr>
      </w:pPr>
      <w:r>
        <w:rPr>
          <w:i/>
        </w:rPr>
        <w:t>‘</w:t>
      </w:r>
      <w:r w:rsidRPr="007A7F00">
        <w:rPr>
          <w:i/>
        </w:rPr>
        <w:t xml:space="preserve">Nobody knows what killed the baby up to now. We were just told the baby was dead, asked what killed the baby no </w:t>
      </w:r>
      <w:r w:rsidR="00B02350">
        <w:rPr>
          <w:i/>
        </w:rPr>
        <w:t xml:space="preserve">[one] </w:t>
      </w:r>
      <w:r w:rsidRPr="007A7F00">
        <w:rPr>
          <w:i/>
        </w:rPr>
        <w:t>knew…  I wish we could do post</w:t>
      </w:r>
      <w:r w:rsidR="00134BCE">
        <w:rPr>
          <w:i/>
        </w:rPr>
        <w:t>-</w:t>
      </w:r>
      <w:r w:rsidRPr="007A7F00">
        <w:rPr>
          <w:i/>
        </w:rPr>
        <w:t>mortem but then, we do not have such services in our facilities.</w:t>
      </w:r>
      <w:r w:rsidRPr="008D43EA">
        <w:rPr>
          <w:i/>
        </w:rPr>
        <w:t>’</w:t>
      </w:r>
      <w:r w:rsidR="00435D49" w:rsidRPr="008D43EA">
        <w:rPr>
          <w:i/>
        </w:rPr>
        <w:t xml:space="preserve"> </w:t>
      </w:r>
      <w:r w:rsidRPr="008D43EA">
        <w:rPr>
          <w:i/>
        </w:rPr>
        <w:t>[</w:t>
      </w:r>
      <w:r w:rsidR="00435D49" w:rsidRPr="008D43EA">
        <w:rPr>
          <w:i/>
        </w:rPr>
        <w:t>Partner, Zambia</w:t>
      </w:r>
      <w:r w:rsidRPr="008D43EA">
        <w:rPr>
          <w:i/>
        </w:rPr>
        <w:t>]</w:t>
      </w:r>
    </w:p>
    <w:p w14:paraId="3D60C5DC" w14:textId="74FA8793" w:rsidR="00737484" w:rsidRDefault="00737484" w:rsidP="006E7994">
      <w:pPr>
        <w:spacing w:line="480" w:lineRule="auto"/>
        <w:jc w:val="both"/>
      </w:pPr>
      <w:r>
        <w:t>Women struggled to understand the pregnancy loss in an absence of an explanation when they felt they had done all they could to ensure a healthy pregnancy.</w:t>
      </w:r>
    </w:p>
    <w:p w14:paraId="6C9ACC21" w14:textId="04AD1FD7" w:rsidR="00737484" w:rsidRDefault="00737484" w:rsidP="006E7994">
      <w:pPr>
        <w:spacing w:after="0" w:line="480" w:lineRule="auto"/>
        <w:ind w:left="720"/>
        <w:jc w:val="both"/>
      </w:pPr>
      <w:r w:rsidRPr="006539DF">
        <w:rPr>
          <w:i/>
        </w:rPr>
        <w:t>‘I have been attending all</w:t>
      </w:r>
      <w:r>
        <w:rPr>
          <w:i/>
        </w:rPr>
        <w:t xml:space="preserve"> </w:t>
      </w:r>
      <w:r w:rsidRPr="006539DF">
        <w:rPr>
          <w:i/>
        </w:rPr>
        <w:t>my clinic appointments. I made sure I ate well. I really don’t know what happened. I</w:t>
      </w:r>
      <w:r>
        <w:rPr>
          <w:i/>
        </w:rPr>
        <w:t xml:space="preserve"> </w:t>
      </w:r>
      <w:r w:rsidRPr="006539DF">
        <w:rPr>
          <w:i/>
        </w:rPr>
        <w:t>needed a proper answer</w:t>
      </w:r>
      <w:r w:rsidR="00491ACF">
        <w:rPr>
          <w:i/>
        </w:rPr>
        <w:t>,</w:t>
      </w:r>
      <w:r w:rsidRPr="006539DF">
        <w:rPr>
          <w:i/>
        </w:rPr>
        <w:t xml:space="preserve"> but I did not get one… they just told me</w:t>
      </w:r>
      <w:r>
        <w:rPr>
          <w:i/>
        </w:rPr>
        <w:t xml:space="preserve"> </w:t>
      </w:r>
      <w:r w:rsidRPr="006539DF">
        <w:rPr>
          <w:i/>
        </w:rPr>
        <w:t xml:space="preserve">that my </w:t>
      </w:r>
      <w:r w:rsidRPr="006539DF">
        <w:rPr>
          <w:i/>
        </w:rPr>
        <w:lastRenderedPageBreak/>
        <w:t>baby died in the uterus….</w:t>
      </w:r>
      <w:r>
        <w:rPr>
          <w:i/>
        </w:rPr>
        <w:t xml:space="preserve"> </w:t>
      </w:r>
      <w:r w:rsidRPr="006539DF">
        <w:rPr>
          <w:i/>
        </w:rPr>
        <w:t>but they didn’t tell me what went wrong with my baby</w:t>
      </w:r>
      <w:r>
        <w:rPr>
          <w:i/>
        </w:rPr>
        <w:t>.</w:t>
      </w:r>
      <w:r w:rsidRPr="006539DF">
        <w:rPr>
          <w:i/>
        </w:rPr>
        <w:t>’</w:t>
      </w:r>
      <w:r>
        <w:rPr>
          <w:i/>
        </w:rPr>
        <w:t xml:space="preserve"> </w:t>
      </w:r>
      <w:r w:rsidRPr="006539DF">
        <w:rPr>
          <w:i/>
        </w:rPr>
        <w:t>[</w:t>
      </w:r>
      <w:r w:rsidR="00435D49">
        <w:rPr>
          <w:i/>
        </w:rPr>
        <w:t>W</w:t>
      </w:r>
      <w:r w:rsidRPr="006539DF">
        <w:rPr>
          <w:i/>
        </w:rPr>
        <w:t>oman,</w:t>
      </w:r>
      <w:r w:rsidR="008D429E">
        <w:rPr>
          <w:i/>
        </w:rPr>
        <w:t xml:space="preserve"> </w:t>
      </w:r>
      <w:r w:rsidR="00435D49">
        <w:rPr>
          <w:i/>
        </w:rPr>
        <w:t>Tanzania</w:t>
      </w:r>
      <w:r w:rsidRPr="006539DF">
        <w:rPr>
          <w:i/>
        </w:rPr>
        <w:t>]</w:t>
      </w:r>
    </w:p>
    <w:p w14:paraId="1706B621" w14:textId="3B8157D4" w:rsidR="007C4C6B" w:rsidRPr="007C4C6B" w:rsidRDefault="00DD05EA" w:rsidP="006E7994">
      <w:pPr>
        <w:spacing w:line="480" w:lineRule="auto"/>
        <w:jc w:val="both"/>
        <w:rPr>
          <w:b/>
          <w:bCs/>
          <w:i/>
          <w:iCs/>
        </w:rPr>
      </w:pPr>
      <w:r>
        <w:rPr>
          <w:b/>
          <w:bCs/>
          <w:i/>
          <w:iCs/>
        </w:rPr>
        <w:t>‘Blaming’</w:t>
      </w:r>
    </w:p>
    <w:p w14:paraId="04F07686" w14:textId="6F9AC8F0" w:rsidR="00B33D06" w:rsidRDefault="0039560C" w:rsidP="006E7994">
      <w:pPr>
        <w:spacing w:line="480" w:lineRule="auto"/>
        <w:jc w:val="both"/>
      </w:pPr>
      <w:r>
        <w:t xml:space="preserve">Blame was apparent, both of women and of health professionals. </w:t>
      </w:r>
      <w:r w:rsidR="00B33D06">
        <w:t>Health professionals would infer blame, indicating the stillbirth was the fault of the woman.</w:t>
      </w:r>
    </w:p>
    <w:p w14:paraId="443882CA" w14:textId="7B00FB21" w:rsidR="00205AB3" w:rsidRDefault="00205AB3" w:rsidP="006E7994">
      <w:pPr>
        <w:spacing w:line="480" w:lineRule="auto"/>
        <w:ind w:left="720"/>
        <w:jc w:val="both"/>
        <w:rPr>
          <w:i/>
        </w:rPr>
      </w:pPr>
      <w:r>
        <w:rPr>
          <w:i/>
        </w:rPr>
        <w:t>‘</w:t>
      </w:r>
      <w:r w:rsidRPr="00205AB3">
        <w:rPr>
          <w:i/>
        </w:rPr>
        <w:t>I was in shock; it was unbelievable that I lost my baby just like that. The male nurse started blaming me for been lazy in pushing, I was so hurt but I could not speak. [</w:t>
      </w:r>
      <w:r w:rsidR="00435D49">
        <w:rPr>
          <w:i/>
        </w:rPr>
        <w:t xml:space="preserve">Woman, </w:t>
      </w:r>
      <w:r w:rsidR="0040582C">
        <w:rPr>
          <w:i/>
        </w:rPr>
        <w:t xml:space="preserve">Stillbirth, </w:t>
      </w:r>
      <w:r w:rsidR="00435D49">
        <w:rPr>
          <w:i/>
        </w:rPr>
        <w:t>Zambia</w:t>
      </w:r>
      <w:r w:rsidRPr="00205AB3">
        <w:rPr>
          <w:i/>
        </w:rPr>
        <w:t>]</w:t>
      </w:r>
    </w:p>
    <w:p w14:paraId="08EFC7E6" w14:textId="43465D42" w:rsidR="00204BCC" w:rsidRPr="00B02350" w:rsidRDefault="0039560C" w:rsidP="006E7994">
      <w:pPr>
        <w:spacing w:line="480" w:lineRule="auto"/>
        <w:jc w:val="both"/>
      </w:pPr>
      <w:r>
        <w:t xml:space="preserve">Some women, having presented at the facility, blamed health professionals for the loss. Often, they felt they were neglected </w:t>
      </w:r>
      <w:r w:rsidR="00B36BC1">
        <w:t xml:space="preserve">or provided with poor care </w:t>
      </w:r>
      <w:r>
        <w:t>by the individuals caring for them.</w:t>
      </w:r>
    </w:p>
    <w:p w14:paraId="01B25EE5" w14:textId="590AE665" w:rsidR="006A1CA2" w:rsidRPr="008B4756" w:rsidRDefault="006A1CA2" w:rsidP="006E7994">
      <w:pPr>
        <w:spacing w:line="480" w:lineRule="auto"/>
        <w:ind w:left="720"/>
        <w:jc w:val="both"/>
        <w:rPr>
          <w:i/>
        </w:rPr>
      </w:pPr>
      <w:r w:rsidRPr="00205AB3">
        <w:rPr>
          <w:i/>
        </w:rPr>
        <w:t>‘The second baby, I gave birth at the hospital, but the nurses contributed to her death because they were not there to assist me when I needed them.</w:t>
      </w:r>
      <w:r w:rsidRPr="008B4756">
        <w:rPr>
          <w:i/>
        </w:rPr>
        <w:t>’ [</w:t>
      </w:r>
      <w:r w:rsidR="00435D49">
        <w:rPr>
          <w:i/>
        </w:rPr>
        <w:t xml:space="preserve">Woman, </w:t>
      </w:r>
      <w:r w:rsidR="008D43EA">
        <w:rPr>
          <w:i/>
        </w:rPr>
        <w:t xml:space="preserve">previous stillbirth, </w:t>
      </w:r>
      <w:r w:rsidR="00435D49">
        <w:rPr>
          <w:i/>
        </w:rPr>
        <w:t>Tanzania</w:t>
      </w:r>
      <w:r w:rsidRPr="008B4756">
        <w:rPr>
          <w:i/>
        </w:rPr>
        <w:t>]</w:t>
      </w:r>
    </w:p>
    <w:p w14:paraId="670CD485" w14:textId="409D57E3" w:rsidR="006C7FCB" w:rsidRPr="00204BCC" w:rsidRDefault="006C7FCB" w:rsidP="006E7994">
      <w:pPr>
        <w:spacing w:line="480" w:lineRule="auto"/>
        <w:jc w:val="both"/>
        <w:rPr>
          <w:b/>
        </w:rPr>
      </w:pPr>
      <w:r w:rsidRPr="00204BCC">
        <w:rPr>
          <w:b/>
        </w:rPr>
        <w:t xml:space="preserve">Discussion </w:t>
      </w:r>
    </w:p>
    <w:p w14:paraId="1C19E03B" w14:textId="5FC56E32" w:rsidR="00E35088" w:rsidRPr="003B1FD1" w:rsidRDefault="00E35088" w:rsidP="006E7994">
      <w:pPr>
        <w:spacing w:line="480" w:lineRule="auto"/>
        <w:jc w:val="both"/>
        <w:rPr>
          <w:b/>
          <w:bCs/>
          <w:i/>
          <w:iCs/>
        </w:rPr>
      </w:pPr>
      <w:r w:rsidRPr="003B1FD1">
        <w:rPr>
          <w:b/>
          <w:bCs/>
          <w:i/>
          <w:iCs/>
        </w:rPr>
        <w:t>Main Findings</w:t>
      </w:r>
    </w:p>
    <w:p w14:paraId="5DD5842E" w14:textId="701CCE0E" w:rsidR="00C16F73" w:rsidRDefault="00BC7334" w:rsidP="006E7994">
      <w:pPr>
        <w:spacing w:line="480" w:lineRule="auto"/>
        <w:jc w:val="both"/>
      </w:pPr>
      <w:r>
        <w:t xml:space="preserve">This study highlighted a considerable difference between </w:t>
      </w:r>
      <w:r w:rsidR="005C4E20">
        <w:t>country stillbirth estimates and actual stillbirth</w:t>
      </w:r>
      <w:r w:rsidR="00146917">
        <w:t xml:space="preserve"> numbers</w:t>
      </w:r>
      <w:r w:rsidR="00EB3B9D">
        <w:t xml:space="preserve"> in the study health facilities</w:t>
      </w:r>
      <w:r w:rsidR="005C4E20">
        <w:t xml:space="preserve">. This may be accounted for in terms of rigorous data collection of </w:t>
      </w:r>
      <w:r w:rsidR="0017513B" w:rsidRPr="0017513B">
        <w:t xml:space="preserve">consecutive </w:t>
      </w:r>
      <w:r w:rsidR="005C4E20">
        <w:t>births</w:t>
      </w:r>
      <w:r w:rsidR="00737484">
        <w:t xml:space="preserve"> in this study</w:t>
      </w:r>
      <w:r w:rsidR="00412494">
        <w:t>, combined with the transfer of women experiencing problems during labour into the facility</w:t>
      </w:r>
      <w:r w:rsidR="005C4E20">
        <w:t xml:space="preserve">. Furthermore, the areas </w:t>
      </w:r>
      <w:r w:rsidR="00977C52">
        <w:t xml:space="preserve">from which the data were collected </w:t>
      </w:r>
      <w:r w:rsidR="005C4E20">
        <w:t xml:space="preserve">are </w:t>
      </w:r>
      <w:r w:rsidR="0017513B">
        <w:t xml:space="preserve">in </w:t>
      </w:r>
      <w:r w:rsidR="005F6980">
        <w:t>sub-urban and</w:t>
      </w:r>
      <w:r w:rsidR="005C4E20">
        <w:t xml:space="preserve"> rural setting</w:t>
      </w:r>
      <w:r w:rsidR="005F6980">
        <w:t>s</w:t>
      </w:r>
      <w:r w:rsidR="005C4E20">
        <w:t xml:space="preserve"> </w:t>
      </w:r>
      <w:r w:rsidR="00862715">
        <w:t xml:space="preserve">which are estimated </w:t>
      </w:r>
      <w:r w:rsidR="005C4E20">
        <w:t xml:space="preserve">to have an increased stillbirth rate of up to 60% </w:t>
      </w:r>
      <w:r w:rsidR="00862715">
        <w:t>above national rates</w:t>
      </w:r>
      <w:r w:rsidR="001F0847">
        <w:rPr>
          <w:vertAlign w:val="superscript"/>
        </w:rPr>
        <w:t>18</w:t>
      </w:r>
      <w:r w:rsidR="005C4E20">
        <w:t>.</w:t>
      </w:r>
      <w:r w:rsidR="00BE76AD">
        <w:t xml:space="preserve"> </w:t>
      </w:r>
    </w:p>
    <w:p w14:paraId="1AA2F1B7" w14:textId="5E8E526F" w:rsidR="00366D48" w:rsidRDefault="0034643A" w:rsidP="006E7994">
      <w:pPr>
        <w:spacing w:line="480" w:lineRule="auto"/>
        <w:jc w:val="both"/>
      </w:pPr>
      <w:r>
        <w:t>The lack of availability of post-mortem leaves examination of the infant and clinical judgement as the only explanation of the death, which may be inaccurate.</w:t>
      </w:r>
      <w:r w:rsidRPr="0034643A">
        <w:t xml:space="preserve"> Furthermore, in almost a third of cases no attempt at explanation was provided</w:t>
      </w:r>
      <w:r w:rsidR="005F6980">
        <w:t xml:space="preserve"> in the case notes</w:t>
      </w:r>
      <w:r w:rsidRPr="0034643A">
        <w:t xml:space="preserve">. </w:t>
      </w:r>
      <w:r>
        <w:t>Given that women who experience a stillbirth are more likely to experience recurrent stillbirth</w:t>
      </w:r>
      <w:r w:rsidR="001F0847">
        <w:rPr>
          <w:vertAlign w:val="superscript"/>
        </w:rPr>
        <w:t>19</w:t>
      </w:r>
      <w:r>
        <w:t xml:space="preserve">, this is concerning in respect of adaptation of future </w:t>
      </w:r>
      <w:r>
        <w:lastRenderedPageBreak/>
        <w:t xml:space="preserve">care. </w:t>
      </w:r>
      <w:r w:rsidR="003F3934">
        <w:t>T</w:t>
      </w:r>
      <w:r w:rsidR="008F1848" w:rsidRPr="008F1848">
        <w:t>o improve clinical care and reduce stillbirth it is imperative that the cause is known</w:t>
      </w:r>
      <w:r w:rsidR="00A62DD7">
        <w:t xml:space="preserve"> to ensure</w:t>
      </w:r>
      <w:r w:rsidR="008F1848" w:rsidRPr="008F1848">
        <w:t xml:space="preserve"> appropriate care is instituted in future pregnancies</w:t>
      </w:r>
      <w:r w:rsidR="001F0847">
        <w:rPr>
          <w:vertAlign w:val="superscript"/>
        </w:rPr>
        <w:t>20</w:t>
      </w:r>
      <w:r w:rsidR="008F1848" w:rsidRPr="008F1848">
        <w:t>. The high</w:t>
      </w:r>
      <w:r w:rsidR="00CD3CEF">
        <w:t>er</w:t>
      </w:r>
      <w:r w:rsidR="008F1848" w:rsidRPr="008F1848">
        <w:t xml:space="preserve"> </w:t>
      </w:r>
      <w:r w:rsidR="00491D43">
        <w:t>risk of</w:t>
      </w:r>
      <w:r w:rsidR="00491D43" w:rsidRPr="008F1848">
        <w:t xml:space="preserve"> </w:t>
      </w:r>
      <w:r w:rsidR="008F1848" w:rsidRPr="008F1848">
        <w:t xml:space="preserve">stillbirth </w:t>
      </w:r>
      <w:r w:rsidR="00491D43">
        <w:t>amongst women with a previous stillbirth, as</w:t>
      </w:r>
      <w:r w:rsidR="00491D43" w:rsidRPr="008F1848">
        <w:t xml:space="preserve"> </w:t>
      </w:r>
      <w:r w:rsidR="008F1848" w:rsidRPr="008F1848">
        <w:t>found in this study</w:t>
      </w:r>
      <w:r w:rsidR="00491D43">
        <w:t>,</w:t>
      </w:r>
      <w:r w:rsidR="008F1848" w:rsidRPr="008F1848">
        <w:t xml:space="preserve"> </w:t>
      </w:r>
      <w:r w:rsidR="005F6980">
        <w:t xml:space="preserve">reflects this and </w:t>
      </w:r>
      <w:r w:rsidR="008F1848" w:rsidRPr="008F1848">
        <w:t>indicates a failure to understand and tackle individual health issues impacting on pregnancy. Moreover,</w:t>
      </w:r>
      <w:r w:rsidR="00AB7A9D">
        <w:t xml:space="preserve"> </w:t>
      </w:r>
      <w:r w:rsidR="008B4756">
        <w:t>the role of</w:t>
      </w:r>
      <w:r w:rsidR="008F1848" w:rsidRPr="008F1848">
        <w:t xml:space="preserve"> health system issues which may impact on stillbirth, such as delays and transfer of care</w:t>
      </w:r>
      <w:r w:rsidR="00B71F63">
        <w:rPr>
          <w:vertAlign w:val="superscript"/>
        </w:rPr>
        <w:t>21</w:t>
      </w:r>
      <w:r w:rsidR="008F1848" w:rsidRPr="008F1848">
        <w:t xml:space="preserve">, </w:t>
      </w:r>
      <w:r w:rsidR="00B71F63">
        <w:t xml:space="preserve">remain an issue </w:t>
      </w:r>
      <w:r w:rsidR="008F1848" w:rsidRPr="008F1848">
        <w:t xml:space="preserve">be addressed. </w:t>
      </w:r>
      <w:r w:rsidR="008F1848">
        <w:t xml:space="preserve">This lack of understanding </w:t>
      </w:r>
      <w:r w:rsidR="00FB531B">
        <w:t>compromises the</w:t>
      </w:r>
      <w:r w:rsidR="008F1848" w:rsidRPr="008F1848">
        <w:t xml:space="preserve"> aim of reducing global stillbirth rates </w:t>
      </w:r>
      <w:r w:rsidR="008F1848">
        <w:t xml:space="preserve">which </w:t>
      </w:r>
      <w:r w:rsidR="008F1848" w:rsidRPr="008F1848">
        <w:t>is hampered by failure to understand reasons for the death</w:t>
      </w:r>
      <w:r w:rsidR="001F0847">
        <w:rPr>
          <w:vertAlign w:val="superscript"/>
        </w:rPr>
        <w:t>3</w:t>
      </w:r>
      <w:r w:rsidR="008F1848" w:rsidRPr="008F1848">
        <w:t>.</w:t>
      </w:r>
      <w:r w:rsidR="00366D48">
        <w:t xml:space="preserve"> </w:t>
      </w:r>
    </w:p>
    <w:p w14:paraId="02FA7CA9" w14:textId="77777777" w:rsidR="003B1FD1" w:rsidRPr="003B1FD1" w:rsidRDefault="003B1FD1" w:rsidP="003B1FD1">
      <w:pPr>
        <w:spacing w:line="480" w:lineRule="auto"/>
        <w:jc w:val="both"/>
        <w:rPr>
          <w:b/>
          <w:bCs/>
          <w:i/>
          <w:iCs/>
        </w:rPr>
      </w:pPr>
      <w:r w:rsidRPr="003B1FD1">
        <w:rPr>
          <w:b/>
          <w:bCs/>
          <w:i/>
          <w:iCs/>
        </w:rPr>
        <w:t>Strengths and Limitations</w:t>
      </w:r>
    </w:p>
    <w:p w14:paraId="14FD49FD" w14:textId="34AC9AE6" w:rsidR="003B1FD1" w:rsidRDefault="003B1FD1" w:rsidP="003B1FD1">
      <w:pPr>
        <w:spacing w:line="480" w:lineRule="auto"/>
        <w:jc w:val="both"/>
      </w:pPr>
      <w:r>
        <w:t>This is one of the largest recent case reviews of stillbirth in Tanzania and Zambia. However, the review was reliant on the availability of information within the notes; with some data less likely to be recorded. This occurred particularly for Zambia and needs to be considered in interpreting the results. The mixed-methods approach is a strength allowing for a more complete understanding of the impact of unexplained stillbirth, aligning these views with those of health care workers would provide an added dimension.</w:t>
      </w:r>
    </w:p>
    <w:p w14:paraId="5CBF3010" w14:textId="4C571B44" w:rsidR="003B1FD1" w:rsidRPr="003B1FD1" w:rsidRDefault="003B1FD1" w:rsidP="003B1FD1">
      <w:pPr>
        <w:spacing w:line="480" w:lineRule="auto"/>
        <w:jc w:val="both"/>
        <w:rPr>
          <w:b/>
          <w:bCs/>
          <w:i/>
          <w:iCs/>
        </w:rPr>
      </w:pPr>
      <w:r w:rsidRPr="003B1FD1">
        <w:rPr>
          <w:b/>
          <w:bCs/>
          <w:i/>
          <w:iCs/>
        </w:rPr>
        <w:t>Interpretation</w:t>
      </w:r>
    </w:p>
    <w:p w14:paraId="6928D72D" w14:textId="00BE19B9" w:rsidR="00977C52" w:rsidRDefault="00366D48" w:rsidP="006E7994">
      <w:pPr>
        <w:spacing w:line="480" w:lineRule="auto"/>
        <w:jc w:val="both"/>
      </w:pPr>
      <w:r>
        <w:t xml:space="preserve">The current position where women receive no offer of investigation to explain stillbirth is </w:t>
      </w:r>
      <w:r w:rsidR="008A7F77">
        <w:t xml:space="preserve">being </w:t>
      </w:r>
      <w:r>
        <w:t xml:space="preserve">challenged by women’s </w:t>
      </w:r>
      <w:r w:rsidR="000E0A5E">
        <w:t>need</w:t>
      </w:r>
      <w:r>
        <w:t xml:space="preserve"> for </w:t>
      </w:r>
      <w:r w:rsidR="000E0A5E">
        <w:t xml:space="preserve">better </w:t>
      </w:r>
      <w:r>
        <w:t xml:space="preserve">understanding. </w:t>
      </w:r>
      <w:r w:rsidR="0051688F">
        <w:t>A</w:t>
      </w:r>
      <w:r>
        <w:t xml:space="preserve"> traditional post-mortem</w:t>
      </w:r>
      <w:r w:rsidR="004E3948">
        <w:t>,</w:t>
      </w:r>
      <w:r>
        <w:t xml:space="preserve"> </w:t>
      </w:r>
      <w:r w:rsidR="008A7F77">
        <w:t xml:space="preserve">which </w:t>
      </w:r>
      <w:r>
        <w:t>includes invasive procedures</w:t>
      </w:r>
      <w:r w:rsidR="004E3948">
        <w:t>,</w:t>
      </w:r>
      <w:r>
        <w:t xml:space="preserve"> may not be acceptable in some cultures</w:t>
      </w:r>
      <w:r w:rsidR="0051688F">
        <w:t xml:space="preserve"> or to </w:t>
      </w:r>
      <w:r w:rsidR="005F2DB1">
        <w:t xml:space="preserve">some </w:t>
      </w:r>
      <w:r w:rsidR="0051688F">
        <w:t>parents</w:t>
      </w:r>
      <w:r w:rsidR="001F0847">
        <w:rPr>
          <w:vertAlign w:val="superscript"/>
        </w:rPr>
        <w:t>20</w:t>
      </w:r>
      <w:r w:rsidR="007923DA">
        <w:t xml:space="preserve">. </w:t>
      </w:r>
      <w:r w:rsidR="007370B1">
        <w:t xml:space="preserve">One aspect </w:t>
      </w:r>
      <w:r w:rsidR="00346304">
        <w:t>reported to be un</w:t>
      </w:r>
      <w:r w:rsidR="007370B1">
        <w:t>acceptable is that of ‘cutting’ the infant</w:t>
      </w:r>
      <w:r w:rsidR="00C77241">
        <w:rPr>
          <w:vertAlign w:val="superscript"/>
        </w:rPr>
        <w:t>2</w:t>
      </w:r>
      <w:r w:rsidR="00376C8F">
        <w:rPr>
          <w:vertAlign w:val="superscript"/>
        </w:rPr>
        <w:t>2</w:t>
      </w:r>
      <w:r w:rsidR="00C77241">
        <w:rPr>
          <w:vertAlign w:val="superscript"/>
        </w:rPr>
        <w:t>,2</w:t>
      </w:r>
      <w:r w:rsidR="00376C8F">
        <w:rPr>
          <w:vertAlign w:val="superscript"/>
        </w:rPr>
        <w:t>3</w:t>
      </w:r>
      <w:r w:rsidR="007370B1">
        <w:t xml:space="preserve">. </w:t>
      </w:r>
      <w:r w:rsidR="00DC0F18">
        <w:t>T</w:t>
      </w:r>
      <w:r>
        <w:t xml:space="preserve">here </w:t>
      </w:r>
      <w:r w:rsidR="0051688F">
        <w:t xml:space="preserve">is growing evidence that alternatives, such as less-invasive autopsy, </w:t>
      </w:r>
      <w:r w:rsidR="008F6131">
        <w:t>are</w:t>
      </w:r>
      <w:r w:rsidR="0051688F">
        <w:t xml:space="preserve"> effective in determining cause of death and may be more acceptable to</w:t>
      </w:r>
      <w:r>
        <w:t xml:space="preserve"> women and their families</w:t>
      </w:r>
      <w:r w:rsidR="00C77241">
        <w:rPr>
          <w:vertAlign w:val="superscript"/>
        </w:rPr>
        <w:t>20</w:t>
      </w:r>
      <w:r>
        <w:t>.</w:t>
      </w:r>
      <w:r w:rsidR="007370B1">
        <w:t xml:space="preserve"> </w:t>
      </w:r>
      <w:r w:rsidR="001160C7">
        <w:t>Non-invasive and minimally-invasive a</w:t>
      </w:r>
      <w:r w:rsidR="007370B1">
        <w:t xml:space="preserve">utopsies which avoid </w:t>
      </w:r>
      <w:r w:rsidR="009E1FFE">
        <w:t>dissection</w:t>
      </w:r>
      <w:r w:rsidR="007370B1">
        <w:t xml:space="preserve"> and instead use a combination of imaging, </w:t>
      </w:r>
      <w:r w:rsidR="000860E2">
        <w:t xml:space="preserve">examination, </w:t>
      </w:r>
      <w:r w:rsidR="00491ACF">
        <w:t>biopsy</w:t>
      </w:r>
      <w:r w:rsidR="008F6131">
        <w:t xml:space="preserve"> and</w:t>
      </w:r>
      <w:r w:rsidR="00491ACF">
        <w:t xml:space="preserve"> cultures</w:t>
      </w:r>
      <w:r w:rsidR="007370B1">
        <w:t xml:space="preserve"> may be </w:t>
      </w:r>
      <w:r w:rsidR="009E1FFE">
        <w:t xml:space="preserve">culturally </w:t>
      </w:r>
      <w:r w:rsidR="007370B1">
        <w:t>more</w:t>
      </w:r>
      <w:r w:rsidR="009E1FFE">
        <w:t xml:space="preserve"> </w:t>
      </w:r>
      <w:r w:rsidR="007370B1">
        <w:t xml:space="preserve">appropriate in these settings. </w:t>
      </w:r>
      <w:r w:rsidR="009E1FFE">
        <w:t>Also, t</w:t>
      </w:r>
      <w:r w:rsidR="00F53F5A">
        <w:t xml:space="preserve">hese are </w:t>
      </w:r>
      <w:r w:rsidR="00A1346D">
        <w:t xml:space="preserve">potentially </w:t>
      </w:r>
      <w:r w:rsidR="00F53F5A">
        <w:t xml:space="preserve">less costly interventions, which is of relevance </w:t>
      </w:r>
      <w:r w:rsidR="009E1FFE">
        <w:t>to LMIC</w:t>
      </w:r>
      <w:r w:rsidR="00BE76AD">
        <w:t>s</w:t>
      </w:r>
      <w:r w:rsidR="00C77241">
        <w:rPr>
          <w:vertAlign w:val="superscript"/>
        </w:rPr>
        <w:t>2</w:t>
      </w:r>
      <w:r w:rsidR="00376C8F">
        <w:rPr>
          <w:vertAlign w:val="superscript"/>
        </w:rPr>
        <w:t>4</w:t>
      </w:r>
      <w:r w:rsidR="00F53F5A">
        <w:t xml:space="preserve">. </w:t>
      </w:r>
      <w:r w:rsidR="007923DA">
        <w:t>I</w:t>
      </w:r>
      <w:r w:rsidR="00F53F5A">
        <w:t xml:space="preserve">dentification of cause may lead to </w:t>
      </w:r>
      <w:r w:rsidR="009E1FFE">
        <w:t>improvements</w:t>
      </w:r>
      <w:r w:rsidR="00F53F5A">
        <w:t xml:space="preserve"> in care, reducing the</w:t>
      </w:r>
      <w:r w:rsidR="009E1FFE">
        <w:t xml:space="preserve"> health, emotional and economic burden on women, families and society</w:t>
      </w:r>
      <w:r w:rsidR="00C77241">
        <w:rPr>
          <w:vertAlign w:val="superscript"/>
        </w:rPr>
        <w:t>2</w:t>
      </w:r>
      <w:r w:rsidR="00376C8F">
        <w:rPr>
          <w:vertAlign w:val="superscript"/>
        </w:rPr>
        <w:t>5</w:t>
      </w:r>
      <w:r w:rsidR="00F53F5A">
        <w:t xml:space="preserve">. </w:t>
      </w:r>
      <w:r w:rsidR="007370B1">
        <w:t xml:space="preserve">Evidence suggests </w:t>
      </w:r>
      <w:r w:rsidR="00D23A0B">
        <w:t xml:space="preserve">that </w:t>
      </w:r>
      <w:r w:rsidR="007370B1">
        <w:lastRenderedPageBreak/>
        <w:t xml:space="preserve">women who receive and understand </w:t>
      </w:r>
      <w:r w:rsidR="001160C7">
        <w:t xml:space="preserve">autopsy </w:t>
      </w:r>
      <w:r w:rsidR="007370B1">
        <w:t xml:space="preserve">results </w:t>
      </w:r>
      <w:r w:rsidR="000860E2">
        <w:t xml:space="preserve">are less likely to </w:t>
      </w:r>
      <w:r w:rsidR="00015175">
        <w:t>self-blame</w:t>
      </w:r>
      <w:r w:rsidR="00491ACF">
        <w:t xml:space="preserve"> </w:t>
      </w:r>
      <w:r w:rsidR="00015175">
        <w:t xml:space="preserve">and </w:t>
      </w:r>
      <w:r w:rsidR="00395455">
        <w:t>may feel</w:t>
      </w:r>
      <w:r w:rsidR="00015175">
        <w:t xml:space="preserve"> </w:t>
      </w:r>
      <w:r w:rsidR="00FC2FCB">
        <w:t xml:space="preserve">some </w:t>
      </w:r>
      <w:r w:rsidR="00015175">
        <w:t>absolution for their antenatal actions</w:t>
      </w:r>
      <w:r w:rsidR="00C77241">
        <w:rPr>
          <w:vertAlign w:val="superscript"/>
        </w:rPr>
        <w:t>2</w:t>
      </w:r>
      <w:r w:rsidR="00376C8F">
        <w:rPr>
          <w:vertAlign w:val="superscript"/>
        </w:rPr>
        <w:t>6</w:t>
      </w:r>
      <w:r w:rsidR="00D23A0B">
        <w:t>,</w:t>
      </w:r>
      <w:r w:rsidR="00171D34">
        <w:t xml:space="preserve"> </w:t>
      </w:r>
      <w:r w:rsidR="00015175">
        <w:t>provid</w:t>
      </w:r>
      <w:r w:rsidR="005532CC">
        <w:t>ing</w:t>
      </w:r>
      <w:r w:rsidR="00015175">
        <w:t xml:space="preserve"> them with emotional closure</w:t>
      </w:r>
      <w:r w:rsidR="00C77241">
        <w:rPr>
          <w:vertAlign w:val="superscript"/>
        </w:rPr>
        <w:t>2</w:t>
      </w:r>
      <w:r w:rsidR="00376C8F">
        <w:rPr>
          <w:vertAlign w:val="superscript"/>
        </w:rPr>
        <w:t>7</w:t>
      </w:r>
      <w:r w:rsidR="00C77241">
        <w:rPr>
          <w:vertAlign w:val="superscript"/>
        </w:rPr>
        <w:t>,2</w:t>
      </w:r>
      <w:r w:rsidR="00376C8F">
        <w:rPr>
          <w:vertAlign w:val="superscript"/>
        </w:rPr>
        <w:t>8</w:t>
      </w:r>
      <w:r w:rsidR="00C77241">
        <w:rPr>
          <w:vertAlign w:val="superscript"/>
        </w:rPr>
        <w:t>,2</w:t>
      </w:r>
      <w:r w:rsidR="00376C8F">
        <w:rPr>
          <w:vertAlign w:val="superscript"/>
        </w:rPr>
        <w:t>3</w:t>
      </w:r>
      <w:r w:rsidR="000860E2">
        <w:t xml:space="preserve">. </w:t>
      </w:r>
      <w:r w:rsidR="00171D34">
        <w:t>H</w:t>
      </w:r>
      <w:r w:rsidR="003D22B5">
        <w:t xml:space="preserve">ealth workers </w:t>
      </w:r>
      <w:r w:rsidR="00171D34">
        <w:t xml:space="preserve">need to </w:t>
      </w:r>
      <w:r w:rsidR="003D22B5">
        <w:t xml:space="preserve">feel adequately trained to offer investigations. </w:t>
      </w:r>
      <w:r w:rsidR="00171D34">
        <w:t>L</w:t>
      </w:r>
      <w:r w:rsidR="000860E2">
        <w:t>e</w:t>
      </w:r>
      <w:r w:rsidR="00E737B1">
        <w:t>s</w:t>
      </w:r>
      <w:r w:rsidR="000860E2">
        <w:t xml:space="preserve">s invasive techniques may be </w:t>
      </w:r>
      <w:r w:rsidR="00491ACF">
        <w:t xml:space="preserve">more acceptable </w:t>
      </w:r>
      <w:r w:rsidR="003D22B5">
        <w:t>to them in</w:t>
      </w:r>
      <w:r w:rsidR="000860E2">
        <w:t xml:space="preserve"> informing and consenting women to the process</w:t>
      </w:r>
      <w:r w:rsidR="00C77241">
        <w:rPr>
          <w:vertAlign w:val="superscript"/>
        </w:rPr>
        <w:t>2</w:t>
      </w:r>
      <w:r w:rsidR="00376C8F">
        <w:rPr>
          <w:vertAlign w:val="superscript"/>
        </w:rPr>
        <w:t>9</w:t>
      </w:r>
      <w:r w:rsidR="000860E2">
        <w:t>, as the cultural influences on women are also likely to affect health professionals’ views and understanding in the same setting.</w:t>
      </w:r>
      <w:r w:rsidR="00015175">
        <w:t xml:space="preserve"> </w:t>
      </w:r>
      <w:r w:rsidR="00B8267C">
        <w:t>Given the poor understanding of stillbirth in this setting</w:t>
      </w:r>
      <w:r w:rsidR="00887B52" w:rsidRPr="00887B52">
        <w:t xml:space="preserve">, autopsy is an area for consideration which </w:t>
      </w:r>
      <w:r w:rsidR="00B8267C">
        <w:t xml:space="preserve">requires further exploration, </w:t>
      </w:r>
      <w:r w:rsidR="00887B52">
        <w:t>particularly with regard to women</w:t>
      </w:r>
      <w:r w:rsidR="0059571F">
        <w:t>’s</w:t>
      </w:r>
      <w:r w:rsidR="00887B52">
        <w:t>, families</w:t>
      </w:r>
      <w:r w:rsidR="0059571F">
        <w:t>’</w:t>
      </w:r>
      <w:r w:rsidR="00887B52">
        <w:t>, communit</w:t>
      </w:r>
      <w:r w:rsidR="0059571F">
        <w:t>ies’</w:t>
      </w:r>
      <w:r w:rsidR="00887B52">
        <w:t xml:space="preserve"> and health workers’ views.</w:t>
      </w:r>
    </w:p>
    <w:p w14:paraId="6F2B5CBB" w14:textId="66D36BB5" w:rsidR="0054541A" w:rsidRDefault="00F14000" w:rsidP="006E7994">
      <w:pPr>
        <w:spacing w:line="480" w:lineRule="auto"/>
        <w:jc w:val="both"/>
      </w:pPr>
      <w:r>
        <w:t>P</w:t>
      </w:r>
      <w:r w:rsidR="00F57D6E">
        <w:t xml:space="preserve">oor communication about </w:t>
      </w:r>
      <w:r>
        <w:t>their</w:t>
      </w:r>
      <w:r w:rsidR="00F57D6E">
        <w:t xml:space="preserve"> stillbirth</w:t>
      </w:r>
      <w:r>
        <w:t xml:space="preserve"> was a recurring feature for women</w:t>
      </w:r>
      <w:r w:rsidR="009A0DC2">
        <w:t xml:space="preserve">. </w:t>
      </w:r>
      <w:r w:rsidR="005532CC">
        <w:t xml:space="preserve">Women reported </w:t>
      </w:r>
      <w:r w:rsidR="005F2DB1">
        <w:t xml:space="preserve">that </w:t>
      </w:r>
      <w:r w:rsidR="005532CC">
        <w:t>h</w:t>
      </w:r>
      <w:r w:rsidR="009A0DC2">
        <w:t xml:space="preserve">ealth workers appeared to actively avoid the topic. The choice of language used was </w:t>
      </w:r>
      <w:r w:rsidR="00E87E7C">
        <w:t>perceived by women to be</w:t>
      </w:r>
      <w:r w:rsidR="009A0DC2">
        <w:t xml:space="preserve"> dismissive and </w:t>
      </w:r>
      <w:r w:rsidR="00BA0F70">
        <w:t>health workers</w:t>
      </w:r>
      <w:r w:rsidR="00D23A0B">
        <w:t>’</w:t>
      </w:r>
      <w:r w:rsidR="00BA0F70">
        <w:t xml:space="preserve"> attitudes prevented women from questioning them. </w:t>
      </w:r>
      <w:r w:rsidR="00F24E05" w:rsidRPr="00F24E05">
        <w:t xml:space="preserve">Behaviour of staff is important to women and affects their experiences </w:t>
      </w:r>
      <w:r w:rsidR="00A71A13">
        <w:t xml:space="preserve">and ability to grieve </w:t>
      </w:r>
      <w:r w:rsidR="00F24E05" w:rsidRPr="00F24E05">
        <w:t>following stillbirth</w:t>
      </w:r>
      <w:r w:rsidR="00376C8F">
        <w:rPr>
          <w:vertAlign w:val="superscript"/>
        </w:rPr>
        <w:t>30</w:t>
      </w:r>
      <w:r w:rsidR="00F24E05" w:rsidRPr="00F24E05">
        <w:t>. However, health workers face system, emotion and knowledge-based challenges in providing care which may give the impression of a lack of concern for women</w:t>
      </w:r>
      <w:r w:rsidR="00376C8F">
        <w:rPr>
          <w:vertAlign w:val="superscript"/>
        </w:rPr>
        <w:t>30</w:t>
      </w:r>
      <w:r w:rsidR="00F24E05" w:rsidRPr="00F24E05">
        <w:t xml:space="preserve">. </w:t>
      </w:r>
      <w:r w:rsidR="005510CA">
        <w:t>P</w:t>
      </w:r>
      <w:r w:rsidR="005C7AFE">
        <w:t xml:space="preserve">oor communication by health workers </w:t>
      </w:r>
      <w:r w:rsidR="00BA0F70">
        <w:t xml:space="preserve">may stem from </w:t>
      </w:r>
      <w:r w:rsidR="000331F8">
        <w:t>their</w:t>
      </w:r>
      <w:r w:rsidR="00BA0F70">
        <w:t xml:space="preserve"> own limited communication skills or discomfort in discussing death</w:t>
      </w:r>
      <w:r w:rsidR="00C77241">
        <w:rPr>
          <w:vertAlign w:val="superscript"/>
        </w:rPr>
        <w:t>3</w:t>
      </w:r>
      <w:r w:rsidR="00376C8F">
        <w:rPr>
          <w:vertAlign w:val="superscript"/>
        </w:rPr>
        <w:t>1</w:t>
      </w:r>
      <w:r w:rsidR="007263B5">
        <w:t xml:space="preserve">. Many health </w:t>
      </w:r>
      <w:r w:rsidR="00AB1AD5">
        <w:t>workers</w:t>
      </w:r>
      <w:r w:rsidR="007263B5">
        <w:t xml:space="preserve"> </w:t>
      </w:r>
      <w:r w:rsidR="00793CA7">
        <w:t xml:space="preserve">find discussing bereavement challenging and </w:t>
      </w:r>
      <w:r w:rsidR="004D4948">
        <w:t>have expressed the need for</w:t>
      </w:r>
      <w:r w:rsidR="00793CA7">
        <w:t xml:space="preserve"> further</w:t>
      </w:r>
      <w:r w:rsidR="00BA0F70">
        <w:t xml:space="preserve"> education</w:t>
      </w:r>
      <w:r w:rsidR="00793CA7">
        <w:t xml:space="preserve"> to manage communication in such situations</w:t>
      </w:r>
      <w:r w:rsidR="00376C8F">
        <w:rPr>
          <w:vertAlign w:val="superscript"/>
        </w:rPr>
        <w:t>30</w:t>
      </w:r>
      <w:r w:rsidR="00BA0F70">
        <w:t xml:space="preserve">. </w:t>
      </w:r>
      <w:r w:rsidR="005532CC">
        <w:t>L</w:t>
      </w:r>
      <w:r w:rsidR="00BA0F70">
        <w:t>imited understanding and awareness of the causes of stillbirth</w:t>
      </w:r>
      <w:r w:rsidR="005C7AFE">
        <w:t xml:space="preserve"> </w:t>
      </w:r>
      <w:r w:rsidR="005532CC">
        <w:t>may also</w:t>
      </w:r>
      <w:r w:rsidR="00793CA7">
        <w:t xml:space="preserve"> impact on their confidence in discussing the issue</w:t>
      </w:r>
      <w:r w:rsidR="00C77241">
        <w:rPr>
          <w:vertAlign w:val="superscript"/>
        </w:rPr>
        <w:t>3</w:t>
      </w:r>
      <w:r w:rsidR="00376C8F">
        <w:rPr>
          <w:vertAlign w:val="superscript"/>
        </w:rPr>
        <w:t>2</w:t>
      </w:r>
      <w:r w:rsidR="00BA0F70">
        <w:t>.</w:t>
      </w:r>
      <w:r w:rsidR="00793CA7">
        <w:t xml:space="preserve"> Th</w:t>
      </w:r>
      <w:r w:rsidR="005510CA">
        <w:t>at</w:t>
      </w:r>
      <w:r w:rsidR="00793CA7">
        <w:t xml:space="preserve"> stillbirth is often unexplained may add to the health professionals’ feelings of inadequacy</w:t>
      </w:r>
      <w:r w:rsidR="005F2DB1">
        <w:t>,</w:t>
      </w:r>
      <w:r w:rsidR="00793CA7">
        <w:t xml:space="preserve"> </w:t>
      </w:r>
      <w:r w:rsidR="006D03A2">
        <w:t>and the</w:t>
      </w:r>
      <w:r w:rsidR="00DC394E">
        <w:t xml:space="preserve"> lack of availability of investigations means health workers are unable to offer women the potential for an explanation of the </w:t>
      </w:r>
      <w:r w:rsidR="005F2DB1">
        <w:t>death</w:t>
      </w:r>
      <w:r w:rsidR="00DC394E">
        <w:t xml:space="preserve">. </w:t>
      </w:r>
      <w:r w:rsidR="000F4E83">
        <w:t>In some settings lack of support, fear of blame and litigation may lead health workers to avoid discussions</w:t>
      </w:r>
      <w:r w:rsidR="00C77241">
        <w:rPr>
          <w:vertAlign w:val="superscript"/>
        </w:rPr>
        <w:t>2</w:t>
      </w:r>
      <w:r w:rsidR="00376C8F">
        <w:rPr>
          <w:vertAlign w:val="superscript"/>
        </w:rPr>
        <w:t>5</w:t>
      </w:r>
      <w:r w:rsidR="000F4E83">
        <w:t xml:space="preserve">. High numbers of stillbirth may lead to </w:t>
      </w:r>
      <w:r w:rsidR="000F4E83" w:rsidRPr="000F4E83">
        <w:t>compassion fatigue</w:t>
      </w:r>
      <w:r w:rsidR="00C77241">
        <w:rPr>
          <w:vertAlign w:val="superscript"/>
        </w:rPr>
        <w:t>3</w:t>
      </w:r>
      <w:r w:rsidR="00376C8F">
        <w:rPr>
          <w:vertAlign w:val="superscript"/>
        </w:rPr>
        <w:t>3</w:t>
      </w:r>
      <w:r w:rsidR="000F4E83">
        <w:t xml:space="preserve"> which</w:t>
      </w:r>
      <w:r w:rsidR="000F4E83" w:rsidRPr="000F4E83">
        <w:t xml:space="preserve"> may account for dismissive attitudes and an unwillingness to enter into discussions with </w:t>
      </w:r>
      <w:r w:rsidR="000F4E83">
        <w:t xml:space="preserve">distressed </w:t>
      </w:r>
      <w:r w:rsidR="000F4E83" w:rsidRPr="000F4E83">
        <w:t>women and families.</w:t>
      </w:r>
    </w:p>
    <w:p w14:paraId="144774BC" w14:textId="16285BFE" w:rsidR="009A0DC2" w:rsidRDefault="008F2051" w:rsidP="006E7994">
      <w:pPr>
        <w:spacing w:line="480" w:lineRule="auto"/>
        <w:jc w:val="both"/>
      </w:pPr>
      <w:r>
        <w:lastRenderedPageBreak/>
        <w:t xml:space="preserve">Women </w:t>
      </w:r>
      <w:r w:rsidR="005D6BDA">
        <w:t>were</w:t>
      </w:r>
      <w:r>
        <w:t xml:space="preserve"> reluctant to raise questions about their stillbirth with health professionals</w:t>
      </w:r>
      <w:r w:rsidR="005D6BDA">
        <w:t xml:space="preserve">, </w:t>
      </w:r>
      <w:r w:rsidR="006D03A2">
        <w:t>despite being</w:t>
      </w:r>
      <w:r w:rsidR="005D6BDA">
        <w:t xml:space="preserve"> keen to understand the cause</w:t>
      </w:r>
      <w:r>
        <w:t>. This may stem from the culture of blame experienced by women in sub-Saharan Africa within their own communities</w:t>
      </w:r>
      <w:r w:rsidR="00C77241">
        <w:rPr>
          <w:vertAlign w:val="superscript"/>
        </w:rPr>
        <w:t>5</w:t>
      </w:r>
      <w:r w:rsidR="00023BEA">
        <w:t xml:space="preserve">. </w:t>
      </w:r>
      <w:r w:rsidR="001657F1">
        <w:t xml:space="preserve">It may also relate to their gender and status which often prevents them from having a voice in the community and health system. </w:t>
      </w:r>
      <w:r w:rsidR="00023BEA">
        <w:t>Failure to provide explanation for the stillbirth adds to the blame women experience as there is no vindication of them</w:t>
      </w:r>
      <w:r w:rsidR="003C7F99">
        <w:t xml:space="preserve"> or their perceived actions. That both health workers and some women seemed to accept stillbirth as a routine outcome is concerning </w:t>
      </w:r>
      <w:r w:rsidR="00D23A0B">
        <w:t xml:space="preserve">and appears to confirm that there </w:t>
      </w:r>
      <w:r w:rsidR="003C7F99">
        <w:t xml:space="preserve">is limited will to change the accepted beliefs. </w:t>
      </w:r>
    </w:p>
    <w:p w14:paraId="649951DD" w14:textId="7FE2A16C" w:rsidR="001E1E3D" w:rsidRPr="005532CC" w:rsidRDefault="00B71F63" w:rsidP="006E7994">
      <w:pPr>
        <w:spacing w:line="480" w:lineRule="auto"/>
        <w:jc w:val="both"/>
        <w:rPr>
          <w:rStyle w:val="SubtleEmphasis"/>
          <w:i w:val="0"/>
          <w:iCs w:val="0"/>
          <w:color w:val="auto"/>
        </w:rPr>
      </w:pPr>
      <w:r w:rsidRPr="00B71F63">
        <w:rPr>
          <w:rStyle w:val="SubtleEmphasis"/>
          <w:i w:val="0"/>
          <w:iCs w:val="0"/>
          <w:color w:val="auto"/>
        </w:rPr>
        <w:t xml:space="preserve"> </w:t>
      </w:r>
    </w:p>
    <w:p w14:paraId="27058B7A" w14:textId="2CDC1233" w:rsidR="008A7F77" w:rsidRPr="008A7F77" w:rsidRDefault="008A7F77" w:rsidP="006E7994">
      <w:pPr>
        <w:spacing w:line="480" w:lineRule="auto"/>
        <w:jc w:val="both"/>
        <w:rPr>
          <w:b/>
          <w:bCs/>
        </w:rPr>
      </w:pPr>
      <w:r w:rsidRPr="008A7F77">
        <w:rPr>
          <w:b/>
          <w:bCs/>
        </w:rPr>
        <w:t>Conclusion</w:t>
      </w:r>
    </w:p>
    <w:p w14:paraId="0186F7CC" w14:textId="7AAF51AA" w:rsidR="006C7FCB" w:rsidRDefault="00DE3280" w:rsidP="006E7994">
      <w:pPr>
        <w:spacing w:line="480" w:lineRule="auto"/>
        <w:jc w:val="both"/>
      </w:pPr>
      <w:r>
        <w:t>F</w:t>
      </w:r>
      <w:r w:rsidR="00D65EA2">
        <w:t xml:space="preserve">ailure to identify cause of death, coupled with a failure to communicate stillbirth </w:t>
      </w:r>
      <w:r>
        <w:t>appropriately indicates</w:t>
      </w:r>
      <w:r w:rsidR="002C71C1">
        <w:t xml:space="preserve"> that</w:t>
      </w:r>
      <w:r>
        <w:t xml:space="preserve"> </w:t>
      </w:r>
      <w:r w:rsidR="006D5378">
        <w:t xml:space="preserve">current care for women experiencing stillbirth is </w:t>
      </w:r>
      <w:r w:rsidR="003F3934">
        <w:t>not</w:t>
      </w:r>
      <w:r w:rsidR="006D5378">
        <w:t xml:space="preserve"> meet</w:t>
      </w:r>
      <w:r w:rsidR="003F3934">
        <w:t>ing</w:t>
      </w:r>
      <w:r w:rsidR="006D5378">
        <w:t xml:space="preserve"> their needs</w:t>
      </w:r>
      <w:r w:rsidR="00E45A2A">
        <w:t xml:space="preserve"> and may impact of their future health and care.</w:t>
      </w:r>
      <w:r w:rsidR="006D03A2">
        <w:t xml:space="preserve"> This work highlight</w:t>
      </w:r>
      <w:r w:rsidR="007F72DA">
        <w:t>s</w:t>
      </w:r>
      <w:r w:rsidR="006D03A2">
        <w:t xml:space="preserve"> two key </w:t>
      </w:r>
      <w:r w:rsidR="00DF1BA9">
        <w:t xml:space="preserve">research </w:t>
      </w:r>
      <w:r w:rsidR="006D03A2">
        <w:t>recommendations. Firstly, w</w:t>
      </w:r>
      <w:r w:rsidR="007C4A37">
        <w:t xml:space="preserve">hilst women perceive the existing process of communication as poor, further clarity is required to understand why this is the case. </w:t>
      </w:r>
      <w:r w:rsidR="006D03A2">
        <w:t xml:space="preserve">Additional exploration of the </w:t>
      </w:r>
      <w:r w:rsidR="001B3C13">
        <w:t xml:space="preserve">issues </w:t>
      </w:r>
      <w:r w:rsidR="00484667">
        <w:t xml:space="preserve">facing health workers in discussing stillbirth and </w:t>
      </w:r>
      <w:r w:rsidR="001B3C13">
        <w:t>the</w:t>
      </w:r>
      <w:r w:rsidR="00A85C6B">
        <w:t xml:space="preserve"> development of training interventions to overcome this</w:t>
      </w:r>
      <w:r w:rsidR="006D03A2">
        <w:t xml:space="preserve"> is recommended</w:t>
      </w:r>
      <w:r w:rsidR="00A85C6B">
        <w:t>.</w:t>
      </w:r>
      <w:r w:rsidR="006D03A2">
        <w:t xml:space="preserve"> Secondly, t</w:t>
      </w:r>
      <w:r w:rsidR="007C4A37">
        <w:t xml:space="preserve">he lack of real understanding of the cause of stillbirth </w:t>
      </w:r>
      <w:r w:rsidR="00C273D3">
        <w:t xml:space="preserve">requires more </w:t>
      </w:r>
      <w:r w:rsidR="00AB70E5">
        <w:t xml:space="preserve">attention, not only to inform parents, but also to ensure </w:t>
      </w:r>
      <w:r w:rsidR="002C71C1">
        <w:t xml:space="preserve">that </w:t>
      </w:r>
      <w:r w:rsidR="00AB70E5">
        <w:t>women receive appropriate care in future pregnancies. Further work exploring the a</w:t>
      </w:r>
      <w:r w:rsidR="006C7FCB">
        <w:t>cceptability of autopsy</w:t>
      </w:r>
      <w:r w:rsidR="00AB70E5">
        <w:t>, including different levels of investigation</w:t>
      </w:r>
      <w:r w:rsidR="007C4A37">
        <w:t xml:space="preserve"> and economic evaluation</w:t>
      </w:r>
      <w:r w:rsidR="00AB70E5">
        <w:t xml:space="preserve">, </w:t>
      </w:r>
      <w:r w:rsidR="001B3C13">
        <w:t>is recommended</w:t>
      </w:r>
      <w:r w:rsidR="006C7FCB">
        <w:t>.</w:t>
      </w:r>
      <w:r w:rsidR="00576F59">
        <w:t xml:space="preserve">  This is particularly important given the higher risk of stillbirth </w:t>
      </w:r>
      <w:r w:rsidR="000F2F37">
        <w:t>in each country amongst</w:t>
      </w:r>
      <w:r w:rsidR="00576F59">
        <w:t xml:space="preserve"> </w:t>
      </w:r>
      <w:r w:rsidR="00FA0072">
        <w:t>women</w:t>
      </w:r>
      <w:r w:rsidR="00576F59">
        <w:t xml:space="preserve"> who ha</w:t>
      </w:r>
      <w:r w:rsidR="00FA0072">
        <w:t>d</w:t>
      </w:r>
      <w:r w:rsidR="00576F59">
        <w:t xml:space="preserve"> previously experienced stillbirth.</w:t>
      </w:r>
    </w:p>
    <w:p w14:paraId="1B484180" w14:textId="289CFD8B" w:rsidR="00D13E9E" w:rsidRDefault="00D13E9E" w:rsidP="006E7994">
      <w:pPr>
        <w:spacing w:line="480" w:lineRule="auto"/>
        <w:jc w:val="both"/>
      </w:pPr>
      <w:r>
        <w:t xml:space="preserve">In practice, </w:t>
      </w:r>
      <w:r w:rsidR="00DF1BA9">
        <w:t xml:space="preserve">it is recommended that </w:t>
      </w:r>
      <w:r>
        <w:t>h</w:t>
      </w:r>
      <w:r w:rsidRPr="00D13E9E">
        <w:t xml:space="preserve">ealth professionals need to be made aware of the impact of the language </w:t>
      </w:r>
      <w:r w:rsidR="002C4616">
        <w:t xml:space="preserve">that </w:t>
      </w:r>
      <w:r w:rsidRPr="00D13E9E">
        <w:t>they use and the behaviour they portray to women</w:t>
      </w:r>
      <w:r>
        <w:t xml:space="preserve"> and the potential impact their actions have on women and families.</w:t>
      </w:r>
    </w:p>
    <w:p w14:paraId="2E01F6ED" w14:textId="3FECEA24" w:rsidR="006C7FCB" w:rsidRDefault="001253AF" w:rsidP="006E7994">
      <w:pPr>
        <w:spacing w:line="480" w:lineRule="auto"/>
        <w:jc w:val="both"/>
      </w:pPr>
      <w:r>
        <w:lastRenderedPageBreak/>
        <w:t xml:space="preserve">Prior to this study, women have had little opportunity to voice their concerns or have them heard. </w:t>
      </w:r>
      <w:r w:rsidR="00A85C6B">
        <w:t>In</w:t>
      </w:r>
      <w:r w:rsidR="00D96DAA">
        <w:t xml:space="preserve"> </w:t>
      </w:r>
      <w:r>
        <w:t xml:space="preserve">addressing the identified issues, </w:t>
      </w:r>
      <w:r w:rsidR="0089015C">
        <w:t xml:space="preserve">it is </w:t>
      </w:r>
      <w:r>
        <w:t xml:space="preserve">vital that </w:t>
      </w:r>
      <w:r w:rsidR="0089015C">
        <w:t xml:space="preserve">women are </w:t>
      </w:r>
      <w:r>
        <w:t xml:space="preserve">the central focus </w:t>
      </w:r>
      <w:r w:rsidR="00385FEA">
        <w:t xml:space="preserve">to </w:t>
      </w:r>
      <w:r w:rsidR="00A85C6B">
        <w:t>ensure</w:t>
      </w:r>
      <w:r w:rsidR="002C71C1">
        <w:t xml:space="preserve"> that</w:t>
      </w:r>
      <w:r w:rsidR="00A85C6B">
        <w:t xml:space="preserve"> future care is developed </w:t>
      </w:r>
      <w:r w:rsidR="002B1751">
        <w:t xml:space="preserve">appropriately </w:t>
      </w:r>
      <w:r w:rsidR="00A85C6B">
        <w:t xml:space="preserve">to meet their needs. </w:t>
      </w:r>
    </w:p>
    <w:p w14:paraId="130224FF" w14:textId="5ADA5324" w:rsidR="00A0022A" w:rsidRDefault="00A0022A" w:rsidP="006E7994">
      <w:pPr>
        <w:spacing w:line="360" w:lineRule="auto"/>
        <w:jc w:val="both"/>
        <w:rPr>
          <w:b/>
          <w:bCs/>
        </w:rPr>
      </w:pPr>
      <w:r>
        <w:rPr>
          <w:b/>
          <w:bCs/>
        </w:rPr>
        <w:t>Acknowledgements</w:t>
      </w:r>
    </w:p>
    <w:p w14:paraId="04B47462" w14:textId="59902A39" w:rsidR="00A0022A" w:rsidRPr="00A0022A" w:rsidRDefault="00A0022A" w:rsidP="00A0022A">
      <w:pPr>
        <w:spacing w:line="360" w:lineRule="auto"/>
        <w:jc w:val="both"/>
      </w:pPr>
      <w:r>
        <w:t>The authors would like to acknowledge the research assistants for their hard work and commitment to delivering this study; the PPI groups for their time and input in shaping the research; and the participants who freely gave up their time to share their views and experiences.</w:t>
      </w:r>
    </w:p>
    <w:p w14:paraId="18F35EEF" w14:textId="0C0766DF" w:rsidR="00A83F97" w:rsidRDefault="00A83F97" w:rsidP="006E7994">
      <w:pPr>
        <w:spacing w:line="360" w:lineRule="auto"/>
        <w:jc w:val="both"/>
        <w:rPr>
          <w:b/>
          <w:bCs/>
        </w:rPr>
      </w:pPr>
      <w:r>
        <w:rPr>
          <w:b/>
          <w:bCs/>
        </w:rPr>
        <w:t>Disclosure of Interests</w:t>
      </w:r>
    </w:p>
    <w:p w14:paraId="45B92A36" w14:textId="2D403251" w:rsidR="00A83F97" w:rsidRPr="00A83F97" w:rsidRDefault="00A83F97" w:rsidP="006E7994">
      <w:pPr>
        <w:spacing w:line="360" w:lineRule="auto"/>
        <w:jc w:val="both"/>
      </w:pPr>
      <w:r w:rsidRPr="00A83F97">
        <w:t>The authors declare that they have no competing interests. Completed disclosure of interest forms are available to view online as supporting information.</w:t>
      </w:r>
    </w:p>
    <w:p w14:paraId="2159C6AB" w14:textId="12D72000" w:rsidR="00A83F97" w:rsidRDefault="00A83F97" w:rsidP="006E7994">
      <w:pPr>
        <w:spacing w:line="360" w:lineRule="auto"/>
        <w:jc w:val="both"/>
        <w:rPr>
          <w:b/>
          <w:bCs/>
        </w:rPr>
      </w:pPr>
      <w:r>
        <w:rPr>
          <w:b/>
          <w:bCs/>
        </w:rPr>
        <w:t>Contribution to Authorship</w:t>
      </w:r>
    </w:p>
    <w:p w14:paraId="61F359EB" w14:textId="6C3B8C1D" w:rsidR="00A83F97" w:rsidRPr="00A83F97" w:rsidRDefault="00CF7316" w:rsidP="006E7994">
      <w:pPr>
        <w:spacing w:line="360" w:lineRule="auto"/>
        <w:jc w:val="both"/>
      </w:pPr>
      <w:r w:rsidRPr="00CF7316">
        <w:t>All authors (</w:t>
      </w:r>
      <w:r>
        <w:t>C</w:t>
      </w:r>
      <w:r w:rsidR="00DC0F18">
        <w:t>B, T</w:t>
      </w:r>
      <w:r w:rsidRPr="00CF7316">
        <w:t xml:space="preserve">L, RL, CK, SW, VAD, </w:t>
      </w:r>
      <w:r w:rsidR="00DC0F18">
        <w:t>SV</w:t>
      </w:r>
      <w:r w:rsidRPr="00CF7316">
        <w:t xml:space="preserve">, KB, CS) contributed to the design of the study. </w:t>
      </w:r>
      <w:r w:rsidR="00DC0F18">
        <w:t xml:space="preserve">CB, </w:t>
      </w:r>
      <w:r w:rsidRPr="00CF7316">
        <w:t>TL, RL, CK, SW analysed the qualitative data. KB, VAD and CS analysed the quantitative data. All authors (</w:t>
      </w:r>
      <w:r w:rsidR="00DC0F18">
        <w:t>CB</w:t>
      </w:r>
      <w:r w:rsidRPr="00CF7316">
        <w:t xml:space="preserve">, </w:t>
      </w:r>
      <w:r w:rsidR="00DC0F18">
        <w:t xml:space="preserve">TL, </w:t>
      </w:r>
      <w:r w:rsidRPr="00CF7316">
        <w:t xml:space="preserve">RL, CK, SW, VAD, </w:t>
      </w:r>
      <w:r w:rsidR="00DC0F18">
        <w:t>SV</w:t>
      </w:r>
      <w:r w:rsidRPr="00CF7316">
        <w:t xml:space="preserve">, KB, CS) interpreted the data. </w:t>
      </w:r>
      <w:r w:rsidR="00DC0F18">
        <w:t>CB</w:t>
      </w:r>
      <w:r w:rsidRPr="00CF7316">
        <w:t xml:space="preserve"> drafted the first version of the manuscript. All authors (</w:t>
      </w:r>
      <w:r w:rsidR="00DC0F18">
        <w:t xml:space="preserve">CB, </w:t>
      </w:r>
      <w:r w:rsidRPr="00CF7316">
        <w:t>TL, RL, CK, SW, VAD, BV, KB, CS) commented on drafts of the manuscript and have read and approved the final version.</w:t>
      </w:r>
    </w:p>
    <w:p w14:paraId="0E6D0AAD" w14:textId="654EBE9C" w:rsidR="0085490D" w:rsidRDefault="00A97F94" w:rsidP="006E7994">
      <w:pPr>
        <w:spacing w:line="360" w:lineRule="auto"/>
        <w:jc w:val="both"/>
        <w:rPr>
          <w:b/>
          <w:bCs/>
        </w:rPr>
      </w:pPr>
      <w:r w:rsidRPr="00A97F94">
        <w:rPr>
          <w:b/>
          <w:bCs/>
        </w:rPr>
        <w:t>Ethical Approval</w:t>
      </w:r>
    </w:p>
    <w:p w14:paraId="3C00B69B" w14:textId="22559350" w:rsidR="00A97F94" w:rsidRDefault="00A97F94" w:rsidP="006E7994">
      <w:pPr>
        <w:spacing w:line="360" w:lineRule="auto"/>
        <w:jc w:val="both"/>
      </w:pPr>
      <w:r>
        <w:t xml:space="preserve">Ethical approval was obtained from the University of Manchester Ethics committee (Ref: </w:t>
      </w:r>
      <w:r w:rsidRPr="00A97F94">
        <w:t>2018-4446-</w:t>
      </w:r>
      <w:r w:rsidRPr="0009428D">
        <w:t>6653</w:t>
      </w:r>
      <w:r w:rsidR="00065404" w:rsidRPr="0009428D">
        <w:t>, 18/07/18</w:t>
      </w:r>
      <w:r w:rsidRPr="0009428D">
        <w:t>), the National Health Research Authority</w:t>
      </w:r>
      <w:r w:rsidR="008B0FBE" w:rsidRPr="0009428D">
        <w:t xml:space="preserve"> and IRES (Ref: 00005948</w:t>
      </w:r>
      <w:r w:rsidR="007039E8" w:rsidRPr="0009428D">
        <w:t>, 29/06/18</w:t>
      </w:r>
      <w:r w:rsidR="008B0FBE" w:rsidRPr="0009428D">
        <w:t xml:space="preserve">) </w:t>
      </w:r>
      <w:r w:rsidRPr="0009428D">
        <w:t xml:space="preserve">Zambia and </w:t>
      </w:r>
      <w:r w:rsidR="00B136B9" w:rsidRPr="0009428D">
        <w:t>CUHAS/BMC Joint Ethical and Review Committee, (</w:t>
      </w:r>
      <w:r w:rsidR="002B7E52" w:rsidRPr="0009428D">
        <w:t>REF:</w:t>
      </w:r>
      <w:r w:rsidR="00B136B9" w:rsidRPr="0009428D">
        <w:t xml:space="preserve"> CREC/287/2018</w:t>
      </w:r>
      <w:r w:rsidR="00065404" w:rsidRPr="0009428D">
        <w:t>, 15/05/18</w:t>
      </w:r>
      <w:r w:rsidR="00B136B9" w:rsidRPr="0009428D">
        <w:t>) Tanzania</w:t>
      </w:r>
      <w:r w:rsidR="00B136B9">
        <w:t>.</w:t>
      </w:r>
    </w:p>
    <w:p w14:paraId="5B52D0D2" w14:textId="77777777" w:rsidR="00474F9D" w:rsidRPr="00474F9D" w:rsidRDefault="00474F9D" w:rsidP="006E7994">
      <w:pPr>
        <w:spacing w:line="360" w:lineRule="auto"/>
        <w:jc w:val="both"/>
        <w:rPr>
          <w:b/>
          <w:bCs/>
        </w:rPr>
      </w:pPr>
      <w:r w:rsidRPr="00474F9D">
        <w:rPr>
          <w:b/>
          <w:bCs/>
        </w:rPr>
        <w:t>Funding</w:t>
      </w:r>
    </w:p>
    <w:p w14:paraId="4F4C8DDC" w14:textId="1321EFEB" w:rsidR="00474F9D" w:rsidRPr="00A97F94" w:rsidRDefault="00474F9D" w:rsidP="006E7994">
      <w:pPr>
        <w:spacing w:line="360" w:lineRule="auto"/>
        <w:jc w:val="both"/>
      </w:pPr>
      <w:r>
        <w:t>This research was funded by the National Institute for Health Research (NIHR) (16/137/53) using UK aid from the UK Government to support global health research. The views expressed in this publication are those of the author(s) and not necessarily those of the NIHR or the UK Department of Health and Social Care.</w:t>
      </w:r>
    </w:p>
    <w:p w14:paraId="118E19CB" w14:textId="3AB82AAF" w:rsidR="008869C3" w:rsidRDefault="008869C3" w:rsidP="006E7994">
      <w:pPr>
        <w:jc w:val="both"/>
      </w:pPr>
      <w:r>
        <w:br w:type="page"/>
      </w:r>
    </w:p>
    <w:p w14:paraId="083F34D7" w14:textId="06B04EC9" w:rsidR="0085490D" w:rsidRDefault="0085490D" w:rsidP="006E7994">
      <w:pPr>
        <w:jc w:val="both"/>
        <w:rPr>
          <w:b/>
        </w:rPr>
      </w:pPr>
      <w:r w:rsidRPr="0085490D">
        <w:rPr>
          <w:b/>
        </w:rPr>
        <w:lastRenderedPageBreak/>
        <w:t>References</w:t>
      </w:r>
    </w:p>
    <w:p w14:paraId="04D06F80" w14:textId="5E1D62A2" w:rsidR="009A711E" w:rsidRDefault="009A711E" w:rsidP="006E7994">
      <w:pPr>
        <w:jc w:val="both"/>
      </w:pPr>
      <w:r>
        <w:t xml:space="preserve">1.World Health Organization. Stillbirths. </w:t>
      </w:r>
      <w:r w:rsidR="00281E64">
        <w:t xml:space="preserve">2019. </w:t>
      </w:r>
      <w:hyperlink r:id="rId9" w:history="1">
        <w:r w:rsidR="00281E64" w:rsidRPr="00281E64">
          <w:rPr>
            <w:rStyle w:val="Hyperlink"/>
          </w:rPr>
          <w:t>http://www.who.int/maternal_child_adolescent/epidemiology/stillbirth/en/</w:t>
        </w:r>
      </w:hyperlink>
      <w:r>
        <w:t xml:space="preserve"> Accessed 08/05/19</w:t>
      </w:r>
    </w:p>
    <w:p w14:paraId="17253BC3" w14:textId="77777777" w:rsidR="009A711E" w:rsidRDefault="009A711E" w:rsidP="006E7994">
      <w:pPr>
        <w:spacing w:after="0" w:line="240" w:lineRule="auto"/>
        <w:jc w:val="both"/>
      </w:pPr>
      <w:r>
        <w:t xml:space="preserve">2. Lawn JE, </w:t>
      </w:r>
      <w:proofErr w:type="spellStart"/>
      <w:r>
        <w:t>Gravett</w:t>
      </w:r>
      <w:proofErr w:type="spellEnd"/>
      <w:r>
        <w:t xml:space="preserve"> MG, Nunes TM, Rubens CE, Stanton C. GAPPS Review Group. Global report on</w:t>
      </w:r>
    </w:p>
    <w:p w14:paraId="0A7254D6" w14:textId="77777777" w:rsidR="009A711E" w:rsidRDefault="009A711E" w:rsidP="006E7994">
      <w:pPr>
        <w:spacing w:after="0" w:line="240" w:lineRule="auto"/>
        <w:jc w:val="both"/>
      </w:pPr>
      <w:r>
        <w:t>preterm birth and stillbirth (1 of 7): definitions, description of the burden and opportunities to</w:t>
      </w:r>
    </w:p>
    <w:p w14:paraId="34CB226D" w14:textId="0FD9E6BA" w:rsidR="009A711E" w:rsidRDefault="009A711E" w:rsidP="006E7994">
      <w:pPr>
        <w:spacing w:after="0" w:line="240" w:lineRule="auto"/>
        <w:jc w:val="both"/>
      </w:pPr>
      <w:r>
        <w:t>improve data. BMC Pregnancy Childbirth. 2010; 10 (</w:t>
      </w:r>
      <w:proofErr w:type="spellStart"/>
      <w:r>
        <w:t>Suppl</w:t>
      </w:r>
      <w:proofErr w:type="spellEnd"/>
      <w:r>
        <w:t xml:space="preserve"> 1):S1.</w:t>
      </w:r>
    </w:p>
    <w:p w14:paraId="3575302F" w14:textId="77777777" w:rsidR="00526924" w:rsidRDefault="00526924" w:rsidP="006E7994">
      <w:pPr>
        <w:spacing w:after="0" w:line="240" w:lineRule="auto"/>
        <w:jc w:val="both"/>
        <w:rPr>
          <w:b/>
        </w:rPr>
      </w:pPr>
    </w:p>
    <w:p w14:paraId="52D50E64" w14:textId="623EBD30" w:rsidR="009A711E" w:rsidRDefault="009A711E" w:rsidP="006E7994">
      <w:pPr>
        <w:spacing w:after="0" w:line="240" w:lineRule="auto"/>
        <w:jc w:val="both"/>
      </w:pPr>
      <w:r>
        <w:t xml:space="preserve">3. Menendez C, Castillo P, </w:t>
      </w:r>
      <w:proofErr w:type="spellStart"/>
      <w:r>
        <w:t>MartõÂnez</w:t>
      </w:r>
      <w:proofErr w:type="spellEnd"/>
      <w:r>
        <w:t xml:space="preserve"> MJ, </w:t>
      </w:r>
      <w:proofErr w:type="spellStart"/>
      <w:r>
        <w:t>Jordao</w:t>
      </w:r>
      <w:proofErr w:type="spellEnd"/>
      <w:r>
        <w:t xml:space="preserve"> D, </w:t>
      </w:r>
      <w:proofErr w:type="spellStart"/>
      <w:r>
        <w:t>Lovane</w:t>
      </w:r>
      <w:proofErr w:type="spellEnd"/>
      <w:r>
        <w:t xml:space="preserve"> L, Ismail MR, et al. Validity of a minimally invasive autopsy for cause of death determination in stillborn babies and neonates in Mozambique: An observational study. </w:t>
      </w:r>
      <w:proofErr w:type="spellStart"/>
      <w:r>
        <w:t>PLoS</w:t>
      </w:r>
      <w:proofErr w:type="spellEnd"/>
      <w:r>
        <w:t xml:space="preserve"> Med </w:t>
      </w:r>
      <w:r w:rsidR="00505987">
        <w:t xml:space="preserve">2017; </w:t>
      </w:r>
      <w:r>
        <w:t>14(6): e1002318. https://doi.org/</w:t>
      </w:r>
    </w:p>
    <w:p w14:paraId="5295E114" w14:textId="77777777" w:rsidR="009A711E" w:rsidRDefault="009A711E" w:rsidP="006E7994">
      <w:pPr>
        <w:spacing w:after="0" w:line="240" w:lineRule="auto"/>
        <w:jc w:val="both"/>
      </w:pPr>
      <w:r>
        <w:t>10.1371/journal.pmed.1002318</w:t>
      </w:r>
    </w:p>
    <w:p w14:paraId="5AE8926F" w14:textId="77777777" w:rsidR="009A711E" w:rsidRDefault="009A711E" w:rsidP="006E7994">
      <w:pPr>
        <w:spacing w:after="0" w:line="240" w:lineRule="auto"/>
        <w:jc w:val="both"/>
      </w:pPr>
    </w:p>
    <w:p w14:paraId="2D58BD2A" w14:textId="114E99A4" w:rsidR="009A711E" w:rsidRDefault="009A711E" w:rsidP="006E7994">
      <w:pPr>
        <w:jc w:val="both"/>
      </w:pPr>
      <w:r>
        <w:t xml:space="preserve">4. </w:t>
      </w:r>
      <w:proofErr w:type="spellStart"/>
      <w:r>
        <w:t>Blencowe</w:t>
      </w:r>
      <w:proofErr w:type="spellEnd"/>
      <w:r>
        <w:t xml:space="preserve"> H, Cousens S, Bianchi </w:t>
      </w:r>
      <w:proofErr w:type="spellStart"/>
      <w:r>
        <w:t>Jassir</w:t>
      </w:r>
      <w:proofErr w:type="spellEnd"/>
      <w:r>
        <w:t xml:space="preserve"> F, Say L, Chou D</w:t>
      </w:r>
      <w:r w:rsidR="00281E64">
        <w:t>, Mathers C</w:t>
      </w:r>
      <w:r>
        <w:t xml:space="preserve"> et al. National, regional, and worldwide estimates of stillbirth rates in 2015, with trends from 2000: a systematic analysis.</w:t>
      </w:r>
      <w:r w:rsidRPr="00CB7CCA">
        <w:t xml:space="preserve"> </w:t>
      </w:r>
      <w:r>
        <w:t xml:space="preserve">Lancet Glob Health </w:t>
      </w:r>
      <w:r w:rsidR="00505987">
        <w:t xml:space="preserve">2016; </w:t>
      </w:r>
      <w:r>
        <w:t>4: e98–108.</w:t>
      </w:r>
    </w:p>
    <w:p w14:paraId="174740FF" w14:textId="3DDCFC92" w:rsidR="009A711E" w:rsidRDefault="009A711E" w:rsidP="006E7994">
      <w:pPr>
        <w:jc w:val="both"/>
      </w:pPr>
      <w:r>
        <w:t xml:space="preserve">5. </w:t>
      </w:r>
      <w:proofErr w:type="spellStart"/>
      <w:r>
        <w:t>Kiguli</w:t>
      </w:r>
      <w:proofErr w:type="spellEnd"/>
      <w:r>
        <w:t xml:space="preserve"> J, </w:t>
      </w:r>
      <w:proofErr w:type="spellStart"/>
      <w:r>
        <w:t>Namusoko</w:t>
      </w:r>
      <w:proofErr w:type="spellEnd"/>
      <w:r>
        <w:t xml:space="preserve"> S, Kerber K, Peterson S, </w:t>
      </w:r>
      <w:proofErr w:type="spellStart"/>
      <w:r>
        <w:t>Waiswa</w:t>
      </w:r>
      <w:proofErr w:type="spellEnd"/>
      <w:r>
        <w:t xml:space="preserve"> P. Weeping in silence: community experiences of stillbirths in rural eastern Uganda, Global Health Action</w:t>
      </w:r>
      <w:r w:rsidR="00505987">
        <w:t>.</w:t>
      </w:r>
      <w:r>
        <w:t xml:space="preserve"> </w:t>
      </w:r>
      <w:r w:rsidR="00505987">
        <w:t xml:space="preserve">2015; </w:t>
      </w:r>
      <w:r>
        <w:t>8:1, 24011, DOI: 10.3402/gha.v8.24011</w:t>
      </w:r>
    </w:p>
    <w:p w14:paraId="369C9AC1" w14:textId="6CA3628C" w:rsidR="009A711E" w:rsidRDefault="009A711E" w:rsidP="006E7994">
      <w:pPr>
        <w:jc w:val="both"/>
      </w:pPr>
      <w:r>
        <w:t>6. B</w:t>
      </w:r>
      <w:r w:rsidRPr="0071587B">
        <w:t>urden</w:t>
      </w:r>
      <w:r>
        <w:t xml:space="preserve"> C</w:t>
      </w:r>
      <w:r w:rsidRPr="0071587B">
        <w:t>, Bradley</w:t>
      </w:r>
      <w:r>
        <w:t xml:space="preserve"> S</w:t>
      </w:r>
      <w:r w:rsidRPr="0071587B">
        <w:t>, Storey</w:t>
      </w:r>
      <w:r>
        <w:t xml:space="preserve"> C</w:t>
      </w:r>
      <w:r w:rsidRPr="0071587B">
        <w:t>, Ellis</w:t>
      </w:r>
      <w:r>
        <w:t xml:space="preserve"> A</w:t>
      </w:r>
      <w:r w:rsidRPr="0071587B">
        <w:t>, Heazell</w:t>
      </w:r>
      <w:r>
        <w:t xml:space="preserve"> A</w:t>
      </w:r>
      <w:r w:rsidR="00281E64">
        <w:t>, Downe S</w:t>
      </w:r>
      <w:r>
        <w:t xml:space="preserve"> et al</w:t>
      </w:r>
      <w:r w:rsidR="00505987">
        <w:t>.</w:t>
      </w:r>
      <w:r>
        <w:t xml:space="preserve"> </w:t>
      </w:r>
      <w:r w:rsidRPr="000B5DB7">
        <w:t>From grief, guilt pain and stigma to hope and pride – a systematic review and meta</w:t>
      </w:r>
      <w:r>
        <w:t>-</w:t>
      </w:r>
      <w:r w:rsidRPr="000B5DB7">
        <w:t>analysis of mixed-method research of the psychosocial impact of stillbirth</w:t>
      </w:r>
      <w:r>
        <w:t xml:space="preserve">. </w:t>
      </w:r>
      <w:r w:rsidRPr="000B5DB7">
        <w:t>BMC Pregnancy and Childbirth</w:t>
      </w:r>
      <w:r w:rsidR="00505987">
        <w:t>.</w:t>
      </w:r>
      <w:r w:rsidRPr="000B5DB7">
        <w:t xml:space="preserve"> 2016</w:t>
      </w:r>
      <w:r w:rsidR="00505987">
        <w:t>;</w:t>
      </w:r>
      <w:r w:rsidRPr="000B5DB7">
        <w:t xml:space="preserve"> 16:9</w:t>
      </w:r>
      <w:r>
        <w:t>.</w:t>
      </w:r>
    </w:p>
    <w:p w14:paraId="40D6ECC7" w14:textId="44E46327" w:rsidR="009A711E" w:rsidRDefault="009A711E" w:rsidP="006E7994">
      <w:pPr>
        <w:jc w:val="both"/>
      </w:pPr>
      <w:r>
        <w:t xml:space="preserve">7. </w:t>
      </w:r>
      <w:r w:rsidRPr="001E1B50">
        <w:t>Aminu M, Bar-</w:t>
      </w:r>
      <w:proofErr w:type="spellStart"/>
      <w:r w:rsidRPr="001E1B50">
        <w:t>Zeev</w:t>
      </w:r>
      <w:proofErr w:type="spellEnd"/>
      <w:r w:rsidRPr="001E1B50">
        <w:t xml:space="preserve"> S, White S</w:t>
      </w:r>
      <w:r w:rsidR="00FA3BC8">
        <w:t>,</w:t>
      </w:r>
      <w:r w:rsidRPr="001E1B50">
        <w:t xml:space="preserve"> </w:t>
      </w:r>
      <w:r w:rsidR="00FA3BC8">
        <w:t>Mathai M, van den Broek N.</w:t>
      </w:r>
      <w:r>
        <w:t xml:space="preserve"> </w:t>
      </w:r>
      <w:r w:rsidRPr="001E1B50">
        <w:t xml:space="preserve">Understanding cause of stillbirth: a prospective observational multi-country study from sub-Saharan Africa. BMC Pregnancy Childbirth </w:t>
      </w:r>
      <w:r w:rsidR="00505987">
        <w:t xml:space="preserve">2019; </w:t>
      </w:r>
      <w:r w:rsidRPr="001E1B50">
        <w:t>19, 470</w:t>
      </w:r>
      <w:r>
        <w:t>.</w:t>
      </w:r>
      <w:r w:rsidRPr="001E1B50">
        <w:t xml:space="preserve">  doi:10.1186/s12884-019-2626-7</w:t>
      </w:r>
      <w:r>
        <w:t>.</w:t>
      </w:r>
    </w:p>
    <w:p w14:paraId="23D12EBD" w14:textId="4D6B9613" w:rsidR="009A711E" w:rsidRDefault="009A711E" w:rsidP="006E7994">
      <w:pPr>
        <w:jc w:val="both"/>
        <w:rPr>
          <w:rStyle w:val="Hyperlink"/>
        </w:rPr>
      </w:pPr>
      <w:r>
        <w:t>8. W</w:t>
      </w:r>
      <w:r w:rsidR="00281E64">
        <w:t xml:space="preserve">orld </w:t>
      </w:r>
      <w:r>
        <w:t>H</w:t>
      </w:r>
      <w:r w:rsidR="00281E64">
        <w:t xml:space="preserve">ealth </w:t>
      </w:r>
      <w:r>
        <w:t>O</w:t>
      </w:r>
      <w:r w:rsidR="00281E64">
        <w:t>rganisation.</w:t>
      </w:r>
      <w:r>
        <w:t xml:space="preserve"> </w:t>
      </w:r>
      <w:r w:rsidRPr="002C178E">
        <w:t>Global Health Observatory data repository</w:t>
      </w:r>
      <w:r>
        <w:t xml:space="preserve">. Stillbirth estimates by country. </w:t>
      </w:r>
      <w:r w:rsidR="00281E64">
        <w:t xml:space="preserve">2015. </w:t>
      </w:r>
      <w:hyperlink r:id="rId10" w:history="1">
        <w:r w:rsidR="00281E64" w:rsidRPr="00281E64">
          <w:rPr>
            <w:rStyle w:val="Hyperlink"/>
          </w:rPr>
          <w:t>https://apps.who.int/gho/data/view.main.GSWCAH06v Accessed 08/05/19</w:t>
        </w:r>
      </w:hyperlink>
    </w:p>
    <w:p w14:paraId="4E68B04B" w14:textId="41E4514D" w:rsidR="009A711E" w:rsidRDefault="009A711E" w:rsidP="006E7994">
      <w:pPr>
        <w:spacing w:after="0" w:line="240" w:lineRule="auto"/>
        <w:jc w:val="both"/>
      </w:pPr>
      <w:r w:rsidRPr="00281E64">
        <w:t xml:space="preserve">9. </w:t>
      </w:r>
      <w:proofErr w:type="spellStart"/>
      <w:r w:rsidRPr="00281E64">
        <w:t>Peduzzi</w:t>
      </w:r>
      <w:proofErr w:type="spellEnd"/>
      <w:r w:rsidRPr="00281E64">
        <w:t xml:space="preserve"> P, </w:t>
      </w:r>
      <w:proofErr w:type="spellStart"/>
      <w:r w:rsidRPr="00281E64">
        <w:t>Cocato</w:t>
      </w:r>
      <w:proofErr w:type="spellEnd"/>
      <w:r w:rsidRPr="00281E64">
        <w:t xml:space="preserve"> J, </w:t>
      </w:r>
      <w:proofErr w:type="spellStart"/>
      <w:r w:rsidRPr="00281E64">
        <w:t>Kember</w:t>
      </w:r>
      <w:proofErr w:type="spellEnd"/>
      <w:r w:rsidRPr="00281E64">
        <w:t xml:space="preserve"> E, </w:t>
      </w:r>
      <w:r w:rsidR="00FA3BC8" w:rsidRPr="00FA3BC8">
        <w:t xml:space="preserve">Holford TR, Feinstein AR. </w:t>
      </w:r>
      <w:r w:rsidRPr="00281E64">
        <w:t xml:space="preserve">et al. </w:t>
      </w:r>
      <w:r>
        <w:t xml:space="preserve">(1996) A simulation study of the number of events per variable in logistic regression analysis. J Clin </w:t>
      </w:r>
      <w:proofErr w:type="spellStart"/>
      <w:r>
        <w:t>Epidemiol</w:t>
      </w:r>
      <w:proofErr w:type="spellEnd"/>
      <w:r>
        <w:t xml:space="preserve">. </w:t>
      </w:r>
      <w:r w:rsidR="00505987">
        <w:t xml:space="preserve">1996; </w:t>
      </w:r>
      <w:r>
        <w:t>49; 1373–9</w:t>
      </w:r>
    </w:p>
    <w:p w14:paraId="505E9545" w14:textId="77777777" w:rsidR="0072021A" w:rsidRDefault="0072021A" w:rsidP="006E7994">
      <w:pPr>
        <w:spacing w:after="0" w:line="240" w:lineRule="auto"/>
        <w:jc w:val="both"/>
        <w:rPr>
          <w:rStyle w:val="Hyperlink"/>
          <w:color w:val="auto"/>
          <w:u w:val="none"/>
        </w:rPr>
      </w:pPr>
    </w:p>
    <w:p w14:paraId="2AFABE3C" w14:textId="33694619" w:rsidR="009A711E" w:rsidRPr="004252C8" w:rsidRDefault="009A711E" w:rsidP="006E7994">
      <w:pPr>
        <w:jc w:val="both"/>
        <w:rPr>
          <w:rStyle w:val="Hyperlink"/>
          <w:color w:val="auto"/>
          <w:u w:val="none"/>
        </w:rPr>
      </w:pPr>
      <w:r>
        <w:rPr>
          <w:rStyle w:val="Hyperlink"/>
          <w:color w:val="auto"/>
          <w:u w:val="none"/>
        </w:rPr>
        <w:t xml:space="preserve">10. </w:t>
      </w:r>
      <w:r w:rsidRPr="004252C8">
        <w:rPr>
          <w:rStyle w:val="Hyperlink"/>
          <w:color w:val="auto"/>
          <w:u w:val="none"/>
        </w:rPr>
        <w:t>WHO</w:t>
      </w:r>
      <w:r w:rsidR="00505987">
        <w:rPr>
          <w:rStyle w:val="Hyperlink"/>
          <w:color w:val="auto"/>
          <w:u w:val="none"/>
        </w:rPr>
        <w:t>.</w:t>
      </w:r>
      <w:r w:rsidRPr="004252C8">
        <w:rPr>
          <w:rStyle w:val="Hyperlink"/>
          <w:color w:val="auto"/>
          <w:u w:val="none"/>
        </w:rPr>
        <w:t xml:space="preserve"> Making Every Baby Count. Audit and review of stillbirths and neonatal deaths. WHO. Geneva.</w:t>
      </w:r>
      <w:r w:rsidR="00505987">
        <w:rPr>
          <w:rStyle w:val="Hyperlink"/>
          <w:color w:val="auto"/>
          <w:u w:val="none"/>
        </w:rPr>
        <w:t xml:space="preserve"> 2016.</w:t>
      </w:r>
    </w:p>
    <w:p w14:paraId="1328415D" w14:textId="348DFAE5" w:rsidR="009A711E" w:rsidRDefault="009A711E" w:rsidP="006E7994">
      <w:pPr>
        <w:jc w:val="both"/>
      </w:pPr>
      <w:r>
        <w:t xml:space="preserve">11. </w:t>
      </w:r>
      <w:r w:rsidRPr="004252C8">
        <w:t xml:space="preserve">Harris PA, Taylor R, </w:t>
      </w:r>
      <w:proofErr w:type="spellStart"/>
      <w:r w:rsidRPr="004252C8">
        <w:t>Thielke</w:t>
      </w:r>
      <w:proofErr w:type="spellEnd"/>
      <w:r w:rsidRPr="004252C8">
        <w:t xml:space="preserve"> R, Payne J, Gonzalez N, Conde JG. Research electronic data capture (</w:t>
      </w:r>
      <w:proofErr w:type="spellStart"/>
      <w:r w:rsidRPr="004252C8">
        <w:t>REDCap</w:t>
      </w:r>
      <w:proofErr w:type="spellEnd"/>
      <w:r w:rsidRPr="004252C8">
        <w:t xml:space="preserve">) – A metadata-driven methodology and workflow process for providing translational research informatics support, J Biomed Inform. </w:t>
      </w:r>
      <w:r w:rsidR="00281E64">
        <w:t xml:space="preserve">2009; </w:t>
      </w:r>
      <w:r w:rsidRPr="004252C8">
        <w:t>Apr</w:t>
      </w:r>
      <w:r w:rsidR="00281E64">
        <w:t>:</w:t>
      </w:r>
      <w:r w:rsidRPr="004252C8">
        <w:t>42(2):377-81.</w:t>
      </w:r>
    </w:p>
    <w:p w14:paraId="00167F65" w14:textId="08BCB4B3" w:rsidR="0072021A" w:rsidRDefault="009A711E" w:rsidP="006E7994">
      <w:pPr>
        <w:spacing w:after="0" w:line="240" w:lineRule="auto"/>
        <w:jc w:val="both"/>
      </w:pPr>
      <w:r>
        <w:t xml:space="preserve">12. R Core Team (2018) R: A Language and Environment for Statistical </w:t>
      </w:r>
      <w:proofErr w:type="spellStart"/>
      <w:r>
        <w:t>Compution</w:t>
      </w:r>
      <w:proofErr w:type="spellEnd"/>
      <w:r>
        <w:t xml:space="preserve">. R Foundation for Statistical Computing. Vienna, Austria. Available from: </w:t>
      </w:r>
      <w:hyperlink r:id="rId11" w:history="1">
        <w:r w:rsidRPr="0043763C">
          <w:rPr>
            <w:rStyle w:val="Hyperlink"/>
          </w:rPr>
          <w:t>https://www.R-project.org</w:t>
        </w:r>
      </w:hyperlink>
      <w:r>
        <w:t xml:space="preserve">. </w:t>
      </w:r>
    </w:p>
    <w:p w14:paraId="4A6CEF39" w14:textId="77777777" w:rsidR="00FA3BC8" w:rsidRDefault="00FA3BC8" w:rsidP="006E7994">
      <w:pPr>
        <w:spacing w:after="0" w:line="240" w:lineRule="auto"/>
        <w:jc w:val="both"/>
      </w:pPr>
    </w:p>
    <w:p w14:paraId="7A54AF28" w14:textId="5AED7949" w:rsidR="009A711E" w:rsidRDefault="009A711E" w:rsidP="006E7994">
      <w:pPr>
        <w:jc w:val="both"/>
      </w:pPr>
      <w:r>
        <w:t xml:space="preserve">13. </w:t>
      </w:r>
      <w:r w:rsidRPr="00683BF3">
        <w:t>Strauss A, Corbin J. Basics of Qualitative Research: Grounded Theory Procedures and Technique, 2nd Edition. Sage, Newbury Park, London.</w:t>
      </w:r>
      <w:r w:rsidR="00FA3BC8">
        <w:t xml:space="preserve"> 1998.</w:t>
      </w:r>
    </w:p>
    <w:p w14:paraId="711D8FD0" w14:textId="698316D1" w:rsidR="001F0847" w:rsidRDefault="001F0847" w:rsidP="006E7994">
      <w:pPr>
        <w:jc w:val="both"/>
      </w:pPr>
      <w:r>
        <w:t>14 Charmaz</w:t>
      </w:r>
      <w:r w:rsidR="00743C97">
        <w:t xml:space="preserve"> K. Constructing Grounded Theory. 2</w:t>
      </w:r>
      <w:r w:rsidR="00743C97" w:rsidRPr="00743C97">
        <w:rPr>
          <w:vertAlign w:val="superscript"/>
        </w:rPr>
        <w:t>nd</w:t>
      </w:r>
      <w:r w:rsidR="00743C97">
        <w:t xml:space="preserve"> </w:t>
      </w:r>
      <w:proofErr w:type="spellStart"/>
      <w:r w:rsidR="00743C97">
        <w:t>Edn</w:t>
      </w:r>
      <w:proofErr w:type="spellEnd"/>
      <w:r w:rsidR="00743C97">
        <w:t>. Sage. London.</w:t>
      </w:r>
      <w:r w:rsidR="00505987">
        <w:t xml:space="preserve"> 2014.</w:t>
      </w:r>
    </w:p>
    <w:p w14:paraId="3EBA5030" w14:textId="3306B985" w:rsidR="009A711E" w:rsidRDefault="009A711E" w:rsidP="006E7994">
      <w:pPr>
        <w:jc w:val="both"/>
      </w:pPr>
      <w:r>
        <w:t xml:space="preserve">15. </w:t>
      </w:r>
      <w:r w:rsidRPr="00E85709">
        <w:t xml:space="preserve">Glaser </w:t>
      </w:r>
      <w:r>
        <w:t>B,</w:t>
      </w:r>
      <w:r w:rsidRPr="00E85709">
        <w:t xml:space="preserve"> Strauss</w:t>
      </w:r>
      <w:r>
        <w:t xml:space="preserve"> A</w:t>
      </w:r>
      <w:r w:rsidR="00505987">
        <w:t>.</w:t>
      </w:r>
      <w:r w:rsidRPr="00E85709">
        <w:t xml:space="preserve"> The Discovery of Grounded Theory: Strategies for Qualitative Research. Aldine, Chicago</w:t>
      </w:r>
      <w:r>
        <w:t>.</w:t>
      </w:r>
      <w:r w:rsidR="00505987">
        <w:t xml:space="preserve"> 1967.</w:t>
      </w:r>
    </w:p>
    <w:p w14:paraId="778D228F" w14:textId="2407E03C" w:rsidR="009A711E" w:rsidRDefault="009A711E" w:rsidP="006E7994">
      <w:pPr>
        <w:jc w:val="both"/>
      </w:pPr>
      <w:r>
        <w:lastRenderedPageBreak/>
        <w:t>16. Aminu M, Mathai M, van den Broek N</w:t>
      </w:r>
      <w:r w:rsidR="00505987">
        <w:t>.</w:t>
      </w:r>
      <w:r>
        <w:t xml:space="preserve"> Application of the ICD-PM classification system to stillbirth in four sub-Saharan African countries. </w:t>
      </w:r>
      <w:proofErr w:type="spellStart"/>
      <w:r>
        <w:t>PLoS</w:t>
      </w:r>
      <w:proofErr w:type="spellEnd"/>
      <w:r>
        <w:t xml:space="preserve"> ONE</w:t>
      </w:r>
      <w:r w:rsidR="00505987">
        <w:t>. 2019;</w:t>
      </w:r>
      <w:r>
        <w:t xml:space="preserve"> 14(5): e0215864.</w:t>
      </w:r>
    </w:p>
    <w:p w14:paraId="3EE23880" w14:textId="723C567E" w:rsidR="009A711E" w:rsidRDefault="009A711E" w:rsidP="006E7994">
      <w:pPr>
        <w:spacing w:after="0" w:line="240" w:lineRule="auto"/>
        <w:jc w:val="both"/>
      </w:pPr>
      <w:r>
        <w:t xml:space="preserve">17. </w:t>
      </w:r>
      <w:r w:rsidRPr="00F12793">
        <w:t xml:space="preserve">Lawn JE, </w:t>
      </w:r>
      <w:proofErr w:type="spellStart"/>
      <w:r w:rsidRPr="00F12793">
        <w:t>Blencowe</w:t>
      </w:r>
      <w:proofErr w:type="spellEnd"/>
      <w:r w:rsidRPr="00F12793">
        <w:t xml:space="preserve"> H, </w:t>
      </w:r>
      <w:proofErr w:type="spellStart"/>
      <w:r w:rsidRPr="00F12793">
        <w:t>Waiswa</w:t>
      </w:r>
      <w:proofErr w:type="spellEnd"/>
      <w:r w:rsidRPr="00F12793">
        <w:t xml:space="preserve"> P, </w:t>
      </w:r>
      <w:proofErr w:type="spellStart"/>
      <w:r w:rsidRPr="00F12793">
        <w:t>Amouzou</w:t>
      </w:r>
      <w:proofErr w:type="spellEnd"/>
      <w:r w:rsidRPr="00F12793">
        <w:t xml:space="preserve"> A, Mathers C, Hogan D, et al. Stillbirths: rates, risk factors, and acceleration towards 2030. Lancet. 2016; 387(10018):587–603. https://doi.org/10.1016/S01406736(15)00837-5 PMID: 26794078 </w:t>
      </w:r>
    </w:p>
    <w:p w14:paraId="0FCF036E" w14:textId="77777777" w:rsidR="009A711E" w:rsidRDefault="009A711E" w:rsidP="006E7994">
      <w:pPr>
        <w:spacing w:after="0" w:line="240" w:lineRule="auto"/>
        <w:jc w:val="both"/>
      </w:pPr>
    </w:p>
    <w:p w14:paraId="1A2756DF" w14:textId="5D322B1F" w:rsidR="009A711E" w:rsidRDefault="009A711E" w:rsidP="006E7994">
      <w:pPr>
        <w:jc w:val="both"/>
      </w:pPr>
      <w:r>
        <w:t xml:space="preserve">18. </w:t>
      </w:r>
      <w:proofErr w:type="spellStart"/>
      <w:r w:rsidRPr="005C4E20">
        <w:t>Gardosi</w:t>
      </w:r>
      <w:proofErr w:type="spellEnd"/>
      <w:r w:rsidRPr="005C4E20">
        <w:t xml:space="preserve"> J, </w:t>
      </w:r>
      <w:proofErr w:type="spellStart"/>
      <w:r w:rsidRPr="005C4E20">
        <w:t>Madurasinghe</w:t>
      </w:r>
      <w:proofErr w:type="spellEnd"/>
      <w:r w:rsidRPr="005C4E20">
        <w:t xml:space="preserve"> V, Williams M, Malik A, Francis A. Maternal and </w:t>
      </w:r>
      <w:proofErr w:type="spellStart"/>
      <w:r w:rsidRPr="005C4E20">
        <w:t>Fetal</w:t>
      </w:r>
      <w:proofErr w:type="spellEnd"/>
      <w:r w:rsidRPr="005C4E20">
        <w:t xml:space="preserve"> risk factors for stillbirth: population based study. BMJ</w:t>
      </w:r>
      <w:r w:rsidR="00505987">
        <w:t>. 2013</w:t>
      </w:r>
      <w:r w:rsidRPr="005C4E20">
        <w:t>;</w:t>
      </w:r>
      <w:r w:rsidR="00505987">
        <w:t xml:space="preserve"> </w:t>
      </w:r>
      <w:r w:rsidRPr="005C4E20">
        <w:t>346:108.</w:t>
      </w:r>
    </w:p>
    <w:p w14:paraId="02A31065" w14:textId="57037F1D" w:rsidR="0072021A" w:rsidRDefault="0072021A" w:rsidP="006E7994">
      <w:pPr>
        <w:jc w:val="both"/>
      </w:pPr>
      <w:r>
        <w:t xml:space="preserve">19. Lamont </w:t>
      </w:r>
      <w:r w:rsidR="007E7542">
        <w:t xml:space="preserve">K, Scott NW, Jones GT, </w:t>
      </w:r>
      <w:r w:rsidR="007E7542" w:rsidRPr="007E7542">
        <w:t>Bhattacharya</w:t>
      </w:r>
      <w:r w:rsidR="007E7542">
        <w:t xml:space="preserve"> S. </w:t>
      </w:r>
      <w:r w:rsidR="007E7542" w:rsidRPr="007E7542">
        <w:t>Risk of recurrent stillbirth: systematic review and meta-analysis</w:t>
      </w:r>
      <w:r w:rsidR="007E7542">
        <w:t>.</w:t>
      </w:r>
      <w:r w:rsidR="007E7542" w:rsidRPr="007E7542">
        <w:t xml:space="preserve"> </w:t>
      </w:r>
      <w:r w:rsidR="007E7542">
        <w:t>BMJ</w:t>
      </w:r>
      <w:r w:rsidR="00505987">
        <w:t>.</w:t>
      </w:r>
      <w:r w:rsidR="007E7542">
        <w:t xml:space="preserve"> 2015;350:h3080 </w:t>
      </w:r>
      <w:proofErr w:type="spellStart"/>
      <w:r w:rsidR="007E7542">
        <w:t>doi</w:t>
      </w:r>
      <w:proofErr w:type="spellEnd"/>
      <w:r w:rsidR="007E7542">
        <w:t>: 10.1136/bmj.h3080</w:t>
      </w:r>
    </w:p>
    <w:p w14:paraId="1C2F9B9E" w14:textId="3F981091" w:rsidR="009A711E" w:rsidRDefault="0072021A" w:rsidP="006E7994">
      <w:pPr>
        <w:spacing w:after="0" w:line="240" w:lineRule="auto"/>
        <w:jc w:val="both"/>
      </w:pPr>
      <w:r>
        <w:t xml:space="preserve">20. </w:t>
      </w:r>
      <w:proofErr w:type="spellStart"/>
      <w:r>
        <w:t>Rüegger</w:t>
      </w:r>
      <w:proofErr w:type="spellEnd"/>
      <w:r>
        <w:t xml:space="preserve"> C, Bartsch C, Martinez RM, Ross S, </w:t>
      </w:r>
      <w:proofErr w:type="spellStart"/>
      <w:r>
        <w:t>Bolliger</w:t>
      </w:r>
      <w:proofErr w:type="spellEnd"/>
      <w:r>
        <w:t xml:space="preserve"> S, </w:t>
      </w:r>
      <w:r w:rsidR="00FA3BC8">
        <w:t xml:space="preserve">Koller B, </w:t>
      </w:r>
      <w:r>
        <w:t xml:space="preserve">et al.  Minimally invasive, imaging guided virtual autopsy compared to conventional autopsy in foetal, </w:t>
      </w:r>
      <w:proofErr w:type="spellStart"/>
      <w:r>
        <w:t>newborn</w:t>
      </w:r>
      <w:proofErr w:type="spellEnd"/>
      <w:r>
        <w:t xml:space="preserve"> and infant cases: study protocol for the paediatric virtual autopsy trial. BMC </w:t>
      </w:r>
      <w:proofErr w:type="spellStart"/>
      <w:r>
        <w:t>Pediatrics</w:t>
      </w:r>
      <w:proofErr w:type="spellEnd"/>
      <w:r w:rsidR="00505987">
        <w:t>.</w:t>
      </w:r>
      <w:r>
        <w:t xml:space="preserve"> 2014</w:t>
      </w:r>
      <w:r w:rsidR="00505987">
        <w:t>;</w:t>
      </w:r>
      <w:r>
        <w:t xml:space="preserve"> 14:15.</w:t>
      </w:r>
    </w:p>
    <w:p w14:paraId="702F921A" w14:textId="77777777" w:rsidR="00526924" w:rsidRDefault="00526924" w:rsidP="006E7994">
      <w:pPr>
        <w:spacing w:after="0" w:line="240" w:lineRule="auto"/>
        <w:jc w:val="both"/>
      </w:pPr>
    </w:p>
    <w:p w14:paraId="249CA0DC" w14:textId="77777777" w:rsidR="00376C8F" w:rsidRDefault="00376C8F" w:rsidP="006E7994">
      <w:pPr>
        <w:spacing w:after="0" w:line="240" w:lineRule="auto"/>
        <w:jc w:val="both"/>
      </w:pPr>
      <w:r>
        <w:t xml:space="preserve">21. </w:t>
      </w:r>
      <w:r w:rsidRPr="002947B5">
        <w:t>Lavender</w:t>
      </w:r>
      <w:r>
        <w:t xml:space="preserve"> T</w:t>
      </w:r>
      <w:r w:rsidRPr="002947B5">
        <w:t>, Bedwell</w:t>
      </w:r>
      <w:r>
        <w:t xml:space="preserve"> C</w:t>
      </w:r>
      <w:r w:rsidRPr="002947B5">
        <w:t>, Blaikie</w:t>
      </w:r>
      <w:r>
        <w:t xml:space="preserve"> K</w:t>
      </w:r>
      <w:r w:rsidRPr="002947B5">
        <w:t xml:space="preserve">, </w:t>
      </w:r>
      <w:proofErr w:type="spellStart"/>
      <w:r w:rsidRPr="002947B5">
        <w:t>Actis</w:t>
      </w:r>
      <w:proofErr w:type="spellEnd"/>
      <w:r w:rsidRPr="002947B5">
        <w:t xml:space="preserve"> Danna</w:t>
      </w:r>
      <w:r>
        <w:t xml:space="preserve"> V</w:t>
      </w:r>
      <w:r w:rsidRPr="002947B5">
        <w:t>, Sutton</w:t>
      </w:r>
      <w:r>
        <w:t xml:space="preserve"> C</w:t>
      </w:r>
      <w:r w:rsidRPr="002947B5">
        <w:t xml:space="preserve">, </w:t>
      </w:r>
      <w:proofErr w:type="spellStart"/>
      <w:r w:rsidRPr="002947B5">
        <w:t>Tembo</w:t>
      </w:r>
      <w:proofErr w:type="spellEnd"/>
      <w:r w:rsidRPr="002947B5">
        <w:t xml:space="preserve"> </w:t>
      </w:r>
      <w:proofErr w:type="spellStart"/>
      <w:r w:rsidRPr="002947B5">
        <w:t>Kasengele</w:t>
      </w:r>
      <w:proofErr w:type="spellEnd"/>
      <w:r>
        <w:t xml:space="preserve"> C et al. </w:t>
      </w:r>
      <w:r w:rsidRPr="002947B5">
        <w:t>Journey of vulnerability: a mixed-methods study to understand intrapartum transfers in Tanzania and Zambia</w:t>
      </w:r>
      <w:r>
        <w:t>.</w:t>
      </w:r>
      <w:r w:rsidRPr="002947B5">
        <w:t xml:space="preserve"> BMC Pregnancy and Childbirth</w:t>
      </w:r>
      <w:r>
        <w:t xml:space="preserve">. </w:t>
      </w:r>
      <w:r w:rsidRPr="002947B5">
        <w:t>2020</w:t>
      </w:r>
      <w:r>
        <w:t>:</w:t>
      </w:r>
      <w:r w:rsidRPr="002947B5">
        <w:t xml:space="preserve"> 20:292 https://doi.org/10.1186/s12884-020-02996-8</w:t>
      </w:r>
      <w:r>
        <w:t>.</w:t>
      </w:r>
    </w:p>
    <w:p w14:paraId="27D3EC11" w14:textId="77777777" w:rsidR="00376C8F" w:rsidRDefault="00376C8F" w:rsidP="006E7994">
      <w:pPr>
        <w:spacing w:after="0" w:line="240" w:lineRule="auto"/>
        <w:jc w:val="both"/>
      </w:pPr>
    </w:p>
    <w:p w14:paraId="08142158" w14:textId="77777777" w:rsidR="00376C8F" w:rsidRDefault="00376C8F" w:rsidP="006E7994">
      <w:pPr>
        <w:jc w:val="both"/>
      </w:pPr>
      <w:r>
        <w:t xml:space="preserve">22. Human M, Goldstein R, Groenewald C, Kinney H, Odendaal H. Bereaved mothers’ attitudes regarding autopsy of their stillborn baby. </w:t>
      </w:r>
      <w:r w:rsidRPr="00090B73">
        <w:t xml:space="preserve">South African </w:t>
      </w:r>
      <w:r>
        <w:t>J</w:t>
      </w:r>
      <w:r w:rsidRPr="00090B73">
        <w:t xml:space="preserve">ournal of </w:t>
      </w:r>
      <w:r>
        <w:t>O</w:t>
      </w:r>
      <w:r w:rsidRPr="00090B73">
        <w:t xml:space="preserve">bstetrics and </w:t>
      </w:r>
      <w:r>
        <w:t>G</w:t>
      </w:r>
      <w:r w:rsidRPr="00090B73">
        <w:t>ynaecology</w:t>
      </w:r>
      <w:r>
        <w:t>. 2017; 23(3): 93-6.</w:t>
      </w:r>
    </w:p>
    <w:p w14:paraId="074FE64B" w14:textId="77777777" w:rsidR="00376C8F" w:rsidRDefault="00376C8F" w:rsidP="006E7994">
      <w:pPr>
        <w:jc w:val="both"/>
      </w:pPr>
      <w:r>
        <w:t xml:space="preserve">23. Cronin R, Li M, Wise M, Bradford B, Culling V. </w:t>
      </w:r>
      <w:r w:rsidRPr="00747FAB">
        <w:t>Late stillbirth post mortem examination in New Zealand: Maternal decision- making</w:t>
      </w:r>
      <w:r>
        <w:t>.</w:t>
      </w:r>
      <w:r w:rsidRPr="00747FAB">
        <w:t xml:space="preserve"> </w:t>
      </w:r>
      <w:proofErr w:type="spellStart"/>
      <w:r w:rsidRPr="00747FAB">
        <w:t>Aust</w:t>
      </w:r>
      <w:proofErr w:type="spellEnd"/>
      <w:r w:rsidRPr="00747FAB">
        <w:t xml:space="preserve"> N Z J </w:t>
      </w:r>
      <w:proofErr w:type="spellStart"/>
      <w:r w:rsidRPr="00747FAB">
        <w:t>Obstet</w:t>
      </w:r>
      <w:proofErr w:type="spellEnd"/>
      <w:r w:rsidRPr="00747FAB">
        <w:t xml:space="preserve"> Gynaecol</w:t>
      </w:r>
      <w:r>
        <w:t>.2018;</w:t>
      </w:r>
      <w:r w:rsidRPr="00747FAB">
        <w:t xml:space="preserve"> 58: 667–673</w:t>
      </w:r>
      <w:r>
        <w:t>.</w:t>
      </w:r>
    </w:p>
    <w:p w14:paraId="1F427D00" w14:textId="77777777" w:rsidR="00376C8F" w:rsidRDefault="00376C8F" w:rsidP="006E7994">
      <w:pPr>
        <w:jc w:val="both"/>
      </w:pPr>
      <w:r>
        <w:t xml:space="preserve">24. </w:t>
      </w:r>
      <w:proofErr w:type="spellStart"/>
      <w:r>
        <w:t>Blokker</w:t>
      </w:r>
      <w:proofErr w:type="spellEnd"/>
      <w:r>
        <w:t xml:space="preserve"> B, </w:t>
      </w:r>
      <w:proofErr w:type="spellStart"/>
      <w:r>
        <w:t>Wagensveld</w:t>
      </w:r>
      <w:proofErr w:type="spellEnd"/>
      <w:r>
        <w:t xml:space="preserve"> I, </w:t>
      </w:r>
      <w:proofErr w:type="spellStart"/>
      <w:r>
        <w:t>Weustink</w:t>
      </w:r>
      <w:proofErr w:type="spellEnd"/>
      <w:r>
        <w:t xml:space="preserve"> A, </w:t>
      </w:r>
      <w:r w:rsidRPr="00A1346D">
        <w:t xml:space="preserve">Wolter </w:t>
      </w:r>
      <w:proofErr w:type="spellStart"/>
      <w:r w:rsidRPr="00A1346D">
        <w:t>Oosterhuis</w:t>
      </w:r>
      <w:proofErr w:type="spellEnd"/>
      <w:r>
        <w:t xml:space="preserve"> J,</w:t>
      </w:r>
      <w:r w:rsidRPr="00A1346D">
        <w:t xml:space="preserve"> Myriam </w:t>
      </w:r>
      <w:proofErr w:type="spellStart"/>
      <w:r w:rsidRPr="00A1346D">
        <w:t>Hunink</w:t>
      </w:r>
      <w:proofErr w:type="spellEnd"/>
      <w:r>
        <w:t xml:space="preserve"> M. Non-invasive or minimally invasive autopsy compared to conventional autopsy of suspected natural deaths in adults: a systematic review.</w:t>
      </w:r>
      <w:r w:rsidRPr="00AA0DF3">
        <w:t xml:space="preserve"> Eur </w:t>
      </w:r>
      <w:proofErr w:type="spellStart"/>
      <w:r w:rsidRPr="00AA0DF3">
        <w:t>Radiol</w:t>
      </w:r>
      <w:proofErr w:type="spellEnd"/>
      <w:r>
        <w:t>.</w:t>
      </w:r>
      <w:r w:rsidRPr="00AA0DF3">
        <w:t xml:space="preserve"> </w:t>
      </w:r>
      <w:r>
        <w:t xml:space="preserve">2016; </w:t>
      </w:r>
      <w:r w:rsidRPr="00AA0DF3">
        <w:t>26:1159–79</w:t>
      </w:r>
      <w:r>
        <w:t>.</w:t>
      </w:r>
    </w:p>
    <w:p w14:paraId="54C233DA" w14:textId="77777777" w:rsidR="00376C8F" w:rsidRDefault="00376C8F" w:rsidP="006E7994">
      <w:pPr>
        <w:jc w:val="both"/>
      </w:pPr>
      <w:r>
        <w:t xml:space="preserve">25. </w:t>
      </w:r>
      <w:proofErr w:type="spellStart"/>
      <w:r>
        <w:t>Heazell</w:t>
      </w:r>
      <w:proofErr w:type="spellEnd"/>
      <w:r>
        <w:t xml:space="preserve"> A, </w:t>
      </w:r>
      <w:proofErr w:type="spellStart"/>
      <w:r w:rsidRPr="00675663">
        <w:t>Siassakos</w:t>
      </w:r>
      <w:proofErr w:type="spellEnd"/>
      <w:r>
        <w:t xml:space="preserve"> D</w:t>
      </w:r>
      <w:r w:rsidRPr="00675663">
        <w:t xml:space="preserve">, </w:t>
      </w:r>
      <w:proofErr w:type="spellStart"/>
      <w:r w:rsidRPr="00675663">
        <w:t>Blencowe</w:t>
      </w:r>
      <w:proofErr w:type="spellEnd"/>
      <w:r>
        <w:t xml:space="preserve"> H</w:t>
      </w:r>
      <w:r w:rsidRPr="00675663">
        <w:t>, Burden</w:t>
      </w:r>
      <w:r>
        <w:t xml:space="preserve"> C</w:t>
      </w:r>
      <w:r w:rsidRPr="00675663">
        <w:t xml:space="preserve">, A </w:t>
      </w:r>
      <w:proofErr w:type="spellStart"/>
      <w:r w:rsidRPr="00675663">
        <w:t>Bhutta</w:t>
      </w:r>
      <w:proofErr w:type="spellEnd"/>
      <w:r w:rsidRPr="00675663">
        <w:t xml:space="preserve"> </w:t>
      </w:r>
      <w:r>
        <w:t>Z,</w:t>
      </w:r>
      <w:r w:rsidRPr="00FA3BC8">
        <w:t xml:space="preserve"> Cacciatore J</w:t>
      </w:r>
      <w:r>
        <w:t xml:space="preserve">, et al. </w:t>
      </w:r>
      <w:r w:rsidRPr="00675663">
        <w:t>Stillbirths: economic and psychosocial consequences</w:t>
      </w:r>
      <w:r>
        <w:t xml:space="preserve">. The Lancet. 2016; </w:t>
      </w:r>
      <w:r w:rsidRPr="00675663">
        <w:t>387: 604–16</w:t>
      </w:r>
      <w:r>
        <w:t>.</w:t>
      </w:r>
    </w:p>
    <w:p w14:paraId="394C1DA5" w14:textId="77777777" w:rsidR="00376C8F" w:rsidRDefault="00376C8F" w:rsidP="006E7994">
      <w:pPr>
        <w:spacing w:after="0" w:line="240" w:lineRule="auto"/>
        <w:jc w:val="both"/>
      </w:pPr>
      <w:r>
        <w:t xml:space="preserve">26. Meaney S, Gallagher S, </w:t>
      </w:r>
      <w:proofErr w:type="spellStart"/>
      <w:r>
        <w:t>Lutomski</w:t>
      </w:r>
      <w:proofErr w:type="spellEnd"/>
      <w:r>
        <w:t xml:space="preserve"> JE, </w:t>
      </w:r>
      <w:proofErr w:type="spellStart"/>
      <w:r>
        <w:t>O’Donoghue</w:t>
      </w:r>
      <w:proofErr w:type="spellEnd"/>
      <w:r>
        <w:t xml:space="preserve"> K. Parental decision making around perinatal autopsy: a qualitative investigation. </w:t>
      </w:r>
      <w:r w:rsidRPr="00006D3B">
        <w:t>Health Expectations</w:t>
      </w:r>
      <w:r>
        <w:t>. 2014;</w:t>
      </w:r>
      <w:r w:rsidRPr="00006D3B">
        <w:t xml:space="preserve"> 18, pp.3160–3171</w:t>
      </w:r>
      <w:r>
        <w:t>.</w:t>
      </w:r>
    </w:p>
    <w:p w14:paraId="381A088D" w14:textId="77777777" w:rsidR="00376C8F" w:rsidRDefault="00376C8F" w:rsidP="006E7994">
      <w:pPr>
        <w:spacing w:after="0" w:line="240" w:lineRule="auto"/>
        <w:jc w:val="both"/>
      </w:pPr>
    </w:p>
    <w:p w14:paraId="59C6D93F" w14:textId="77777777" w:rsidR="00376C8F" w:rsidRDefault="00376C8F" w:rsidP="006E7994">
      <w:pPr>
        <w:spacing w:after="0" w:line="240" w:lineRule="auto"/>
        <w:jc w:val="both"/>
      </w:pPr>
      <w:r>
        <w:t xml:space="preserve">27. Rankin J, Wright C, </w:t>
      </w:r>
      <w:r w:rsidRPr="003C1DDC">
        <w:t xml:space="preserve">Lind </w:t>
      </w:r>
      <w:r>
        <w:t>T. Cross sectional survey of parents' experience and views of</w:t>
      </w:r>
    </w:p>
    <w:p w14:paraId="3C891F6D" w14:textId="77777777" w:rsidR="00376C8F" w:rsidRDefault="00376C8F" w:rsidP="006E7994">
      <w:pPr>
        <w:spacing w:after="0" w:line="240" w:lineRule="auto"/>
        <w:jc w:val="both"/>
      </w:pPr>
      <w:r>
        <w:t xml:space="preserve">the </w:t>
      </w:r>
      <w:proofErr w:type="spellStart"/>
      <w:r>
        <w:t>postmortem</w:t>
      </w:r>
      <w:proofErr w:type="spellEnd"/>
      <w:r>
        <w:t xml:space="preserve"> examination. BMJ.</w:t>
      </w:r>
      <w:r w:rsidRPr="003C1DDC">
        <w:t xml:space="preserve"> </w:t>
      </w:r>
      <w:r>
        <w:t xml:space="preserve">2002; </w:t>
      </w:r>
      <w:r w:rsidRPr="003C1DDC">
        <w:t>324</w:t>
      </w:r>
      <w:r>
        <w:t>: 816-18.</w:t>
      </w:r>
    </w:p>
    <w:p w14:paraId="738774C2" w14:textId="77777777" w:rsidR="00376C8F" w:rsidRDefault="00376C8F" w:rsidP="006E7994">
      <w:pPr>
        <w:spacing w:after="0" w:line="240" w:lineRule="auto"/>
        <w:jc w:val="both"/>
      </w:pPr>
    </w:p>
    <w:p w14:paraId="2E97205A" w14:textId="77777777" w:rsidR="00376C8F" w:rsidRDefault="00376C8F" w:rsidP="006E7994">
      <w:pPr>
        <w:jc w:val="both"/>
      </w:pPr>
      <w:r>
        <w:t xml:space="preserve">28. </w:t>
      </w:r>
      <w:proofErr w:type="spellStart"/>
      <w:r>
        <w:t>Heazell</w:t>
      </w:r>
      <w:proofErr w:type="spellEnd"/>
      <w:r>
        <w:t xml:space="preserve"> A, McLaughlin M, Schmidt E, Cox P, </w:t>
      </w:r>
      <w:proofErr w:type="spellStart"/>
      <w:r>
        <w:t>Flenady</w:t>
      </w:r>
      <w:proofErr w:type="spellEnd"/>
      <w:r>
        <w:t xml:space="preserve"> V, </w:t>
      </w:r>
      <w:proofErr w:type="spellStart"/>
      <w:r>
        <w:t>Khong</w:t>
      </w:r>
      <w:proofErr w:type="spellEnd"/>
      <w:r>
        <w:t xml:space="preserve"> T, </w:t>
      </w:r>
      <w:proofErr w:type="spellStart"/>
      <w:r>
        <w:t>Downe</w:t>
      </w:r>
      <w:proofErr w:type="spellEnd"/>
      <w:r>
        <w:t xml:space="preserve"> S. A difficult conversation? The views and experiences of parents and professionals on the consent process for perinatal </w:t>
      </w:r>
      <w:proofErr w:type="spellStart"/>
      <w:r>
        <w:t>postmortem</w:t>
      </w:r>
      <w:proofErr w:type="spellEnd"/>
      <w:r>
        <w:t xml:space="preserve"> after stillbirth. BJOG. 2012; 119:987–997.</w:t>
      </w:r>
    </w:p>
    <w:p w14:paraId="76C0E97E" w14:textId="77777777" w:rsidR="00376C8F" w:rsidRDefault="00376C8F" w:rsidP="006E7994">
      <w:pPr>
        <w:spacing w:after="0" w:line="240" w:lineRule="auto"/>
        <w:jc w:val="both"/>
      </w:pPr>
      <w:r>
        <w:t xml:space="preserve">29. Lewis C, Hill M, Arthurs OJ, Hutchinson JC, Chitty LS, </w:t>
      </w:r>
      <w:proofErr w:type="spellStart"/>
      <w:r>
        <w:t>Sebire</w:t>
      </w:r>
      <w:proofErr w:type="spellEnd"/>
      <w:r>
        <w:t xml:space="preserve"> N. Health professionals’ and coroners’ views on less invasive perinatal and paediatric autopsy: a qualitative study. Arch Dis Child. 2018. </w:t>
      </w:r>
      <w:r w:rsidRPr="00EF59C1">
        <w:t>0:1–7. doi:10.1136/archdischild-2017-314424</w:t>
      </w:r>
      <w:r>
        <w:t>.</w:t>
      </w:r>
    </w:p>
    <w:p w14:paraId="61CA8DF1" w14:textId="77777777" w:rsidR="00376C8F" w:rsidRDefault="00376C8F" w:rsidP="006E7994">
      <w:pPr>
        <w:spacing w:after="0" w:line="240" w:lineRule="auto"/>
        <w:jc w:val="both"/>
      </w:pPr>
    </w:p>
    <w:p w14:paraId="32B44A77" w14:textId="77777777" w:rsidR="00376C8F" w:rsidRDefault="00376C8F" w:rsidP="006E7994">
      <w:pPr>
        <w:jc w:val="both"/>
      </w:pPr>
      <w:r>
        <w:t xml:space="preserve">30. Ellis A, </w:t>
      </w:r>
      <w:proofErr w:type="spellStart"/>
      <w:r>
        <w:t>Chebsey</w:t>
      </w:r>
      <w:proofErr w:type="spellEnd"/>
      <w:r>
        <w:t xml:space="preserve"> C, Storey C, Bradley S, Jackson S, </w:t>
      </w:r>
      <w:proofErr w:type="spellStart"/>
      <w:r>
        <w:t>Flenady</w:t>
      </w:r>
      <w:proofErr w:type="spellEnd"/>
      <w:r>
        <w:t xml:space="preserve"> V, et al. </w:t>
      </w:r>
      <w:r w:rsidRPr="000B5DB7">
        <w:t>Systematic review to understand and improve care after stillbirth: a review of parents’ and healthcare professionals’ experiences. BMC Pregnancy and Childbirth</w:t>
      </w:r>
      <w:r>
        <w:t xml:space="preserve">. 2016; </w:t>
      </w:r>
      <w:r w:rsidRPr="000B5DB7">
        <w:t>16:16. DOI 10.1186/s12884-016-0806-2.</w:t>
      </w:r>
    </w:p>
    <w:p w14:paraId="499990FF" w14:textId="77777777" w:rsidR="00376C8F" w:rsidRDefault="00376C8F" w:rsidP="006E7994">
      <w:pPr>
        <w:jc w:val="both"/>
      </w:pPr>
      <w:r>
        <w:lastRenderedPageBreak/>
        <w:t>31. Gold</w:t>
      </w:r>
      <w:r w:rsidRPr="00093ABE">
        <w:t xml:space="preserve"> </w:t>
      </w:r>
      <w:r>
        <w:t>K J, Abdul-</w:t>
      </w:r>
      <w:proofErr w:type="spellStart"/>
      <w:r>
        <w:t>Muminc</w:t>
      </w:r>
      <w:proofErr w:type="spellEnd"/>
      <w:r>
        <w:t xml:space="preserve"> A-R S, </w:t>
      </w:r>
      <w:proofErr w:type="spellStart"/>
      <w:r>
        <w:t>Boggsa</w:t>
      </w:r>
      <w:proofErr w:type="spellEnd"/>
      <w:r>
        <w:t xml:space="preserve"> ME, </w:t>
      </w:r>
      <w:proofErr w:type="spellStart"/>
      <w:r>
        <w:t>Opare-Addoc</w:t>
      </w:r>
      <w:proofErr w:type="spellEnd"/>
      <w:r>
        <w:t xml:space="preserve"> HS, Lieberman RW. Assessment of fresh versus macerated</w:t>
      </w:r>
      <w:r w:rsidRPr="00F24E05">
        <w:t xml:space="preserve"> </w:t>
      </w:r>
      <w:r>
        <w:t xml:space="preserve">as accurate markers of time since intrauterine </w:t>
      </w:r>
      <w:proofErr w:type="spellStart"/>
      <w:r>
        <w:t>fetal</w:t>
      </w:r>
      <w:proofErr w:type="spellEnd"/>
      <w:r>
        <w:t xml:space="preserve"> demise in low-income countries </w:t>
      </w:r>
      <w:r w:rsidRPr="00093ABE">
        <w:t xml:space="preserve">Int J </w:t>
      </w:r>
      <w:proofErr w:type="spellStart"/>
      <w:r w:rsidRPr="00093ABE">
        <w:t>Gynaecol</w:t>
      </w:r>
      <w:proofErr w:type="spellEnd"/>
      <w:r w:rsidRPr="00093ABE">
        <w:t xml:space="preserve"> Obstet. </w:t>
      </w:r>
      <w:r>
        <w:t xml:space="preserve">2014; </w:t>
      </w:r>
      <w:r w:rsidRPr="00093ABE">
        <w:t>125(3): 223–227. doi:10.1016/j.ijgo.2013.12.006.</w:t>
      </w:r>
    </w:p>
    <w:p w14:paraId="235C5158" w14:textId="77777777" w:rsidR="00376C8F" w:rsidRDefault="00376C8F" w:rsidP="006E7994">
      <w:pPr>
        <w:spacing w:after="0" w:line="240" w:lineRule="auto"/>
        <w:jc w:val="both"/>
      </w:pPr>
      <w:r>
        <w:t xml:space="preserve">32. </w:t>
      </w:r>
      <w:proofErr w:type="spellStart"/>
      <w:r w:rsidRPr="009036B7">
        <w:t>Nuzum</w:t>
      </w:r>
      <w:proofErr w:type="spellEnd"/>
      <w:r w:rsidRPr="009036B7">
        <w:t xml:space="preserve"> </w:t>
      </w:r>
      <w:r>
        <w:t xml:space="preserve">D, </w:t>
      </w:r>
      <w:r w:rsidRPr="0079122B">
        <w:t>Meaney</w:t>
      </w:r>
      <w:r>
        <w:t xml:space="preserve"> S</w:t>
      </w:r>
      <w:r w:rsidRPr="0079122B">
        <w:t xml:space="preserve">, </w:t>
      </w:r>
      <w:proofErr w:type="spellStart"/>
      <w:r w:rsidRPr="0079122B">
        <w:t>O’Donoghuea</w:t>
      </w:r>
      <w:proofErr w:type="spellEnd"/>
      <w:r>
        <w:t xml:space="preserve"> K.</w:t>
      </w:r>
      <w:r w:rsidRPr="009036B7">
        <w:t xml:space="preserve"> </w:t>
      </w:r>
      <w:r>
        <w:t>The impact of stillbirth on consultant obstetrician gynaecologists: a qualitative study.</w:t>
      </w:r>
      <w:r w:rsidRPr="0079122B">
        <w:t xml:space="preserve"> </w:t>
      </w:r>
      <w:r>
        <w:t xml:space="preserve">BJOG. 2018; </w:t>
      </w:r>
      <w:r w:rsidRPr="0079122B">
        <w:t>121:1020–1028.</w:t>
      </w:r>
    </w:p>
    <w:p w14:paraId="27A9541E" w14:textId="77777777" w:rsidR="00376C8F" w:rsidRDefault="00376C8F" w:rsidP="006E7994">
      <w:pPr>
        <w:spacing w:after="0" w:line="240" w:lineRule="auto"/>
        <w:jc w:val="both"/>
      </w:pPr>
    </w:p>
    <w:p w14:paraId="5C3CC902" w14:textId="6E1D767D" w:rsidR="00B21A97" w:rsidRDefault="00376C8F" w:rsidP="006E7994">
      <w:pPr>
        <w:jc w:val="both"/>
      </w:pPr>
      <w:r>
        <w:t xml:space="preserve">33. </w:t>
      </w:r>
      <w:proofErr w:type="spellStart"/>
      <w:r>
        <w:t>Hutti</w:t>
      </w:r>
      <w:proofErr w:type="spellEnd"/>
      <w:r>
        <w:t xml:space="preserve"> M, </w:t>
      </w:r>
      <w:proofErr w:type="spellStart"/>
      <w:r>
        <w:t>Polivka</w:t>
      </w:r>
      <w:proofErr w:type="spellEnd"/>
      <w:r>
        <w:t xml:space="preserve"> B, White S, Hill J, Clark P, Cooke C, et al. Experiences of Nurses Who Care for Women After </w:t>
      </w:r>
      <w:proofErr w:type="spellStart"/>
      <w:r>
        <w:t>Fetal</w:t>
      </w:r>
      <w:proofErr w:type="spellEnd"/>
      <w:r>
        <w:t xml:space="preserve"> Loss.</w:t>
      </w:r>
      <w:r w:rsidRPr="0079122B">
        <w:t xml:space="preserve"> </w:t>
      </w:r>
      <w:r>
        <w:t>JOGNN. 2016; 45, 17–27</w:t>
      </w:r>
      <w:r w:rsidR="0033396C">
        <w:t>.</w:t>
      </w:r>
    </w:p>
    <w:p w14:paraId="33C568F5" w14:textId="24F212EE" w:rsidR="0033396C" w:rsidRDefault="0033396C">
      <w:r>
        <w:br w:type="page"/>
      </w:r>
    </w:p>
    <w:p w14:paraId="75CD0036" w14:textId="77777777" w:rsidR="0033396C" w:rsidRDefault="0033396C" w:rsidP="006E7994">
      <w:pPr>
        <w:jc w:val="both"/>
        <w:sectPr w:rsidR="0033396C" w:rsidSect="003E191D">
          <w:headerReference w:type="default" r:id="rId12"/>
          <w:footerReference w:type="default" r:id="rId13"/>
          <w:pgSz w:w="11906" w:h="16838"/>
          <w:pgMar w:top="1440" w:right="1440" w:bottom="1440" w:left="1440" w:header="708" w:footer="708" w:gutter="0"/>
          <w:lnNumType w:countBy="1" w:restart="continuous"/>
          <w:cols w:space="708"/>
          <w:titlePg/>
          <w:docGrid w:linePitch="360"/>
        </w:sectPr>
      </w:pPr>
    </w:p>
    <w:p w14:paraId="521A5E74" w14:textId="77777777" w:rsidR="0033396C" w:rsidRPr="008E10CA" w:rsidRDefault="0033396C" w:rsidP="0033396C">
      <w:r>
        <w:rPr>
          <w:b/>
          <w:bCs/>
        </w:rPr>
        <w:lastRenderedPageBreak/>
        <w:t xml:space="preserve">Table 1. </w:t>
      </w:r>
      <w:r w:rsidRPr="008E10CA">
        <w:t>Birth outcomes</w:t>
      </w:r>
    </w:p>
    <w:tbl>
      <w:tblPr>
        <w:tblStyle w:val="TableGrid1"/>
        <w:tblW w:w="14242" w:type="dxa"/>
        <w:tblInd w:w="-284" w:type="dxa"/>
        <w:tblBorders>
          <w:left w:val="none" w:sz="0" w:space="0" w:color="auto"/>
          <w:right w:val="none" w:sz="0" w:space="0" w:color="auto"/>
        </w:tblBorders>
        <w:tblLook w:val="04A0" w:firstRow="1" w:lastRow="0" w:firstColumn="1" w:lastColumn="0" w:noHBand="0" w:noVBand="1"/>
      </w:tblPr>
      <w:tblGrid>
        <w:gridCol w:w="2232"/>
        <w:gridCol w:w="1334"/>
        <w:gridCol w:w="1334"/>
        <w:gridCol w:w="1335"/>
        <w:gridCol w:w="1334"/>
        <w:gridCol w:w="1335"/>
        <w:gridCol w:w="1334"/>
        <w:gridCol w:w="1335"/>
        <w:gridCol w:w="1334"/>
        <w:gridCol w:w="1335"/>
      </w:tblGrid>
      <w:tr w:rsidR="0033396C" w:rsidRPr="00B075FE" w14:paraId="63ADC029" w14:textId="77777777" w:rsidTr="00921131">
        <w:trPr>
          <w:trHeight w:val="490"/>
        </w:trPr>
        <w:tc>
          <w:tcPr>
            <w:tcW w:w="2232" w:type="dxa"/>
            <w:vMerge w:val="restart"/>
            <w:tcBorders>
              <w:right w:val="nil"/>
            </w:tcBorders>
            <w:vAlign w:val="center"/>
            <w:hideMark/>
          </w:tcPr>
          <w:p w14:paraId="58A66C9E" w14:textId="77777777" w:rsidR="0033396C" w:rsidRPr="00B075FE" w:rsidRDefault="0033396C" w:rsidP="00921131">
            <w:pPr>
              <w:rPr>
                <w:sz w:val="20"/>
                <w:szCs w:val="20"/>
              </w:rPr>
            </w:pPr>
            <w:r w:rsidRPr="00B075FE">
              <w:rPr>
                <w:b/>
                <w:bCs/>
                <w:sz w:val="20"/>
                <w:szCs w:val="20"/>
              </w:rPr>
              <w:t>Pregnancy Outcome Indicators</w:t>
            </w:r>
          </w:p>
        </w:tc>
        <w:tc>
          <w:tcPr>
            <w:tcW w:w="4003" w:type="dxa"/>
            <w:gridSpan w:val="3"/>
            <w:tcBorders>
              <w:left w:val="nil"/>
              <w:bottom w:val="single" w:sz="4" w:space="0" w:color="auto"/>
              <w:right w:val="nil"/>
            </w:tcBorders>
            <w:vAlign w:val="center"/>
            <w:hideMark/>
          </w:tcPr>
          <w:p w14:paraId="03A1D97F" w14:textId="77777777" w:rsidR="0033396C" w:rsidRPr="00B075FE" w:rsidRDefault="0033396C" w:rsidP="00921131">
            <w:pPr>
              <w:jc w:val="center"/>
              <w:rPr>
                <w:b/>
                <w:bCs/>
                <w:sz w:val="20"/>
                <w:szCs w:val="20"/>
              </w:rPr>
            </w:pPr>
            <w:r w:rsidRPr="00B075FE">
              <w:rPr>
                <w:b/>
                <w:bCs/>
                <w:sz w:val="20"/>
                <w:szCs w:val="20"/>
              </w:rPr>
              <w:t>Both Countries</w:t>
            </w:r>
          </w:p>
        </w:tc>
        <w:tc>
          <w:tcPr>
            <w:tcW w:w="4003" w:type="dxa"/>
            <w:gridSpan w:val="3"/>
            <w:tcBorders>
              <w:left w:val="nil"/>
              <w:right w:val="nil"/>
            </w:tcBorders>
            <w:vAlign w:val="center"/>
            <w:hideMark/>
          </w:tcPr>
          <w:p w14:paraId="7321866B" w14:textId="77777777" w:rsidR="0033396C" w:rsidRPr="00B075FE" w:rsidRDefault="0033396C" w:rsidP="00921131">
            <w:pPr>
              <w:jc w:val="center"/>
              <w:rPr>
                <w:b/>
                <w:bCs/>
                <w:sz w:val="20"/>
                <w:szCs w:val="20"/>
              </w:rPr>
            </w:pPr>
            <w:r w:rsidRPr="00B075FE">
              <w:rPr>
                <w:b/>
                <w:bCs/>
                <w:sz w:val="20"/>
                <w:szCs w:val="20"/>
              </w:rPr>
              <w:t>Tanzania</w:t>
            </w:r>
          </w:p>
        </w:tc>
        <w:tc>
          <w:tcPr>
            <w:tcW w:w="4004" w:type="dxa"/>
            <w:gridSpan w:val="3"/>
            <w:tcBorders>
              <w:left w:val="nil"/>
            </w:tcBorders>
            <w:vAlign w:val="center"/>
            <w:hideMark/>
          </w:tcPr>
          <w:p w14:paraId="682EBA4B" w14:textId="77777777" w:rsidR="0033396C" w:rsidRPr="00B075FE" w:rsidRDefault="0033396C" w:rsidP="00921131">
            <w:pPr>
              <w:jc w:val="center"/>
              <w:rPr>
                <w:b/>
                <w:bCs/>
                <w:sz w:val="20"/>
                <w:szCs w:val="20"/>
              </w:rPr>
            </w:pPr>
            <w:r w:rsidRPr="00B075FE">
              <w:rPr>
                <w:b/>
                <w:bCs/>
                <w:sz w:val="20"/>
                <w:szCs w:val="20"/>
              </w:rPr>
              <w:t>Zambia</w:t>
            </w:r>
          </w:p>
        </w:tc>
      </w:tr>
      <w:tr w:rsidR="0033396C" w:rsidRPr="00B075FE" w14:paraId="6EB4C523" w14:textId="77777777" w:rsidTr="00921131">
        <w:trPr>
          <w:trHeight w:val="490"/>
        </w:trPr>
        <w:tc>
          <w:tcPr>
            <w:tcW w:w="2232" w:type="dxa"/>
            <w:vMerge/>
            <w:tcBorders>
              <w:bottom w:val="single" w:sz="4" w:space="0" w:color="auto"/>
              <w:right w:val="nil"/>
            </w:tcBorders>
          </w:tcPr>
          <w:p w14:paraId="1BB1DAD6" w14:textId="77777777" w:rsidR="0033396C" w:rsidRPr="00B075FE" w:rsidRDefault="0033396C" w:rsidP="00921131">
            <w:pPr>
              <w:rPr>
                <w:b/>
                <w:bCs/>
                <w:sz w:val="20"/>
                <w:szCs w:val="20"/>
              </w:rPr>
            </w:pPr>
          </w:p>
        </w:tc>
        <w:tc>
          <w:tcPr>
            <w:tcW w:w="1334" w:type="dxa"/>
            <w:tcBorders>
              <w:left w:val="nil"/>
              <w:bottom w:val="single" w:sz="4" w:space="0" w:color="auto"/>
              <w:right w:val="nil"/>
            </w:tcBorders>
            <w:vAlign w:val="center"/>
          </w:tcPr>
          <w:p w14:paraId="1124F37A" w14:textId="77777777" w:rsidR="0033396C" w:rsidRPr="00B075FE" w:rsidRDefault="0033396C" w:rsidP="00921131">
            <w:pPr>
              <w:jc w:val="center"/>
              <w:rPr>
                <w:b/>
                <w:bCs/>
                <w:sz w:val="20"/>
                <w:szCs w:val="20"/>
              </w:rPr>
            </w:pPr>
            <w:r w:rsidRPr="00B075FE">
              <w:rPr>
                <w:b/>
                <w:bCs/>
                <w:sz w:val="20"/>
                <w:szCs w:val="20"/>
              </w:rPr>
              <w:t>Total</w:t>
            </w:r>
          </w:p>
        </w:tc>
        <w:tc>
          <w:tcPr>
            <w:tcW w:w="1334" w:type="dxa"/>
            <w:tcBorders>
              <w:left w:val="nil"/>
              <w:bottom w:val="single" w:sz="4" w:space="0" w:color="auto"/>
              <w:right w:val="nil"/>
            </w:tcBorders>
            <w:vAlign w:val="center"/>
          </w:tcPr>
          <w:p w14:paraId="519D377B" w14:textId="77777777" w:rsidR="0033396C" w:rsidRPr="00B075FE" w:rsidRDefault="0033396C" w:rsidP="00921131">
            <w:pPr>
              <w:jc w:val="center"/>
              <w:rPr>
                <w:b/>
                <w:bCs/>
                <w:sz w:val="20"/>
                <w:szCs w:val="20"/>
              </w:rPr>
            </w:pPr>
            <w:r w:rsidRPr="00B075FE">
              <w:rPr>
                <w:b/>
                <w:bCs/>
                <w:sz w:val="20"/>
                <w:szCs w:val="20"/>
              </w:rPr>
              <w:t>Singleton</w:t>
            </w:r>
          </w:p>
        </w:tc>
        <w:tc>
          <w:tcPr>
            <w:tcW w:w="1335" w:type="dxa"/>
            <w:tcBorders>
              <w:left w:val="nil"/>
              <w:bottom w:val="single" w:sz="4" w:space="0" w:color="auto"/>
              <w:right w:val="nil"/>
            </w:tcBorders>
            <w:vAlign w:val="center"/>
          </w:tcPr>
          <w:p w14:paraId="17665150" w14:textId="77777777" w:rsidR="0033396C" w:rsidRPr="00B075FE" w:rsidRDefault="0033396C" w:rsidP="00921131">
            <w:pPr>
              <w:jc w:val="center"/>
              <w:rPr>
                <w:b/>
                <w:bCs/>
                <w:sz w:val="20"/>
                <w:szCs w:val="20"/>
              </w:rPr>
            </w:pPr>
            <w:r w:rsidRPr="00B075FE">
              <w:rPr>
                <w:b/>
                <w:bCs/>
                <w:sz w:val="20"/>
                <w:szCs w:val="20"/>
              </w:rPr>
              <w:t>Twin</w:t>
            </w:r>
          </w:p>
        </w:tc>
        <w:tc>
          <w:tcPr>
            <w:tcW w:w="1334" w:type="dxa"/>
            <w:tcBorders>
              <w:left w:val="nil"/>
              <w:bottom w:val="single" w:sz="4" w:space="0" w:color="auto"/>
              <w:right w:val="nil"/>
            </w:tcBorders>
            <w:vAlign w:val="center"/>
          </w:tcPr>
          <w:p w14:paraId="4B4A258E" w14:textId="77777777" w:rsidR="0033396C" w:rsidRPr="00B075FE" w:rsidRDefault="0033396C" w:rsidP="00921131">
            <w:pPr>
              <w:jc w:val="center"/>
              <w:rPr>
                <w:b/>
                <w:bCs/>
                <w:sz w:val="20"/>
                <w:szCs w:val="20"/>
              </w:rPr>
            </w:pPr>
            <w:r w:rsidRPr="00B075FE">
              <w:rPr>
                <w:b/>
                <w:bCs/>
                <w:sz w:val="20"/>
                <w:szCs w:val="20"/>
              </w:rPr>
              <w:t>Total</w:t>
            </w:r>
          </w:p>
        </w:tc>
        <w:tc>
          <w:tcPr>
            <w:tcW w:w="1335" w:type="dxa"/>
            <w:tcBorders>
              <w:left w:val="nil"/>
              <w:bottom w:val="single" w:sz="4" w:space="0" w:color="auto"/>
              <w:right w:val="nil"/>
            </w:tcBorders>
            <w:vAlign w:val="center"/>
          </w:tcPr>
          <w:p w14:paraId="768F9AF7" w14:textId="77777777" w:rsidR="0033396C" w:rsidRPr="00B075FE" w:rsidRDefault="0033396C" w:rsidP="00921131">
            <w:pPr>
              <w:jc w:val="center"/>
              <w:rPr>
                <w:b/>
                <w:bCs/>
                <w:sz w:val="20"/>
                <w:szCs w:val="20"/>
              </w:rPr>
            </w:pPr>
            <w:r w:rsidRPr="00B075FE">
              <w:rPr>
                <w:b/>
                <w:bCs/>
                <w:sz w:val="20"/>
                <w:szCs w:val="20"/>
              </w:rPr>
              <w:t>Singleton</w:t>
            </w:r>
          </w:p>
        </w:tc>
        <w:tc>
          <w:tcPr>
            <w:tcW w:w="1334" w:type="dxa"/>
            <w:tcBorders>
              <w:left w:val="nil"/>
              <w:bottom w:val="single" w:sz="4" w:space="0" w:color="auto"/>
              <w:right w:val="nil"/>
            </w:tcBorders>
            <w:vAlign w:val="center"/>
          </w:tcPr>
          <w:p w14:paraId="7E38E286" w14:textId="77777777" w:rsidR="0033396C" w:rsidRPr="00B075FE" w:rsidRDefault="0033396C" w:rsidP="00921131">
            <w:pPr>
              <w:jc w:val="center"/>
              <w:rPr>
                <w:b/>
                <w:bCs/>
                <w:sz w:val="20"/>
                <w:szCs w:val="20"/>
              </w:rPr>
            </w:pPr>
            <w:r w:rsidRPr="00B075FE">
              <w:rPr>
                <w:b/>
                <w:bCs/>
                <w:sz w:val="20"/>
                <w:szCs w:val="20"/>
              </w:rPr>
              <w:t>Twin</w:t>
            </w:r>
          </w:p>
        </w:tc>
        <w:tc>
          <w:tcPr>
            <w:tcW w:w="1335" w:type="dxa"/>
            <w:tcBorders>
              <w:left w:val="nil"/>
              <w:bottom w:val="single" w:sz="4" w:space="0" w:color="auto"/>
              <w:right w:val="single" w:sz="4" w:space="0" w:color="FFFFFF" w:themeColor="background1"/>
            </w:tcBorders>
            <w:vAlign w:val="center"/>
          </w:tcPr>
          <w:p w14:paraId="675724FD" w14:textId="77777777" w:rsidR="0033396C" w:rsidRPr="00B075FE" w:rsidRDefault="0033396C" w:rsidP="00921131">
            <w:pPr>
              <w:jc w:val="center"/>
              <w:rPr>
                <w:b/>
                <w:bCs/>
                <w:sz w:val="20"/>
                <w:szCs w:val="20"/>
              </w:rPr>
            </w:pPr>
            <w:r w:rsidRPr="00B075FE">
              <w:rPr>
                <w:b/>
                <w:bCs/>
                <w:sz w:val="20"/>
                <w:szCs w:val="20"/>
              </w:rPr>
              <w:t>Total</w:t>
            </w:r>
          </w:p>
        </w:tc>
        <w:tc>
          <w:tcPr>
            <w:tcW w:w="1334" w:type="dxa"/>
            <w:tcBorders>
              <w:left w:val="single" w:sz="4" w:space="0" w:color="FFFFFF" w:themeColor="background1"/>
              <w:bottom w:val="single" w:sz="4" w:space="0" w:color="auto"/>
              <w:right w:val="single" w:sz="4" w:space="0" w:color="FFFFFF" w:themeColor="background1"/>
            </w:tcBorders>
            <w:vAlign w:val="center"/>
          </w:tcPr>
          <w:p w14:paraId="1532F6EC" w14:textId="77777777" w:rsidR="0033396C" w:rsidRPr="00B075FE" w:rsidRDefault="0033396C" w:rsidP="00921131">
            <w:pPr>
              <w:jc w:val="center"/>
              <w:rPr>
                <w:b/>
                <w:bCs/>
                <w:sz w:val="20"/>
                <w:szCs w:val="20"/>
              </w:rPr>
            </w:pPr>
            <w:r w:rsidRPr="00B075FE">
              <w:rPr>
                <w:b/>
                <w:bCs/>
                <w:sz w:val="20"/>
                <w:szCs w:val="20"/>
              </w:rPr>
              <w:t>Singleton</w:t>
            </w:r>
          </w:p>
        </w:tc>
        <w:tc>
          <w:tcPr>
            <w:tcW w:w="1335" w:type="dxa"/>
            <w:tcBorders>
              <w:left w:val="single" w:sz="4" w:space="0" w:color="FFFFFF" w:themeColor="background1"/>
              <w:bottom w:val="single" w:sz="4" w:space="0" w:color="auto"/>
            </w:tcBorders>
            <w:vAlign w:val="center"/>
          </w:tcPr>
          <w:p w14:paraId="5F377C9F" w14:textId="77777777" w:rsidR="0033396C" w:rsidRPr="00B075FE" w:rsidRDefault="0033396C" w:rsidP="00921131">
            <w:pPr>
              <w:jc w:val="center"/>
              <w:rPr>
                <w:b/>
                <w:bCs/>
                <w:sz w:val="20"/>
                <w:szCs w:val="20"/>
              </w:rPr>
            </w:pPr>
            <w:r w:rsidRPr="00B075FE">
              <w:rPr>
                <w:b/>
                <w:bCs/>
                <w:sz w:val="20"/>
                <w:szCs w:val="20"/>
              </w:rPr>
              <w:t>Twin</w:t>
            </w:r>
          </w:p>
        </w:tc>
      </w:tr>
      <w:tr w:rsidR="0033396C" w:rsidRPr="00B075FE" w14:paraId="738AB719" w14:textId="77777777" w:rsidTr="00921131">
        <w:trPr>
          <w:trHeight w:val="490"/>
        </w:trPr>
        <w:tc>
          <w:tcPr>
            <w:tcW w:w="2232" w:type="dxa"/>
            <w:tcBorders>
              <w:bottom w:val="nil"/>
              <w:right w:val="nil"/>
            </w:tcBorders>
            <w:vAlign w:val="center"/>
            <w:hideMark/>
          </w:tcPr>
          <w:p w14:paraId="27FBC6B4" w14:textId="77777777" w:rsidR="0033396C" w:rsidRPr="00B075FE" w:rsidRDefault="0033396C" w:rsidP="00921131">
            <w:pPr>
              <w:rPr>
                <w:sz w:val="20"/>
                <w:szCs w:val="20"/>
              </w:rPr>
            </w:pPr>
            <w:r w:rsidRPr="00B075FE">
              <w:rPr>
                <w:sz w:val="20"/>
                <w:szCs w:val="20"/>
              </w:rPr>
              <w:t xml:space="preserve">Cases collected </w:t>
            </w:r>
          </w:p>
        </w:tc>
        <w:tc>
          <w:tcPr>
            <w:tcW w:w="1334" w:type="dxa"/>
            <w:tcBorders>
              <w:left w:val="nil"/>
              <w:bottom w:val="nil"/>
              <w:right w:val="nil"/>
            </w:tcBorders>
            <w:vAlign w:val="center"/>
            <w:hideMark/>
          </w:tcPr>
          <w:p w14:paraId="0102ABF4" w14:textId="77777777" w:rsidR="0033396C" w:rsidRPr="00B075FE" w:rsidRDefault="0033396C" w:rsidP="00921131">
            <w:pPr>
              <w:jc w:val="center"/>
              <w:rPr>
                <w:sz w:val="20"/>
                <w:szCs w:val="20"/>
              </w:rPr>
            </w:pPr>
            <w:r w:rsidRPr="00B075FE">
              <w:rPr>
                <w:sz w:val="20"/>
                <w:szCs w:val="20"/>
              </w:rPr>
              <w:t>1,997</w:t>
            </w:r>
          </w:p>
        </w:tc>
        <w:tc>
          <w:tcPr>
            <w:tcW w:w="1334" w:type="dxa"/>
            <w:tcBorders>
              <w:left w:val="nil"/>
              <w:bottom w:val="nil"/>
              <w:right w:val="nil"/>
            </w:tcBorders>
            <w:vAlign w:val="center"/>
          </w:tcPr>
          <w:p w14:paraId="5E8B6AD5" w14:textId="77777777" w:rsidR="0033396C" w:rsidRPr="00B075FE" w:rsidRDefault="0033396C" w:rsidP="00921131">
            <w:pPr>
              <w:jc w:val="center"/>
              <w:rPr>
                <w:sz w:val="20"/>
                <w:szCs w:val="20"/>
              </w:rPr>
            </w:pPr>
            <w:r w:rsidRPr="00B075FE">
              <w:rPr>
                <w:sz w:val="20"/>
                <w:szCs w:val="20"/>
              </w:rPr>
              <w:t>1938</w:t>
            </w:r>
          </w:p>
        </w:tc>
        <w:tc>
          <w:tcPr>
            <w:tcW w:w="1335" w:type="dxa"/>
            <w:tcBorders>
              <w:left w:val="nil"/>
              <w:bottom w:val="nil"/>
              <w:right w:val="nil"/>
            </w:tcBorders>
            <w:vAlign w:val="center"/>
          </w:tcPr>
          <w:p w14:paraId="258E5A41" w14:textId="77777777" w:rsidR="0033396C" w:rsidRPr="00B075FE" w:rsidRDefault="0033396C" w:rsidP="00921131">
            <w:pPr>
              <w:jc w:val="center"/>
              <w:rPr>
                <w:sz w:val="20"/>
                <w:szCs w:val="20"/>
              </w:rPr>
            </w:pPr>
            <w:r w:rsidRPr="00B075FE">
              <w:rPr>
                <w:sz w:val="20"/>
                <w:szCs w:val="20"/>
              </w:rPr>
              <w:t>59</w:t>
            </w:r>
          </w:p>
        </w:tc>
        <w:tc>
          <w:tcPr>
            <w:tcW w:w="1334" w:type="dxa"/>
            <w:tcBorders>
              <w:left w:val="nil"/>
              <w:bottom w:val="nil"/>
              <w:right w:val="nil"/>
            </w:tcBorders>
            <w:vAlign w:val="center"/>
            <w:hideMark/>
          </w:tcPr>
          <w:p w14:paraId="61292BA1" w14:textId="77777777" w:rsidR="0033396C" w:rsidRPr="00B075FE" w:rsidRDefault="0033396C" w:rsidP="00921131">
            <w:pPr>
              <w:jc w:val="center"/>
              <w:rPr>
                <w:sz w:val="20"/>
                <w:szCs w:val="20"/>
              </w:rPr>
            </w:pPr>
            <w:r w:rsidRPr="00B075FE">
              <w:rPr>
                <w:sz w:val="20"/>
                <w:szCs w:val="20"/>
              </w:rPr>
              <w:t>1,000</w:t>
            </w:r>
          </w:p>
        </w:tc>
        <w:tc>
          <w:tcPr>
            <w:tcW w:w="1335" w:type="dxa"/>
            <w:tcBorders>
              <w:left w:val="nil"/>
              <w:bottom w:val="nil"/>
              <w:right w:val="nil"/>
            </w:tcBorders>
            <w:vAlign w:val="center"/>
          </w:tcPr>
          <w:p w14:paraId="037BAC4A" w14:textId="77777777" w:rsidR="0033396C" w:rsidRPr="00B075FE" w:rsidRDefault="0033396C" w:rsidP="00921131">
            <w:pPr>
              <w:jc w:val="center"/>
              <w:rPr>
                <w:sz w:val="20"/>
                <w:szCs w:val="20"/>
              </w:rPr>
            </w:pPr>
            <w:r w:rsidRPr="00B075FE">
              <w:rPr>
                <w:sz w:val="20"/>
                <w:szCs w:val="20"/>
              </w:rPr>
              <w:t>962</w:t>
            </w:r>
          </w:p>
        </w:tc>
        <w:tc>
          <w:tcPr>
            <w:tcW w:w="1334" w:type="dxa"/>
            <w:tcBorders>
              <w:left w:val="nil"/>
              <w:bottom w:val="nil"/>
              <w:right w:val="nil"/>
            </w:tcBorders>
            <w:vAlign w:val="center"/>
          </w:tcPr>
          <w:p w14:paraId="3A8D3C78" w14:textId="77777777" w:rsidR="0033396C" w:rsidRPr="00B075FE" w:rsidRDefault="0033396C" w:rsidP="00921131">
            <w:pPr>
              <w:jc w:val="center"/>
              <w:rPr>
                <w:sz w:val="20"/>
                <w:szCs w:val="20"/>
              </w:rPr>
            </w:pPr>
            <w:r w:rsidRPr="00B075FE">
              <w:rPr>
                <w:sz w:val="20"/>
                <w:szCs w:val="20"/>
              </w:rPr>
              <w:t>38</w:t>
            </w:r>
          </w:p>
        </w:tc>
        <w:tc>
          <w:tcPr>
            <w:tcW w:w="1335" w:type="dxa"/>
            <w:tcBorders>
              <w:left w:val="nil"/>
              <w:bottom w:val="nil"/>
              <w:right w:val="single" w:sz="4" w:space="0" w:color="FFFFFF" w:themeColor="background1"/>
            </w:tcBorders>
            <w:vAlign w:val="center"/>
            <w:hideMark/>
          </w:tcPr>
          <w:p w14:paraId="57559A2A" w14:textId="77777777" w:rsidR="0033396C" w:rsidRPr="00B075FE" w:rsidRDefault="0033396C" w:rsidP="00921131">
            <w:pPr>
              <w:jc w:val="center"/>
              <w:rPr>
                <w:sz w:val="20"/>
                <w:szCs w:val="20"/>
              </w:rPr>
            </w:pPr>
            <w:r w:rsidRPr="00B075FE">
              <w:rPr>
                <w:sz w:val="20"/>
                <w:szCs w:val="20"/>
              </w:rPr>
              <w:t>997</w:t>
            </w:r>
          </w:p>
        </w:tc>
        <w:tc>
          <w:tcPr>
            <w:tcW w:w="1334" w:type="dxa"/>
            <w:tcBorders>
              <w:left w:val="single" w:sz="4" w:space="0" w:color="FFFFFF" w:themeColor="background1"/>
              <w:bottom w:val="nil"/>
              <w:right w:val="single" w:sz="4" w:space="0" w:color="FFFFFF" w:themeColor="background1"/>
            </w:tcBorders>
            <w:vAlign w:val="center"/>
          </w:tcPr>
          <w:p w14:paraId="0A081D8B" w14:textId="77777777" w:rsidR="0033396C" w:rsidRPr="00B075FE" w:rsidRDefault="0033396C" w:rsidP="00921131">
            <w:pPr>
              <w:jc w:val="center"/>
              <w:rPr>
                <w:sz w:val="20"/>
                <w:szCs w:val="20"/>
              </w:rPr>
            </w:pPr>
            <w:r w:rsidRPr="00B075FE">
              <w:rPr>
                <w:sz w:val="20"/>
                <w:szCs w:val="20"/>
              </w:rPr>
              <w:t>976</w:t>
            </w:r>
          </w:p>
        </w:tc>
        <w:tc>
          <w:tcPr>
            <w:tcW w:w="1335" w:type="dxa"/>
            <w:tcBorders>
              <w:left w:val="single" w:sz="4" w:space="0" w:color="FFFFFF" w:themeColor="background1"/>
              <w:bottom w:val="nil"/>
            </w:tcBorders>
            <w:vAlign w:val="center"/>
          </w:tcPr>
          <w:p w14:paraId="746220A1" w14:textId="77777777" w:rsidR="0033396C" w:rsidRPr="00B075FE" w:rsidRDefault="0033396C" w:rsidP="00921131">
            <w:pPr>
              <w:jc w:val="center"/>
              <w:rPr>
                <w:sz w:val="20"/>
                <w:szCs w:val="20"/>
              </w:rPr>
            </w:pPr>
            <w:r w:rsidRPr="00B075FE">
              <w:rPr>
                <w:sz w:val="20"/>
                <w:szCs w:val="20"/>
              </w:rPr>
              <w:t>21</w:t>
            </w:r>
          </w:p>
        </w:tc>
      </w:tr>
      <w:tr w:rsidR="0033396C" w:rsidRPr="00B075FE" w14:paraId="36C4142C" w14:textId="77777777" w:rsidTr="00921131">
        <w:trPr>
          <w:trHeight w:val="484"/>
        </w:trPr>
        <w:tc>
          <w:tcPr>
            <w:tcW w:w="2232" w:type="dxa"/>
            <w:tcBorders>
              <w:top w:val="nil"/>
              <w:bottom w:val="nil"/>
              <w:right w:val="nil"/>
            </w:tcBorders>
            <w:vAlign w:val="center"/>
          </w:tcPr>
          <w:p w14:paraId="2B9F289A" w14:textId="77777777" w:rsidR="0033396C" w:rsidRPr="00B075FE" w:rsidRDefault="0033396C" w:rsidP="00921131">
            <w:pPr>
              <w:rPr>
                <w:sz w:val="20"/>
                <w:szCs w:val="20"/>
              </w:rPr>
            </w:pPr>
            <w:r w:rsidRPr="00B075FE">
              <w:rPr>
                <w:sz w:val="20"/>
                <w:szCs w:val="20"/>
              </w:rPr>
              <w:t xml:space="preserve">Total number of babies </w:t>
            </w:r>
          </w:p>
        </w:tc>
        <w:tc>
          <w:tcPr>
            <w:tcW w:w="1334" w:type="dxa"/>
            <w:tcBorders>
              <w:top w:val="nil"/>
              <w:left w:val="nil"/>
              <w:bottom w:val="nil"/>
              <w:right w:val="nil"/>
            </w:tcBorders>
            <w:vAlign w:val="center"/>
          </w:tcPr>
          <w:p w14:paraId="13E572CA" w14:textId="77777777" w:rsidR="0033396C" w:rsidRPr="00B075FE" w:rsidRDefault="0033396C" w:rsidP="00921131">
            <w:pPr>
              <w:jc w:val="center"/>
              <w:rPr>
                <w:sz w:val="20"/>
                <w:szCs w:val="20"/>
              </w:rPr>
            </w:pPr>
            <w:r w:rsidRPr="00B075FE">
              <w:rPr>
                <w:sz w:val="20"/>
                <w:szCs w:val="20"/>
              </w:rPr>
              <w:t>2,056</w:t>
            </w:r>
          </w:p>
        </w:tc>
        <w:tc>
          <w:tcPr>
            <w:tcW w:w="1334" w:type="dxa"/>
            <w:tcBorders>
              <w:top w:val="nil"/>
              <w:left w:val="nil"/>
              <w:bottom w:val="nil"/>
              <w:right w:val="nil"/>
            </w:tcBorders>
            <w:vAlign w:val="center"/>
          </w:tcPr>
          <w:p w14:paraId="647176DD" w14:textId="77777777" w:rsidR="0033396C" w:rsidRPr="00B075FE" w:rsidRDefault="0033396C" w:rsidP="00921131">
            <w:pPr>
              <w:jc w:val="center"/>
              <w:rPr>
                <w:sz w:val="20"/>
                <w:szCs w:val="20"/>
              </w:rPr>
            </w:pPr>
            <w:r w:rsidRPr="00B075FE">
              <w:rPr>
                <w:sz w:val="20"/>
                <w:szCs w:val="20"/>
              </w:rPr>
              <w:t>1938</w:t>
            </w:r>
          </w:p>
        </w:tc>
        <w:tc>
          <w:tcPr>
            <w:tcW w:w="1335" w:type="dxa"/>
            <w:tcBorders>
              <w:top w:val="nil"/>
              <w:left w:val="nil"/>
              <w:bottom w:val="nil"/>
              <w:right w:val="nil"/>
            </w:tcBorders>
            <w:vAlign w:val="center"/>
          </w:tcPr>
          <w:p w14:paraId="6FE9E110" w14:textId="77777777" w:rsidR="0033396C" w:rsidRPr="00B075FE" w:rsidRDefault="0033396C" w:rsidP="00921131">
            <w:pPr>
              <w:jc w:val="center"/>
              <w:rPr>
                <w:sz w:val="20"/>
                <w:szCs w:val="20"/>
              </w:rPr>
            </w:pPr>
            <w:r w:rsidRPr="00B075FE">
              <w:rPr>
                <w:sz w:val="20"/>
                <w:szCs w:val="20"/>
              </w:rPr>
              <w:t>118</w:t>
            </w:r>
          </w:p>
        </w:tc>
        <w:tc>
          <w:tcPr>
            <w:tcW w:w="1334" w:type="dxa"/>
            <w:tcBorders>
              <w:top w:val="nil"/>
              <w:left w:val="nil"/>
              <w:bottom w:val="nil"/>
              <w:right w:val="nil"/>
            </w:tcBorders>
            <w:vAlign w:val="center"/>
          </w:tcPr>
          <w:p w14:paraId="7A6C0869" w14:textId="77777777" w:rsidR="0033396C" w:rsidRPr="00B075FE" w:rsidRDefault="0033396C" w:rsidP="00921131">
            <w:pPr>
              <w:jc w:val="center"/>
              <w:rPr>
                <w:sz w:val="20"/>
                <w:szCs w:val="20"/>
              </w:rPr>
            </w:pPr>
            <w:r w:rsidRPr="00B075FE">
              <w:rPr>
                <w:sz w:val="20"/>
                <w:szCs w:val="20"/>
              </w:rPr>
              <w:t>1,038</w:t>
            </w:r>
          </w:p>
        </w:tc>
        <w:tc>
          <w:tcPr>
            <w:tcW w:w="1335" w:type="dxa"/>
            <w:tcBorders>
              <w:top w:val="nil"/>
              <w:left w:val="nil"/>
              <w:bottom w:val="nil"/>
              <w:right w:val="nil"/>
            </w:tcBorders>
            <w:vAlign w:val="center"/>
          </w:tcPr>
          <w:p w14:paraId="1D8BB00A" w14:textId="77777777" w:rsidR="0033396C" w:rsidRPr="00B075FE" w:rsidRDefault="0033396C" w:rsidP="00921131">
            <w:pPr>
              <w:jc w:val="center"/>
              <w:rPr>
                <w:sz w:val="20"/>
                <w:szCs w:val="20"/>
              </w:rPr>
            </w:pPr>
            <w:r w:rsidRPr="00B075FE">
              <w:rPr>
                <w:sz w:val="20"/>
                <w:szCs w:val="20"/>
              </w:rPr>
              <w:t>962</w:t>
            </w:r>
          </w:p>
        </w:tc>
        <w:tc>
          <w:tcPr>
            <w:tcW w:w="1334" w:type="dxa"/>
            <w:tcBorders>
              <w:top w:val="nil"/>
              <w:left w:val="nil"/>
              <w:bottom w:val="nil"/>
              <w:right w:val="nil"/>
            </w:tcBorders>
            <w:vAlign w:val="center"/>
          </w:tcPr>
          <w:p w14:paraId="12ED27E8" w14:textId="77777777" w:rsidR="0033396C" w:rsidRPr="00B075FE" w:rsidRDefault="0033396C" w:rsidP="00921131">
            <w:pPr>
              <w:jc w:val="center"/>
              <w:rPr>
                <w:sz w:val="20"/>
                <w:szCs w:val="20"/>
              </w:rPr>
            </w:pPr>
            <w:r w:rsidRPr="00B075FE">
              <w:rPr>
                <w:sz w:val="20"/>
                <w:szCs w:val="20"/>
              </w:rPr>
              <w:t>76</w:t>
            </w:r>
          </w:p>
        </w:tc>
        <w:tc>
          <w:tcPr>
            <w:tcW w:w="1335" w:type="dxa"/>
            <w:tcBorders>
              <w:top w:val="nil"/>
              <w:left w:val="nil"/>
              <w:bottom w:val="nil"/>
              <w:right w:val="single" w:sz="4" w:space="0" w:color="FFFFFF" w:themeColor="background1"/>
            </w:tcBorders>
            <w:vAlign w:val="center"/>
          </w:tcPr>
          <w:p w14:paraId="2F20B291" w14:textId="77777777" w:rsidR="0033396C" w:rsidRPr="00B075FE" w:rsidRDefault="0033396C" w:rsidP="00921131">
            <w:pPr>
              <w:jc w:val="center"/>
              <w:rPr>
                <w:sz w:val="20"/>
                <w:szCs w:val="20"/>
              </w:rPr>
            </w:pPr>
            <w:r w:rsidRPr="00B075FE">
              <w:rPr>
                <w:sz w:val="20"/>
                <w:szCs w:val="20"/>
              </w:rPr>
              <w:t>1,018</w:t>
            </w:r>
          </w:p>
        </w:tc>
        <w:tc>
          <w:tcPr>
            <w:tcW w:w="1334" w:type="dxa"/>
            <w:tcBorders>
              <w:top w:val="nil"/>
              <w:left w:val="single" w:sz="4" w:space="0" w:color="FFFFFF" w:themeColor="background1"/>
              <w:bottom w:val="nil"/>
              <w:right w:val="single" w:sz="4" w:space="0" w:color="FFFFFF" w:themeColor="background1"/>
            </w:tcBorders>
            <w:vAlign w:val="center"/>
          </w:tcPr>
          <w:p w14:paraId="146F42DD" w14:textId="77777777" w:rsidR="0033396C" w:rsidRPr="00B075FE" w:rsidRDefault="0033396C" w:rsidP="00921131">
            <w:pPr>
              <w:jc w:val="center"/>
              <w:rPr>
                <w:sz w:val="20"/>
                <w:szCs w:val="20"/>
              </w:rPr>
            </w:pPr>
            <w:r w:rsidRPr="00B075FE">
              <w:rPr>
                <w:sz w:val="20"/>
                <w:szCs w:val="20"/>
              </w:rPr>
              <w:t>976</w:t>
            </w:r>
          </w:p>
        </w:tc>
        <w:tc>
          <w:tcPr>
            <w:tcW w:w="1335" w:type="dxa"/>
            <w:tcBorders>
              <w:top w:val="nil"/>
              <w:left w:val="single" w:sz="4" w:space="0" w:color="FFFFFF" w:themeColor="background1"/>
              <w:bottom w:val="nil"/>
            </w:tcBorders>
            <w:vAlign w:val="center"/>
          </w:tcPr>
          <w:p w14:paraId="0B64D821" w14:textId="77777777" w:rsidR="0033396C" w:rsidRPr="00B075FE" w:rsidRDefault="0033396C" w:rsidP="00921131">
            <w:pPr>
              <w:jc w:val="center"/>
              <w:rPr>
                <w:sz w:val="20"/>
                <w:szCs w:val="20"/>
              </w:rPr>
            </w:pPr>
            <w:r w:rsidRPr="00B075FE">
              <w:rPr>
                <w:sz w:val="20"/>
                <w:szCs w:val="20"/>
              </w:rPr>
              <w:t>42</w:t>
            </w:r>
          </w:p>
        </w:tc>
      </w:tr>
      <w:tr w:rsidR="0033396C" w:rsidRPr="00B075FE" w14:paraId="21971736" w14:textId="77777777" w:rsidTr="00921131">
        <w:trPr>
          <w:trHeight w:val="484"/>
        </w:trPr>
        <w:tc>
          <w:tcPr>
            <w:tcW w:w="2232" w:type="dxa"/>
            <w:tcBorders>
              <w:top w:val="nil"/>
              <w:bottom w:val="nil"/>
              <w:right w:val="nil"/>
            </w:tcBorders>
            <w:vAlign w:val="center"/>
            <w:hideMark/>
          </w:tcPr>
          <w:p w14:paraId="1B46BFF1" w14:textId="77777777" w:rsidR="0033396C" w:rsidRPr="00B075FE" w:rsidRDefault="0033396C" w:rsidP="00921131">
            <w:pPr>
              <w:rPr>
                <w:sz w:val="20"/>
                <w:szCs w:val="20"/>
              </w:rPr>
            </w:pPr>
            <w:r w:rsidRPr="00B075FE">
              <w:rPr>
                <w:sz w:val="20"/>
                <w:szCs w:val="20"/>
              </w:rPr>
              <w:t>- Livebirth (%)</w:t>
            </w:r>
          </w:p>
        </w:tc>
        <w:tc>
          <w:tcPr>
            <w:tcW w:w="1334" w:type="dxa"/>
            <w:tcBorders>
              <w:top w:val="nil"/>
              <w:left w:val="nil"/>
              <w:bottom w:val="nil"/>
              <w:right w:val="nil"/>
            </w:tcBorders>
            <w:vAlign w:val="center"/>
            <w:hideMark/>
          </w:tcPr>
          <w:p w14:paraId="043E3FDF" w14:textId="77777777" w:rsidR="0033396C" w:rsidRPr="00B075FE" w:rsidRDefault="0033396C" w:rsidP="00921131">
            <w:pPr>
              <w:jc w:val="center"/>
              <w:rPr>
                <w:sz w:val="20"/>
                <w:szCs w:val="20"/>
              </w:rPr>
            </w:pPr>
            <w:r w:rsidRPr="00B075FE">
              <w:rPr>
                <w:sz w:val="20"/>
                <w:szCs w:val="20"/>
              </w:rPr>
              <w:t>1740 (85%)</w:t>
            </w:r>
          </w:p>
        </w:tc>
        <w:tc>
          <w:tcPr>
            <w:tcW w:w="1334" w:type="dxa"/>
            <w:tcBorders>
              <w:top w:val="nil"/>
              <w:left w:val="nil"/>
              <w:bottom w:val="nil"/>
              <w:right w:val="nil"/>
            </w:tcBorders>
            <w:vAlign w:val="center"/>
          </w:tcPr>
          <w:p w14:paraId="6324EDC8" w14:textId="77777777" w:rsidR="0033396C" w:rsidRPr="00B075FE" w:rsidRDefault="0033396C" w:rsidP="00921131">
            <w:pPr>
              <w:jc w:val="center"/>
              <w:rPr>
                <w:sz w:val="20"/>
                <w:szCs w:val="20"/>
              </w:rPr>
            </w:pPr>
            <w:r w:rsidRPr="00B075FE">
              <w:rPr>
                <w:sz w:val="20"/>
                <w:szCs w:val="20"/>
              </w:rPr>
              <w:t>1645 (85%)</w:t>
            </w:r>
          </w:p>
        </w:tc>
        <w:tc>
          <w:tcPr>
            <w:tcW w:w="1335" w:type="dxa"/>
            <w:tcBorders>
              <w:top w:val="nil"/>
              <w:left w:val="nil"/>
              <w:bottom w:val="nil"/>
              <w:right w:val="nil"/>
            </w:tcBorders>
            <w:vAlign w:val="center"/>
          </w:tcPr>
          <w:p w14:paraId="1AC2EC19" w14:textId="77777777" w:rsidR="0033396C" w:rsidRPr="00B075FE" w:rsidRDefault="0033396C" w:rsidP="00921131">
            <w:pPr>
              <w:jc w:val="center"/>
              <w:rPr>
                <w:sz w:val="20"/>
                <w:szCs w:val="20"/>
              </w:rPr>
            </w:pPr>
            <w:r w:rsidRPr="00B075FE">
              <w:rPr>
                <w:sz w:val="20"/>
                <w:szCs w:val="20"/>
              </w:rPr>
              <w:t>95 (81%)</w:t>
            </w:r>
          </w:p>
        </w:tc>
        <w:tc>
          <w:tcPr>
            <w:tcW w:w="1334" w:type="dxa"/>
            <w:tcBorders>
              <w:top w:val="nil"/>
              <w:left w:val="nil"/>
              <w:bottom w:val="nil"/>
              <w:right w:val="nil"/>
            </w:tcBorders>
            <w:vAlign w:val="center"/>
            <w:hideMark/>
          </w:tcPr>
          <w:p w14:paraId="42E837C6" w14:textId="77777777" w:rsidR="0033396C" w:rsidRPr="00B075FE" w:rsidRDefault="0033396C" w:rsidP="00921131">
            <w:pPr>
              <w:jc w:val="center"/>
              <w:rPr>
                <w:sz w:val="20"/>
                <w:szCs w:val="20"/>
              </w:rPr>
            </w:pPr>
            <w:r w:rsidRPr="00B075FE">
              <w:rPr>
                <w:sz w:val="20"/>
                <w:szCs w:val="20"/>
              </w:rPr>
              <w:t>844 (81%)</w:t>
            </w:r>
          </w:p>
        </w:tc>
        <w:tc>
          <w:tcPr>
            <w:tcW w:w="1335" w:type="dxa"/>
            <w:tcBorders>
              <w:top w:val="nil"/>
              <w:left w:val="nil"/>
              <w:bottom w:val="nil"/>
              <w:right w:val="nil"/>
            </w:tcBorders>
            <w:vAlign w:val="center"/>
          </w:tcPr>
          <w:p w14:paraId="61B085B6" w14:textId="77777777" w:rsidR="0033396C" w:rsidRPr="00B075FE" w:rsidRDefault="0033396C" w:rsidP="00921131">
            <w:pPr>
              <w:jc w:val="center"/>
              <w:rPr>
                <w:sz w:val="20"/>
                <w:szCs w:val="20"/>
              </w:rPr>
            </w:pPr>
            <w:r w:rsidRPr="00B075FE">
              <w:rPr>
                <w:sz w:val="20"/>
                <w:szCs w:val="20"/>
              </w:rPr>
              <w:t>784 (81%)</w:t>
            </w:r>
          </w:p>
        </w:tc>
        <w:tc>
          <w:tcPr>
            <w:tcW w:w="1334" w:type="dxa"/>
            <w:tcBorders>
              <w:top w:val="nil"/>
              <w:left w:val="nil"/>
              <w:bottom w:val="nil"/>
              <w:right w:val="nil"/>
            </w:tcBorders>
            <w:vAlign w:val="center"/>
          </w:tcPr>
          <w:p w14:paraId="4C068EB4" w14:textId="77777777" w:rsidR="0033396C" w:rsidRPr="00B075FE" w:rsidRDefault="0033396C" w:rsidP="00921131">
            <w:pPr>
              <w:jc w:val="center"/>
              <w:rPr>
                <w:sz w:val="20"/>
                <w:szCs w:val="20"/>
              </w:rPr>
            </w:pPr>
            <w:r w:rsidRPr="00B075FE">
              <w:rPr>
                <w:sz w:val="20"/>
                <w:szCs w:val="20"/>
              </w:rPr>
              <w:t>60 (79%)</w:t>
            </w:r>
          </w:p>
        </w:tc>
        <w:tc>
          <w:tcPr>
            <w:tcW w:w="1335" w:type="dxa"/>
            <w:tcBorders>
              <w:top w:val="nil"/>
              <w:left w:val="nil"/>
              <w:bottom w:val="nil"/>
              <w:right w:val="single" w:sz="4" w:space="0" w:color="FFFFFF" w:themeColor="background1"/>
            </w:tcBorders>
            <w:vAlign w:val="center"/>
            <w:hideMark/>
          </w:tcPr>
          <w:p w14:paraId="329D6556" w14:textId="77777777" w:rsidR="0033396C" w:rsidRPr="00B075FE" w:rsidRDefault="0033396C" w:rsidP="00921131">
            <w:pPr>
              <w:jc w:val="center"/>
              <w:rPr>
                <w:sz w:val="20"/>
                <w:szCs w:val="20"/>
              </w:rPr>
            </w:pPr>
            <w:r w:rsidRPr="00B075FE">
              <w:rPr>
                <w:sz w:val="20"/>
                <w:szCs w:val="20"/>
              </w:rPr>
              <w:t>896 (88%)</w:t>
            </w:r>
          </w:p>
        </w:tc>
        <w:tc>
          <w:tcPr>
            <w:tcW w:w="1334" w:type="dxa"/>
            <w:tcBorders>
              <w:top w:val="nil"/>
              <w:left w:val="single" w:sz="4" w:space="0" w:color="FFFFFF" w:themeColor="background1"/>
              <w:bottom w:val="nil"/>
              <w:right w:val="single" w:sz="4" w:space="0" w:color="FFFFFF" w:themeColor="background1"/>
            </w:tcBorders>
            <w:vAlign w:val="center"/>
          </w:tcPr>
          <w:p w14:paraId="5B4554D4" w14:textId="77777777" w:rsidR="0033396C" w:rsidRPr="00B075FE" w:rsidRDefault="0033396C" w:rsidP="00921131">
            <w:pPr>
              <w:jc w:val="center"/>
              <w:rPr>
                <w:sz w:val="20"/>
                <w:szCs w:val="20"/>
              </w:rPr>
            </w:pPr>
            <w:r w:rsidRPr="00B075FE">
              <w:rPr>
                <w:sz w:val="20"/>
                <w:szCs w:val="20"/>
              </w:rPr>
              <w:t>861 (88%)</w:t>
            </w:r>
          </w:p>
        </w:tc>
        <w:tc>
          <w:tcPr>
            <w:tcW w:w="1335" w:type="dxa"/>
            <w:tcBorders>
              <w:top w:val="nil"/>
              <w:left w:val="single" w:sz="4" w:space="0" w:color="FFFFFF" w:themeColor="background1"/>
              <w:bottom w:val="nil"/>
            </w:tcBorders>
            <w:vAlign w:val="center"/>
          </w:tcPr>
          <w:p w14:paraId="0DD438E3" w14:textId="77777777" w:rsidR="0033396C" w:rsidRPr="00B075FE" w:rsidRDefault="0033396C" w:rsidP="00921131">
            <w:pPr>
              <w:jc w:val="center"/>
              <w:rPr>
                <w:sz w:val="20"/>
                <w:szCs w:val="20"/>
              </w:rPr>
            </w:pPr>
            <w:r w:rsidRPr="00B075FE">
              <w:rPr>
                <w:sz w:val="20"/>
                <w:szCs w:val="20"/>
              </w:rPr>
              <w:t>35 (83%)</w:t>
            </w:r>
          </w:p>
        </w:tc>
      </w:tr>
      <w:tr w:rsidR="0033396C" w:rsidRPr="00B075FE" w14:paraId="6B08E3D3" w14:textId="77777777" w:rsidTr="00921131">
        <w:trPr>
          <w:trHeight w:val="481"/>
        </w:trPr>
        <w:tc>
          <w:tcPr>
            <w:tcW w:w="2232" w:type="dxa"/>
            <w:tcBorders>
              <w:top w:val="nil"/>
              <w:bottom w:val="nil"/>
              <w:right w:val="nil"/>
            </w:tcBorders>
            <w:vAlign w:val="center"/>
            <w:hideMark/>
          </w:tcPr>
          <w:p w14:paraId="3C6235AE" w14:textId="77777777" w:rsidR="0033396C" w:rsidRPr="00B075FE" w:rsidRDefault="0033396C" w:rsidP="00921131">
            <w:pPr>
              <w:rPr>
                <w:sz w:val="20"/>
                <w:szCs w:val="20"/>
              </w:rPr>
            </w:pPr>
            <w:r w:rsidRPr="00B075FE">
              <w:rPr>
                <w:sz w:val="20"/>
                <w:szCs w:val="20"/>
              </w:rPr>
              <w:t>- Stillbirth (%)</w:t>
            </w:r>
          </w:p>
        </w:tc>
        <w:tc>
          <w:tcPr>
            <w:tcW w:w="1334" w:type="dxa"/>
            <w:tcBorders>
              <w:top w:val="nil"/>
              <w:left w:val="nil"/>
              <w:bottom w:val="nil"/>
              <w:right w:val="nil"/>
            </w:tcBorders>
            <w:shd w:val="clear" w:color="auto" w:fill="auto"/>
            <w:vAlign w:val="center"/>
            <w:hideMark/>
          </w:tcPr>
          <w:p w14:paraId="1EB21D7E" w14:textId="77777777" w:rsidR="0033396C" w:rsidRPr="00B075FE" w:rsidRDefault="0033396C" w:rsidP="00921131">
            <w:pPr>
              <w:jc w:val="center"/>
              <w:rPr>
                <w:sz w:val="20"/>
                <w:szCs w:val="20"/>
              </w:rPr>
            </w:pPr>
            <w:r w:rsidRPr="00B075FE">
              <w:rPr>
                <w:sz w:val="20"/>
                <w:szCs w:val="20"/>
              </w:rPr>
              <w:t>261 (13%)</w:t>
            </w:r>
          </w:p>
        </w:tc>
        <w:tc>
          <w:tcPr>
            <w:tcW w:w="1334" w:type="dxa"/>
            <w:tcBorders>
              <w:top w:val="nil"/>
              <w:left w:val="nil"/>
              <w:bottom w:val="nil"/>
              <w:right w:val="nil"/>
            </w:tcBorders>
            <w:vAlign w:val="center"/>
          </w:tcPr>
          <w:p w14:paraId="322236FA" w14:textId="77777777" w:rsidR="0033396C" w:rsidRPr="00B075FE" w:rsidRDefault="0033396C" w:rsidP="00921131">
            <w:pPr>
              <w:jc w:val="center"/>
              <w:rPr>
                <w:sz w:val="20"/>
                <w:szCs w:val="20"/>
              </w:rPr>
            </w:pPr>
            <w:r w:rsidRPr="00B075FE">
              <w:rPr>
                <w:sz w:val="20"/>
                <w:szCs w:val="20"/>
              </w:rPr>
              <w:t>240 (12</w:t>
            </w:r>
            <w:r>
              <w:rPr>
                <w:sz w:val="20"/>
                <w:szCs w:val="20"/>
              </w:rPr>
              <w:t>.4</w:t>
            </w:r>
            <w:r w:rsidRPr="00B075FE">
              <w:rPr>
                <w:sz w:val="20"/>
                <w:szCs w:val="20"/>
              </w:rPr>
              <w:t>%)</w:t>
            </w:r>
          </w:p>
        </w:tc>
        <w:tc>
          <w:tcPr>
            <w:tcW w:w="1335" w:type="dxa"/>
            <w:tcBorders>
              <w:top w:val="nil"/>
              <w:left w:val="nil"/>
              <w:bottom w:val="nil"/>
              <w:right w:val="nil"/>
            </w:tcBorders>
            <w:vAlign w:val="center"/>
          </w:tcPr>
          <w:p w14:paraId="65A3E43E" w14:textId="77777777" w:rsidR="0033396C" w:rsidRPr="00B075FE" w:rsidRDefault="0033396C" w:rsidP="00921131">
            <w:pPr>
              <w:jc w:val="center"/>
              <w:rPr>
                <w:sz w:val="20"/>
                <w:szCs w:val="20"/>
              </w:rPr>
            </w:pPr>
            <w:r w:rsidRPr="00B075FE">
              <w:rPr>
                <w:sz w:val="20"/>
                <w:szCs w:val="20"/>
              </w:rPr>
              <w:t>21 (1</w:t>
            </w:r>
            <w:r>
              <w:rPr>
                <w:sz w:val="20"/>
                <w:szCs w:val="20"/>
              </w:rPr>
              <w:t>7.</w:t>
            </w:r>
            <w:r w:rsidRPr="00B075FE">
              <w:rPr>
                <w:sz w:val="20"/>
                <w:szCs w:val="20"/>
              </w:rPr>
              <w:t>8%)</w:t>
            </w:r>
          </w:p>
        </w:tc>
        <w:tc>
          <w:tcPr>
            <w:tcW w:w="1334" w:type="dxa"/>
            <w:tcBorders>
              <w:top w:val="nil"/>
              <w:left w:val="nil"/>
              <w:bottom w:val="nil"/>
              <w:right w:val="nil"/>
            </w:tcBorders>
            <w:vAlign w:val="center"/>
            <w:hideMark/>
          </w:tcPr>
          <w:p w14:paraId="5B780D0B" w14:textId="77777777" w:rsidR="0033396C" w:rsidRPr="00B075FE" w:rsidRDefault="0033396C" w:rsidP="00921131">
            <w:pPr>
              <w:jc w:val="center"/>
              <w:rPr>
                <w:sz w:val="20"/>
                <w:szCs w:val="20"/>
              </w:rPr>
            </w:pPr>
            <w:r w:rsidRPr="00B075FE">
              <w:rPr>
                <w:sz w:val="20"/>
                <w:szCs w:val="20"/>
              </w:rPr>
              <w:t>161 (16%)</w:t>
            </w:r>
          </w:p>
        </w:tc>
        <w:tc>
          <w:tcPr>
            <w:tcW w:w="1335" w:type="dxa"/>
            <w:tcBorders>
              <w:top w:val="nil"/>
              <w:left w:val="nil"/>
              <w:bottom w:val="nil"/>
              <w:right w:val="nil"/>
            </w:tcBorders>
            <w:vAlign w:val="center"/>
          </w:tcPr>
          <w:p w14:paraId="279935C4" w14:textId="77777777" w:rsidR="0033396C" w:rsidRPr="00B075FE" w:rsidRDefault="0033396C" w:rsidP="00921131">
            <w:pPr>
              <w:jc w:val="center"/>
              <w:rPr>
                <w:sz w:val="20"/>
                <w:szCs w:val="20"/>
              </w:rPr>
            </w:pPr>
            <w:r w:rsidRPr="00B075FE">
              <w:rPr>
                <w:sz w:val="20"/>
                <w:szCs w:val="20"/>
              </w:rPr>
              <w:t>146 (15%)</w:t>
            </w:r>
          </w:p>
        </w:tc>
        <w:tc>
          <w:tcPr>
            <w:tcW w:w="1334" w:type="dxa"/>
            <w:tcBorders>
              <w:top w:val="nil"/>
              <w:left w:val="nil"/>
              <w:bottom w:val="nil"/>
              <w:right w:val="nil"/>
            </w:tcBorders>
            <w:vAlign w:val="center"/>
          </w:tcPr>
          <w:p w14:paraId="3BB060B8" w14:textId="77777777" w:rsidR="0033396C" w:rsidRPr="00B075FE" w:rsidRDefault="0033396C" w:rsidP="00921131">
            <w:pPr>
              <w:jc w:val="center"/>
              <w:rPr>
                <w:sz w:val="20"/>
                <w:szCs w:val="20"/>
              </w:rPr>
            </w:pPr>
            <w:r w:rsidRPr="00B075FE">
              <w:rPr>
                <w:sz w:val="20"/>
                <w:szCs w:val="20"/>
              </w:rPr>
              <w:t>15 (20%)</w:t>
            </w:r>
          </w:p>
        </w:tc>
        <w:tc>
          <w:tcPr>
            <w:tcW w:w="1335" w:type="dxa"/>
            <w:tcBorders>
              <w:top w:val="nil"/>
              <w:left w:val="nil"/>
              <w:bottom w:val="nil"/>
              <w:right w:val="single" w:sz="4" w:space="0" w:color="FFFFFF" w:themeColor="background1"/>
            </w:tcBorders>
            <w:vAlign w:val="center"/>
            <w:hideMark/>
          </w:tcPr>
          <w:p w14:paraId="787B3561" w14:textId="77777777" w:rsidR="0033396C" w:rsidRPr="00B075FE" w:rsidRDefault="0033396C" w:rsidP="00921131">
            <w:pPr>
              <w:jc w:val="center"/>
              <w:rPr>
                <w:sz w:val="20"/>
                <w:szCs w:val="20"/>
              </w:rPr>
            </w:pPr>
            <w:r w:rsidRPr="00B075FE">
              <w:rPr>
                <w:sz w:val="20"/>
                <w:szCs w:val="20"/>
              </w:rPr>
              <w:t>100 (10%)</w:t>
            </w:r>
          </w:p>
        </w:tc>
        <w:tc>
          <w:tcPr>
            <w:tcW w:w="1334" w:type="dxa"/>
            <w:tcBorders>
              <w:top w:val="nil"/>
              <w:left w:val="single" w:sz="4" w:space="0" w:color="FFFFFF" w:themeColor="background1"/>
              <w:bottom w:val="nil"/>
              <w:right w:val="single" w:sz="4" w:space="0" w:color="FFFFFF" w:themeColor="background1"/>
            </w:tcBorders>
            <w:vAlign w:val="center"/>
          </w:tcPr>
          <w:p w14:paraId="29BBAF78" w14:textId="77777777" w:rsidR="0033396C" w:rsidRPr="00B075FE" w:rsidRDefault="0033396C" w:rsidP="00921131">
            <w:pPr>
              <w:jc w:val="center"/>
              <w:rPr>
                <w:sz w:val="20"/>
                <w:szCs w:val="20"/>
              </w:rPr>
            </w:pPr>
            <w:r w:rsidRPr="00B075FE">
              <w:rPr>
                <w:sz w:val="20"/>
                <w:szCs w:val="20"/>
              </w:rPr>
              <w:t>94 (10%)</w:t>
            </w:r>
          </w:p>
        </w:tc>
        <w:tc>
          <w:tcPr>
            <w:tcW w:w="1335" w:type="dxa"/>
            <w:tcBorders>
              <w:top w:val="nil"/>
              <w:left w:val="single" w:sz="4" w:space="0" w:color="FFFFFF" w:themeColor="background1"/>
              <w:bottom w:val="nil"/>
            </w:tcBorders>
            <w:vAlign w:val="center"/>
          </w:tcPr>
          <w:p w14:paraId="2047515B" w14:textId="77777777" w:rsidR="0033396C" w:rsidRPr="00B075FE" w:rsidRDefault="0033396C" w:rsidP="00921131">
            <w:pPr>
              <w:jc w:val="center"/>
              <w:rPr>
                <w:sz w:val="20"/>
                <w:szCs w:val="20"/>
              </w:rPr>
            </w:pPr>
            <w:r w:rsidRPr="00B075FE">
              <w:rPr>
                <w:sz w:val="20"/>
                <w:szCs w:val="20"/>
              </w:rPr>
              <w:t>6 (14%)</w:t>
            </w:r>
          </w:p>
        </w:tc>
      </w:tr>
      <w:tr w:rsidR="0033396C" w:rsidRPr="00B075FE" w14:paraId="20CFFCBE" w14:textId="77777777" w:rsidTr="00921131">
        <w:trPr>
          <w:trHeight w:val="486"/>
        </w:trPr>
        <w:tc>
          <w:tcPr>
            <w:tcW w:w="2232" w:type="dxa"/>
            <w:tcBorders>
              <w:top w:val="nil"/>
              <w:bottom w:val="nil"/>
              <w:right w:val="nil"/>
            </w:tcBorders>
            <w:vAlign w:val="center"/>
            <w:hideMark/>
          </w:tcPr>
          <w:p w14:paraId="4F1918B4" w14:textId="77777777" w:rsidR="0033396C" w:rsidRPr="00B075FE" w:rsidRDefault="0033396C" w:rsidP="00921131">
            <w:pPr>
              <w:rPr>
                <w:sz w:val="20"/>
                <w:szCs w:val="20"/>
              </w:rPr>
            </w:pPr>
            <w:r w:rsidRPr="00B075FE">
              <w:rPr>
                <w:sz w:val="20"/>
                <w:szCs w:val="20"/>
              </w:rPr>
              <w:t>- Neonatal death (%)</w:t>
            </w:r>
          </w:p>
        </w:tc>
        <w:tc>
          <w:tcPr>
            <w:tcW w:w="1334" w:type="dxa"/>
            <w:tcBorders>
              <w:top w:val="nil"/>
              <w:left w:val="nil"/>
              <w:bottom w:val="nil"/>
              <w:right w:val="nil"/>
            </w:tcBorders>
            <w:vAlign w:val="center"/>
            <w:hideMark/>
          </w:tcPr>
          <w:p w14:paraId="10D57F65" w14:textId="77777777" w:rsidR="0033396C" w:rsidRPr="00B075FE" w:rsidRDefault="0033396C" w:rsidP="00921131">
            <w:pPr>
              <w:jc w:val="center"/>
              <w:rPr>
                <w:sz w:val="20"/>
                <w:szCs w:val="20"/>
              </w:rPr>
            </w:pPr>
            <w:r w:rsidRPr="00B075FE">
              <w:rPr>
                <w:sz w:val="20"/>
                <w:szCs w:val="20"/>
              </w:rPr>
              <w:t>49 (2%)</w:t>
            </w:r>
          </w:p>
        </w:tc>
        <w:tc>
          <w:tcPr>
            <w:tcW w:w="1334" w:type="dxa"/>
            <w:tcBorders>
              <w:top w:val="nil"/>
              <w:left w:val="nil"/>
              <w:bottom w:val="nil"/>
              <w:right w:val="nil"/>
            </w:tcBorders>
            <w:vAlign w:val="center"/>
          </w:tcPr>
          <w:p w14:paraId="6984FC89" w14:textId="77777777" w:rsidR="0033396C" w:rsidRPr="00B075FE" w:rsidRDefault="0033396C" w:rsidP="00921131">
            <w:pPr>
              <w:jc w:val="center"/>
              <w:rPr>
                <w:sz w:val="20"/>
                <w:szCs w:val="20"/>
              </w:rPr>
            </w:pPr>
            <w:r w:rsidRPr="00B075FE">
              <w:rPr>
                <w:sz w:val="20"/>
                <w:szCs w:val="20"/>
              </w:rPr>
              <w:t>48 (2%)</w:t>
            </w:r>
          </w:p>
        </w:tc>
        <w:tc>
          <w:tcPr>
            <w:tcW w:w="1335" w:type="dxa"/>
            <w:tcBorders>
              <w:top w:val="nil"/>
              <w:left w:val="nil"/>
              <w:bottom w:val="nil"/>
              <w:right w:val="nil"/>
            </w:tcBorders>
            <w:vAlign w:val="center"/>
          </w:tcPr>
          <w:p w14:paraId="2DD9127A" w14:textId="77777777" w:rsidR="0033396C" w:rsidRPr="00B075FE" w:rsidRDefault="0033396C" w:rsidP="00921131">
            <w:pPr>
              <w:jc w:val="center"/>
              <w:rPr>
                <w:sz w:val="20"/>
                <w:szCs w:val="20"/>
              </w:rPr>
            </w:pPr>
            <w:r w:rsidRPr="00B075FE">
              <w:rPr>
                <w:sz w:val="20"/>
                <w:szCs w:val="20"/>
              </w:rPr>
              <w:t>1 (1%)</w:t>
            </w:r>
          </w:p>
        </w:tc>
        <w:tc>
          <w:tcPr>
            <w:tcW w:w="1334" w:type="dxa"/>
            <w:tcBorders>
              <w:top w:val="nil"/>
              <w:left w:val="nil"/>
              <w:bottom w:val="nil"/>
              <w:right w:val="nil"/>
            </w:tcBorders>
            <w:vAlign w:val="center"/>
            <w:hideMark/>
          </w:tcPr>
          <w:p w14:paraId="7BA68BB6" w14:textId="77777777" w:rsidR="0033396C" w:rsidRPr="00B075FE" w:rsidRDefault="0033396C" w:rsidP="00921131">
            <w:pPr>
              <w:jc w:val="center"/>
              <w:rPr>
                <w:sz w:val="20"/>
                <w:szCs w:val="20"/>
              </w:rPr>
            </w:pPr>
            <w:r w:rsidRPr="00B075FE">
              <w:rPr>
                <w:sz w:val="20"/>
                <w:szCs w:val="20"/>
              </w:rPr>
              <w:t>32 (3%)</w:t>
            </w:r>
          </w:p>
        </w:tc>
        <w:tc>
          <w:tcPr>
            <w:tcW w:w="1335" w:type="dxa"/>
            <w:tcBorders>
              <w:top w:val="nil"/>
              <w:left w:val="nil"/>
              <w:bottom w:val="nil"/>
              <w:right w:val="nil"/>
            </w:tcBorders>
            <w:vAlign w:val="center"/>
          </w:tcPr>
          <w:p w14:paraId="3F4ACA91" w14:textId="77777777" w:rsidR="0033396C" w:rsidRPr="00B075FE" w:rsidRDefault="0033396C" w:rsidP="00921131">
            <w:pPr>
              <w:jc w:val="center"/>
              <w:rPr>
                <w:sz w:val="20"/>
                <w:szCs w:val="20"/>
              </w:rPr>
            </w:pPr>
            <w:r w:rsidRPr="00B075FE">
              <w:rPr>
                <w:sz w:val="20"/>
                <w:szCs w:val="20"/>
              </w:rPr>
              <w:t>31 (3%)</w:t>
            </w:r>
          </w:p>
        </w:tc>
        <w:tc>
          <w:tcPr>
            <w:tcW w:w="1334" w:type="dxa"/>
            <w:tcBorders>
              <w:top w:val="nil"/>
              <w:left w:val="nil"/>
              <w:bottom w:val="nil"/>
              <w:right w:val="nil"/>
            </w:tcBorders>
            <w:vAlign w:val="center"/>
          </w:tcPr>
          <w:p w14:paraId="3349E37C" w14:textId="77777777" w:rsidR="0033396C" w:rsidRPr="00B075FE" w:rsidRDefault="0033396C" w:rsidP="00921131">
            <w:pPr>
              <w:jc w:val="center"/>
              <w:rPr>
                <w:sz w:val="20"/>
                <w:szCs w:val="20"/>
              </w:rPr>
            </w:pPr>
            <w:r w:rsidRPr="00B075FE">
              <w:rPr>
                <w:sz w:val="20"/>
                <w:szCs w:val="20"/>
              </w:rPr>
              <w:t>1 (1%)</w:t>
            </w:r>
          </w:p>
        </w:tc>
        <w:tc>
          <w:tcPr>
            <w:tcW w:w="1335" w:type="dxa"/>
            <w:tcBorders>
              <w:top w:val="nil"/>
              <w:left w:val="nil"/>
              <w:bottom w:val="nil"/>
              <w:right w:val="single" w:sz="4" w:space="0" w:color="FFFFFF" w:themeColor="background1"/>
            </w:tcBorders>
            <w:vAlign w:val="center"/>
            <w:hideMark/>
          </w:tcPr>
          <w:p w14:paraId="34A8D87A" w14:textId="77777777" w:rsidR="0033396C" w:rsidRPr="00B075FE" w:rsidRDefault="0033396C" w:rsidP="00921131">
            <w:pPr>
              <w:jc w:val="center"/>
              <w:rPr>
                <w:sz w:val="20"/>
                <w:szCs w:val="20"/>
              </w:rPr>
            </w:pPr>
            <w:r w:rsidRPr="00B075FE">
              <w:rPr>
                <w:sz w:val="20"/>
                <w:szCs w:val="20"/>
              </w:rPr>
              <w:t>17 (2%)</w:t>
            </w:r>
          </w:p>
        </w:tc>
        <w:tc>
          <w:tcPr>
            <w:tcW w:w="1334" w:type="dxa"/>
            <w:tcBorders>
              <w:top w:val="nil"/>
              <w:left w:val="single" w:sz="4" w:space="0" w:color="FFFFFF" w:themeColor="background1"/>
              <w:bottom w:val="nil"/>
              <w:right w:val="single" w:sz="4" w:space="0" w:color="FFFFFF" w:themeColor="background1"/>
            </w:tcBorders>
            <w:vAlign w:val="center"/>
          </w:tcPr>
          <w:p w14:paraId="4C857E49" w14:textId="77777777" w:rsidR="0033396C" w:rsidRPr="00B075FE" w:rsidRDefault="0033396C" w:rsidP="00921131">
            <w:pPr>
              <w:jc w:val="center"/>
              <w:rPr>
                <w:sz w:val="20"/>
                <w:szCs w:val="20"/>
              </w:rPr>
            </w:pPr>
            <w:r w:rsidRPr="00B075FE">
              <w:rPr>
                <w:sz w:val="20"/>
                <w:szCs w:val="20"/>
              </w:rPr>
              <w:t>17 (2%)</w:t>
            </w:r>
          </w:p>
        </w:tc>
        <w:tc>
          <w:tcPr>
            <w:tcW w:w="1335" w:type="dxa"/>
            <w:tcBorders>
              <w:top w:val="nil"/>
              <w:left w:val="single" w:sz="4" w:space="0" w:color="FFFFFF" w:themeColor="background1"/>
              <w:bottom w:val="nil"/>
            </w:tcBorders>
            <w:vAlign w:val="center"/>
          </w:tcPr>
          <w:p w14:paraId="384A98AD" w14:textId="77777777" w:rsidR="0033396C" w:rsidRPr="00B075FE" w:rsidRDefault="0033396C" w:rsidP="00921131">
            <w:pPr>
              <w:jc w:val="center"/>
              <w:rPr>
                <w:sz w:val="20"/>
                <w:szCs w:val="20"/>
              </w:rPr>
            </w:pPr>
            <w:r w:rsidRPr="00B075FE">
              <w:rPr>
                <w:sz w:val="20"/>
                <w:szCs w:val="20"/>
              </w:rPr>
              <w:t>0 (0%)</w:t>
            </w:r>
          </w:p>
        </w:tc>
      </w:tr>
      <w:tr w:rsidR="0033396C" w:rsidRPr="00B075FE" w14:paraId="7F58D7D9" w14:textId="77777777" w:rsidTr="00921131">
        <w:trPr>
          <w:trHeight w:val="499"/>
        </w:trPr>
        <w:tc>
          <w:tcPr>
            <w:tcW w:w="2232" w:type="dxa"/>
            <w:tcBorders>
              <w:top w:val="nil"/>
              <w:bottom w:val="single" w:sz="4" w:space="0" w:color="auto"/>
              <w:right w:val="nil"/>
            </w:tcBorders>
            <w:vAlign w:val="center"/>
            <w:hideMark/>
          </w:tcPr>
          <w:p w14:paraId="661FBAF8" w14:textId="77777777" w:rsidR="0033396C" w:rsidRPr="00B075FE" w:rsidRDefault="0033396C" w:rsidP="00921131">
            <w:pPr>
              <w:rPr>
                <w:sz w:val="20"/>
                <w:szCs w:val="20"/>
              </w:rPr>
            </w:pPr>
            <w:r w:rsidRPr="00B075FE">
              <w:rPr>
                <w:sz w:val="20"/>
                <w:szCs w:val="20"/>
              </w:rPr>
              <w:t>- Babies with unknown status (%)</w:t>
            </w:r>
          </w:p>
        </w:tc>
        <w:tc>
          <w:tcPr>
            <w:tcW w:w="1334" w:type="dxa"/>
            <w:tcBorders>
              <w:top w:val="nil"/>
              <w:left w:val="nil"/>
              <w:bottom w:val="single" w:sz="4" w:space="0" w:color="auto"/>
              <w:right w:val="nil"/>
            </w:tcBorders>
            <w:vAlign w:val="center"/>
            <w:hideMark/>
          </w:tcPr>
          <w:p w14:paraId="6A54B3E7" w14:textId="77777777" w:rsidR="0033396C" w:rsidRPr="00B075FE" w:rsidRDefault="0033396C" w:rsidP="00921131">
            <w:pPr>
              <w:jc w:val="center"/>
              <w:rPr>
                <w:sz w:val="20"/>
                <w:szCs w:val="20"/>
              </w:rPr>
            </w:pPr>
            <w:r w:rsidRPr="00B075FE">
              <w:rPr>
                <w:sz w:val="20"/>
                <w:szCs w:val="20"/>
              </w:rPr>
              <w:t>6 (&lt;1%)</w:t>
            </w:r>
          </w:p>
        </w:tc>
        <w:tc>
          <w:tcPr>
            <w:tcW w:w="1334" w:type="dxa"/>
            <w:tcBorders>
              <w:top w:val="nil"/>
              <w:left w:val="nil"/>
              <w:bottom w:val="single" w:sz="4" w:space="0" w:color="auto"/>
              <w:right w:val="nil"/>
            </w:tcBorders>
            <w:vAlign w:val="center"/>
          </w:tcPr>
          <w:p w14:paraId="4E868FC4" w14:textId="77777777" w:rsidR="0033396C" w:rsidRPr="00B075FE" w:rsidRDefault="0033396C" w:rsidP="00921131">
            <w:pPr>
              <w:jc w:val="center"/>
              <w:rPr>
                <w:sz w:val="20"/>
                <w:szCs w:val="20"/>
              </w:rPr>
            </w:pPr>
            <w:r w:rsidRPr="00B075FE">
              <w:rPr>
                <w:sz w:val="20"/>
                <w:szCs w:val="20"/>
              </w:rPr>
              <w:t>5 (&lt;1%)</w:t>
            </w:r>
          </w:p>
        </w:tc>
        <w:tc>
          <w:tcPr>
            <w:tcW w:w="1335" w:type="dxa"/>
            <w:tcBorders>
              <w:top w:val="nil"/>
              <w:left w:val="nil"/>
              <w:bottom w:val="single" w:sz="4" w:space="0" w:color="auto"/>
              <w:right w:val="nil"/>
            </w:tcBorders>
            <w:vAlign w:val="center"/>
          </w:tcPr>
          <w:p w14:paraId="1B462CCB" w14:textId="77777777" w:rsidR="0033396C" w:rsidRPr="00B075FE" w:rsidRDefault="0033396C" w:rsidP="00921131">
            <w:pPr>
              <w:jc w:val="center"/>
              <w:rPr>
                <w:sz w:val="20"/>
                <w:szCs w:val="20"/>
              </w:rPr>
            </w:pPr>
            <w:r w:rsidRPr="00B075FE">
              <w:rPr>
                <w:sz w:val="20"/>
                <w:szCs w:val="20"/>
              </w:rPr>
              <w:t>1 (1%)</w:t>
            </w:r>
          </w:p>
        </w:tc>
        <w:tc>
          <w:tcPr>
            <w:tcW w:w="1334" w:type="dxa"/>
            <w:tcBorders>
              <w:top w:val="nil"/>
              <w:left w:val="nil"/>
              <w:bottom w:val="single" w:sz="4" w:space="0" w:color="auto"/>
              <w:right w:val="nil"/>
            </w:tcBorders>
            <w:vAlign w:val="center"/>
            <w:hideMark/>
          </w:tcPr>
          <w:p w14:paraId="6E31325F" w14:textId="77777777" w:rsidR="0033396C" w:rsidRPr="00B075FE" w:rsidRDefault="0033396C" w:rsidP="00921131">
            <w:pPr>
              <w:jc w:val="center"/>
              <w:rPr>
                <w:sz w:val="20"/>
                <w:szCs w:val="20"/>
              </w:rPr>
            </w:pPr>
            <w:r w:rsidRPr="00B075FE">
              <w:rPr>
                <w:sz w:val="20"/>
                <w:szCs w:val="20"/>
              </w:rPr>
              <w:t>1 (&lt;1%)</w:t>
            </w:r>
          </w:p>
        </w:tc>
        <w:tc>
          <w:tcPr>
            <w:tcW w:w="1335" w:type="dxa"/>
            <w:tcBorders>
              <w:top w:val="nil"/>
              <w:left w:val="nil"/>
              <w:bottom w:val="single" w:sz="4" w:space="0" w:color="auto"/>
              <w:right w:val="nil"/>
            </w:tcBorders>
            <w:vAlign w:val="center"/>
          </w:tcPr>
          <w:p w14:paraId="7066636A" w14:textId="77777777" w:rsidR="0033396C" w:rsidRPr="00B075FE" w:rsidRDefault="0033396C" w:rsidP="00921131">
            <w:pPr>
              <w:jc w:val="center"/>
              <w:rPr>
                <w:sz w:val="20"/>
                <w:szCs w:val="20"/>
              </w:rPr>
            </w:pPr>
            <w:r w:rsidRPr="00B075FE">
              <w:rPr>
                <w:sz w:val="20"/>
                <w:szCs w:val="20"/>
              </w:rPr>
              <w:t>1 (&lt;1%)</w:t>
            </w:r>
          </w:p>
        </w:tc>
        <w:tc>
          <w:tcPr>
            <w:tcW w:w="1334" w:type="dxa"/>
            <w:tcBorders>
              <w:top w:val="nil"/>
              <w:left w:val="nil"/>
              <w:bottom w:val="single" w:sz="4" w:space="0" w:color="auto"/>
              <w:right w:val="nil"/>
            </w:tcBorders>
            <w:vAlign w:val="center"/>
          </w:tcPr>
          <w:p w14:paraId="2300D1EB" w14:textId="77777777" w:rsidR="0033396C" w:rsidRPr="00B075FE" w:rsidRDefault="0033396C" w:rsidP="00921131">
            <w:pPr>
              <w:jc w:val="center"/>
              <w:rPr>
                <w:sz w:val="20"/>
                <w:szCs w:val="20"/>
              </w:rPr>
            </w:pPr>
            <w:r w:rsidRPr="00B075FE">
              <w:rPr>
                <w:sz w:val="20"/>
                <w:szCs w:val="20"/>
              </w:rPr>
              <w:t>0 (0%)</w:t>
            </w:r>
          </w:p>
        </w:tc>
        <w:tc>
          <w:tcPr>
            <w:tcW w:w="1335" w:type="dxa"/>
            <w:tcBorders>
              <w:top w:val="nil"/>
              <w:left w:val="nil"/>
              <w:bottom w:val="single" w:sz="4" w:space="0" w:color="auto"/>
              <w:right w:val="single" w:sz="4" w:space="0" w:color="FFFFFF" w:themeColor="background1"/>
            </w:tcBorders>
            <w:vAlign w:val="center"/>
            <w:hideMark/>
          </w:tcPr>
          <w:p w14:paraId="7181FA50" w14:textId="77777777" w:rsidR="0033396C" w:rsidRPr="00B075FE" w:rsidRDefault="0033396C" w:rsidP="00921131">
            <w:pPr>
              <w:jc w:val="center"/>
              <w:rPr>
                <w:sz w:val="20"/>
                <w:szCs w:val="20"/>
              </w:rPr>
            </w:pPr>
            <w:r w:rsidRPr="00B075FE">
              <w:rPr>
                <w:sz w:val="20"/>
                <w:szCs w:val="20"/>
              </w:rPr>
              <w:t>5 (&lt;1%)</w:t>
            </w:r>
          </w:p>
        </w:tc>
        <w:tc>
          <w:tcPr>
            <w:tcW w:w="1334" w:type="dxa"/>
            <w:tcBorders>
              <w:top w:val="nil"/>
              <w:left w:val="single" w:sz="4" w:space="0" w:color="FFFFFF" w:themeColor="background1"/>
              <w:bottom w:val="single" w:sz="4" w:space="0" w:color="auto"/>
              <w:right w:val="single" w:sz="4" w:space="0" w:color="FFFFFF" w:themeColor="background1"/>
            </w:tcBorders>
            <w:vAlign w:val="center"/>
          </w:tcPr>
          <w:p w14:paraId="226CB604" w14:textId="77777777" w:rsidR="0033396C" w:rsidRPr="00B075FE" w:rsidRDefault="0033396C" w:rsidP="00921131">
            <w:pPr>
              <w:jc w:val="center"/>
              <w:rPr>
                <w:sz w:val="20"/>
                <w:szCs w:val="20"/>
              </w:rPr>
            </w:pPr>
            <w:r w:rsidRPr="00B075FE">
              <w:rPr>
                <w:sz w:val="20"/>
                <w:szCs w:val="20"/>
              </w:rPr>
              <w:t>4 (&lt;1%)</w:t>
            </w:r>
          </w:p>
        </w:tc>
        <w:tc>
          <w:tcPr>
            <w:tcW w:w="1335" w:type="dxa"/>
            <w:tcBorders>
              <w:top w:val="nil"/>
              <w:left w:val="single" w:sz="4" w:space="0" w:color="FFFFFF" w:themeColor="background1"/>
              <w:bottom w:val="single" w:sz="4" w:space="0" w:color="auto"/>
            </w:tcBorders>
            <w:vAlign w:val="center"/>
          </w:tcPr>
          <w:p w14:paraId="3F8F811C" w14:textId="77777777" w:rsidR="0033396C" w:rsidRPr="00B075FE" w:rsidRDefault="0033396C" w:rsidP="00921131">
            <w:pPr>
              <w:jc w:val="center"/>
              <w:rPr>
                <w:sz w:val="20"/>
                <w:szCs w:val="20"/>
              </w:rPr>
            </w:pPr>
            <w:r w:rsidRPr="00B075FE">
              <w:rPr>
                <w:sz w:val="20"/>
                <w:szCs w:val="20"/>
              </w:rPr>
              <w:t>1 (2%)</w:t>
            </w:r>
          </w:p>
        </w:tc>
      </w:tr>
    </w:tbl>
    <w:p w14:paraId="0E5DA761" w14:textId="77777777" w:rsidR="0033396C" w:rsidRDefault="0033396C" w:rsidP="0033396C">
      <w:pPr>
        <w:rPr>
          <w:b/>
          <w:bCs/>
        </w:rPr>
      </w:pPr>
    </w:p>
    <w:p w14:paraId="5C03CB3E" w14:textId="77777777" w:rsidR="0033396C" w:rsidRDefault="0033396C" w:rsidP="00093ABE">
      <w:pPr>
        <w:sectPr w:rsidR="0033396C" w:rsidSect="0033396C">
          <w:pgSz w:w="16838" w:h="11906" w:orient="landscape"/>
          <w:pgMar w:top="1440" w:right="1440" w:bottom="1440" w:left="1440" w:header="708" w:footer="708" w:gutter="0"/>
          <w:cols w:space="708"/>
          <w:docGrid w:linePitch="360"/>
        </w:sectPr>
      </w:pPr>
    </w:p>
    <w:p w14:paraId="5A594152" w14:textId="77777777" w:rsidR="0033396C" w:rsidRPr="00565F20" w:rsidRDefault="0033396C" w:rsidP="0033396C">
      <w:pPr>
        <w:rPr>
          <w:b/>
          <w:bCs/>
          <w:lang w:val="en-US"/>
        </w:rPr>
      </w:pPr>
      <w:r w:rsidRPr="00565F20">
        <w:rPr>
          <w:b/>
          <w:bCs/>
          <w:lang w:val="en-US"/>
        </w:rPr>
        <w:lastRenderedPageBreak/>
        <w:t xml:space="preserve">Table </w:t>
      </w:r>
      <w:r>
        <w:rPr>
          <w:b/>
          <w:bCs/>
          <w:lang w:val="en-US"/>
        </w:rPr>
        <w:t>2.</w:t>
      </w:r>
      <w:r w:rsidRPr="00565F20">
        <w:rPr>
          <w:b/>
          <w:bCs/>
          <w:lang w:val="en-US"/>
        </w:rPr>
        <w:t xml:space="preserve"> </w:t>
      </w:r>
      <w:r w:rsidRPr="008E10CA">
        <w:rPr>
          <w:lang w:val="en-US"/>
        </w:rPr>
        <w:t>Reported cause of stillbirth</w:t>
      </w:r>
    </w:p>
    <w:tbl>
      <w:tblPr>
        <w:tblStyle w:val="TableGrid3"/>
        <w:tblW w:w="8075" w:type="dxa"/>
        <w:tblLayout w:type="fixed"/>
        <w:tblLook w:val="04A0" w:firstRow="1" w:lastRow="0" w:firstColumn="1" w:lastColumn="0" w:noHBand="0" w:noVBand="1"/>
      </w:tblPr>
      <w:tblGrid>
        <w:gridCol w:w="2547"/>
        <w:gridCol w:w="1984"/>
        <w:gridCol w:w="1560"/>
        <w:gridCol w:w="1984"/>
      </w:tblGrid>
      <w:tr w:rsidR="0033396C" w:rsidRPr="00565F20" w14:paraId="62D9C7CE" w14:textId="77777777" w:rsidTr="00921131">
        <w:trPr>
          <w:trHeight w:val="408"/>
        </w:trPr>
        <w:tc>
          <w:tcPr>
            <w:tcW w:w="2547" w:type="dxa"/>
            <w:tcBorders>
              <w:left w:val="single" w:sz="4" w:space="0" w:color="FFFFFF" w:themeColor="background1"/>
              <w:right w:val="single" w:sz="4" w:space="0" w:color="FFFFFF" w:themeColor="background1"/>
            </w:tcBorders>
            <w:noWrap/>
            <w:vAlign w:val="center"/>
            <w:hideMark/>
          </w:tcPr>
          <w:p w14:paraId="2D2BD2D6" w14:textId="77777777" w:rsidR="0033396C" w:rsidRPr="00565F20" w:rsidRDefault="0033396C" w:rsidP="00921131">
            <w:pPr>
              <w:rPr>
                <w:rFonts w:ascii="Calibri" w:eastAsia="Times New Roman" w:hAnsi="Calibri" w:cs="Calibri"/>
                <w:b/>
                <w:color w:val="000000"/>
                <w:sz w:val="20"/>
                <w:szCs w:val="20"/>
                <w:lang w:eastAsia="en-GB"/>
              </w:rPr>
            </w:pPr>
            <w:r w:rsidRPr="00565F20">
              <w:rPr>
                <w:rFonts w:ascii="Calibri" w:eastAsia="Times New Roman" w:hAnsi="Calibri" w:cs="Calibri"/>
                <w:b/>
                <w:color w:val="000000"/>
                <w:sz w:val="20"/>
                <w:szCs w:val="20"/>
                <w:lang w:eastAsia="en-GB"/>
              </w:rPr>
              <w:t>Cause of Stillbirth</w:t>
            </w:r>
          </w:p>
        </w:tc>
        <w:tc>
          <w:tcPr>
            <w:tcW w:w="1984" w:type="dxa"/>
            <w:tcBorders>
              <w:left w:val="single" w:sz="4" w:space="0" w:color="FFFFFF" w:themeColor="background1"/>
              <w:right w:val="single" w:sz="4" w:space="0" w:color="FFFFFF" w:themeColor="background1"/>
            </w:tcBorders>
            <w:noWrap/>
            <w:vAlign w:val="center"/>
            <w:hideMark/>
          </w:tcPr>
          <w:p w14:paraId="054432BD" w14:textId="77777777" w:rsidR="0033396C" w:rsidRPr="00565F20" w:rsidRDefault="0033396C" w:rsidP="00921131">
            <w:pPr>
              <w:jc w:val="center"/>
              <w:rPr>
                <w:rFonts w:ascii="Calibri" w:eastAsia="Times New Roman" w:hAnsi="Calibri" w:cs="Calibri"/>
                <w:b/>
                <w:color w:val="000000"/>
                <w:sz w:val="20"/>
                <w:szCs w:val="20"/>
                <w:lang w:eastAsia="en-GB"/>
              </w:rPr>
            </w:pPr>
            <w:r w:rsidRPr="00565F20">
              <w:rPr>
                <w:rFonts w:ascii="Calibri" w:eastAsia="Times New Roman" w:hAnsi="Calibri" w:cs="Calibri"/>
                <w:b/>
                <w:color w:val="000000"/>
                <w:sz w:val="20"/>
                <w:szCs w:val="20"/>
                <w:lang w:eastAsia="en-GB"/>
              </w:rPr>
              <w:t>Both Countries</w:t>
            </w:r>
          </w:p>
        </w:tc>
        <w:tc>
          <w:tcPr>
            <w:tcW w:w="1560" w:type="dxa"/>
            <w:tcBorders>
              <w:left w:val="single" w:sz="4" w:space="0" w:color="FFFFFF" w:themeColor="background1"/>
              <w:right w:val="single" w:sz="4" w:space="0" w:color="FFFFFF" w:themeColor="background1"/>
            </w:tcBorders>
            <w:noWrap/>
            <w:vAlign w:val="center"/>
            <w:hideMark/>
          </w:tcPr>
          <w:p w14:paraId="245B2BB8" w14:textId="77777777" w:rsidR="0033396C" w:rsidRPr="00565F20" w:rsidRDefault="0033396C" w:rsidP="00921131">
            <w:pPr>
              <w:jc w:val="center"/>
              <w:rPr>
                <w:rFonts w:ascii="Calibri" w:eastAsia="Times New Roman" w:hAnsi="Calibri" w:cs="Calibri"/>
                <w:b/>
                <w:color w:val="000000"/>
                <w:sz w:val="20"/>
                <w:szCs w:val="20"/>
                <w:lang w:eastAsia="en-GB"/>
              </w:rPr>
            </w:pPr>
            <w:r w:rsidRPr="00565F20">
              <w:rPr>
                <w:rFonts w:ascii="Calibri" w:eastAsia="Times New Roman" w:hAnsi="Calibri" w:cs="Calibri"/>
                <w:b/>
                <w:color w:val="000000"/>
                <w:sz w:val="20"/>
                <w:szCs w:val="20"/>
                <w:lang w:eastAsia="en-GB"/>
              </w:rPr>
              <w:t>Tanzania</w:t>
            </w:r>
          </w:p>
        </w:tc>
        <w:tc>
          <w:tcPr>
            <w:tcW w:w="1984" w:type="dxa"/>
            <w:tcBorders>
              <w:left w:val="single" w:sz="4" w:space="0" w:color="FFFFFF" w:themeColor="background1"/>
              <w:right w:val="single" w:sz="4" w:space="0" w:color="FFFFFF" w:themeColor="background1"/>
            </w:tcBorders>
            <w:noWrap/>
            <w:vAlign w:val="center"/>
            <w:hideMark/>
          </w:tcPr>
          <w:p w14:paraId="58A8E804" w14:textId="77777777" w:rsidR="0033396C" w:rsidRPr="00565F20" w:rsidRDefault="0033396C" w:rsidP="00921131">
            <w:pPr>
              <w:jc w:val="center"/>
              <w:rPr>
                <w:rFonts w:ascii="Calibri" w:eastAsia="Times New Roman" w:hAnsi="Calibri" w:cs="Calibri"/>
                <w:b/>
                <w:color w:val="000000"/>
                <w:sz w:val="20"/>
                <w:szCs w:val="20"/>
                <w:lang w:eastAsia="en-GB"/>
              </w:rPr>
            </w:pPr>
            <w:r w:rsidRPr="00565F20">
              <w:rPr>
                <w:rFonts w:ascii="Calibri" w:eastAsia="Times New Roman" w:hAnsi="Calibri" w:cs="Calibri"/>
                <w:b/>
                <w:color w:val="000000"/>
                <w:sz w:val="20"/>
                <w:szCs w:val="20"/>
                <w:lang w:eastAsia="en-GB"/>
              </w:rPr>
              <w:t>Zambia</w:t>
            </w:r>
          </w:p>
        </w:tc>
      </w:tr>
      <w:tr w:rsidR="0033396C" w:rsidRPr="00565F20" w14:paraId="592912D0" w14:textId="77777777" w:rsidTr="00921131">
        <w:trPr>
          <w:trHeight w:val="408"/>
        </w:trPr>
        <w:tc>
          <w:tcPr>
            <w:tcW w:w="2547" w:type="dxa"/>
            <w:tcBorders>
              <w:left w:val="single" w:sz="4" w:space="0" w:color="FFFFFF" w:themeColor="background1"/>
              <w:bottom w:val="single" w:sz="4" w:space="0" w:color="FFFFFF" w:themeColor="background1"/>
              <w:right w:val="single" w:sz="4" w:space="0" w:color="FFFFFF" w:themeColor="background1"/>
            </w:tcBorders>
            <w:noWrap/>
            <w:vAlign w:val="center"/>
          </w:tcPr>
          <w:p w14:paraId="57D30852" w14:textId="77777777" w:rsidR="0033396C" w:rsidRPr="00565F20" w:rsidRDefault="0033396C" w:rsidP="00921131">
            <w:pPr>
              <w:rPr>
                <w:rFonts w:ascii="Calibri" w:eastAsia="Times New Roman" w:hAnsi="Calibri" w:cs="Calibri"/>
                <w:b/>
                <w:color w:val="000000"/>
                <w:sz w:val="20"/>
                <w:szCs w:val="20"/>
                <w:lang w:eastAsia="en-GB"/>
              </w:rPr>
            </w:pPr>
            <w:r w:rsidRPr="00565F20">
              <w:rPr>
                <w:rFonts w:ascii="Calibri" w:eastAsia="Times New Roman" w:hAnsi="Calibri" w:cs="Calibri"/>
                <w:b/>
                <w:color w:val="000000"/>
                <w:sz w:val="20"/>
                <w:szCs w:val="20"/>
                <w:lang w:eastAsia="en-GB"/>
              </w:rPr>
              <w:t xml:space="preserve">N </w:t>
            </w:r>
          </w:p>
        </w:tc>
        <w:tc>
          <w:tcPr>
            <w:tcW w:w="1984" w:type="dxa"/>
            <w:tcBorders>
              <w:left w:val="single" w:sz="4" w:space="0" w:color="FFFFFF" w:themeColor="background1"/>
              <w:bottom w:val="single" w:sz="4" w:space="0" w:color="FFFFFF" w:themeColor="background1"/>
              <w:right w:val="single" w:sz="4" w:space="0" w:color="FFFFFF" w:themeColor="background1"/>
            </w:tcBorders>
            <w:noWrap/>
            <w:vAlign w:val="center"/>
          </w:tcPr>
          <w:p w14:paraId="55F30D80" w14:textId="77777777" w:rsidR="0033396C" w:rsidRPr="00565F20" w:rsidRDefault="0033396C" w:rsidP="00921131">
            <w:pPr>
              <w:jc w:val="center"/>
              <w:rPr>
                <w:rFonts w:ascii="Calibri" w:eastAsia="Times New Roman" w:hAnsi="Calibri" w:cs="Calibri"/>
                <w:b/>
                <w:color w:val="000000"/>
                <w:sz w:val="20"/>
                <w:szCs w:val="20"/>
                <w:lang w:eastAsia="en-GB"/>
              </w:rPr>
            </w:pPr>
            <w:r w:rsidRPr="00565F20">
              <w:rPr>
                <w:rFonts w:ascii="Calibri" w:eastAsia="Times New Roman" w:hAnsi="Calibri" w:cs="Calibri"/>
                <w:b/>
                <w:color w:val="000000"/>
                <w:sz w:val="20"/>
                <w:szCs w:val="20"/>
                <w:lang w:eastAsia="en-GB"/>
              </w:rPr>
              <w:t>261</w:t>
            </w:r>
          </w:p>
        </w:tc>
        <w:tc>
          <w:tcPr>
            <w:tcW w:w="1560" w:type="dxa"/>
            <w:tcBorders>
              <w:left w:val="single" w:sz="4" w:space="0" w:color="FFFFFF" w:themeColor="background1"/>
              <w:bottom w:val="single" w:sz="4" w:space="0" w:color="FFFFFF" w:themeColor="background1"/>
              <w:right w:val="single" w:sz="4" w:space="0" w:color="FFFFFF" w:themeColor="background1"/>
            </w:tcBorders>
            <w:noWrap/>
            <w:vAlign w:val="center"/>
          </w:tcPr>
          <w:p w14:paraId="6859CDED" w14:textId="77777777" w:rsidR="0033396C" w:rsidRPr="00565F20" w:rsidRDefault="0033396C" w:rsidP="00921131">
            <w:pPr>
              <w:jc w:val="center"/>
              <w:rPr>
                <w:rFonts w:ascii="Calibri" w:eastAsia="Times New Roman" w:hAnsi="Calibri" w:cs="Calibri"/>
                <w:b/>
                <w:color w:val="000000"/>
                <w:sz w:val="20"/>
                <w:szCs w:val="20"/>
                <w:lang w:eastAsia="en-GB"/>
              </w:rPr>
            </w:pPr>
            <w:r w:rsidRPr="00565F20">
              <w:rPr>
                <w:rFonts w:ascii="Calibri" w:eastAsia="Times New Roman" w:hAnsi="Calibri" w:cs="Calibri"/>
                <w:b/>
                <w:color w:val="000000"/>
                <w:sz w:val="20"/>
                <w:szCs w:val="20"/>
                <w:lang w:eastAsia="en-GB"/>
              </w:rPr>
              <w:t>161</w:t>
            </w:r>
          </w:p>
        </w:tc>
        <w:tc>
          <w:tcPr>
            <w:tcW w:w="1984" w:type="dxa"/>
            <w:tcBorders>
              <w:left w:val="single" w:sz="4" w:space="0" w:color="FFFFFF" w:themeColor="background1"/>
              <w:bottom w:val="single" w:sz="4" w:space="0" w:color="FFFFFF" w:themeColor="background1"/>
              <w:right w:val="single" w:sz="4" w:space="0" w:color="FFFFFF" w:themeColor="background1"/>
            </w:tcBorders>
            <w:noWrap/>
            <w:vAlign w:val="center"/>
          </w:tcPr>
          <w:p w14:paraId="583DE28D" w14:textId="77777777" w:rsidR="0033396C" w:rsidRPr="00565F20" w:rsidRDefault="0033396C" w:rsidP="00921131">
            <w:pPr>
              <w:jc w:val="center"/>
              <w:rPr>
                <w:rFonts w:ascii="Calibri" w:eastAsia="Times New Roman" w:hAnsi="Calibri" w:cs="Calibri"/>
                <w:b/>
                <w:color w:val="000000"/>
                <w:sz w:val="20"/>
                <w:szCs w:val="20"/>
                <w:lang w:eastAsia="en-GB"/>
              </w:rPr>
            </w:pPr>
            <w:r w:rsidRPr="00565F20">
              <w:rPr>
                <w:rFonts w:ascii="Calibri" w:eastAsia="Times New Roman" w:hAnsi="Calibri" w:cs="Calibri"/>
                <w:b/>
                <w:color w:val="000000"/>
                <w:sz w:val="20"/>
                <w:szCs w:val="20"/>
                <w:lang w:eastAsia="en-GB"/>
              </w:rPr>
              <w:t>100</w:t>
            </w:r>
          </w:p>
        </w:tc>
      </w:tr>
      <w:tr w:rsidR="0033396C" w:rsidRPr="00565F20" w14:paraId="78C05D9F" w14:textId="77777777" w:rsidTr="00921131">
        <w:trPr>
          <w:trHeight w:val="27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7C39C5E" w14:textId="77777777" w:rsidR="0033396C" w:rsidRPr="00565F20" w:rsidRDefault="0033396C" w:rsidP="00921131">
            <w:pP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Foetal distress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46527DB7"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53 (20.3%)</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65ADBED4"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35 (21.7%)</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557EB3B1"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18 (18.0%)</w:t>
            </w:r>
          </w:p>
        </w:tc>
      </w:tr>
      <w:tr w:rsidR="0033396C" w:rsidRPr="00565F20" w14:paraId="4A43006B" w14:textId="77777777" w:rsidTr="00921131">
        <w:trPr>
          <w:trHeight w:val="27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6D4922E" w14:textId="77777777" w:rsidR="0033396C" w:rsidRPr="00565F20" w:rsidRDefault="0033396C" w:rsidP="00921131">
            <w:pP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Obstructed Labour</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3F8941A"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32 (12.3%)</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1256756D"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24 (14.9%)</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19E3911F"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8 (8.0%)</w:t>
            </w:r>
          </w:p>
        </w:tc>
      </w:tr>
      <w:tr w:rsidR="0033396C" w:rsidRPr="00565F20" w14:paraId="24B899A0" w14:textId="77777777" w:rsidTr="00921131">
        <w:trPr>
          <w:trHeight w:val="27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773DE85" w14:textId="77777777" w:rsidR="0033396C" w:rsidRPr="00565F20" w:rsidRDefault="0033396C" w:rsidP="00921131">
            <w:pP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Pre-eclampsia/eclampsia</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032C3909"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31 (11.9%)</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5294C1E5"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18 (11.2%)</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FDF4DCE"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13 (13.0%)</w:t>
            </w:r>
          </w:p>
        </w:tc>
      </w:tr>
      <w:tr w:rsidR="0033396C" w:rsidRPr="00565F20" w14:paraId="672F9932" w14:textId="77777777" w:rsidTr="00921131">
        <w:trPr>
          <w:trHeight w:val="27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8EA5508" w14:textId="77777777" w:rsidR="0033396C" w:rsidRPr="00565F20" w:rsidRDefault="0033396C" w:rsidP="00921131">
            <w:pP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APH</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30CCFFCE"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15 (5.7%)</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437E4AE4"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13 (8.1%)</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5F0BEA7D"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2 (2.0%)</w:t>
            </w:r>
          </w:p>
        </w:tc>
      </w:tr>
      <w:tr w:rsidR="0033396C" w:rsidRPr="00565F20" w14:paraId="3F60C6D3" w14:textId="77777777" w:rsidTr="00921131">
        <w:trPr>
          <w:trHeight w:val="27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8150090" w14:textId="77777777" w:rsidR="0033396C" w:rsidRPr="00565F20" w:rsidRDefault="0033396C" w:rsidP="00921131">
            <w:pP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Cord prolapse/cord around neck</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48C34F48"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13 (5.0%)</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07C55520"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9 (5.6%)</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385F698B"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4 (4.0%)</w:t>
            </w:r>
          </w:p>
        </w:tc>
      </w:tr>
      <w:tr w:rsidR="0033396C" w:rsidRPr="00565F20" w14:paraId="417E006A" w14:textId="77777777" w:rsidTr="00921131">
        <w:trPr>
          <w:trHeight w:val="27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EB85182" w14:textId="77777777" w:rsidR="0033396C" w:rsidRPr="00565F20" w:rsidRDefault="0033396C" w:rsidP="00921131">
            <w:pP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Anaemia</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001BE5A9"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12 (4.6%)</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49463A91"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9 (5.6%)</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641B308"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3 (3.0%)</w:t>
            </w:r>
          </w:p>
        </w:tc>
      </w:tr>
      <w:tr w:rsidR="0033396C" w:rsidRPr="00565F20" w14:paraId="095712F9" w14:textId="77777777" w:rsidTr="00921131">
        <w:trPr>
          <w:trHeight w:val="27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9E2B96D" w14:textId="77777777" w:rsidR="0033396C" w:rsidRPr="00565F20" w:rsidRDefault="0033396C" w:rsidP="00921131">
            <w:pP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Other</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9F0590D"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8 (3.1%)</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04950205"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4 (2.5%)</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637B396E"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4 (4.0%)</w:t>
            </w:r>
          </w:p>
        </w:tc>
      </w:tr>
      <w:tr w:rsidR="0033396C" w:rsidRPr="00565F20" w14:paraId="034FB153" w14:textId="77777777" w:rsidTr="00921131">
        <w:trPr>
          <w:trHeight w:val="27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C7F7E0C" w14:textId="77777777" w:rsidR="0033396C" w:rsidRPr="00565F20" w:rsidRDefault="0033396C" w:rsidP="00921131">
            <w:pP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Systemic Infection</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21376E9"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7 (2.7%)</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6FC5BFDA"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5 (3.1%)</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105E0E1A"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2 (2.0%)</w:t>
            </w:r>
          </w:p>
        </w:tc>
      </w:tr>
      <w:tr w:rsidR="0033396C" w:rsidRPr="00565F20" w14:paraId="0E378EEF" w14:textId="77777777" w:rsidTr="00921131">
        <w:trPr>
          <w:trHeight w:val="27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3526145" w14:textId="77777777" w:rsidR="0033396C" w:rsidRPr="00565F20" w:rsidRDefault="0033396C" w:rsidP="00921131">
            <w:pP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Uterine rupture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A6A5CAD"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7 (2.7%)</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4D7223B3"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3 (1.9%)</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ED0757A"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4 (4.0%)</w:t>
            </w:r>
          </w:p>
        </w:tc>
      </w:tr>
      <w:tr w:rsidR="0033396C" w:rsidRPr="00565F20" w14:paraId="55B38D39" w14:textId="77777777" w:rsidTr="00921131">
        <w:trPr>
          <w:trHeight w:val="27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473107D" w14:textId="77777777" w:rsidR="0033396C" w:rsidRPr="00565F20" w:rsidRDefault="0033396C" w:rsidP="00921131">
            <w:pP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Precipitate labour</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4D4C3E96"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4 (1.5%)</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0109DCA8"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4 (2.5%)</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262DC8A"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0 (0.0%)</w:t>
            </w:r>
          </w:p>
        </w:tc>
      </w:tr>
      <w:tr w:rsidR="0033396C" w:rsidRPr="00565F20" w14:paraId="5546D0D2" w14:textId="77777777" w:rsidTr="00921131">
        <w:trPr>
          <w:trHeight w:val="27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43DA915" w14:textId="77777777" w:rsidR="0033396C" w:rsidRPr="00565F20" w:rsidRDefault="0033396C" w:rsidP="00921131">
            <w:pP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Malaria</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C8C819E"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4 (1.5%)</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25554EF6"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2 (1.2%)</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54C2EE8F"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2 (2.0%)</w:t>
            </w:r>
          </w:p>
        </w:tc>
      </w:tr>
      <w:tr w:rsidR="0033396C" w:rsidRPr="00565F20" w14:paraId="62022310" w14:textId="77777777" w:rsidTr="00921131">
        <w:trPr>
          <w:trHeight w:val="27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8C5DF35" w14:textId="77777777" w:rsidR="0033396C" w:rsidRPr="00565F20" w:rsidRDefault="0033396C" w:rsidP="00921131">
            <w:pP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PROM</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A10C2B3"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1 (0.4%)</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00A540C"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1 (0.6%)</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5747367C"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0 (0.0%)</w:t>
            </w:r>
          </w:p>
        </w:tc>
      </w:tr>
      <w:tr w:rsidR="0033396C" w:rsidRPr="00565F20" w14:paraId="363FF38A" w14:textId="77777777" w:rsidTr="00921131">
        <w:trPr>
          <w:trHeight w:val="27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7080BDC" w14:textId="77777777" w:rsidR="0033396C" w:rsidRPr="00565F20" w:rsidRDefault="0033396C" w:rsidP="00921131">
            <w:pP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Pre-term labour</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5ABBB1BD"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1 (0.4%)</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6D9E900D"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1 (0.6%)</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7092E3E"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0 (0.0%)</w:t>
            </w:r>
          </w:p>
        </w:tc>
      </w:tr>
      <w:tr w:rsidR="0033396C" w:rsidRPr="00565F20" w14:paraId="0FE4110A" w14:textId="77777777" w:rsidTr="00921131">
        <w:trPr>
          <w:trHeight w:val="295"/>
        </w:trPr>
        <w:tc>
          <w:tcPr>
            <w:tcW w:w="2547" w:type="dxa"/>
            <w:tcBorders>
              <w:top w:val="single" w:sz="4" w:space="0" w:color="FFFFFF" w:themeColor="background1"/>
              <w:left w:val="single" w:sz="4" w:space="0" w:color="FFFFFF" w:themeColor="background1"/>
              <w:right w:val="single" w:sz="4" w:space="0" w:color="FFFFFF" w:themeColor="background1"/>
            </w:tcBorders>
            <w:noWrap/>
            <w:hideMark/>
          </w:tcPr>
          <w:p w14:paraId="4E6EC814" w14:textId="77777777" w:rsidR="0033396C" w:rsidRPr="00565F20" w:rsidRDefault="0033396C" w:rsidP="00921131">
            <w:pP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Unknown/unexplained</w:t>
            </w:r>
          </w:p>
        </w:tc>
        <w:tc>
          <w:tcPr>
            <w:tcW w:w="1984" w:type="dxa"/>
            <w:tcBorders>
              <w:top w:val="single" w:sz="4" w:space="0" w:color="FFFFFF" w:themeColor="background1"/>
              <w:left w:val="single" w:sz="4" w:space="0" w:color="FFFFFF" w:themeColor="background1"/>
              <w:right w:val="single" w:sz="4" w:space="0" w:color="FFFFFF" w:themeColor="background1"/>
            </w:tcBorders>
            <w:noWrap/>
            <w:vAlign w:val="center"/>
          </w:tcPr>
          <w:p w14:paraId="0AFE8408"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73 (28.0%)</w:t>
            </w:r>
          </w:p>
        </w:tc>
        <w:tc>
          <w:tcPr>
            <w:tcW w:w="1560" w:type="dxa"/>
            <w:tcBorders>
              <w:top w:val="single" w:sz="4" w:space="0" w:color="FFFFFF" w:themeColor="background1"/>
              <w:left w:val="single" w:sz="4" w:space="0" w:color="FFFFFF" w:themeColor="background1"/>
              <w:right w:val="single" w:sz="4" w:space="0" w:color="FFFFFF" w:themeColor="background1"/>
            </w:tcBorders>
            <w:noWrap/>
            <w:vAlign w:val="center"/>
          </w:tcPr>
          <w:p w14:paraId="611BD56F"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33 (20.5%)</w:t>
            </w:r>
          </w:p>
        </w:tc>
        <w:tc>
          <w:tcPr>
            <w:tcW w:w="1984" w:type="dxa"/>
            <w:tcBorders>
              <w:top w:val="single" w:sz="4" w:space="0" w:color="FFFFFF" w:themeColor="background1"/>
              <w:left w:val="single" w:sz="4" w:space="0" w:color="FFFFFF" w:themeColor="background1"/>
              <w:right w:val="single" w:sz="4" w:space="0" w:color="FFFFFF" w:themeColor="background1"/>
            </w:tcBorders>
            <w:noWrap/>
            <w:vAlign w:val="center"/>
          </w:tcPr>
          <w:p w14:paraId="03D7FBD0" w14:textId="77777777" w:rsidR="0033396C" w:rsidRPr="00565F20" w:rsidRDefault="0033396C" w:rsidP="00921131">
            <w:pPr>
              <w:jc w:val="center"/>
              <w:rPr>
                <w:rFonts w:ascii="Calibri" w:eastAsia="Times New Roman" w:hAnsi="Calibri" w:cs="Calibri"/>
                <w:color w:val="000000"/>
                <w:sz w:val="20"/>
                <w:szCs w:val="20"/>
                <w:lang w:eastAsia="en-GB"/>
              </w:rPr>
            </w:pPr>
            <w:r w:rsidRPr="00565F20">
              <w:rPr>
                <w:rFonts w:ascii="Calibri" w:eastAsia="Times New Roman" w:hAnsi="Calibri" w:cs="Calibri"/>
                <w:color w:val="000000"/>
                <w:sz w:val="20"/>
                <w:szCs w:val="20"/>
                <w:lang w:eastAsia="en-GB"/>
              </w:rPr>
              <w:t>40 (40.0%)</w:t>
            </w:r>
          </w:p>
        </w:tc>
      </w:tr>
    </w:tbl>
    <w:p w14:paraId="3B6E6222" w14:textId="77777777" w:rsidR="0033396C" w:rsidRPr="00565F20" w:rsidRDefault="0033396C" w:rsidP="0033396C">
      <w:pPr>
        <w:rPr>
          <w:sz w:val="20"/>
          <w:szCs w:val="20"/>
          <w:lang w:val="en-US"/>
        </w:rPr>
      </w:pPr>
      <w:r w:rsidRPr="00565F20">
        <w:rPr>
          <w:sz w:val="20"/>
          <w:szCs w:val="20"/>
          <w:lang w:val="en-US"/>
        </w:rPr>
        <w:t xml:space="preserve">APH = Antepartum </w:t>
      </w:r>
      <w:proofErr w:type="spellStart"/>
      <w:r w:rsidRPr="00565F20">
        <w:rPr>
          <w:sz w:val="20"/>
          <w:szCs w:val="20"/>
          <w:lang w:val="en-US"/>
        </w:rPr>
        <w:t>Haemorrhage</w:t>
      </w:r>
      <w:proofErr w:type="spellEnd"/>
      <w:r w:rsidRPr="00565F20">
        <w:rPr>
          <w:sz w:val="20"/>
          <w:szCs w:val="20"/>
          <w:lang w:val="en-US"/>
        </w:rPr>
        <w:t>. PROM = Premature Rupture of Membranes.</w:t>
      </w:r>
    </w:p>
    <w:p w14:paraId="7292C084" w14:textId="77777777" w:rsidR="0033396C" w:rsidRDefault="0033396C" w:rsidP="00093ABE">
      <w:pPr>
        <w:sectPr w:rsidR="0033396C" w:rsidSect="0033396C">
          <w:pgSz w:w="11906" w:h="16838"/>
          <w:pgMar w:top="1440" w:right="1440" w:bottom="1440" w:left="1440" w:header="708" w:footer="708" w:gutter="0"/>
          <w:cols w:space="708"/>
          <w:docGrid w:linePitch="360"/>
        </w:sectPr>
      </w:pPr>
    </w:p>
    <w:p w14:paraId="47080552" w14:textId="77777777" w:rsidR="0033396C" w:rsidRDefault="0033396C" w:rsidP="0033396C">
      <w:pPr>
        <w:rPr>
          <w:lang w:val="en-US"/>
        </w:rPr>
      </w:pPr>
      <w:r>
        <w:rPr>
          <w:b/>
          <w:bCs/>
          <w:lang w:val="en-US"/>
        </w:rPr>
        <w:lastRenderedPageBreak/>
        <w:t xml:space="preserve">Table 3. </w:t>
      </w:r>
      <w:r w:rsidRPr="008E10CA">
        <w:rPr>
          <w:lang w:val="en-US"/>
        </w:rPr>
        <w:t>Case note review participant characteristics, by outcome (neonatal deaths excluded; singleton births only)</w:t>
      </w:r>
    </w:p>
    <w:p w14:paraId="5B23160F" w14:textId="2700068D" w:rsidR="0033396C" w:rsidRDefault="0033396C" w:rsidP="0033396C">
      <w:r>
        <w:rPr>
          <w:lang w:val="en-US"/>
        </w:rPr>
        <w:fldChar w:fldCharType="begin"/>
      </w:r>
      <w:r>
        <w:rPr>
          <w:lang w:val="en-US"/>
        </w:rPr>
        <w:instrText xml:space="preserve"> LINK Excel.Sheet.12 "Book1" "Sheet1!R1C1:R27C8" \a \f 5 \h  \* MERGEFORMAT </w:instrText>
      </w:r>
      <w:r>
        <w:rPr>
          <w:lang w:val="en-US"/>
        </w:rPr>
        <w:fldChar w:fldCharType="separate"/>
      </w:r>
    </w:p>
    <w:tbl>
      <w:tblPr>
        <w:tblStyle w:val="PlainTable22"/>
        <w:tblW w:w="13317" w:type="dxa"/>
        <w:tblLook w:val="04A0" w:firstRow="1" w:lastRow="0" w:firstColumn="1" w:lastColumn="0" w:noHBand="0" w:noVBand="1"/>
      </w:tblPr>
      <w:tblGrid>
        <w:gridCol w:w="2103"/>
        <w:gridCol w:w="1470"/>
        <w:gridCol w:w="1830"/>
        <w:gridCol w:w="1624"/>
        <w:gridCol w:w="1624"/>
        <w:gridCol w:w="1624"/>
        <w:gridCol w:w="1624"/>
        <w:gridCol w:w="1418"/>
      </w:tblGrid>
      <w:tr w:rsidR="0033396C" w:rsidRPr="007346B6" w14:paraId="64C3AF68" w14:textId="77777777" w:rsidTr="0092113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gridSpan w:val="2"/>
            <w:vMerge w:val="restart"/>
            <w:noWrap/>
            <w:hideMark/>
          </w:tcPr>
          <w:p w14:paraId="6C12296B" w14:textId="77777777" w:rsidR="0033396C" w:rsidRPr="007346B6" w:rsidRDefault="0033396C" w:rsidP="00921131">
            <w:pPr>
              <w:rPr>
                <w:rFonts w:ascii="Segoe UI" w:hAnsi="Segoe UI" w:cs="Segoe UI"/>
                <w:sz w:val="16"/>
                <w:szCs w:val="16"/>
              </w:rPr>
            </w:pPr>
            <w:r w:rsidRPr="007346B6">
              <w:rPr>
                <w:rFonts w:ascii="Segoe UI" w:hAnsi="Segoe UI" w:cs="Segoe UI"/>
                <w:sz w:val="16"/>
                <w:szCs w:val="16"/>
              </w:rPr>
              <w:t>N (%)</w:t>
            </w:r>
          </w:p>
        </w:tc>
        <w:tc>
          <w:tcPr>
            <w:tcW w:w="0" w:type="auto"/>
            <w:gridSpan w:val="2"/>
            <w:noWrap/>
            <w:hideMark/>
          </w:tcPr>
          <w:p w14:paraId="0FCBE443" w14:textId="77777777" w:rsidR="0033396C" w:rsidRPr="007346B6" w:rsidRDefault="0033396C" w:rsidP="0092113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Both Countries (N=1885</w:t>
            </w:r>
            <w:r w:rsidRPr="007346B6">
              <w:rPr>
                <w:rFonts w:ascii="Segoe UI" w:hAnsi="Segoe UI" w:cs="Segoe UI"/>
                <w:sz w:val="16"/>
                <w:szCs w:val="16"/>
              </w:rPr>
              <w:t>)</w:t>
            </w:r>
          </w:p>
        </w:tc>
        <w:tc>
          <w:tcPr>
            <w:tcW w:w="0" w:type="auto"/>
            <w:gridSpan w:val="2"/>
            <w:noWrap/>
            <w:hideMark/>
          </w:tcPr>
          <w:p w14:paraId="1C009185" w14:textId="77777777" w:rsidR="0033396C" w:rsidRPr="007346B6" w:rsidRDefault="0033396C" w:rsidP="0092113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Tanzania (N=930</w:t>
            </w:r>
            <w:r w:rsidRPr="007346B6">
              <w:rPr>
                <w:rFonts w:ascii="Segoe UI" w:hAnsi="Segoe UI" w:cs="Segoe UI"/>
                <w:sz w:val="16"/>
                <w:szCs w:val="16"/>
              </w:rPr>
              <w:t>)</w:t>
            </w:r>
          </w:p>
        </w:tc>
        <w:tc>
          <w:tcPr>
            <w:tcW w:w="0" w:type="auto"/>
            <w:gridSpan w:val="2"/>
            <w:noWrap/>
            <w:hideMark/>
          </w:tcPr>
          <w:p w14:paraId="5CDB511D" w14:textId="77777777" w:rsidR="0033396C" w:rsidRPr="007346B6" w:rsidRDefault="0033396C" w:rsidP="0092113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Zambia (N=955)</w:t>
            </w:r>
          </w:p>
        </w:tc>
      </w:tr>
      <w:tr w:rsidR="0033396C" w:rsidRPr="007346B6" w14:paraId="41931889" w14:textId="77777777" w:rsidTr="00921131">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0" w:type="auto"/>
            <w:gridSpan w:val="2"/>
            <w:vMerge/>
            <w:noWrap/>
            <w:hideMark/>
          </w:tcPr>
          <w:p w14:paraId="422D1BDF" w14:textId="77777777" w:rsidR="0033396C" w:rsidRPr="007346B6" w:rsidRDefault="0033396C" w:rsidP="00921131">
            <w:pPr>
              <w:rPr>
                <w:rFonts w:ascii="Segoe UI" w:hAnsi="Segoe UI" w:cs="Segoe UI"/>
                <w:sz w:val="16"/>
                <w:szCs w:val="16"/>
              </w:rPr>
            </w:pPr>
          </w:p>
        </w:tc>
        <w:tc>
          <w:tcPr>
            <w:tcW w:w="0" w:type="auto"/>
            <w:noWrap/>
            <w:hideMark/>
          </w:tcPr>
          <w:p w14:paraId="579313DA"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No SB</w:t>
            </w:r>
          </w:p>
        </w:tc>
        <w:tc>
          <w:tcPr>
            <w:tcW w:w="0" w:type="auto"/>
            <w:noWrap/>
            <w:hideMark/>
          </w:tcPr>
          <w:p w14:paraId="406D63DE"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SB</w:t>
            </w:r>
          </w:p>
        </w:tc>
        <w:tc>
          <w:tcPr>
            <w:tcW w:w="0" w:type="auto"/>
            <w:noWrap/>
            <w:hideMark/>
          </w:tcPr>
          <w:p w14:paraId="3F9D150A"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No SB</w:t>
            </w:r>
          </w:p>
        </w:tc>
        <w:tc>
          <w:tcPr>
            <w:tcW w:w="0" w:type="auto"/>
            <w:noWrap/>
            <w:hideMark/>
          </w:tcPr>
          <w:p w14:paraId="083CEEDD"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SB</w:t>
            </w:r>
          </w:p>
        </w:tc>
        <w:tc>
          <w:tcPr>
            <w:tcW w:w="0" w:type="auto"/>
            <w:noWrap/>
            <w:hideMark/>
          </w:tcPr>
          <w:p w14:paraId="24A439AD"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No SB</w:t>
            </w:r>
          </w:p>
        </w:tc>
        <w:tc>
          <w:tcPr>
            <w:tcW w:w="0" w:type="auto"/>
            <w:noWrap/>
            <w:hideMark/>
          </w:tcPr>
          <w:p w14:paraId="4B456DD3"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SB</w:t>
            </w:r>
          </w:p>
        </w:tc>
      </w:tr>
      <w:tr w:rsidR="0033396C" w:rsidRPr="007346B6" w14:paraId="0EA791F3" w14:textId="77777777" w:rsidTr="00921131">
        <w:trPr>
          <w:trHeight w:val="383"/>
        </w:trPr>
        <w:tc>
          <w:tcPr>
            <w:cnfStyle w:val="001000000000" w:firstRow="0" w:lastRow="0" w:firstColumn="1" w:lastColumn="0" w:oddVBand="0" w:evenVBand="0" w:oddHBand="0" w:evenHBand="0" w:firstRowFirstColumn="0" w:firstRowLastColumn="0" w:lastRowFirstColumn="0" w:lastRowLastColumn="0"/>
            <w:tcW w:w="0" w:type="auto"/>
            <w:gridSpan w:val="2"/>
            <w:vMerge/>
            <w:tcBorders>
              <w:bottom w:val="nil"/>
            </w:tcBorders>
            <w:noWrap/>
            <w:hideMark/>
          </w:tcPr>
          <w:p w14:paraId="4321144A" w14:textId="77777777" w:rsidR="0033396C" w:rsidRPr="007346B6" w:rsidRDefault="0033396C" w:rsidP="00921131">
            <w:pPr>
              <w:rPr>
                <w:rFonts w:ascii="Segoe UI" w:hAnsi="Segoe UI" w:cs="Segoe UI"/>
                <w:sz w:val="16"/>
                <w:szCs w:val="16"/>
              </w:rPr>
            </w:pPr>
          </w:p>
        </w:tc>
        <w:tc>
          <w:tcPr>
            <w:tcW w:w="0" w:type="auto"/>
            <w:tcBorders>
              <w:bottom w:val="nil"/>
            </w:tcBorders>
            <w:noWrap/>
            <w:hideMark/>
          </w:tcPr>
          <w:p w14:paraId="67143086"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1645</w:t>
            </w:r>
            <w:r w:rsidRPr="007346B6">
              <w:rPr>
                <w:rFonts w:ascii="Segoe UI" w:hAnsi="Segoe UI" w:cs="Segoe UI"/>
                <w:sz w:val="16"/>
                <w:szCs w:val="16"/>
              </w:rPr>
              <w:t> (87.3%)</w:t>
            </w:r>
          </w:p>
        </w:tc>
        <w:tc>
          <w:tcPr>
            <w:tcW w:w="0" w:type="auto"/>
            <w:tcBorders>
              <w:bottom w:val="nil"/>
            </w:tcBorders>
            <w:noWrap/>
            <w:hideMark/>
          </w:tcPr>
          <w:p w14:paraId="0C967620"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240 (12.7%)</w:t>
            </w:r>
          </w:p>
        </w:tc>
        <w:tc>
          <w:tcPr>
            <w:tcW w:w="0" w:type="auto"/>
            <w:tcBorders>
              <w:bottom w:val="nil"/>
            </w:tcBorders>
            <w:noWrap/>
            <w:hideMark/>
          </w:tcPr>
          <w:p w14:paraId="033E5D41"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784</w:t>
            </w:r>
            <w:r w:rsidRPr="007346B6">
              <w:rPr>
                <w:rFonts w:ascii="Segoe UI" w:hAnsi="Segoe UI" w:cs="Segoe UI"/>
                <w:sz w:val="16"/>
                <w:szCs w:val="16"/>
              </w:rPr>
              <w:t> (84.3%)</w:t>
            </w:r>
          </w:p>
        </w:tc>
        <w:tc>
          <w:tcPr>
            <w:tcW w:w="0" w:type="auto"/>
            <w:tcBorders>
              <w:bottom w:val="nil"/>
            </w:tcBorders>
            <w:noWrap/>
            <w:hideMark/>
          </w:tcPr>
          <w:p w14:paraId="0A8C3FDD"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146 (15.7%)</w:t>
            </w:r>
          </w:p>
        </w:tc>
        <w:tc>
          <w:tcPr>
            <w:tcW w:w="0" w:type="auto"/>
            <w:tcBorders>
              <w:bottom w:val="nil"/>
            </w:tcBorders>
            <w:noWrap/>
            <w:hideMark/>
          </w:tcPr>
          <w:p w14:paraId="417AAC12"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861 (90.2%)</w:t>
            </w:r>
          </w:p>
        </w:tc>
        <w:tc>
          <w:tcPr>
            <w:tcW w:w="0" w:type="auto"/>
            <w:tcBorders>
              <w:bottom w:val="nil"/>
            </w:tcBorders>
            <w:noWrap/>
            <w:hideMark/>
          </w:tcPr>
          <w:p w14:paraId="1A281482"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94 (9.8%)</w:t>
            </w:r>
          </w:p>
        </w:tc>
      </w:tr>
      <w:tr w:rsidR="0033396C" w:rsidRPr="007346B6" w14:paraId="104D1C99" w14:textId="77777777" w:rsidTr="00921131">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bottom w:val="nil"/>
            </w:tcBorders>
            <w:noWrap/>
            <w:hideMark/>
          </w:tcPr>
          <w:p w14:paraId="4D96DF22" w14:textId="77777777" w:rsidR="0033396C" w:rsidRPr="007346B6" w:rsidRDefault="0033396C" w:rsidP="00921131">
            <w:pPr>
              <w:rPr>
                <w:rFonts w:ascii="Segoe UI" w:hAnsi="Segoe UI" w:cs="Segoe UI"/>
                <w:sz w:val="16"/>
                <w:szCs w:val="16"/>
              </w:rPr>
            </w:pPr>
            <w:r w:rsidRPr="007346B6">
              <w:rPr>
                <w:rFonts w:ascii="Segoe UI" w:hAnsi="Segoe UI" w:cs="Segoe UI"/>
                <w:sz w:val="16"/>
                <w:szCs w:val="16"/>
              </w:rPr>
              <w:t>Mother's age (years)</w:t>
            </w:r>
          </w:p>
        </w:tc>
        <w:tc>
          <w:tcPr>
            <w:tcW w:w="0" w:type="auto"/>
            <w:tcBorders>
              <w:top w:val="nil"/>
              <w:bottom w:val="nil"/>
            </w:tcBorders>
            <w:noWrap/>
            <w:hideMark/>
          </w:tcPr>
          <w:p w14:paraId="2FFAFC9C" w14:textId="77777777" w:rsidR="0033396C" w:rsidRPr="007346B6" w:rsidRDefault="0033396C" w:rsidP="00921131">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Mean (SD)</w:t>
            </w:r>
          </w:p>
        </w:tc>
        <w:tc>
          <w:tcPr>
            <w:tcW w:w="0" w:type="auto"/>
            <w:tcBorders>
              <w:top w:val="nil"/>
              <w:bottom w:val="nil"/>
            </w:tcBorders>
            <w:noWrap/>
            <w:hideMark/>
          </w:tcPr>
          <w:p w14:paraId="4AB9BDAB"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27.3 (6.3)</w:t>
            </w:r>
          </w:p>
        </w:tc>
        <w:tc>
          <w:tcPr>
            <w:tcW w:w="0" w:type="auto"/>
            <w:tcBorders>
              <w:top w:val="nil"/>
              <w:bottom w:val="nil"/>
            </w:tcBorders>
            <w:noWrap/>
            <w:hideMark/>
          </w:tcPr>
          <w:p w14:paraId="52AE3085"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27.6 (6.3)</w:t>
            </w:r>
          </w:p>
        </w:tc>
        <w:tc>
          <w:tcPr>
            <w:tcW w:w="0" w:type="auto"/>
            <w:tcBorders>
              <w:top w:val="nil"/>
              <w:bottom w:val="nil"/>
            </w:tcBorders>
            <w:noWrap/>
            <w:hideMark/>
          </w:tcPr>
          <w:p w14:paraId="7F8851A1"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28.1 (5.4)</w:t>
            </w:r>
          </w:p>
        </w:tc>
        <w:tc>
          <w:tcPr>
            <w:tcW w:w="0" w:type="auto"/>
            <w:tcBorders>
              <w:top w:val="nil"/>
              <w:bottom w:val="nil"/>
            </w:tcBorders>
            <w:noWrap/>
            <w:hideMark/>
          </w:tcPr>
          <w:p w14:paraId="2BB07C3C"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28.5 (6.1)</w:t>
            </w:r>
          </w:p>
        </w:tc>
        <w:tc>
          <w:tcPr>
            <w:tcW w:w="0" w:type="auto"/>
            <w:tcBorders>
              <w:top w:val="nil"/>
              <w:bottom w:val="nil"/>
            </w:tcBorders>
            <w:noWrap/>
            <w:hideMark/>
          </w:tcPr>
          <w:p w14:paraId="2C9ACF42"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26.6 (6.9)</w:t>
            </w:r>
          </w:p>
        </w:tc>
        <w:tc>
          <w:tcPr>
            <w:tcW w:w="0" w:type="auto"/>
            <w:tcBorders>
              <w:top w:val="nil"/>
              <w:bottom w:val="nil"/>
            </w:tcBorders>
            <w:noWrap/>
            <w:hideMark/>
          </w:tcPr>
          <w:p w14:paraId="4A0DD910"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26.2 (6.5)</w:t>
            </w:r>
          </w:p>
        </w:tc>
      </w:tr>
      <w:tr w:rsidR="0033396C" w:rsidRPr="007346B6" w14:paraId="4B88FCC4" w14:textId="77777777" w:rsidTr="00921131">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noWrap/>
            <w:hideMark/>
          </w:tcPr>
          <w:p w14:paraId="794ECEA1" w14:textId="77777777" w:rsidR="0033396C" w:rsidRPr="007346B6" w:rsidRDefault="0033396C" w:rsidP="00921131">
            <w:pPr>
              <w:rPr>
                <w:rFonts w:ascii="Segoe UI" w:hAnsi="Segoe UI" w:cs="Segoe UI"/>
                <w:sz w:val="16"/>
                <w:szCs w:val="16"/>
              </w:rPr>
            </w:pPr>
          </w:p>
        </w:tc>
        <w:tc>
          <w:tcPr>
            <w:tcW w:w="0" w:type="auto"/>
            <w:tcBorders>
              <w:top w:val="nil"/>
              <w:bottom w:val="nil"/>
            </w:tcBorders>
            <w:noWrap/>
            <w:hideMark/>
          </w:tcPr>
          <w:p w14:paraId="5F59E767" w14:textId="77777777" w:rsidR="0033396C" w:rsidRPr="007346B6" w:rsidRDefault="0033396C" w:rsidP="00921131">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18-35</w:t>
            </w:r>
          </w:p>
        </w:tc>
        <w:tc>
          <w:tcPr>
            <w:tcW w:w="0" w:type="auto"/>
            <w:tcBorders>
              <w:top w:val="nil"/>
              <w:bottom w:val="nil"/>
            </w:tcBorders>
            <w:noWrap/>
            <w:hideMark/>
          </w:tcPr>
          <w:p w14:paraId="170F506F"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1448/1645</w:t>
            </w:r>
            <w:r w:rsidRPr="007346B6">
              <w:rPr>
                <w:rFonts w:ascii="Segoe UI" w:hAnsi="Segoe UI" w:cs="Segoe UI"/>
                <w:sz w:val="16"/>
                <w:szCs w:val="16"/>
              </w:rPr>
              <w:t> (88.0%)</w:t>
            </w:r>
          </w:p>
        </w:tc>
        <w:tc>
          <w:tcPr>
            <w:tcW w:w="0" w:type="auto"/>
            <w:tcBorders>
              <w:top w:val="nil"/>
              <w:bottom w:val="nil"/>
            </w:tcBorders>
            <w:noWrap/>
            <w:hideMark/>
          </w:tcPr>
          <w:p w14:paraId="418D6906"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211/240 (87.9%)</w:t>
            </w:r>
          </w:p>
        </w:tc>
        <w:tc>
          <w:tcPr>
            <w:tcW w:w="0" w:type="auto"/>
            <w:tcBorders>
              <w:top w:val="nil"/>
              <w:bottom w:val="nil"/>
            </w:tcBorders>
            <w:noWrap/>
            <w:hideMark/>
          </w:tcPr>
          <w:p w14:paraId="6902D595"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707</w:t>
            </w:r>
            <w:r w:rsidRPr="007346B6">
              <w:rPr>
                <w:rFonts w:ascii="Segoe UI" w:hAnsi="Segoe UI" w:cs="Segoe UI"/>
                <w:sz w:val="16"/>
                <w:szCs w:val="16"/>
              </w:rPr>
              <w:t>/78</w:t>
            </w:r>
            <w:r>
              <w:rPr>
                <w:rFonts w:ascii="Segoe UI" w:hAnsi="Segoe UI" w:cs="Segoe UI"/>
                <w:sz w:val="16"/>
                <w:szCs w:val="16"/>
              </w:rPr>
              <w:t>4</w:t>
            </w:r>
            <w:r w:rsidRPr="007346B6">
              <w:rPr>
                <w:rFonts w:ascii="Segoe UI" w:hAnsi="Segoe UI" w:cs="Segoe UI"/>
                <w:sz w:val="16"/>
                <w:szCs w:val="16"/>
              </w:rPr>
              <w:t> (90.2%)</w:t>
            </w:r>
          </w:p>
        </w:tc>
        <w:tc>
          <w:tcPr>
            <w:tcW w:w="0" w:type="auto"/>
            <w:tcBorders>
              <w:top w:val="nil"/>
              <w:bottom w:val="nil"/>
            </w:tcBorders>
            <w:noWrap/>
            <w:hideMark/>
          </w:tcPr>
          <w:p w14:paraId="2CC89D22"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127/146 (87.0%)</w:t>
            </w:r>
          </w:p>
        </w:tc>
        <w:tc>
          <w:tcPr>
            <w:tcW w:w="0" w:type="auto"/>
            <w:tcBorders>
              <w:top w:val="nil"/>
              <w:bottom w:val="nil"/>
            </w:tcBorders>
            <w:noWrap/>
            <w:hideMark/>
          </w:tcPr>
          <w:p w14:paraId="2740D953"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741/861 (86.1%)</w:t>
            </w:r>
          </w:p>
        </w:tc>
        <w:tc>
          <w:tcPr>
            <w:tcW w:w="0" w:type="auto"/>
            <w:tcBorders>
              <w:top w:val="nil"/>
              <w:bottom w:val="nil"/>
            </w:tcBorders>
            <w:noWrap/>
            <w:hideMark/>
          </w:tcPr>
          <w:p w14:paraId="7DDE12ED"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84/94 (89.4%)</w:t>
            </w:r>
          </w:p>
        </w:tc>
      </w:tr>
      <w:tr w:rsidR="0033396C" w:rsidRPr="007346B6" w14:paraId="3E0DE6B2" w14:textId="77777777" w:rsidTr="0092113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noWrap/>
            <w:hideMark/>
          </w:tcPr>
          <w:p w14:paraId="6155CFFB" w14:textId="77777777" w:rsidR="0033396C" w:rsidRPr="007346B6" w:rsidRDefault="0033396C" w:rsidP="00921131">
            <w:pPr>
              <w:rPr>
                <w:rFonts w:ascii="Segoe UI" w:hAnsi="Segoe UI" w:cs="Segoe UI"/>
                <w:sz w:val="16"/>
                <w:szCs w:val="16"/>
              </w:rPr>
            </w:pPr>
          </w:p>
        </w:tc>
        <w:tc>
          <w:tcPr>
            <w:tcW w:w="0" w:type="auto"/>
            <w:tcBorders>
              <w:top w:val="nil"/>
              <w:bottom w:val="nil"/>
            </w:tcBorders>
            <w:noWrap/>
            <w:hideMark/>
          </w:tcPr>
          <w:p w14:paraId="3418B5CA" w14:textId="77777777" w:rsidR="0033396C" w:rsidRPr="007346B6" w:rsidRDefault="0033396C" w:rsidP="00921131">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&lt;18</w:t>
            </w:r>
          </w:p>
        </w:tc>
        <w:tc>
          <w:tcPr>
            <w:tcW w:w="0" w:type="auto"/>
            <w:tcBorders>
              <w:top w:val="nil"/>
              <w:bottom w:val="nil"/>
            </w:tcBorders>
            <w:noWrap/>
            <w:hideMark/>
          </w:tcPr>
          <w:p w14:paraId="3302C58C"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Fonts w:ascii="Segoe UI" w:hAnsi="Segoe UI" w:cs="Segoe UI"/>
                <w:sz w:val="16"/>
                <w:szCs w:val="16"/>
              </w:rPr>
              <w:t>8/1645</w:t>
            </w:r>
            <w:r w:rsidRPr="007346B6">
              <w:rPr>
                <w:rFonts w:ascii="Segoe UI" w:hAnsi="Segoe UI" w:cs="Segoe UI"/>
                <w:sz w:val="16"/>
                <w:szCs w:val="16"/>
              </w:rPr>
              <w:t> (0.5%)</w:t>
            </w:r>
          </w:p>
        </w:tc>
        <w:tc>
          <w:tcPr>
            <w:tcW w:w="0" w:type="auto"/>
            <w:tcBorders>
              <w:top w:val="nil"/>
              <w:bottom w:val="nil"/>
            </w:tcBorders>
            <w:noWrap/>
            <w:hideMark/>
          </w:tcPr>
          <w:p w14:paraId="0C616A6C"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3/240 (1.2%)</w:t>
            </w:r>
          </w:p>
        </w:tc>
        <w:tc>
          <w:tcPr>
            <w:tcW w:w="0" w:type="auto"/>
            <w:tcBorders>
              <w:top w:val="nil"/>
              <w:bottom w:val="nil"/>
            </w:tcBorders>
            <w:noWrap/>
            <w:hideMark/>
          </w:tcPr>
          <w:p w14:paraId="103C6D8E"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Fonts w:ascii="Segoe UI" w:hAnsi="Segoe UI" w:cs="Segoe UI"/>
                <w:sz w:val="16"/>
                <w:szCs w:val="16"/>
              </w:rPr>
              <w:t>7/784</w:t>
            </w:r>
            <w:r w:rsidRPr="007346B6">
              <w:rPr>
                <w:rFonts w:ascii="Segoe UI" w:hAnsi="Segoe UI" w:cs="Segoe UI"/>
                <w:sz w:val="16"/>
                <w:szCs w:val="16"/>
              </w:rPr>
              <w:t> (0.9%)</w:t>
            </w:r>
          </w:p>
        </w:tc>
        <w:tc>
          <w:tcPr>
            <w:tcW w:w="0" w:type="auto"/>
            <w:tcBorders>
              <w:top w:val="nil"/>
              <w:bottom w:val="nil"/>
            </w:tcBorders>
            <w:noWrap/>
            <w:hideMark/>
          </w:tcPr>
          <w:p w14:paraId="79439C87"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3/146 (2.1%)</w:t>
            </w:r>
          </w:p>
        </w:tc>
        <w:tc>
          <w:tcPr>
            <w:tcW w:w="0" w:type="auto"/>
            <w:tcBorders>
              <w:top w:val="nil"/>
              <w:bottom w:val="nil"/>
            </w:tcBorders>
            <w:noWrap/>
            <w:hideMark/>
          </w:tcPr>
          <w:p w14:paraId="31D8CCDF"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1/861 (0.1%)</w:t>
            </w:r>
          </w:p>
        </w:tc>
        <w:tc>
          <w:tcPr>
            <w:tcW w:w="0" w:type="auto"/>
            <w:tcBorders>
              <w:top w:val="nil"/>
              <w:bottom w:val="nil"/>
            </w:tcBorders>
            <w:noWrap/>
            <w:hideMark/>
          </w:tcPr>
          <w:p w14:paraId="65385B27"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0/94 (0.0%)</w:t>
            </w:r>
          </w:p>
        </w:tc>
      </w:tr>
      <w:tr w:rsidR="0033396C" w:rsidRPr="007346B6" w14:paraId="67EAA00F" w14:textId="77777777" w:rsidTr="00921131">
        <w:trPr>
          <w:trHeight w:val="242"/>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noWrap/>
            <w:hideMark/>
          </w:tcPr>
          <w:p w14:paraId="36581A59" w14:textId="77777777" w:rsidR="0033396C" w:rsidRPr="007346B6" w:rsidRDefault="0033396C" w:rsidP="00921131">
            <w:pPr>
              <w:rPr>
                <w:rFonts w:ascii="Segoe UI" w:hAnsi="Segoe UI" w:cs="Segoe UI"/>
                <w:sz w:val="16"/>
                <w:szCs w:val="16"/>
              </w:rPr>
            </w:pPr>
          </w:p>
        </w:tc>
        <w:tc>
          <w:tcPr>
            <w:tcW w:w="0" w:type="auto"/>
            <w:tcBorders>
              <w:top w:val="nil"/>
              <w:bottom w:val="nil"/>
            </w:tcBorders>
            <w:noWrap/>
            <w:hideMark/>
          </w:tcPr>
          <w:p w14:paraId="6CF7A072" w14:textId="77777777" w:rsidR="0033396C" w:rsidRPr="007346B6" w:rsidRDefault="0033396C" w:rsidP="00921131">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&gt;35</w:t>
            </w:r>
          </w:p>
        </w:tc>
        <w:tc>
          <w:tcPr>
            <w:tcW w:w="0" w:type="auto"/>
            <w:tcBorders>
              <w:top w:val="nil"/>
              <w:bottom w:val="nil"/>
            </w:tcBorders>
            <w:noWrap/>
            <w:hideMark/>
          </w:tcPr>
          <w:p w14:paraId="72D326A1"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189/1645</w:t>
            </w:r>
            <w:r w:rsidRPr="007346B6">
              <w:rPr>
                <w:rFonts w:ascii="Segoe UI" w:hAnsi="Segoe UI" w:cs="Segoe UI"/>
                <w:sz w:val="16"/>
                <w:szCs w:val="16"/>
              </w:rPr>
              <w:t> (11.5%)</w:t>
            </w:r>
          </w:p>
        </w:tc>
        <w:tc>
          <w:tcPr>
            <w:tcW w:w="0" w:type="auto"/>
            <w:tcBorders>
              <w:top w:val="nil"/>
              <w:bottom w:val="nil"/>
            </w:tcBorders>
            <w:noWrap/>
            <w:hideMark/>
          </w:tcPr>
          <w:p w14:paraId="297DDA03"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26/240 (10.8%)</w:t>
            </w:r>
          </w:p>
        </w:tc>
        <w:tc>
          <w:tcPr>
            <w:tcW w:w="0" w:type="auto"/>
            <w:tcBorders>
              <w:top w:val="nil"/>
              <w:bottom w:val="nil"/>
            </w:tcBorders>
            <w:noWrap/>
            <w:hideMark/>
          </w:tcPr>
          <w:p w14:paraId="5C2171BD"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70/784</w:t>
            </w:r>
            <w:r w:rsidRPr="007346B6">
              <w:rPr>
                <w:rFonts w:ascii="Segoe UI" w:hAnsi="Segoe UI" w:cs="Segoe UI"/>
                <w:sz w:val="16"/>
                <w:szCs w:val="16"/>
              </w:rPr>
              <w:t> (8.9%)</w:t>
            </w:r>
          </w:p>
        </w:tc>
        <w:tc>
          <w:tcPr>
            <w:tcW w:w="0" w:type="auto"/>
            <w:tcBorders>
              <w:top w:val="nil"/>
              <w:bottom w:val="nil"/>
            </w:tcBorders>
            <w:noWrap/>
            <w:hideMark/>
          </w:tcPr>
          <w:p w14:paraId="0A1558E6"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16/146 (11.0%)</w:t>
            </w:r>
          </w:p>
        </w:tc>
        <w:tc>
          <w:tcPr>
            <w:tcW w:w="0" w:type="auto"/>
            <w:tcBorders>
              <w:top w:val="nil"/>
              <w:bottom w:val="nil"/>
            </w:tcBorders>
            <w:noWrap/>
            <w:hideMark/>
          </w:tcPr>
          <w:p w14:paraId="70001EFB"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119/861 (13.8%)</w:t>
            </w:r>
          </w:p>
        </w:tc>
        <w:tc>
          <w:tcPr>
            <w:tcW w:w="0" w:type="auto"/>
            <w:tcBorders>
              <w:top w:val="nil"/>
              <w:bottom w:val="nil"/>
            </w:tcBorders>
            <w:noWrap/>
            <w:hideMark/>
          </w:tcPr>
          <w:p w14:paraId="4FB18290"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10/94 (10.6%)</w:t>
            </w:r>
          </w:p>
        </w:tc>
      </w:tr>
      <w:tr w:rsidR="0033396C" w:rsidRPr="007346B6" w14:paraId="24BC5474" w14:textId="77777777" w:rsidTr="00921131">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bottom w:val="nil"/>
            </w:tcBorders>
            <w:noWrap/>
            <w:hideMark/>
          </w:tcPr>
          <w:p w14:paraId="2F0B3FCF" w14:textId="77777777" w:rsidR="0033396C" w:rsidRPr="007346B6" w:rsidRDefault="0033396C" w:rsidP="00921131">
            <w:pPr>
              <w:rPr>
                <w:rFonts w:ascii="Segoe UI" w:hAnsi="Segoe UI" w:cs="Segoe UI"/>
                <w:sz w:val="16"/>
                <w:szCs w:val="16"/>
              </w:rPr>
            </w:pPr>
            <w:r w:rsidRPr="007346B6">
              <w:rPr>
                <w:rFonts w:ascii="Segoe UI" w:hAnsi="Segoe UI" w:cs="Segoe UI"/>
                <w:sz w:val="16"/>
                <w:szCs w:val="16"/>
              </w:rPr>
              <w:t>Married</w:t>
            </w:r>
          </w:p>
        </w:tc>
        <w:tc>
          <w:tcPr>
            <w:tcW w:w="0" w:type="auto"/>
            <w:tcBorders>
              <w:top w:val="nil"/>
              <w:bottom w:val="nil"/>
            </w:tcBorders>
            <w:noWrap/>
            <w:hideMark/>
          </w:tcPr>
          <w:p w14:paraId="5D9BB24D" w14:textId="77777777" w:rsidR="0033396C" w:rsidRPr="007346B6" w:rsidRDefault="0033396C" w:rsidP="00921131">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No</w:t>
            </w:r>
          </w:p>
        </w:tc>
        <w:tc>
          <w:tcPr>
            <w:tcW w:w="0" w:type="auto"/>
            <w:tcBorders>
              <w:top w:val="nil"/>
              <w:bottom w:val="nil"/>
            </w:tcBorders>
            <w:noWrap/>
            <w:hideMark/>
          </w:tcPr>
          <w:p w14:paraId="39142677"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Fonts w:ascii="Segoe UI" w:hAnsi="Segoe UI" w:cs="Segoe UI"/>
                <w:sz w:val="16"/>
                <w:szCs w:val="16"/>
              </w:rPr>
              <w:t>172/1636</w:t>
            </w:r>
            <w:r w:rsidRPr="007346B6">
              <w:rPr>
                <w:rFonts w:ascii="Segoe UI" w:hAnsi="Segoe UI" w:cs="Segoe UI"/>
                <w:sz w:val="16"/>
                <w:szCs w:val="16"/>
              </w:rPr>
              <w:t> (10.5%)</w:t>
            </w:r>
          </w:p>
        </w:tc>
        <w:tc>
          <w:tcPr>
            <w:tcW w:w="0" w:type="auto"/>
            <w:tcBorders>
              <w:top w:val="nil"/>
              <w:bottom w:val="nil"/>
            </w:tcBorders>
            <w:noWrap/>
            <w:hideMark/>
          </w:tcPr>
          <w:p w14:paraId="55146BAF"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33/240 (13.8%)</w:t>
            </w:r>
          </w:p>
        </w:tc>
        <w:tc>
          <w:tcPr>
            <w:tcW w:w="0" w:type="auto"/>
            <w:tcBorders>
              <w:top w:val="nil"/>
              <w:bottom w:val="nil"/>
            </w:tcBorders>
            <w:noWrap/>
            <w:hideMark/>
          </w:tcPr>
          <w:p w14:paraId="0B740B38"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Fonts w:ascii="Segoe UI" w:hAnsi="Segoe UI" w:cs="Segoe UI"/>
                <w:sz w:val="16"/>
                <w:szCs w:val="16"/>
              </w:rPr>
              <w:t>61/776</w:t>
            </w:r>
            <w:r w:rsidRPr="007346B6">
              <w:rPr>
                <w:rFonts w:ascii="Segoe UI" w:hAnsi="Segoe UI" w:cs="Segoe UI"/>
                <w:sz w:val="16"/>
                <w:szCs w:val="16"/>
              </w:rPr>
              <w:t> (7.9%)</w:t>
            </w:r>
          </w:p>
        </w:tc>
        <w:tc>
          <w:tcPr>
            <w:tcW w:w="0" w:type="auto"/>
            <w:tcBorders>
              <w:top w:val="nil"/>
              <w:bottom w:val="nil"/>
            </w:tcBorders>
            <w:noWrap/>
            <w:hideMark/>
          </w:tcPr>
          <w:p w14:paraId="7DDF135F"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24/146 (16.4%)</w:t>
            </w:r>
          </w:p>
        </w:tc>
        <w:tc>
          <w:tcPr>
            <w:tcW w:w="0" w:type="auto"/>
            <w:tcBorders>
              <w:top w:val="nil"/>
              <w:bottom w:val="nil"/>
            </w:tcBorders>
            <w:noWrap/>
            <w:hideMark/>
          </w:tcPr>
          <w:p w14:paraId="71F70DE8"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111/860 (12.9%)</w:t>
            </w:r>
          </w:p>
        </w:tc>
        <w:tc>
          <w:tcPr>
            <w:tcW w:w="0" w:type="auto"/>
            <w:tcBorders>
              <w:top w:val="nil"/>
              <w:bottom w:val="nil"/>
            </w:tcBorders>
            <w:noWrap/>
            <w:hideMark/>
          </w:tcPr>
          <w:p w14:paraId="2DDD7ACA"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9/94 (9.6%)</w:t>
            </w:r>
          </w:p>
        </w:tc>
      </w:tr>
      <w:tr w:rsidR="0033396C" w:rsidRPr="007346B6" w14:paraId="30DBBEF4" w14:textId="77777777" w:rsidTr="00921131">
        <w:trPr>
          <w:trHeight w:val="242"/>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noWrap/>
            <w:hideMark/>
          </w:tcPr>
          <w:p w14:paraId="68009B0A" w14:textId="77777777" w:rsidR="0033396C" w:rsidRPr="007346B6" w:rsidRDefault="0033396C" w:rsidP="00921131">
            <w:pPr>
              <w:rPr>
                <w:rFonts w:ascii="Segoe UI" w:hAnsi="Segoe UI" w:cs="Segoe UI"/>
                <w:sz w:val="16"/>
                <w:szCs w:val="16"/>
              </w:rPr>
            </w:pPr>
          </w:p>
        </w:tc>
        <w:tc>
          <w:tcPr>
            <w:tcW w:w="0" w:type="auto"/>
            <w:tcBorders>
              <w:top w:val="nil"/>
              <w:bottom w:val="nil"/>
            </w:tcBorders>
            <w:noWrap/>
            <w:hideMark/>
          </w:tcPr>
          <w:p w14:paraId="7A48B19C" w14:textId="77777777" w:rsidR="0033396C" w:rsidRPr="007346B6" w:rsidRDefault="0033396C" w:rsidP="00921131">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Yes</w:t>
            </w:r>
          </w:p>
        </w:tc>
        <w:tc>
          <w:tcPr>
            <w:tcW w:w="0" w:type="auto"/>
            <w:tcBorders>
              <w:top w:val="nil"/>
              <w:bottom w:val="nil"/>
            </w:tcBorders>
            <w:noWrap/>
            <w:hideMark/>
          </w:tcPr>
          <w:p w14:paraId="51D2ABDA"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1464/1636</w:t>
            </w:r>
            <w:r w:rsidRPr="007346B6">
              <w:rPr>
                <w:rFonts w:ascii="Segoe UI" w:hAnsi="Segoe UI" w:cs="Segoe UI"/>
                <w:sz w:val="16"/>
                <w:szCs w:val="16"/>
              </w:rPr>
              <w:t> (89.5%)</w:t>
            </w:r>
          </w:p>
        </w:tc>
        <w:tc>
          <w:tcPr>
            <w:tcW w:w="0" w:type="auto"/>
            <w:tcBorders>
              <w:top w:val="nil"/>
              <w:bottom w:val="nil"/>
            </w:tcBorders>
            <w:noWrap/>
            <w:hideMark/>
          </w:tcPr>
          <w:p w14:paraId="1A179F8B"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207/240 (86.2%)</w:t>
            </w:r>
          </w:p>
        </w:tc>
        <w:tc>
          <w:tcPr>
            <w:tcW w:w="0" w:type="auto"/>
            <w:tcBorders>
              <w:top w:val="nil"/>
              <w:bottom w:val="nil"/>
            </w:tcBorders>
            <w:noWrap/>
            <w:hideMark/>
          </w:tcPr>
          <w:p w14:paraId="175046B4"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715/776</w:t>
            </w:r>
            <w:r w:rsidRPr="007346B6">
              <w:rPr>
                <w:rFonts w:ascii="Segoe UI" w:hAnsi="Segoe UI" w:cs="Segoe UI"/>
                <w:sz w:val="16"/>
                <w:szCs w:val="16"/>
              </w:rPr>
              <w:t> (92.1%)</w:t>
            </w:r>
          </w:p>
        </w:tc>
        <w:tc>
          <w:tcPr>
            <w:tcW w:w="0" w:type="auto"/>
            <w:tcBorders>
              <w:top w:val="nil"/>
              <w:bottom w:val="nil"/>
            </w:tcBorders>
            <w:noWrap/>
            <w:hideMark/>
          </w:tcPr>
          <w:p w14:paraId="7DB52B7F"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122/146 (83.6%)</w:t>
            </w:r>
          </w:p>
        </w:tc>
        <w:tc>
          <w:tcPr>
            <w:tcW w:w="0" w:type="auto"/>
            <w:tcBorders>
              <w:top w:val="nil"/>
              <w:bottom w:val="nil"/>
            </w:tcBorders>
            <w:noWrap/>
            <w:hideMark/>
          </w:tcPr>
          <w:p w14:paraId="2A52AB9D"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749/860 (87.1%)</w:t>
            </w:r>
          </w:p>
        </w:tc>
        <w:tc>
          <w:tcPr>
            <w:tcW w:w="0" w:type="auto"/>
            <w:tcBorders>
              <w:top w:val="nil"/>
              <w:bottom w:val="nil"/>
            </w:tcBorders>
            <w:noWrap/>
            <w:hideMark/>
          </w:tcPr>
          <w:p w14:paraId="408E5EE8"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85/94 (90.4%)</w:t>
            </w:r>
          </w:p>
        </w:tc>
      </w:tr>
      <w:tr w:rsidR="0033396C" w:rsidRPr="007346B6" w14:paraId="6C25949D" w14:textId="77777777" w:rsidTr="0092113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noWrap/>
            <w:hideMark/>
          </w:tcPr>
          <w:p w14:paraId="793953DB" w14:textId="77777777" w:rsidR="0033396C" w:rsidRPr="007346B6" w:rsidRDefault="0033396C" w:rsidP="00921131">
            <w:pPr>
              <w:rPr>
                <w:rFonts w:ascii="Segoe UI" w:hAnsi="Segoe UI" w:cs="Segoe UI"/>
                <w:sz w:val="16"/>
                <w:szCs w:val="16"/>
              </w:rPr>
            </w:pPr>
          </w:p>
        </w:tc>
        <w:tc>
          <w:tcPr>
            <w:tcW w:w="0" w:type="auto"/>
            <w:tcBorders>
              <w:top w:val="nil"/>
              <w:bottom w:val="nil"/>
            </w:tcBorders>
            <w:noWrap/>
            <w:hideMark/>
          </w:tcPr>
          <w:p w14:paraId="2752E1C2" w14:textId="77777777" w:rsidR="0033396C" w:rsidRPr="007346B6" w:rsidRDefault="0033396C" w:rsidP="00921131">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Unknown</w:t>
            </w:r>
          </w:p>
        </w:tc>
        <w:tc>
          <w:tcPr>
            <w:tcW w:w="0" w:type="auto"/>
            <w:gridSpan w:val="2"/>
            <w:tcBorders>
              <w:top w:val="nil"/>
              <w:bottom w:val="nil"/>
            </w:tcBorders>
            <w:noWrap/>
            <w:hideMark/>
          </w:tcPr>
          <w:p w14:paraId="31ABAA37"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9</w:t>
            </w:r>
          </w:p>
        </w:tc>
        <w:tc>
          <w:tcPr>
            <w:tcW w:w="0" w:type="auto"/>
            <w:gridSpan w:val="2"/>
            <w:tcBorders>
              <w:top w:val="nil"/>
              <w:bottom w:val="nil"/>
            </w:tcBorders>
            <w:noWrap/>
            <w:hideMark/>
          </w:tcPr>
          <w:p w14:paraId="21ADD88C"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8</w:t>
            </w:r>
          </w:p>
        </w:tc>
        <w:tc>
          <w:tcPr>
            <w:tcW w:w="0" w:type="auto"/>
            <w:gridSpan w:val="2"/>
            <w:tcBorders>
              <w:top w:val="nil"/>
              <w:bottom w:val="nil"/>
            </w:tcBorders>
            <w:noWrap/>
            <w:hideMark/>
          </w:tcPr>
          <w:p w14:paraId="25594129"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1</w:t>
            </w:r>
          </w:p>
        </w:tc>
      </w:tr>
      <w:tr w:rsidR="0033396C" w:rsidRPr="007346B6" w14:paraId="71996EB2" w14:textId="77777777" w:rsidTr="00921131">
        <w:trPr>
          <w:trHeight w:val="228"/>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bottom w:val="nil"/>
            </w:tcBorders>
            <w:noWrap/>
            <w:hideMark/>
          </w:tcPr>
          <w:p w14:paraId="78C33940" w14:textId="77777777" w:rsidR="0033396C" w:rsidRPr="007346B6" w:rsidRDefault="0033396C" w:rsidP="00921131">
            <w:pPr>
              <w:rPr>
                <w:rFonts w:ascii="Segoe UI" w:hAnsi="Segoe UI" w:cs="Segoe UI"/>
                <w:sz w:val="16"/>
                <w:szCs w:val="16"/>
              </w:rPr>
            </w:pPr>
            <w:r w:rsidRPr="007346B6">
              <w:rPr>
                <w:rFonts w:ascii="Segoe UI" w:hAnsi="Segoe UI" w:cs="Segoe UI"/>
                <w:sz w:val="16"/>
                <w:szCs w:val="16"/>
              </w:rPr>
              <w:t>Education</w:t>
            </w:r>
          </w:p>
        </w:tc>
        <w:tc>
          <w:tcPr>
            <w:tcW w:w="0" w:type="auto"/>
            <w:tcBorders>
              <w:top w:val="nil"/>
              <w:bottom w:val="nil"/>
            </w:tcBorders>
            <w:noWrap/>
            <w:hideMark/>
          </w:tcPr>
          <w:p w14:paraId="747853F1" w14:textId="77777777" w:rsidR="0033396C" w:rsidRPr="007346B6" w:rsidRDefault="0033396C" w:rsidP="00921131">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None or Prim.</w:t>
            </w:r>
          </w:p>
        </w:tc>
        <w:tc>
          <w:tcPr>
            <w:tcW w:w="0" w:type="auto"/>
            <w:tcBorders>
              <w:top w:val="nil"/>
              <w:bottom w:val="nil"/>
            </w:tcBorders>
            <w:noWrap/>
            <w:hideMark/>
          </w:tcPr>
          <w:p w14:paraId="473942F4"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674/1373</w:t>
            </w:r>
            <w:r w:rsidRPr="007346B6">
              <w:rPr>
                <w:rFonts w:ascii="Segoe UI" w:hAnsi="Segoe UI" w:cs="Segoe UI"/>
                <w:sz w:val="16"/>
                <w:szCs w:val="16"/>
              </w:rPr>
              <w:t> (49.1%)</w:t>
            </w:r>
          </w:p>
        </w:tc>
        <w:tc>
          <w:tcPr>
            <w:tcW w:w="0" w:type="auto"/>
            <w:tcBorders>
              <w:top w:val="nil"/>
              <w:bottom w:val="nil"/>
            </w:tcBorders>
            <w:noWrap/>
            <w:hideMark/>
          </w:tcPr>
          <w:p w14:paraId="7ACA74F6"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124/210 (59.0%)</w:t>
            </w:r>
          </w:p>
        </w:tc>
        <w:tc>
          <w:tcPr>
            <w:tcW w:w="0" w:type="auto"/>
            <w:tcBorders>
              <w:top w:val="nil"/>
              <w:bottom w:val="nil"/>
            </w:tcBorders>
            <w:noWrap/>
            <w:hideMark/>
          </w:tcPr>
          <w:p w14:paraId="43F5F7E7"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366/775</w:t>
            </w:r>
            <w:r w:rsidRPr="007346B6">
              <w:rPr>
                <w:rFonts w:ascii="Segoe UI" w:hAnsi="Segoe UI" w:cs="Segoe UI"/>
                <w:sz w:val="16"/>
                <w:szCs w:val="16"/>
              </w:rPr>
              <w:t> (47.2%)</w:t>
            </w:r>
          </w:p>
        </w:tc>
        <w:tc>
          <w:tcPr>
            <w:tcW w:w="0" w:type="auto"/>
            <w:tcBorders>
              <w:top w:val="nil"/>
              <w:bottom w:val="nil"/>
            </w:tcBorders>
            <w:noWrap/>
            <w:hideMark/>
          </w:tcPr>
          <w:p w14:paraId="4E34408B"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83/146 (56.8%)</w:t>
            </w:r>
          </w:p>
        </w:tc>
        <w:tc>
          <w:tcPr>
            <w:tcW w:w="0" w:type="auto"/>
            <w:tcBorders>
              <w:top w:val="nil"/>
              <w:bottom w:val="nil"/>
            </w:tcBorders>
            <w:noWrap/>
            <w:hideMark/>
          </w:tcPr>
          <w:p w14:paraId="459CF65A"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308/598 (51.5%)</w:t>
            </w:r>
          </w:p>
        </w:tc>
        <w:tc>
          <w:tcPr>
            <w:tcW w:w="0" w:type="auto"/>
            <w:tcBorders>
              <w:top w:val="nil"/>
              <w:bottom w:val="nil"/>
            </w:tcBorders>
            <w:noWrap/>
            <w:hideMark/>
          </w:tcPr>
          <w:p w14:paraId="31A3BD14"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41/64 (64.1%)</w:t>
            </w:r>
          </w:p>
        </w:tc>
      </w:tr>
      <w:tr w:rsidR="0033396C" w:rsidRPr="007346B6" w14:paraId="7D6BB1A6" w14:textId="77777777" w:rsidTr="0092113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noWrap/>
            <w:hideMark/>
          </w:tcPr>
          <w:p w14:paraId="263898FA" w14:textId="77777777" w:rsidR="0033396C" w:rsidRPr="007346B6" w:rsidRDefault="0033396C" w:rsidP="00921131">
            <w:pPr>
              <w:rPr>
                <w:rFonts w:ascii="Segoe UI" w:hAnsi="Segoe UI" w:cs="Segoe UI"/>
                <w:sz w:val="16"/>
                <w:szCs w:val="16"/>
              </w:rPr>
            </w:pPr>
          </w:p>
        </w:tc>
        <w:tc>
          <w:tcPr>
            <w:tcW w:w="0" w:type="auto"/>
            <w:tcBorders>
              <w:top w:val="nil"/>
              <w:bottom w:val="nil"/>
            </w:tcBorders>
            <w:noWrap/>
            <w:hideMark/>
          </w:tcPr>
          <w:p w14:paraId="64518177" w14:textId="77777777" w:rsidR="0033396C" w:rsidRPr="007346B6" w:rsidRDefault="0033396C" w:rsidP="00921131">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Secondary</w:t>
            </w:r>
          </w:p>
        </w:tc>
        <w:tc>
          <w:tcPr>
            <w:tcW w:w="0" w:type="auto"/>
            <w:tcBorders>
              <w:top w:val="nil"/>
              <w:bottom w:val="nil"/>
            </w:tcBorders>
            <w:noWrap/>
            <w:hideMark/>
          </w:tcPr>
          <w:p w14:paraId="25E0997C"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Fonts w:ascii="Segoe UI" w:hAnsi="Segoe UI" w:cs="Segoe UI"/>
                <w:sz w:val="16"/>
                <w:szCs w:val="16"/>
              </w:rPr>
              <w:t>513/1373</w:t>
            </w:r>
            <w:r w:rsidRPr="007346B6">
              <w:rPr>
                <w:rFonts w:ascii="Segoe UI" w:hAnsi="Segoe UI" w:cs="Segoe UI"/>
                <w:sz w:val="16"/>
                <w:szCs w:val="16"/>
              </w:rPr>
              <w:t> (37.4%)</w:t>
            </w:r>
          </w:p>
        </w:tc>
        <w:tc>
          <w:tcPr>
            <w:tcW w:w="0" w:type="auto"/>
            <w:tcBorders>
              <w:top w:val="nil"/>
              <w:bottom w:val="nil"/>
            </w:tcBorders>
            <w:noWrap/>
            <w:hideMark/>
          </w:tcPr>
          <w:p w14:paraId="346CE910"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73/210 (34.8%)</w:t>
            </w:r>
          </w:p>
        </w:tc>
        <w:tc>
          <w:tcPr>
            <w:tcW w:w="0" w:type="auto"/>
            <w:tcBorders>
              <w:top w:val="nil"/>
              <w:bottom w:val="nil"/>
            </w:tcBorders>
            <w:noWrap/>
            <w:hideMark/>
          </w:tcPr>
          <w:p w14:paraId="5135DB6F"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Fonts w:ascii="Segoe UI" w:hAnsi="Segoe UI" w:cs="Segoe UI"/>
                <w:sz w:val="16"/>
                <w:szCs w:val="16"/>
              </w:rPr>
              <w:t>298/775</w:t>
            </w:r>
            <w:r w:rsidRPr="007346B6">
              <w:rPr>
                <w:rFonts w:ascii="Segoe UI" w:hAnsi="Segoe UI" w:cs="Segoe UI"/>
                <w:sz w:val="16"/>
                <w:szCs w:val="16"/>
              </w:rPr>
              <w:t> (38.5%)</w:t>
            </w:r>
          </w:p>
        </w:tc>
        <w:tc>
          <w:tcPr>
            <w:tcW w:w="0" w:type="auto"/>
            <w:tcBorders>
              <w:top w:val="nil"/>
              <w:bottom w:val="nil"/>
            </w:tcBorders>
            <w:noWrap/>
            <w:hideMark/>
          </w:tcPr>
          <w:p w14:paraId="1A301C40"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55/146 (37.7%)</w:t>
            </w:r>
          </w:p>
        </w:tc>
        <w:tc>
          <w:tcPr>
            <w:tcW w:w="0" w:type="auto"/>
            <w:tcBorders>
              <w:top w:val="nil"/>
              <w:bottom w:val="nil"/>
            </w:tcBorders>
            <w:noWrap/>
            <w:hideMark/>
          </w:tcPr>
          <w:p w14:paraId="42B87E72"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215/598 (36.0%)</w:t>
            </w:r>
          </w:p>
        </w:tc>
        <w:tc>
          <w:tcPr>
            <w:tcW w:w="0" w:type="auto"/>
            <w:tcBorders>
              <w:top w:val="nil"/>
              <w:bottom w:val="nil"/>
            </w:tcBorders>
            <w:noWrap/>
            <w:hideMark/>
          </w:tcPr>
          <w:p w14:paraId="3AD7A1EC"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18/64 (28.1%)</w:t>
            </w:r>
          </w:p>
        </w:tc>
      </w:tr>
      <w:tr w:rsidR="0033396C" w:rsidRPr="007346B6" w14:paraId="1F114ED6" w14:textId="77777777" w:rsidTr="00921131">
        <w:trPr>
          <w:trHeight w:val="242"/>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noWrap/>
            <w:hideMark/>
          </w:tcPr>
          <w:p w14:paraId="278B221F" w14:textId="77777777" w:rsidR="0033396C" w:rsidRPr="007346B6" w:rsidRDefault="0033396C" w:rsidP="00921131">
            <w:pPr>
              <w:rPr>
                <w:rFonts w:ascii="Segoe UI" w:hAnsi="Segoe UI" w:cs="Segoe UI"/>
                <w:sz w:val="16"/>
                <w:szCs w:val="16"/>
              </w:rPr>
            </w:pPr>
          </w:p>
        </w:tc>
        <w:tc>
          <w:tcPr>
            <w:tcW w:w="0" w:type="auto"/>
            <w:tcBorders>
              <w:top w:val="nil"/>
              <w:bottom w:val="nil"/>
            </w:tcBorders>
            <w:noWrap/>
            <w:hideMark/>
          </w:tcPr>
          <w:p w14:paraId="1FA8B9A2" w14:textId="77777777" w:rsidR="0033396C" w:rsidRPr="007346B6" w:rsidRDefault="0033396C" w:rsidP="00921131">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Higher or Voc.</w:t>
            </w:r>
          </w:p>
        </w:tc>
        <w:tc>
          <w:tcPr>
            <w:tcW w:w="0" w:type="auto"/>
            <w:tcBorders>
              <w:top w:val="nil"/>
              <w:bottom w:val="nil"/>
            </w:tcBorders>
            <w:noWrap/>
            <w:hideMark/>
          </w:tcPr>
          <w:p w14:paraId="26E64270"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186/1373 (13.5</w:t>
            </w:r>
            <w:r w:rsidRPr="007346B6">
              <w:rPr>
                <w:rFonts w:ascii="Segoe UI" w:hAnsi="Segoe UI" w:cs="Segoe UI"/>
                <w:sz w:val="16"/>
                <w:szCs w:val="16"/>
              </w:rPr>
              <w:t>%)</w:t>
            </w:r>
          </w:p>
        </w:tc>
        <w:tc>
          <w:tcPr>
            <w:tcW w:w="0" w:type="auto"/>
            <w:tcBorders>
              <w:top w:val="nil"/>
              <w:bottom w:val="nil"/>
            </w:tcBorders>
            <w:noWrap/>
            <w:hideMark/>
          </w:tcPr>
          <w:p w14:paraId="6A8F7A35"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13/210 (6.2%)</w:t>
            </w:r>
          </w:p>
        </w:tc>
        <w:tc>
          <w:tcPr>
            <w:tcW w:w="0" w:type="auto"/>
            <w:tcBorders>
              <w:top w:val="nil"/>
              <w:bottom w:val="nil"/>
            </w:tcBorders>
            <w:noWrap/>
            <w:hideMark/>
          </w:tcPr>
          <w:p w14:paraId="1D5033F3"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111/775</w:t>
            </w:r>
            <w:r w:rsidRPr="007346B6">
              <w:rPr>
                <w:rFonts w:ascii="Segoe UI" w:hAnsi="Segoe UI" w:cs="Segoe UI"/>
                <w:sz w:val="16"/>
                <w:szCs w:val="16"/>
              </w:rPr>
              <w:t> (14.3%)</w:t>
            </w:r>
          </w:p>
        </w:tc>
        <w:tc>
          <w:tcPr>
            <w:tcW w:w="0" w:type="auto"/>
            <w:tcBorders>
              <w:top w:val="nil"/>
              <w:bottom w:val="nil"/>
            </w:tcBorders>
            <w:noWrap/>
            <w:hideMark/>
          </w:tcPr>
          <w:p w14:paraId="28E5ABF3"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8/146 (5.5%)</w:t>
            </w:r>
          </w:p>
        </w:tc>
        <w:tc>
          <w:tcPr>
            <w:tcW w:w="0" w:type="auto"/>
            <w:tcBorders>
              <w:top w:val="nil"/>
              <w:bottom w:val="nil"/>
            </w:tcBorders>
            <w:noWrap/>
            <w:hideMark/>
          </w:tcPr>
          <w:p w14:paraId="0E024560"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75/598 (12.5%)</w:t>
            </w:r>
          </w:p>
        </w:tc>
        <w:tc>
          <w:tcPr>
            <w:tcW w:w="0" w:type="auto"/>
            <w:tcBorders>
              <w:top w:val="nil"/>
              <w:bottom w:val="nil"/>
            </w:tcBorders>
            <w:noWrap/>
            <w:hideMark/>
          </w:tcPr>
          <w:p w14:paraId="082C1AEB"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5/64 (7.8%)</w:t>
            </w:r>
          </w:p>
        </w:tc>
      </w:tr>
      <w:tr w:rsidR="0033396C" w:rsidRPr="007346B6" w14:paraId="18DA792D" w14:textId="77777777" w:rsidTr="0092113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noWrap/>
            <w:hideMark/>
          </w:tcPr>
          <w:p w14:paraId="760A3AAF" w14:textId="77777777" w:rsidR="0033396C" w:rsidRPr="007346B6" w:rsidRDefault="0033396C" w:rsidP="00921131">
            <w:pPr>
              <w:rPr>
                <w:rFonts w:ascii="Segoe UI" w:hAnsi="Segoe UI" w:cs="Segoe UI"/>
                <w:sz w:val="16"/>
                <w:szCs w:val="16"/>
              </w:rPr>
            </w:pPr>
          </w:p>
        </w:tc>
        <w:tc>
          <w:tcPr>
            <w:tcW w:w="0" w:type="auto"/>
            <w:tcBorders>
              <w:top w:val="nil"/>
              <w:bottom w:val="nil"/>
            </w:tcBorders>
            <w:noWrap/>
            <w:hideMark/>
          </w:tcPr>
          <w:p w14:paraId="017A4EB4" w14:textId="77777777" w:rsidR="0033396C" w:rsidRPr="007346B6" w:rsidRDefault="0033396C" w:rsidP="00921131">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Unknown</w:t>
            </w:r>
          </w:p>
        </w:tc>
        <w:tc>
          <w:tcPr>
            <w:tcW w:w="0" w:type="auto"/>
            <w:gridSpan w:val="2"/>
            <w:tcBorders>
              <w:top w:val="nil"/>
              <w:bottom w:val="nil"/>
            </w:tcBorders>
            <w:noWrap/>
            <w:hideMark/>
          </w:tcPr>
          <w:p w14:paraId="4C29FE12"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302</w:t>
            </w:r>
          </w:p>
        </w:tc>
        <w:tc>
          <w:tcPr>
            <w:tcW w:w="0" w:type="auto"/>
            <w:gridSpan w:val="2"/>
            <w:tcBorders>
              <w:top w:val="nil"/>
              <w:bottom w:val="nil"/>
            </w:tcBorders>
            <w:noWrap/>
            <w:hideMark/>
          </w:tcPr>
          <w:p w14:paraId="0204D89A"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9</w:t>
            </w:r>
          </w:p>
        </w:tc>
        <w:tc>
          <w:tcPr>
            <w:tcW w:w="0" w:type="auto"/>
            <w:gridSpan w:val="2"/>
            <w:tcBorders>
              <w:top w:val="nil"/>
              <w:bottom w:val="nil"/>
            </w:tcBorders>
            <w:noWrap/>
            <w:hideMark/>
          </w:tcPr>
          <w:p w14:paraId="0EF645A5"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293</w:t>
            </w:r>
          </w:p>
        </w:tc>
      </w:tr>
      <w:tr w:rsidR="0033396C" w:rsidRPr="007346B6" w14:paraId="0DDB80EC" w14:textId="77777777" w:rsidTr="00921131">
        <w:trPr>
          <w:trHeight w:val="24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1067809A" w14:textId="77777777" w:rsidR="0033396C" w:rsidRPr="007346B6" w:rsidRDefault="0033396C" w:rsidP="00921131">
            <w:pPr>
              <w:rPr>
                <w:rFonts w:ascii="Segoe UI" w:hAnsi="Segoe UI" w:cs="Segoe UI"/>
                <w:sz w:val="16"/>
                <w:szCs w:val="16"/>
              </w:rPr>
            </w:pPr>
            <w:r w:rsidRPr="007346B6">
              <w:rPr>
                <w:rFonts w:ascii="Segoe UI" w:hAnsi="Segoe UI" w:cs="Segoe UI"/>
                <w:sz w:val="16"/>
                <w:szCs w:val="16"/>
              </w:rPr>
              <w:t>Gravida</w:t>
            </w:r>
          </w:p>
        </w:tc>
        <w:tc>
          <w:tcPr>
            <w:tcW w:w="0" w:type="auto"/>
            <w:tcBorders>
              <w:top w:val="nil"/>
              <w:bottom w:val="nil"/>
            </w:tcBorders>
            <w:noWrap/>
          </w:tcPr>
          <w:p w14:paraId="6DBD51D5" w14:textId="77777777" w:rsidR="0033396C" w:rsidRPr="007346B6" w:rsidRDefault="0033396C" w:rsidP="00921131">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Median (IQR)</w:t>
            </w:r>
          </w:p>
        </w:tc>
        <w:tc>
          <w:tcPr>
            <w:tcW w:w="0" w:type="auto"/>
            <w:tcBorders>
              <w:top w:val="nil"/>
              <w:bottom w:val="nil"/>
            </w:tcBorders>
            <w:noWrap/>
          </w:tcPr>
          <w:p w14:paraId="12F959EF"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2 (1-4)</w:t>
            </w:r>
          </w:p>
        </w:tc>
        <w:tc>
          <w:tcPr>
            <w:tcW w:w="0" w:type="auto"/>
            <w:tcBorders>
              <w:top w:val="nil"/>
              <w:bottom w:val="nil"/>
            </w:tcBorders>
            <w:noWrap/>
          </w:tcPr>
          <w:p w14:paraId="02FBDB8D"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3 (1-4)</w:t>
            </w:r>
          </w:p>
        </w:tc>
        <w:tc>
          <w:tcPr>
            <w:tcW w:w="0" w:type="auto"/>
            <w:tcBorders>
              <w:top w:val="nil"/>
              <w:bottom w:val="nil"/>
            </w:tcBorders>
            <w:noWrap/>
          </w:tcPr>
          <w:p w14:paraId="13226CC5"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2 (1-4)</w:t>
            </w:r>
          </w:p>
        </w:tc>
        <w:tc>
          <w:tcPr>
            <w:tcW w:w="0" w:type="auto"/>
            <w:tcBorders>
              <w:top w:val="nil"/>
              <w:bottom w:val="nil"/>
            </w:tcBorders>
            <w:noWrap/>
          </w:tcPr>
          <w:p w14:paraId="2AB36C0E"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3 (1-4)</w:t>
            </w:r>
          </w:p>
        </w:tc>
        <w:tc>
          <w:tcPr>
            <w:tcW w:w="0" w:type="auto"/>
            <w:tcBorders>
              <w:top w:val="nil"/>
              <w:bottom w:val="nil"/>
            </w:tcBorders>
            <w:noWrap/>
          </w:tcPr>
          <w:p w14:paraId="40451F31"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3 (1-5)</w:t>
            </w:r>
          </w:p>
        </w:tc>
        <w:tc>
          <w:tcPr>
            <w:tcW w:w="0" w:type="auto"/>
            <w:tcBorders>
              <w:top w:val="nil"/>
              <w:bottom w:val="nil"/>
            </w:tcBorders>
            <w:noWrap/>
          </w:tcPr>
          <w:p w14:paraId="36CA66EE"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3 (1-5)</w:t>
            </w:r>
          </w:p>
        </w:tc>
      </w:tr>
      <w:tr w:rsidR="0033396C" w:rsidRPr="007346B6" w14:paraId="00A8CE63" w14:textId="77777777" w:rsidTr="00921131">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8ED83A6" w14:textId="77777777" w:rsidR="0033396C" w:rsidRPr="007346B6" w:rsidRDefault="0033396C" w:rsidP="00921131">
            <w:pPr>
              <w:rPr>
                <w:rFonts w:ascii="Segoe UI" w:hAnsi="Segoe UI" w:cs="Segoe UI"/>
                <w:sz w:val="16"/>
                <w:szCs w:val="16"/>
              </w:rPr>
            </w:pPr>
            <w:r w:rsidRPr="007346B6">
              <w:rPr>
                <w:rFonts w:ascii="Segoe UI" w:hAnsi="Segoe UI" w:cs="Segoe UI"/>
                <w:sz w:val="16"/>
                <w:szCs w:val="16"/>
              </w:rPr>
              <w:t>Parity</w:t>
            </w:r>
          </w:p>
        </w:tc>
        <w:tc>
          <w:tcPr>
            <w:tcW w:w="0" w:type="auto"/>
            <w:tcBorders>
              <w:top w:val="nil"/>
              <w:bottom w:val="nil"/>
            </w:tcBorders>
            <w:noWrap/>
          </w:tcPr>
          <w:p w14:paraId="0AE04DB3" w14:textId="77777777" w:rsidR="0033396C" w:rsidRPr="007346B6" w:rsidRDefault="0033396C" w:rsidP="00921131">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Fonts w:ascii="Segoe UI" w:hAnsi="Segoe UI" w:cs="Segoe UI"/>
                <w:sz w:val="16"/>
                <w:szCs w:val="16"/>
              </w:rPr>
              <w:t>Median (IQR)</w:t>
            </w:r>
          </w:p>
        </w:tc>
        <w:tc>
          <w:tcPr>
            <w:tcW w:w="0" w:type="auto"/>
            <w:tcBorders>
              <w:top w:val="nil"/>
              <w:bottom w:val="nil"/>
            </w:tcBorders>
            <w:noWrap/>
          </w:tcPr>
          <w:p w14:paraId="5A119010"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Fonts w:ascii="Segoe UI" w:hAnsi="Segoe UI" w:cs="Segoe UI"/>
                <w:sz w:val="16"/>
                <w:szCs w:val="16"/>
              </w:rPr>
              <w:t>1 (0-3)</w:t>
            </w:r>
          </w:p>
        </w:tc>
        <w:tc>
          <w:tcPr>
            <w:tcW w:w="0" w:type="auto"/>
            <w:tcBorders>
              <w:top w:val="nil"/>
              <w:bottom w:val="nil"/>
            </w:tcBorders>
            <w:noWrap/>
          </w:tcPr>
          <w:p w14:paraId="6ED08CF4"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Fonts w:ascii="Segoe UI" w:hAnsi="Segoe UI" w:cs="Segoe UI"/>
                <w:sz w:val="16"/>
                <w:szCs w:val="16"/>
              </w:rPr>
              <w:t>2 (0-3)</w:t>
            </w:r>
          </w:p>
        </w:tc>
        <w:tc>
          <w:tcPr>
            <w:tcW w:w="0" w:type="auto"/>
            <w:tcBorders>
              <w:top w:val="nil"/>
              <w:bottom w:val="nil"/>
            </w:tcBorders>
            <w:noWrap/>
          </w:tcPr>
          <w:p w14:paraId="51BC4FFF"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Fonts w:ascii="Segoe UI" w:hAnsi="Segoe UI" w:cs="Segoe UI"/>
                <w:sz w:val="16"/>
                <w:szCs w:val="16"/>
              </w:rPr>
              <w:t>1 (0-2)</w:t>
            </w:r>
          </w:p>
        </w:tc>
        <w:tc>
          <w:tcPr>
            <w:tcW w:w="0" w:type="auto"/>
            <w:tcBorders>
              <w:top w:val="nil"/>
              <w:bottom w:val="nil"/>
            </w:tcBorders>
            <w:noWrap/>
          </w:tcPr>
          <w:p w14:paraId="4055BE15"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Fonts w:ascii="Segoe UI" w:hAnsi="Segoe UI" w:cs="Segoe UI"/>
                <w:sz w:val="16"/>
                <w:szCs w:val="16"/>
              </w:rPr>
              <w:t>2 (0-3)</w:t>
            </w:r>
          </w:p>
        </w:tc>
        <w:tc>
          <w:tcPr>
            <w:tcW w:w="0" w:type="auto"/>
            <w:tcBorders>
              <w:top w:val="nil"/>
              <w:bottom w:val="nil"/>
            </w:tcBorders>
            <w:noWrap/>
          </w:tcPr>
          <w:p w14:paraId="3469FA4E"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Fonts w:ascii="Segoe UI" w:hAnsi="Segoe UI" w:cs="Segoe UI"/>
                <w:sz w:val="16"/>
                <w:szCs w:val="16"/>
              </w:rPr>
              <w:t>1 (0-4)</w:t>
            </w:r>
          </w:p>
        </w:tc>
        <w:tc>
          <w:tcPr>
            <w:tcW w:w="0" w:type="auto"/>
            <w:tcBorders>
              <w:top w:val="nil"/>
              <w:bottom w:val="nil"/>
            </w:tcBorders>
            <w:noWrap/>
          </w:tcPr>
          <w:p w14:paraId="60B45189"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Fonts w:ascii="Segoe UI" w:hAnsi="Segoe UI" w:cs="Segoe UI"/>
                <w:sz w:val="16"/>
                <w:szCs w:val="16"/>
              </w:rPr>
              <w:t>2 (0-3)</w:t>
            </w:r>
          </w:p>
        </w:tc>
      </w:tr>
      <w:tr w:rsidR="0033396C" w:rsidRPr="007346B6" w14:paraId="70BF490D" w14:textId="77777777" w:rsidTr="00921131">
        <w:trPr>
          <w:trHeight w:val="228"/>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tcBorders>
            <w:noWrap/>
            <w:hideMark/>
          </w:tcPr>
          <w:p w14:paraId="670268BB" w14:textId="77777777" w:rsidR="0033396C" w:rsidRPr="007346B6" w:rsidRDefault="0033396C" w:rsidP="00921131">
            <w:pPr>
              <w:rPr>
                <w:rFonts w:ascii="Segoe UI" w:hAnsi="Segoe UI" w:cs="Segoe UI"/>
                <w:sz w:val="16"/>
                <w:szCs w:val="16"/>
              </w:rPr>
            </w:pPr>
            <w:r w:rsidRPr="007346B6">
              <w:rPr>
                <w:rFonts w:ascii="Segoe UI" w:hAnsi="Segoe UI" w:cs="Segoe UI"/>
                <w:sz w:val="16"/>
                <w:szCs w:val="16"/>
              </w:rPr>
              <w:t>History of Stillbirth</w:t>
            </w:r>
          </w:p>
        </w:tc>
        <w:tc>
          <w:tcPr>
            <w:tcW w:w="0" w:type="auto"/>
            <w:tcBorders>
              <w:top w:val="nil"/>
              <w:bottom w:val="nil"/>
            </w:tcBorders>
            <w:noWrap/>
            <w:hideMark/>
          </w:tcPr>
          <w:p w14:paraId="6278B3B0" w14:textId="77777777" w:rsidR="0033396C" w:rsidRPr="007346B6" w:rsidRDefault="0033396C" w:rsidP="00921131">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No</w:t>
            </w:r>
          </w:p>
        </w:tc>
        <w:tc>
          <w:tcPr>
            <w:tcW w:w="0" w:type="auto"/>
            <w:tcBorders>
              <w:top w:val="nil"/>
              <w:bottom w:val="nil"/>
            </w:tcBorders>
            <w:noWrap/>
            <w:hideMark/>
          </w:tcPr>
          <w:p w14:paraId="4B923F81"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1575/1639 (96.1</w:t>
            </w:r>
            <w:r w:rsidRPr="007346B6">
              <w:rPr>
                <w:rFonts w:ascii="Segoe UI" w:hAnsi="Segoe UI" w:cs="Segoe UI"/>
                <w:sz w:val="16"/>
                <w:szCs w:val="16"/>
              </w:rPr>
              <w:t>%)</w:t>
            </w:r>
          </w:p>
        </w:tc>
        <w:tc>
          <w:tcPr>
            <w:tcW w:w="0" w:type="auto"/>
            <w:tcBorders>
              <w:top w:val="nil"/>
              <w:bottom w:val="nil"/>
            </w:tcBorders>
            <w:noWrap/>
            <w:hideMark/>
          </w:tcPr>
          <w:p w14:paraId="449B062A"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221/240 (92.1%)</w:t>
            </w:r>
          </w:p>
        </w:tc>
        <w:tc>
          <w:tcPr>
            <w:tcW w:w="0" w:type="auto"/>
            <w:tcBorders>
              <w:top w:val="nil"/>
              <w:bottom w:val="nil"/>
            </w:tcBorders>
            <w:noWrap/>
            <w:hideMark/>
          </w:tcPr>
          <w:p w14:paraId="0A484BFB"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771/783 (98.5%)</w:t>
            </w:r>
          </w:p>
        </w:tc>
        <w:tc>
          <w:tcPr>
            <w:tcW w:w="0" w:type="auto"/>
            <w:tcBorders>
              <w:top w:val="nil"/>
              <w:bottom w:val="nil"/>
            </w:tcBorders>
            <w:noWrap/>
            <w:hideMark/>
          </w:tcPr>
          <w:p w14:paraId="1297A40B"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140/146 (95.9%)</w:t>
            </w:r>
          </w:p>
        </w:tc>
        <w:tc>
          <w:tcPr>
            <w:tcW w:w="0" w:type="auto"/>
            <w:tcBorders>
              <w:top w:val="nil"/>
              <w:bottom w:val="nil"/>
            </w:tcBorders>
            <w:noWrap/>
            <w:hideMark/>
          </w:tcPr>
          <w:p w14:paraId="5E7CF4E3"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804/856 (93.9</w:t>
            </w:r>
            <w:r w:rsidRPr="007346B6">
              <w:rPr>
                <w:rFonts w:ascii="Segoe UI" w:hAnsi="Segoe UI" w:cs="Segoe UI"/>
                <w:sz w:val="16"/>
                <w:szCs w:val="16"/>
              </w:rPr>
              <w:t>%)</w:t>
            </w:r>
          </w:p>
        </w:tc>
        <w:tc>
          <w:tcPr>
            <w:tcW w:w="0" w:type="auto"/>
            <w:tcBorders>
              <w:top w:val="nil"/>
              <w:bottom w:val="nil"/>
            </w:tcBorders>
            <w:noWrap/>
            <w:hideMark/>
          </w:tcPr>
          <w:p w14:paraId="7ACB9FD3"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81/94</w:t>
            </w:r>
            <w:r w:rsidRPr="007346B6">
              <w:rPr>
                <w:rFonts w:ascii="Segoe UI" w:hAnsi="Segoe UI" w:cs="Segoe UI"/>
                <w:sz w:val="16"/>
                <w:szCs w:val="16"/>
              </w:rPr>
              <w:t> (86.2%)</w:t>
            </w:r>
          </w:p>
        </w:tc>
      </w:tr>
      <w:tr w:rsidR="0033396C" w:rsidRPr="007346B6" w14:paraId="224A1046" w14:textId="77777777" w:rsidTr="0092113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75626B09" w14:textId="77777777" w:rsidR="0033396C" w:rsidRPr="007346B6" w:rsidRDefault="0033396C" w:rsidP="00921131">
            <w:pPr>
              <w:rPr>
                <w:rFonts w:ascii="Segoe UI" w:hAnsi="Segoe UI" w:cs="Segoe UI"/>
                <w:sz w:val="16"/>
                <w:szCs w:val="16"/>
              </w:rPr>
            </w:pPr>
          </w:p>
        </w:tc>
        <w:tc>
          <w:tcPr>
            <w:tcW w:w="0" w:type="auto"/>
            <w:tcBorders>
              <w:top w:val="nil"/>
              <w:bottom w:val="nil"/>
            </w:tcBorders>
            <w:noWrap/>
            <w:hideMark/>
          </w:tcPr>
          <w:p w14:paraId="5BB12716" w14:textId="77777777" w:rsidR="0033396C" w:rsidRPr="007346B6" w:rsidRDefault="0033396C" w:rsidP="00921131">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Yes</w:t>
            </w:r>
          </w:p>
        </w:tc>
        <w:tc>
          <w:tcPr>
            <w:tcW w:w="0" w:type="auto"/>
            <w:tcBorders>
              <w:top w:val="nil"/>
              <w:bottom w:val="nil"/>
            </w:tcBorders>
            <w:noWrap/>
            <w:hideMark/>
          </w:tcPr>
          <w:p w14:paraId="363569B5"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Fonts w:ascii="Segoe UI" w:hAnsi="Segoe UI" w:cs="Segoe UI"/>
                <w:sz w:val="16"/>
                <w:szCs w:val="16"/>
              </w:rPr>
              <w:t>64/1639 (3.9</w:t>
            </w:r>
            <w:r w:rsidRPr="007346B6">
              <w:rPr>
                <w:rFonts w:ascii="Segoe UI" w:hAnsi="Segoe UI" w:cs="Segoe UI"/>
                <w:sz w:val="16"/>
                <w:szCs w:val="16"/>
              </w:rPr>
              <w:t>%)</w:t>
            </w:r>
          </w:p>
        </w:tc>
        <w:tc>
          <w:tcPr>
            <w:tcW w:w="0" w:type="auto"/>
            <w:tcBorders>
              <w:top w:val="nil"/>
              <w:bottom w:val="nil"/>
            </w:tcBorders>
            <w:noWrap/>
            <w:hideMark/>
          </w:tcPr>
          <w:p w14:paraId="3A25221E"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19/240 (7.9%)</w:t>
            </w:r>
          </w:p>
        </w:tc>
        <w:tc>
          <w:tcPr>
            <w:tcW w:w="0" w:type="auto"/>
            <w:tcBorders>
              <w:top w:val="nil"/>
              <w:bottom w:val="nil"/>
            </w:tcBorders>
            <w:noWrap/>
            <w:hideMark/>
          </w:tcPr>
          <w:p w14:paraId="3D9A98D0"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12/783 (1.5%)</w:t>
            </w:r>
          </w:p>
        </w:tc>
        <w:tc>
          <w:tcPr>
            <w:tcW w:w="0" w:type="auto"/>
            <w:tcBorders>
              <w:top w:val="nil"/>
              <w:bottom w:val="nil"/>
            </w:tcBorders>
            <w:noWrap/>
            <w:hideMark/>
          </w:tcPr>
          <w:p w14:paraId="6EE53B14"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6/146 (4.1%)</w:t>
            </w:r>
          </w:p>
        </w:tc>
        <w:tc>
          <w:tcPr>
            <w:tcW w:w="0" w:type="auto"/>
            <w:tcBorders>
              <w:top w:val="nil"/>
              <w:bottom w:val="nil"/>
            </w:tcBorders>
            <w:noWrap/>
            <w:hideMark/>
          </w:tcPr>
          <w:p w14:paraId="6B184E19"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Pr>
                <w:rFonts w:ascii="Segoe UI" w:hAnsi="Segoe UI" w:cs="Segoe UI"/>
                <w:sz w:val="16"/>
                <w:szCs w:val="16"/>
              </w:rPr>
              <w:t>52/856</w:t>
            </w:r>
            <w:r w:rsidRPr="007346B6">
              <w:rPr>
                <w:rFonts w:ascii="Segoe UI" w:hAnsi="Segoe UI" w:cs="Segoe UI"/>
                <w:sz w:val="16"/>
                <w:szCs w:val="16"/>
              </w:rPr>
              <w:t> (</w:t>
            </w:r>
            <w:r>
              <w:rPr>
                <w:rFonts w:ascii="Segoe UI" w:hAnsi="Segoe UI" w:cs="Segoe UI"/>
                <w:sz w:val="16"/>
                <w:szCs w:val="16"/>
              </w:rPr>
              <w:t>6.1</w:t>
            </w:r>
            <w:r w:rsidRPr="007346B6">
              <w:rPr>
                <w:rFonts w:ascii="Segoe UI" w:hAnsi="Segoe UI" w:cs="Segoe UI"/>
                <w:sz w:val="16"/>
                <w:szCs w:val="16"/>
              </w:rPr>
              <w:t>%)</w:t>
            </w:r>
          </w:p>
        </w:tc>
        <w:tc>
          <w:tcPr>
            <w:tcW w:w="0" w:type="auto"/>
            <w:tcBorders>
              <w:top w:val="nil"/>
              <w:bottom w:val="nil"/>
            </w:tcBorders>
            <w:noWrap/>
            <w:hideMark/>
          </w:tcPr>
          <w:p w14:paraId="1E78FB36" w14:textId="77777777" w:rsidR="0033396C" w:rsidRPr="007346B6" w:rsidRDefault="0033396C" w:rsidP="0092113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7346B6">
              <w:rPr>
                <w:rFonts w:ascii="Segoe UI" w:hAnsi="Segoe UI" w:cs="Segoe UI"/>
                <w:sz w:val="16"/>
                <w:szCs w:val="16"/>
              </w:rPr>
              <w:t>13/94 (13.8%)</w:t>
            </w:r>
          </w:p>
        </w:tc>
      </w:tr>
      <w:tr w:rsidR="0033396C" w:rsidRPr="007346B6" w14:paraId="7EB6224E" w14:textId="77777777" w:rsidTr="00921131">
        <w:trPr>
          <w:trHeight w:val="255"/>
        </w:trPr>
        <w:tc>
          <w:tcPr>
            <w:cnfStyle w:val="001000000000" w:firstRow="0" w:lastRow="0" w:firstColumn="1" w:lastColumn="0" w:oddVBand="0" w:evenVBand="0" w:oddHBand="0" w:evenHBand="0" w:firstRowFirstColumn="0" w:firstRowLastColumn="0" w:lastRowFirstColumn="0" w:lastRowLastColumn="0"/>
            <w:tcW w:w="0" w:type="auto"/>
            <w:vMerge/>
            <w:noWrap/>
          </w:tcPr>
          <w:p w14:paraId="0E5F161D" w14:textId="77777777" w:rsidR="0033396C" w:rsidRPr="007346B6" w:rsidRDefault="0033396C" w:rsidP="00921131">
            <w:pPr>
              <w:rPr>
                <w:rFonts w:ascii="Segoe UI" w:hAnsi="Segoe UI" w:cs="Segoe UI"/>
                <w:sz w:val="16"/>
                <w:szCs w:val="16"/>
              </w:rPr>
            </w:pPr>
          </w:p>
        </w:tc>
        <w:tc>
          <w:tcPr>
            <w:tcW w:w="0" w:type="auto"/>
            <w:tcBorders>
              <w:top w:val="nil"/>
            </w:tcBorders>
            <w:noWrap/>
          </w:tcPr>
          <w:p w14:paraId="70E0115A" w14:textId="77777777" w:rsidR="0033396C" w:rsidRPr="007346B6" w:rsidRDefault="0033396C" w:rsidP="00921131">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Unknown</w:t>
            </w:r>
          </w:p>
        </w:tc>
        <w:tc>
          <w:tcPr>
            <w:tcW w:w="0" w:type="auto"/>
            <w:gridSpan w:val="2"/>
            <w:tcBorders>
              <w:top w:val="nil"/>
            </w:tcBorders>
            <w:noWrap/>
          </w:tcPr>
          <w:p w14:paraId="5F069A16"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6</w:t>
            </w:r>
          </w:p>
        </w:tc>
        <w:tc>
          <w:tcPr>
            <w:tcW w:w="0" w:type="auto"/>
            <w:gridSpan w:val="2"/>
            <w:tcBorders>
              <w:top w:val="nil"/>
            </w:tcBorders>
            <w:noWrap/>
          </w:tcPr>
          <w:p w14:paraId="1B522984"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1</w:t>
            </w:r>
          </w:p>
        </w:tc>
        <w:tc>
          <w:tcPr>
            <w:tcW w:w="0" w:type="auto"/>
            <w:gridSpan w:val="2"/>
            <w:tcBorders>
              <w:top w:val="nil"/>
            </w:tcBorders>
            <w:noWrap/>
          </w:tcPr>
          <w:p w14:paraId="3A0F7988" w14:textId="77777777" w:rsidR="0033396C" w:rsidRPr="007346B6" w:rsidRDefault="0033396C" w:rsidP="0092113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Pr>
                <w:rFonts w:ascii="Segoe UI" w:hAnsi="Segoe UI" w:cs="Segoe UI"/>
                <w:sz w:val="16"/>
                <w:szCs w:val="16"/>
              </w:rPr>
              <w:t>5</w:t>
            </w:r>
          </w:p>
        </w:tc>
      </w:tr>
    </w:tbl>
    <w:p w14:paraId="549417B8" w14:textId="2C4F0A9D" w:rsidR="00F72399" w:rsidRDefault="0033396C" w:rsidP="00093ABE">
      <w:r>
        <w:rPr>
          <w:lang w:val="en-US"/>
        </w:rPr>
        <w:fldChar w:fldCharType="end"/>
      </w:r>
    </w:p>
    <w:p w14:paraId="1B4A4C98" w14:textId="77777777" w:rsidR="0033396C" w:rsidRDefault="0033396C" w:rsidP="00093ABE">
      <w:pPr>
        <w:sectPr w:rsidR="0033396C" w:rsidSect="0033396C">
          <w:pgSz w:w="16838" w:h="11906" w:orient="landscape"/>
          <w:pgMar w:top="1440" w:right="1440" w:bottom="1440" w:left="1440" w:header="708" w:footer="708" w:gutter="0"/>
          <w:cols w:space="708"/>
          <w:docGrid w:linePitch="360"/>
        </w:sectPr>
      </w:pPr>
    </w:p>
    <w:p w14:paraId="09258060" w14:textId="77777777" w:rsidR="0033396C" w:rsidRDefault="0033396C" w:rsidP="0033396C">
      <w:pPr>
        <w:rPr>
          <w:b/>
          <w:bCs/>
        </w:rPr>
      </w:pPr>
      <w:r>
        <w:rPr>
          <w:b/>
          <w:bCs/>
        </w:rPr>
        <w:lastRenderedPageBreak/>
        <w:t xml:space="preserve">Table 4. </w:t>
      </w:r>
      <w:r w:rsidRPr="008E10CA">
        <w:t>Attendance for care, by outcome (</w:t>
      </w:r>
      <w:r w:rsidRPr="008E10CA">
        <w:rPr>
          <w:lang w:val="en-US"/>
        </w:rPr>
        <w:t>neonatal deaths excluded; singleton births only</w:t>
      </w:r>
      <w:r w:rsidRPr="008E10CA">
        <w:t>)</w:t>
      </w:r>
    </w:p>
    <w:tbl>
      <w:tblPr>
        <w:tblStyle w:val="TableGrid2"/>
        <w:tblW w:w="0" w:type="auto"/>
        <w:tblLook w:val="04A0" w:firstRow="1" w:lastRow="0" w:firstColumn="1" w:lastColumn="0" w:noHBand="0" w:noVBand="1"/>
      </w:tblPr>
      <w:tblGrid>
        <w:gridCol w:w="2302"/>
        <w:gridCol w:w="953"/>
        <w:gridCol w:w="1750"/>
        <w:gridCol w:w="1664"/>
        <w:gridCol w:w="1465"/>
        <w:gridCol w:w="1578"/>
        <w:gridCol w:w="1750"/>
        <w:gridCol w:w="1664"/>
      </w:tblGrid>
      <w:tr w:rsidR="0033396C" w:rsidRPr="00B075FE" w14:paraId="600266E1" w14:textId="77777777" w:rsidTr="00921131">
        <w:trPr>
          <w:trHeight w:val="288"/>
        </w:trPr>
        <w:tc>
          <w:tcPr>
            <w:tcW w:w="0" w:type="auto"/>
            <w:gridSpan w:val="2"/>
            <w:vMerge w:val="restart"/>
            <w:tcBorders>
              <w:left w:val="single" w:sz="4" w:space="0" w:color="FFFFFF" w:themeColor="background1"/>
              <w:right w:val="single" w:sz="4" w:space="0" w:color="FFFFFF" w:themeColor="background1"/>
            </w:tcBorders>
            <w:noWrap/>
            <w:vAlign w:val="bottom"/>
            <w:hideMark/>
          </w:tcPr>
          <w:p w14:paraId="7EBA875D" w14:textId="77777777" w:rsidR="0033396C" w:rsidRPr="00B075FE" w:rsidRDefault="0033396C" w:rsidP="00921131">
            <w:pPr>
              <w:rPr>
                <w:rFonts w:ascii="Segoe UI" w:hAnsi="Segoe UI" w:cs="Segoe UI"/>
                <w:sz w:val="16"/>
                <w:szCs w:val="16"/>
              </w:rPr>
            </w:pPr>
            <w:bookmarkStart w:id="6" w:name="_Hlk40444397"/>
            <w:bookmarkStart w:id="7" w:name="_Hlk40445818"/>
            <w:r w:rsidRPr="00B075FE">
              <w:rPr>
                <w:rFonts w:ascii="Segoe UI" w:hAnsi="Segoe UI" w:cs="Segoe UI"/>
                <w:sz w:val="16"/>
                <w:szCs w:val="16"/>
              </w:rPr>
              <w:t>N (%)</w:t>
            </w:r>
          </w:p>
        </w:tc>
        <w:tc>
          <w:tcPr>
            <w:tcW w:w="0" w:type="auto"/>
            <w:gridSpan w:val="2"/>
            <w:tcBorders>
              <w:left w:val="single" w:sz="4" w:space="0" w:color="FFFFFF" w:themeColor="background1"/>
              <w:right w:val="single" w:sz="4" w:space="0" w:color="FFFFFF" w:themeColor="background1"/>
            </w:tcBorders>
            <w:noWrap/>
            <w:vAlign w:val="center"/>
            <w:hideMark/>
          </w:tcPr>
          <w:p w14:paraId="54E7E63B"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Both Countries (N=1885)</w:t>
            </w:r>
          </w:p>
        </w:tc>
        <w:tc>
          <w:tcPr>
            <w:tcW w:w="0" w:type="auto"/>
            <w:tcBorders>
              <w:left w:val="single" w:sz="4" w:space="0" w:color="FFFFFF" w:themeColor="background1"/>
              <w:right w:val="single" w:sz="4" w:space="0" w:color="FFFFFF" w:themeColor="background1"/>
            </w:tcBorders>
            <w:noWrap/>
            <w:vAlign w:val="center"/>
            <w:hideMark/>
          </w:tcPr>
          <w:p w14:paraId="5F78518E"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Tanzania (N=930)</w:t>
            </w:r>
          </w:p>
        </w:tc>
        <w:tc>
          <w:tcPr>
            <w:tcW w:w="0" w:type="auto"/>
            <w:tcBorders>
              <w:left w:val="single" w:sz="4" w:space="0" w:color="FFFFFF" w:themeColor="background1"/>
              <w:right w:val="single" w:sz="4" w:space="0" w:color="FFFFFF" w:themeColor="background1"/>
            </w:tcBorders>
            <w:noWrap/>
            <w:vAlign w:val="center"/>
            <w:hideMark/>
          </w:tcPr>
          <w:p w14:paraId="25DD928C" w14:textId="77777777" w:rsidR="0033396C" w:rsidRPr="00B075FE" w:rsidRDefault="0033396C" w:rsidP="00921131">
            <w:pPr>
              <w:jc w:val="center"/>
              <w:rPr>
                <w:rFonts w:ascii="Segoe UI" w:hAnsi="Segoe UI" w:cs="Segoe UI"/>
                <w:sz w:val="16"/>
                <w:szCs w:val="16"/>
              </w:rPr>
            </w:pPr>
          </w:p>
        </w:tc>
        <w:tc>
          <w:tcPr>
            <w:tcW w:w="0" w:type="auto"/>
            <w:tcBorders>
              <w:left w:val="single" w:sz="4" w:space="0" w:color="FFFFFF" w:themeColor="background1"/>
              <w:right w:val="single" w:sz="4" w:space="0" w:color="FFFFFF" w:themeColor="background1"/>
            </w:tcBorders>
            <w:noWrap/>
            <w:vAlign w:val="center"/>
            <w:hideMark/>
          </w:tcPr>
          <w:p w14:paraId="404BD628"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Zambia (N=955)</w:t>
            </w:r>
          </w:p>
        </w:tc>
        <w:tc>
          <w:tcPr>
            <w:tcW w:w="0" w:type="auto"/>
            <w:tcBorders>
              <w:left w:val="single" w:sz="4" w:space="0" w:color="FFFFFF" w:themeColor="background1"/>
              <w:right w:val="single" w:sz="4" w:space="0" w:color="FFFFFF" w:themeColor="background1"/>
            </w:tcBorders>
            <w:noWrap/>
            <w:vAlign w:val="center"/>
            <w:hideMark/>
          </w:tcPr>
          <w:p w14:paraId="38639971" w14:textId="77777777" w:rsidR="0033396C" w:rsidRPr="00B075FE" w:rsidRDefault="0033396C" w:rsidP="00921131">
            <w:pPr>
              <w:jc w:val="center"/>
              <w:rPr>
                <w:rFonts w:ascii="Segoe UI" w:hAnsi="Segoe UI" w:cs="Segoe UI"/>
                <w:sz w:val="16"/>
                <w:szCs w:val="16"/>
              </w:rPr>
            </w:pPr>
          </w:p>
        </w:tc>
      </w:tr>
      <w:bookmarkEnd w:id="6"/>
      <w:tr w:rsidR="0033396C" w:rsidRPr="00B075FE" w14:paraId="7A8FE88D" w14:textId="77777777" w:rsidTr="00921131">
        <w:trPr>
          <w:trHeight w:val="288"/>
        </w:trPr>
        <w:tc>
          <w:tcPr>
            <w:tcW w:w="0" w:type="auto"/>
            <w:gridSpan w:val="2"/>
            <w:vMerge/>
            <w:tcBorders>
              <w:left w:val="single" w:sz="4" w:space="0" w:color="FFFFFF" w:themeColor="background1"/>
              <w:right w:val="single" w:sz="4" w:space="0" w:color="FFFFFF" w:themeColor="background1"/>
            </w:tcBorders>
            <w:noWrap/>
            <w:hideMark/>
          </w:tcPr>
          <w:p w14:paraId="5731B5FB" w14:textId="77777777" w:rsidR="0033396C" w:rsidRPr="00B075FE" w:rsidRDefault="0033396C" w:rsidP="00921131">
            <w:pPr>
              <w:rPr>
                <w:rFonts w:ascii="Segoe UI" w:hAnsi="Segoe UI" w:cs="Segoe UI"/>
                <w:sz w:val="16"/>
                <w:szCs w:val="16"/>
              </w:rPr>
            </w:pPr>
          </w:p>
        </w:tc>
        <w:tc>
          <w:tcPr>
            <w:tcW w:w="0" w:type="auto"/>
            <w:tcBorders>
              <w:left w:val="single" w:sz="4" w:space="0" w:color="FFFFFF" w:themeColor="background1"/>
              <w:bottom w:val="single" w:sz="4" w:space="0" w:color="FFFFFF" w:themeColor="background1"/>
              <w:right w:val="single" w:sz="4" w:space="0" w:color="FFFFFF" w:themeColor="background1"/>
            </w:tcBorders>
            <w:noWrap/>
            <w:vAlign w:val="center"/>
            <w:hideMark/>
          </w:tcPr>
          <w:p w14:paraId="291F3BC5"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No SB</w:t>
            </w:r>
          </w:p>
        </w:tc>
        <w:tc>
          <w:tcPr>
            <w:tcW w:w="0" w:type="auto"/>
            <w:tcBorders>
              <w:left w:val="single" w:sz="4" w:space="0" w:color="FFFFFF" w:themeColor="background1"/>
              <w:bottom w:val="single" w:sz="4" w:space="0" w:color="FFFFFF" w:themeColor="background1"/>
              <w:right w:val="single" w:sz="4" w:space="0" w:color="FFFFFF" w:themeColor="background1"/>
            </w:tcBorders>
            <w:noWrap/>
            <w:vAlign w:val="center"/>
            <w:hideMark/>
          </w:tcPr>
          <w:p w14:paraId="2E44C963"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SB</w:t>
            </w:r>
          </w:p>
        </w:tc>
        <w:tc>
          <w:tcPr>
            <w:tcW w:w="0" w:type="auto"/>
            <w:tcBorders>
              <w:left w:val="single" w:sz="4" w:space="0" w:color="FFFFFF" w:themeColor="background1"/>
              <w:bottom w:val="single" w:sz="4" w:space="0" w:color="FFFFFF" w:themeColor="background1"/>
              <w:right w:val="single" w:sz="4" w:space="0" w:color="FFFFFF" w:themeColor="background1"/>
            </w:tcBorders>
            <w:noWrap/>
            <w:vAlign w:val="center"/>
            <w:hideMark/>
          </w:tcPr>
          <w:p w14:paraId="1FEEA61F"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No SB</w:t>
            </w:r>
          </w:p>
        </w:tc>
        <w:tc>
          <w:tcPr>
            <w:tcW w:w="0" w:type="auto"/>
            <w:tcBorders>
              <w:left w:val="single" w:sz="4" w:space="0" w:color="FFFFFF" w:themeColor="background1"/>
              <w:bottom w:val="single" w:sz="4" w:space="0" w:color="FFFFFF" w:themeColor="background1"/>
              <w:right w:val="single" w:sz="4" w:space="0" w:color="FFFFFF" w:themeColor="background1"/>
            </w:tcBorders>
            <w:noWrap/>
            <w:vAlign w:val="center"/>
            <w:hideMark/>
          </w:tcPr>
          <w:p w14:paraId="2167ADDC"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SB</w:t>
            </w:r>
          </w:p>
        </w:tc>
        <w:tc>
          <w:tcPr>
            <w:tcW w:w="0" w:type="auto"/>
            <w:tcBorders>
              <w:left w:val="single" w:sz="4" w:space="0" w:color="FFFFFF" w:themeColor="background1"/>
              <w:bottom w:val="single" w:sz="4" w:space="0" w:color="FFFFFF" w:themeColor="background1"/>
              <w:right w:val="single" w:sz="4" w:space="0" w:color="FFFFFF" w:themeColor="background1"/>
            </w:tcBorders>
            <w:noWrap/>
            <w:vAlign w:val="center"/>
            <w:hideMark/>
          </w:tcPr>
          <w:p w14:paraId="2185860C"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No SB</w:t>
            </w:r>
          </w:p>
        </w:tc>
        <w:tc>
          <w:tcPr>
            <w:tcW w:w="0" w:type="auto"/>
            <w:tcBorders>
              <w:left w:val="single" w:sz="4" w:space="0" w:color="FFFFFF" w:themeColor="background1"/>
              <w:bottom w:val="single" w:sz="4" w:space="0" w:color="FFFFFF" w:themeColor="background1"/>
              <w:right w:val="single" w:sz="4" w:space="0" w:color="FFFFFF" w:themeColor="background1"/>
            </w:tcBorders>
            <w:noWrap/>
            <w:vAlign w:val="center"/>
            <w:hideMark/>
          </w:tcPr>
          <w:p w14:paraId="1A744BE2"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SB</w:t>
            </w:r>
          </w:p>
        </w:tc>
      </w:tr>
      <w:tr w:rsidR="0033396C" w:rsidRPr="00B075FE" w14:paraId="6AE33DE9" w14:textId="77777777" w:rsidTr="00921131">
        <w:trPr>
          <w:trHeight w:val="288"/>
        </w:trPr>
        <w:tc>
          <w:tcPr>
            <w:tcW w:w="0" w:type="auto"/>
            <w:gridSpan w:val="2"/>
            <w:vMerge/>
            <w:tcBorders>
              <w:left w:val="single" w:sz="4" w:space="0" w:color="FFFFFF" w:themeColor="background1"/>
              <w:right w:val="single" w:sz="4" w:space="0" w:color="FFFFFF" w:themeColor="background1"/>
            </w:tcBorders>
            <w:noWrap/>
            <w:hideMark/>
          </w:tcPr>
          <w:p w14:paraId="7DD9660D" w14:textId="77777777" w:rsidR="0033396C" w:rsidRPr="00B075FE" w:rsidRDefault="0033396C" w:rsidP="00921131">
            <w:pPr>
              <w:rPr>
                <w:rFonts w:ascii="Segoe UI" w:hAnsi="Segoe UI" w:cs="Segoe UI"/>
                <w:sz w:val="16"/>
                <w:szCs w:val="16"/>
              </w:rPr>
            </w:pPr>
          </w:p>
        </w:tc>
        <w:tc>
          <w:tcPr>
            <w:tcW w:w="0" w:type="auto"/>
            <w:tcBorders>
              <w:top w:val="single" w:sz="4" w:space="0" w:color="FFFFFF" w:themeColor="background1"/>
              <w:left w:val="single" w:sz="4" w:space="0" w:color="FFFFFF" w:themeColor="background1"/>
              <w:right w:val="single" w:sz="4" w:space="0" w:color="FFFFFF" w:themeColor="background1"/>
            </w:tcBorders>
            <w:noWrap/>
            <w:vAlign w:val="center"/>
            <w:hideMark/>
          </w:tcPr>
          <w:p w14:paraId="182CF23E"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1645 (87.3%)</w:t>
            </w:r>
          </w:p>
        </w:tc>
        <w:tc>
          <w:tcPr>
            <w:tcW w:w="0" w:type="auto"/>
            <w:tcBorders>
              <w:top w:val="single" w:sz="4" w:space="0" w:color="FFFFFF" w:themeColor="background1"/>
              <w:left w:val="single" w:sz="4" w:space="0" w:color="FFFFFF" w:themeColor="background1"/>
              <w:right w:val="single" w:sz="4" w:space="0" w:color="FFFFFF" w:themeColor="background1"/>
            </w:tcBorders>
            <w:noWrap/>
            <w:vAlign w:val="center"/>
            <w:hideMark/>
          </w:tcPr>
          <w:p w14:paraId="0F55EF32"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240 (12.7%)</w:t>
            </w:r>
          </w:p>
        </w:tc>
        <w:tc>
          <w:tcPr>
            <w:tcW w:w="0" w:type="auto"/>
            <w:tcBorders>
              <w:top w:val="single" w:sz="4" w:space="0" w:color="FFFFFF" w:themeColor="background1"/>
              <w:left w:val="single" w:sz="4" w:space="0" w:color="FFFFFF" w:themeColor="background1"/>
              <w:right w:val="single" w:sz="4" w:space="0" w:color="FFFFFF" w:themeColor="background1"/>
            </w:tcBorders>
            <w:noWrap/>
            <w:vAlign w:val="center"/>
            <w:hideMark/>
          </w:tcPr>
          <w:p w14:paraId="6EC60D41"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784 (84.3%)</w:t>
            </w:r>
          </w:p>
        </w:tc>
        <w:tc>
          <w:tcPr>
            <w:tcW w:w="0" w:type="auto"/>
            <w:tcBorders>
              <w:top w:val="single" w:sz="4" w:space="0" w:color="FFFFFF" w:themeColor="background1"/>
              <w:left w:val="single" w:sz="4" w:space="0" w:color="FFFFFF" w:themeColor="background1"/>
              <w:right w:val="single" w:sz="4" w:space="0" w:color="FFFFFF" w:themeColor="background1"/>
            </w:tcBorders>
            <w:noWrap/>
            <w:vAlign w:val="center"/>
            <w:hideMark/>
          </w:tcPr>
          <w:p w14:paraId="3EF76A61"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146 (15.7%)</w:t>
            </w:r>
          </w:p>
        </w:tc>
        <w:tc>
          <w:tcPr>
            <w:tcW w:w="0" w:type="auto"/>
            <w:tcBorders>
              <w:top w:val="single" w:sz="4" w:space="0" w:color="FFFFFF" w:themeColor="background1"/>
              <w:left w:val="single" w:sz="4" w:space="0" w:color="FFFFFF" w:themeColor="background1"/>
              <w:right w:val="single" w:sz="4" w:space="0" w:color="FFFFFF" w:themeColor="background1"/>
            </w:tcBorders>
            <w:noWrap/>
            <w:vAlign w:val="center"/>
            <w:hideMark/>
          </w:tcPr>
          <w:p w14:paraId="34B8D724"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861 (90.2%)</w:t>
            </w:r>
          </w:p>
        </w:tc>
        <w:tc>
          <w:tcPr>
            <w:tcW w:w="0" w:type="auto"/>
            <w:tcBorders>
              <w:top w:val="single" w:sz="4" w:space="0" w:color="FFFFFF" w:themeColor="background1"/>
              <w:left w:val="single" w:sz="4" w:space="0" w:color="FFFFFF" w:themeColor="background1"/>
              <w:right w:val="single" w:sz="4" w:space="0" w:color="FFFFFF" w:themeColor="background1"/>
            </w:tcBorders>
            <w:noWrap/>
            <w:vAlign w:val="center"/>
            <w:hideMark/>
          </w:tcPr>
          <w:p w14:paraId="322259FE"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94 (9.8%)</w:t>
            </w:r>
          </w:p>
        </w:tc>
      </w:tr>
      <w:tr w:rsidR="0033396C" w:rsidRPr="00B075FE" w14:paraId="1435656F" w14:textId="77777777" w:rsidTr="00921131">
        <w:trPr>
          <w:trHeight w:val="288"/>
        </w:trPr>
        <w:tc>
          <w:tcPr>
            <w:tcW w:w="0" w:type="auto"/>
            <w:vMerge w:val="restart"/>
            <w:tcBorders>
              <w:left w:val="single" w:sz="4" w:space="0" w:color="FFFFFF" w:themeColor="background1"/>
              <w:right w:val="single" w:sz="4" w:space="0" w:color="FFFFFF" w:themeColor="background1"/>
            </w:tcBorders>
            <w:noWrap/>
            <w:hideMark/>
          </w:tcPr>
          <w:p w14:paraId="2ACB0F47" w14:textId="77777777" w:rsidR="0033396C" w:rsidRPr="00B075FE" w:rsidRDefault="0033396C" w:rsidP="00921131">
            <w:pPr>
              <w:rPr>
                <w:rFonts w:ascii="Segoe UI" w:hAnsi="Segoe UI" w:cs="Segoe UI"/>
                <w:sz w:val="16"/>
                <w:szCs w:val="16"/>
              </w:rPr>
            </w:pPr>
            <w:r w:rsidRPr="00B075FE">
              <w:rPr>
                <w:rFonts w:ascii="Segoe UI" w:hAnsi="Segoe UI" w:cs="Segoe UI"/>
                <w:sz w:val="16"/>
                <w:szCs w:val="16"/>
              </w:rPr>
              <w:t>Gestation at booking</w:t>
            </w:r>
          </w:p>
        </w:tc>
        <w:tc>
          <w:tcPr>
            <w:tcW w:w="0" w:type="auto"/>
            <w:tcBorders>
              <w:left w:val="single" w:sz="4" w:space="0" w:color="FFFFFF" w:themeColor="background1"/>
              <w:bottom w:val="single" w:sz="4" w:space="0" w:color="FFFFFF" w:themeColor="background1"/>
              <w:right w:val="single" w:sz="4" w:space="0" w:color="FFFFFF" w:themeColor="background1"/>
            </w:tcBorders>
            <w:noWrap/>
            <w:vAlign w:val="center"/>
            <w:hideMark/>
          </w:tcPr>
          <w:p w14:paraId="4B15E58B"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1st Tri.</w:t>
            </w:r>
          </w:p>
        </w:tc>
        <w:tc>
          <w:tcPr>
            <w:tcW w:w="0" w:type="auto"/>
            <w:tcBorders>
              <w:left w:val="single" w:sz="4" w:space="0" w:color="FFFFFF" w:themeColor="background1"/>
              <w:bottom w:val="single" w:sz="4" w:space="0" w:color="FFFFFF" w:themeColor="background1"/>
              <w:right w:val="single" w:sz="4" w:space="0" w:color="FFFFFF" w:themeColor="background1"/>
            </w:tcBorders>
            <w:noWrap/>
            <w:vAlign w:val="center"/>
            <w:hideMark/>
          </w:tcPr>
          <w:p w14:paraId="2213DBAA"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212/1222 (17.3%)</w:t>
            </w:r>
          </w:p>
        </w:tc>
        <w:tc>
          <w:tcPr>
            <w:tcW w:w="0" w:type="auto"/>
            <w:tcBorders>
              <w:left w:val="single" w:sz="4" w:space="0" w:color="FFFFFF" w:themeColor="background1"/>
              <w:bottom w:val="single" w:sz="4" w:space="0" w:color="FFFFFF" w:themeColor="background1"/>
              <w:right w:val="single" w:sz="4" w:space="0" w:color="FFFFFF" w:themeColor="background1"/>
            </w:tcBorders>
            <w:noWrap/>
            <w:vAlign w:val="center"/>
            <w:hideMark/>
          </w:tcPr>
          <w:p w14:paraId="6EDEDE40"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38/198 (19.2%)</w:t>
            </w:r>
          </w:p>
        </w:tc>
        <w:tc>
          <w:tcPr>
            <w:tcW w:w="0" w:type="auto"/>
            <w:tcBorders>
              <w:left w:val="single" w:sz="4" w:space="0" w:color="FFFFFF" w:themeColor="background1"/>
              <w:bottom w:val="single" w:sz="4" w:space="0" w:color="FFFFFF" w:themeColor="background1"/>
              <w:right w:val="single" w:sz="4" w:space="0" w:color="FFFFFF" w:themeColor="background1"/>
            </w:tcBorders>
            <w:noWrap/>
            <w:vAlign w:val="center"/>
            <w:hideMark/>
          </w:tcPr>
          <w:p w14:paraId="770120C0"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155/784 (19.8%)</w:t>
            </w:r>
          </w:p>
        </w:tc>
        <w:tc>
          <w:tcPr>
            <w:tcW w:w="0" w:type="auto"/>
            <w:tcBorders>
              <w:left w:val="single" w:sz="4" w:space="0" w:color="FFFFFF" w:themeColor="background1"/>
              <w:bottom w:val="single" w:sz="4" w:space="0" w:color="FFFFFF" w:themeColor="background1"/>
              <w:right w:val="single" w:sz="4" w:space="0" w:color="FFFFFF" w:themeColor="background1"/>
            </w:tcBorders>
            <w:noWrap/>
            <w:vAlign w:val="center"/>
            <w:hideMark/>
          </w:tcPr>
          <w:p w14:paraId="01526E59"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28/145 (19.3%)</w:t>
            </w:r>
          </w:p>
        </w:tc>
        <w:tc>
          <w:tcPr>
            <w:tcW w:w="0" w:type="auto"/>
            <w:tcBorders>
              <w:left w:val="single" w:sz="4" w:space="0" w:color="FFFFFF" w:themeColor="background1"/>
              <w:bottom w:val="single" w:sz="4" w:space="0" w:color="FFFFFF" w:themeColor="background1"/>
              <w:right w:val="single" w:sz="4" w:space="0" w:color="FFFFFF" w:themeColor="background1"/>
            </w:tcBorders>
            <w:noWrap/>
            <w:vAlign w:val="center"/>
            <w:hideMark/>
          </w:tcPr>
          <w:p w14:paraId="526004E7"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57/438 (13.0%)</w:t>
            </w:r>
          </w:p>
        </w:tc>
        <w:tc>
          <w:tcPr>
            <w:tcW w:w="0" w:type="auto"/>
            <w:tcBorders>
              <w:left w:val="single" w:sz="4" w:space="0" w:color="FFFFFF" w:themeColor="background1"/>
              <w:bottom w:val="single" w:sz="4" w:space="0" w:color="FFFFFF" w:themeColor="background1"/>
              <w:right w:val="single" w:sz="4" w:space="0" w:color="FFFFFF" w:themeColor="background1"/>
            </w:tcBorders>
            <w:noWrap/>
            <w:vAlign w:val="center"/>
            <w:hideMark/>
          </w:tcPr>
          <w:p w14:paraId="48A8F114"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10/53 (18.9%)</w:t>
            </w:r>
          </w:p>
        </w:tc>
      </w:tr>
      <w:tr w:rsidR="0033396C" w:rsidRPr="00B075FE" w14:paraId="2F2CB461" w14:textId="77777777" w:rsidTr="00921131">
        <w:trPr>
          <w:trHeight w:val="288"/>
        </w:trPr>
        <w:tc>
          <w:tcPr>
            <w:tcW w:w="0" w:type="auto"/>
            <w:vMerge/>
            <w:tcBorders>
              <w:left w:val="single" w:sz="4" w:space="0" w:color="FFFFFF" w:themeColor="background1"/>
              <w:right w:val="single" w:sz="4" w:space="0" w:color="FFFFFF" w:themeColor="background1"/>
            </w:tcBorders>
            <w:noWrap/>
            <w:hideMark/>
          </w:tcPr>
          <w:p w14:paraId="5F810CA5" w14:textId="77777777" w:rsidR="0033396C" w:rsidRPr="00B075FE" w:rsidRDefault="0033396C" w:rsidP="00921131">
            <w:pPr>
              <w:rPr>
                <w:rFonts w:ascii="Segoe UI" w:hAnsi="Segoe UI" w:cs="Segoe UI"/>
                <w:sz w:val="16"/>
                <w:szCs w:val="16"/>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4CEEE0E"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2nd Tri.</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18F804E"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956/1222 (78.2%)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939F57F"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147/198 (74.2%)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F8BD5B6"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586/784 (74.7%)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2929962"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106/145 (73.1%)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D131E97"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370/438 (84.5%)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1896677"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41/53 (77.4%)</w:t>
            </w:r>
          </w:p>
        </w:tc>
      </w:tr>
      <w:tr w:rsidR="0033396C" w:rsidRPr="00B075FE" w14:paraId="7D850F89" w14:textId="77777777" w:rsidTr="00921131">
        <w:trPr>
          <w:trHeight w:val="288"/>
        </w:trPr>
        <w:tc>
          <w:tcPr>
            <w:tcW w:w="0" w:type="auto"/>
            <w:vMerge/>
            <w:tcBorders>
              <w:left w:val="single" w:sz="4" w:space="0" w:color="FFFFFF" w:themeColor="background1"/>
              <w:right w:val="single" w:sz="4" w:space="0" w:color="FFFFFF" w:themeColor="background1"/>
            </w:tcBorders>
            <w:noWrap/>
            <w:hideMark/>
          </w:tcPr>
          <w:p w14:paraId="6110BC36" w14:textId="77777777" w:rsidR="0033396C" w:rsidRPr="00B075FE" w:rsidRDefault="0033396C" w:rsidP="00921131">
            <w:pPr>
              <w:rPr>
                <w:rFonts w:ascii="Segoe UI" w:hAnsi="Segoe UI" w:cs="Segoe UI"/>
                <w:sz w:val="16"/>
                <w:szCs w:val="16"/>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A114EB0"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3rd Tri.</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504A56E"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54/1222 (4.4%)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E4B5196"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13/198 (6.6%)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A85E586"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43/784 (5.5%)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DC30D3C"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11/145 (7.6%)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EDFA28B"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11/438 (2.5%)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46B9021"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2/53 (3.8%)</w:t>
            </w:r>
          </w:p>
        </w:tc>
      </w:tr>
      <w:tr w:rsidR="0033396C" w:rsidRPr="00B075FE" w14:paraId="1F1C4F74" w14:textId="77777777" w:rsidTr="00921131">
        <w:trPr>
          <w:trHeight w:val="288"/>
        </w:trPr>
        <w:tc>
          <w:tcPr>
            <w:tcW w:w="0" w:type="auto"/>
            <w:vMerge/>
            <w:tcBorders>
              <w:left w:val="single" w:sz="4" w:space="0" w:color="FFFFFF" w:themeColor="background1"/>
              <w:bottom w:val="nil"/>
              <w:right w:val="single" w:sz="4" w:space="0" w:color="FFFFFF" w:themeColor="background1"/>
            </w:tcBorders>
            <w:noWrap/>
            <w:hideMark/>
          </w:tcPr>
          <w:p w14:paraId="74B1FAE5" w14:textId="77777777" w:rsidR="0033396C" w:rsidRPr="00B075FE" w:rsidRDefault="0033396C" w:rsidP="00921131">
            <w:pPr>
              <w:rPr>
                <w:rFonts w:ascii="Segoe UI" w:hAnsi="Segoe UI" w:cs="Segoe UI"/>
                <w:sz w:val="16"/>
                <w:szCs w:val="16"/>
              </w:rPr>
            </w:pPr>
          </w:p>
        </w:tc>
        <w:tc>
          <w:tcPr>
            <w:tcW w:w="0" w:type="auto"/>
            <w:tcBorders>
              <w:top w:val="single" w:sz="4" w:space="0" w:color="FFFFFF" w:themeColor="background1"/>
              <w:left w:val="single" w:sz="4" w:space="0" w:color="FFFFFF" w:themeColor="background1"/>
              <w:bottom w:val="nil"/>
              <w:right w:val="single" w:sz="4" w:space="0" w:color="FFFFFF" w:themeColor="background1"/>
            </w:tcBorders>
            <w:noWrap/>
            <w:vAlign w:val="center"/>
            <w:hideMark/>
          </w:tcPr>
          <w:p w14:paraId="6AF31468"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Unknown</w:t>
            </w:r>
          </w:p>
        </w:tc>
        <w:tc>
          <w:tcPr>
            <w:tcW w:w="0" w:type="auto"/>
            <w:gridSpan w:val="2"/>
            <w:tcBorders>
              <w:top w:val="single" w:sz="4" w:space="0" w:color="FFFFFF" w:themeColor="background1"/>
              <w:left w:val="single" w:sz="4" w:space="0" w:color="FFFFFF" w:themeColor="background1"/>
              <w:bottom w:val="nil"/>
              <w:right w:val="single" w:sz="4" w:space="0" w:color="FFFFFF" w:themeColor="background1"/>
            </w:tcBorders>
            <w:noWrap/>
            <w:vAlign w:val="center"/>
            <w:hideMark/>
          </w:tcPr>
          <w:p w14:paraId="0A62C54F"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465</w:t>
            </w:r>
          </w:p>
        </w:tc>
        <w:tc>
          <w:tcPr>
            <w:tcW w:w="0" w:type="auto"/>
            <w:gridSpan w:val="2"/>
            <w:tcBorders>
              <w:top w:val="single" w:sz="4" w:space="0" w:color="FFFFFF" w:themeColor="background1"/>
              <w:left w:val="single" w:sz="4" w:space="0" w:color="FFFFFF" w:themeColor="background1"/>
              <w:bottom w:val="nil"/>
              <w:right w:val="single" w:sz="4" w:space="0" w:color="FFFFFF" w:themeColor="background1"/>
            </w:tcBorders>
            <w:noWrap/>
            <w:vAlign w:val="center"/>
            <w:hideMark/>
          </w:tcPr>
          <w:p w14:paraId="0A380DFE"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w:t>
            </w:r>
          </w:p>
        </w:tc>
        <w:tc>
          <w:tcPr>
            <w:tcW w:w="0" w:type="auto"/>
            <w:gridSpan w:val="2"/>
            <w:tcBorders>
              <w:top w:val="single" w:sz="4" w:space="0" w:color="FFFFFF" w:themeColor="background1"/>
              <w:left w:val="single" w:sz="4" w:space="0" w:color="FFFFFF" w:themeColor="background1"/>
              <w:bottom w:val="nil"/>
              <w:right w:val="single" w:sz="4" w:space="0" w:color="FFFFFF" w:themeColor="background1"/>
            </w:tcBorders>
            <w:noWrap/>
            <w:vAlign w:val="center"/>
            <w:hideMark/>
          </w:tcPr>
          <w:p w14:paraId="237D75C8"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464</w:t>
            </w:r>
          </w:p>
        </w:tc>
      </w:tr>
      <w:tr w:rsidR="0033396C" w:rsidRPr="00B075FE" w14:paraId="1CDE6005" w14:textId="77777777" w:rsidTr="00921131">
        <w:trPr>
          <w:trHeight w:val="288"/>
        </w:trPr>
        <w:tc>
          <w:tcPr>
            <w:tcW w:w="0" w:type="auto"/>
            <w:vMerge w:val="restart"/>
            <w:tcBorders>
              <w:top w:val="nil"/>
              <w:left w:val="nil"/>
              <w:bottom w:val="nil"/>
              <w:right w:val="nil"/>
            </w:tcBorders>
            <w:noWrap/>
            <w:hideMark/>
          </w:tcPr>
          <w:p w14:paraId="1C20C7CB" w14:textId="77777777" w:rsidR="0033396C" w:rsidRPr="00B075FE" w:rsidRDefault="0033396C" w:rsidP="00921131">
            <w:pPr>
              <w:rPr>
                <w:rFonts w:ascii="Segoe UI" w:hAnsi="Segoe UI" w:cs="Segoe UI"/>
                <w:sz w:val="16"/>
                <w:szCs w:val="16"/>
              </w:rPr>
            </w:pPr>
            <w:r w:rsidRPr="00B075FE">
              <w:rPr>
                <w:rFonts w:ascii="Segoe UI" w:hAnsi="Segoe UI" w:cs="Segoe UI"/>
                <w:sz w:val="16"/>
                <w:szCs w:val="16"/>
              </w:rPr>
              <w:t>Any ANC Visits</w:t>
            </w:r>
          </w:p>
        </w:tc>
        <w:tc>
          <w:tcPr>
            <w:tcW w:w="0" w:type="auto"/>
            <w:tcBorders>
              <w:top w:val="nil"/>
              <w:left w:val="nil"/>
              <w:bottom w:val="nil"/>
              <w:right w:val="nil"/>
            </w:tcBorders>
            <w:noWrap/>
            <w:vAlign w:val="center"/>
            <w:hideMark/>
          </w:tcPr>
          <w:p w14:paraId="309D887E"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No</w:t>
            </w:r>
          </w:p>
        </w:tc>
        <w:tc>
          <w:tcPr>
            <w:tcW w:w="0" w:type="auto"/>
            <w:tcBorders>
              <w:top w:val="nil"/>
              <w:left w:val="nil"/>
              <w:bottom w:val="nil"/>
              <w:right w:val="nil"/>
            </w:tcBorders>
            <w:noWrap/>
            <w:vAlign w:val="center"/>
            <w:hideMark/>
          </w:tcPr>
          <w:p w14:paraId="268A2A22"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3/1268 (0.2%)</w:t>
            </w:r>
          </w:p>
        </w:tc>
        <w:tc>
          <w:tcPr>
            <w:tcW w:w="0" w:type="auto"/>
            <w:tcBorders>
              <w:top w:val="nil"/>
              <w:left w:val="nil"/>
              <w:bottom w:val="nil"/>
              <w:right w:val="nil"/>
            </w:tcBorders>
            <w:noWrap/>
            <w:vAlign w:val="center"/>
            <w:hideMark/>
          </w:tcPr>
          <w:p w14:paraId="1D7F2475"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5/205 (2.4%)</w:t>
            </w:r>
          </w:p>
        </w:tc>
        <w:tc>
          <w:tcPr>
            <w:tcW w:w="0" w:type="auto"/>
            <w:tcBorders>
              <w:top w:val="nil"/>
              <w:left w:val="nil"/>
              <w:bottom w:val="nil"/>
              <w:right w:val="nil"/>
            </w:tcBorders>
            <w:noWrap/>
            <w:vAlign w:val="center"/>
            <w:hideMark/>
          </w:tcPr>
          <w:p w14:paraId="31A668A2"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0/784 (0.0%)</w:t>
            </w:r>
          </w:p>
        </w:tc>
        <w:tc>
          <w:tcPr>
            <w:tcW w:w="0" w:type="auto"/>
            <w:tcBorders>
              <w:top w:val="nil"/>
              <w:left w:val="nil"/>
              <w:bottom w:val="nil"/>
              <w:right w:val="nil"/>
            </w:tcBorders>
            <w:noWrap/>
            <w:vAlign w:val="center"/>
            <w:hideMark/>
          </w:tcPr>
          <w:p w14:paraId="5808D74E"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0/145 (0.0%)</w:t>
            </w:r>
          </w:p>
        </w:tc>
        <w:tc>
          <w:tcPr>
            <w:tcW w:w="0" w:type="auto"/>
            <w:tcBorders>
              <w:top w:val="nil"/>
              <w:left w:val="nil"/>
              <w:bottom w:val="nil"/>
              <w:right w:val="nil"/>
            </w:tcBorders>
            <w:noWrap/>
            <w:vAlign w:val="center"/>
            <w:hideMark/>
          </w:tcPr>
          <w:p w14:paraId="6638BDF9"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3/484 (0.6%)</w:t>
            </w:r>
          </w:p>
        </w:tc>
        <w:tc>
          <w:tcPr>
            <w:tcW w:w="0" w:type="auto"/>
            <w:tcBorders>
              <w:top w:val="nil"/>
              <w:left w:val="nil"/>
              <w:bottom w:val="nil"/>
              <w:right w:val="nil"/>
            </w:tcBorders>
            <w:noWrap/>
            <w:vAlign w:val="center"/>
            <w:hideMark/>
          </w:tcPr>
          <w:p w14:paraId="29DCF637"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5/60 (8.3%)</w:t>
            </w:r>
          </w:p>
        </w:tc>
      </w:tr>
      <w:tr w:rsidR="0033396C" w:rsidRPr="00B075FE" w14:paraId="4CAB6E13" w14:textId="77777777" w:rsidTr="00921131">
        <w:trPr>
          <w:trHeight w:val="288"/>
        </w:trPr>
        <w:tc>
          <w:tcPr>
            <w:tcW w:w="0" w:type="auto"/>
            <w:vMerge/>
            <w:tcBorders>
              <w:top w:val="nil"/>
              <w:left w:val="nil"/>
              <w:bottom w:val="nil"/>
              <w:right w:val="nil"/>
            </w:tcBorders>
            <w:noWrap/>
            <w:hideMark/>
          </w:tcPr>
          <w:p w14:paraId="1A165099" w14:textId="77777777" w:rsidR="0033396C" w:rsidRPr="00B075FE" w:rsidRDefault="0033396C" w:rsidP="00921131">
            <w:pPr>
              <w:rPr>
                <w:rFonts w:ascii="Segoe UI" w:hAnsi="Segoe UI" w:cs="Segoe UI"/>
                <w:sz w:val="16"/>
                <w:szCs w:val="16"/>
              </w:rPr>
            </w:pPr>
          </w:p>
        </w:tc>
        <w:tc>
          <w:tcPr>
            <w:tcW w:w="0" w:type="auto"/>
            <w:tcBorders>
              <w:top w:val="nil"/>
              <w:left w:val="nil"/>
              <w:bottom w:val="nil"/>
              <w:right w:val="nil"/>
            </w:tcBorders>
            <w:noWrap/>
            <w:vAlign w:val="center"/>
            <w:hideMark/>
          </w:tcPr>
          <w:p w14:paraId="651EBA92"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Yes</w:t>
            </w:r>
          </w:p>
        </w:tc>
        <w:tc>
          <w:tcPr>
            <w:tcW w:w="0" w:type="auto"/>
            <w:tcBorders>
              <w:top w:val="nil"/>
              <w:left w:val="nil"/>
              <w:bottom w:val="nil"/>
              <w:right w:val="nil"/>
            </w:tcBorders>
            <w:noWrap/>
            <w:vAlign w:val="center"/>
            <w:hideMark/>
          </w:tcPr>
          <w:p w14:paraId="66E86DB2"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1265/1268 (99.8%)</w:t>
            </w:r>
          </w:p>
        </w:tc>
        <w:tc>
          <w:tcPr>
            <w:tcW w:w="0" w:type="auto"/>
            <w:tcBorders>
              <w:top w:val="nil"/>
              <w:left w:val="nil"/>
              <w:bottom w:val="nil"/>
              <w:right w:val="nil"/>
            </w:tcBorders>
            <w:noWrap/>
            <w:vAlign w:val="center"/>
            <w:hideMark/>
          </w:tcPr>
          <w:p w14:paraId="7DC52CC3"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200/205 (97.6%)</w:t>
            </w:r>
          </w:p>
        </w:tc>
        <w:tc>
          <w:tcPr>
            <w:tcW w:w="0" w:type="auto"/>
            <w:tcBorders>
              <w:top w:val="nil"/>
              <w:left w:val="nil"/>
              <w:bottom w:val="nil"/>
              <w:right w:val="nil"/>
            </w:tcBorders>
            <w:noWrap/>
            <w:vAlign w:val="center"/>
            <w:hideMark/>
          </w:tcPr>
          <w:p w14:paraId="105332A6"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784/784 (100.0%)</w:t>
            </w:r>
          </w:p>
        </w:tc>
        <w:tc>
          <w:tcPr>
            <w:tcW w:w="0" w:type="auto"/>
            <w:tcBorders>
              <w:top w:val="nil"/>
              <w:left w:val="nil"/>
              <w:bottom w:val="nil"/>
              <w:right w:val="nil"/>
            </w:tcBorders>
            <w:noWrap/>
            <w:vAlign w:val="center"/>
            <w:hideMark/>
          </w:tcPr>
          <w:p w14:paraId="62CABCE1"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145/145 (100.0%)</w:t>
            </w:r>
          </w:p>
        </w:tc>
        <w:tc>
          <w:tcPr>
            <w:tcW w:w="0" w:type="auto"/>
            <w:tcBorders>
              <w:top w:val="nil"/>
              <w:left w:val="nil"/>
              <w:bottom w:val="nil"/>
              <w:right w:val="nil"/>
            </w:tcBorders>
            <w:noWrap/>
            <w:vAlign w:val="center"/>
            <w:hideMark/>
          </w:tcPr>
          <w:p w14:paraId="16BCF4E2"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481/484 (99.4%)</w:t>
            </w:r>
          </w:p>
        </w:tc>
        <w:tc>
          <w:tcPr>
            <w:tcW w:w="0" w:type="auto"/>
            <w:tcBorders>
              <w:top w:val="nil"/>
              <w:left w:val="nil"/>
              <w:bottom w:val="nil"/>
              <w:right w:val="nil"/>
            </w:tcBorders>
            <w:noWrap/>
            <w:vAlign w:val="center"/>
            <w:hideMark/>
          </w:tcPr>
          <w:p w14:paraId="6A0B4037"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55/60 (91.7%)</w:t>
            </w:r>
          </w:p>
        </w:tc>
      </w:tr>
      <w:tr w:rsidR="0033396C" w:rsidRPr="00B075FE" w14:paraId="231629B4" w14:textId="77777777" w:rsidTr="00921131">
        <w:trPr>
          <w:trHeight w:val="288"/>
        </w:trPr>
        <w:tc>
          <w:tcPr>
            <w:tcW w:w="0" w:type="auto"/>
            <w:vMerge/>
            <w:tcBorders>
              <w:top w:val="nil"/>
              <w:left w:val="nil"/>
              <w:bottom w:val="nil"/>
              <w:right w:val="nil"/>
            </w:tcBorders>
            <w:noWrap/>
            <w:hideMark/>
          </w:tcPr>
          <w:p w14:paraId="67AA9E8D" w14:textId="77777777" w:rsidR="0033396C" w:rsidRPr="00B075FE" w:rsidRDefault="0033396C" w:rsidP="00921131">
            <w:pPr>
              <w:rPr>
                <w:rFonts w:ascii="Segoe UI" w:hAnsi="Segoe UI" w:cs="Segoe UI"/>
                <w:sz w:val="16"/>
                <w:szCs w:val="16"/>
              </w:rPr>
            </w:pPr>
          </w:p>
        </w:tc>
        <w:tc>
          <w:tcPr>
            <w:tcW w:w="0" w:type="auto"/>
            <w:tcBorders>
              <w:top w:val="nil"/>
              <w:left w:val="nil"/>
              <w:bottom w:val="nil"/>
              <w:right w:val="nil"/>
            </w:tcBorders>
            <w:noWrap/>
            <w:vAlign w:val="center"/>
            <w:hideMark/>
          </w:tcPr>
          <w:p w14:paraId="17916449"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Unknown</w:t>
            </w:r>
          </w:p>
        </w:tc>
        <w:tc>
          <w:tcPr>
            <w:tcW w:w="0" w:type="auto"/>
            <w:gridSpan w:val="2"/>
            <w:tcBorders>
              <w:top w:val="nil"/>
              <w:left w:val="nil"/>
              <w:bottom w:val="nil"/>
              <w:right w:val="nil"/>
            </w:tcBorders>
            <w:noWrap/>
            <w:vAlign w:val="center"/>
            <w:hideMark/>
          </w:tcPr>
          <w:p w14:paraId="3FC10EEC"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412</w:t>
            </w:r>
          </w:p>
        </w:tc>
        <w:tc>
          <w:tcPr>
            <w:tcW w:w="0" w:type="auto"/>
            <w:gridSpan w:val="2"/>
            <w:tcBorders>
              <w:top w:val="nil"/>
              <w:left w:val="nil"/>
              <w:bottom w:val="nil"/>
              <w:right w:val="nil"/>
            </w:tcBorders>
            <w:noWrap/>
            <w:vAlign w:val="center"/>
            <w:hideMark/>
          </w:tcPr>
          <w:p w14:paraId="6C665BBC"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w:t>
            </w:r>
          </w:p>
        </w:tc>
        <w:tc>
          <w:tcPr>
            <w:tcW w:w="0" w:type="auto"/>
            <w:gridSpan w:val="2"/>
            <w:tcBorders>
              <w:top w:val="nil"/>
              <w:left w:val="nil"/>
              <w:bottom w:val="nil"/>
              <w:right w:val="nil"/>
            </w:tcBorders>
            <w:noWrap/>
            <w:vAlign w:val="center"/>
            <w:hideMark/>
          </w:tcPr>
          <w:p w14:paraId="2DDA19A2"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411</w:t>
            </w:r>
          </w:p>
        </w:tc>
      </w:tr>
      <w:tr w:rsidR="0033396C" w:rsidRPr="00B075FE" w14:paraId="12D2D80A" w14:textId="77777777" w:rsidTr="00921131">
        <w:trPr>
          <w:trHeight w:val="288"/>
        </w:trPr>
        <w:tc>
          <w:tcPr>
            <w:tcW w:w="0" w:type="auto"/>
            <w:vMerge w:val="restart"/>
            <w:tcBorders>
              <w:top w:val="nil"/>
              <w:left w:val="nil"/>
              <w:bottom w:val="nil"/>
              <w:right w:val="nil"/>
            </w:tcBorders>
            <w:noWrap/>
            <w:hideMark/>
          </w:tcPr>
          <w:p w14:paraId="244AADAB" w14:textId="77777777" w:rsidR="0033396C" w:rsidRPr="00B075FE" w:rsidRDefault="0033396C" w:rsidP="00921131">
            <w:pPr>
              <w:rPr>
                <w:rFonts w:ascii="Segoe UI" w:hAnsi="Segoe UI" w:cs="Segoe UI"/>
                <w:sz w:val="16"/>
                <w:szCs w:val="16"/>
              </w:rPr>
            </w:pPr>
            <w:r w:rsidRPr="00B075FE">
              <w:rPr>
                <w:rFonts w:ascii="Segoe UI" w:hAnsi="Segoe UI" w:cs="Segoe UI"/>
                <w:sz w:val="16"/>
                <w:szCs w:val="16"/>
              </w:rPr>
              <w:t>Number of ANC Visits</w:t>
            </w:r>
          </w:p>
        </w:tc>
        <w:tc>
          <w:tcPr>
            <w:tcW w:w="0" w:type="auto"/>
            <w:tcBorders>
              <w:top w:val="nil"/>
              <w:left w:val="nil"/>
              <w:bottom w:val="nil"/>
              <w:right w:val="nil"/>
            </w:tcBorders>
            <w:noWrap/>
            <w:vAlign w:val="center"/>
            <w:hideMark/>
          </w:tcPr>
          <w:p w14:paraId="5FF53357"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Mean (SD)</w:t>
            </w:r>
          </w:p>
        </w:tc>
        <w:tc>
          <w:tcPr>
            <w:tcW w:w="0" w:type="auto"/>
            <w:tcBorders>
              <w:top w:val="nil"/>
              <w:left w:val="nil"/>
              <w:bottom w:val="nil"/>
              <w:right w:val="nil"/>
            </w:tcBorders>
            <w:noWrap/>
            <w:vAlign w:val="center"/>
            <w:hideMark/>
          </w:tcPr>
          <w:p w14:paraId="5CBF6F9D"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4.3 (1.2) [377 missing]</w:t>
            </w:r>
          </w:p>
        </w:tc>
        <w:tc>
          <w:tcPr>
            <w:tcW w:w="0" w:type="auto"/>
            <w:tcBorders>
              <w:top w:val="nil"/>
              <w:left w:val="nil"/>
              <w:bottom w:val="nil"/>
              <w:right w:val="nil"/>
            </w:tcBorders>
            <w:noWrap/>
            <w:vAlign w:val="center"/>
            <w:hideMark/>
          </w:tcPr>
          <w:p w14:paraId="3729C02A"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3.5 (1.2) [35 missing]</w:t>
            </w:r>
          </w:p>
        </w:tc>
        <w:tc>
          <w:tcPr>
            <w:tcW w:w="0" w:type="auto"/>
            <w:tcBorders>
              <w:top w:val="nil"/>
              <w:left w:val="nil"/>
              <w:bottom w:val="nil"/>
              <w:right w:val="nil"/>
            </w:tcBorders>
            <w:noWrap/>
            <w:vAlign w:val="center"/>
            <w:hideMark/>
          </w:tcPr>
          <w:p w14:paraId="57BDD4D6"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4.3 (1.2)</w:t>
            </w:r>
          </w:p>
        </w:tc>
        <w:tc>
          <w:tcPr>
            <w:tcW w:w="0" w:type="auto"/>
            <w:tcBorders>
              <w:top w:val="nil"/>
              <w:left w:val="nil"/>
              <w:bottom w:val="nil"/>
              <w:right w:val="nil"/>
            </w:tcBorders>
            <w:noWrap/>
            <w:vAlign w:val="center"/>
            <w:hideMark/>
          </w:tcPr>
          <w:p w14:paraId="289AFDD2"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3.7 (1.0) [1 missing]</w:t>
            </w:r>
          </w:p>
        </w:tc>
        <w:tc>
          <w:tcPr>
            <w:tcW w:w="0" w:type="auto"/>
            <w:tcBorders>
              <w:top w:val="nil"/>
              <w:left w:val="nil"/>
              <w:bottom w:val="nil"/>
              <w:right w:val="nil"/>
            </w:tcBorders>
            <w:noWrap/>
            <w:vAlign w:val="center"/>
            <w:hideMark/>
          </w:tcPr>
          <w:p w14:paraId="5D08203A"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4.5 (1.2) [377 missing]</w:t>
            </w:r>
          </w:p>
        </w:tc>
        <w:tc>
          <w:tcPr>
            <w:tcW w:w="0" w:type="auto"/>
            <w:tcBorders>
              <w:top w:val="nil"/>
              <w:left w:val="nil"/>
              <w:bottom w:val="nil"/>
              <w:right w:val="nil"/>
            </w:tcBorders>
            <w:noWrap/>
            <w:vAlign w:val="center"/>
            <w:hideMark/>
          </w:tcPr>
          <w:p w14:paraId="1BC94117"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3.1 (1.6) [34 missing]</w:t>
            </w:r>
          </w:p>
        </w:tc>
      </w:tr>
      <w:tr w:rsidR="0033396C" w:rsidRPr="00B075FE" w14:paraId="1297F960" w14:textId="77777777" w:rsidTr="00921131">
        <w:trPr>
          <w:trHeight w:val="288"/>
        </w:trPr>
        <w:tc>
          <w:tcPr>
            <w:tcW w:w="0" w:type="auto"/>
            <w:vMerge/>
            <w:tcBorders>
              <w:top w:val="nil"/>
              <w:left w:val="nil"/>
              <w:bottom w:val="nil"/>
              <w:right w:val="nil"/>
            </w:tcBorders>
            <w:noWrap/>
            <w:hideMark/>
          </w:tcPr>
          <w:p w14:paraId="3DB6B274" w14:textId="77777777" w:rsidR="0033396C" w:rsidRPr="00B075FE" w:rsidRDefault="0033396C" w:rsidP="00921131">
            <w:pPr>
              <w:rPr>
                <w:rFonts w:ascii="Segoe UI" w:hAnsi="Segoe UI" w:cs="Segoe UI"/>
                <w:sz w:val="16"/>
                <w:szCs w:val="16"/>
              </w:rPr>
            </w:pPr>
          </w:p>
        </w:tc>
        <w:tc>
          <w:tcPr>
            <w:tcW w:w="0" w:type="auto"/>
            <w:tcBorders>
              <w:top w:val="nil"/>
              <w:left w:val="nil"/>
              <w:bottom w:val="nil"/>
              <w:right w:val="nil"/>
            </w:tcBorders>
            <w:noWrap/>
            <w:vAlign w:val="center"/>
            <w:hideMark/>
          </w:tcPr>
          <w:p w14:paraId="24E8D62C"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&lt;4</w:t>
            </w:r>
          </w:p>
        </w:tc>
        <w:tc>
          <w:tcPr>
            <w:tcW w:w="0" w:type="auto"/>
            <w:tcBorders>
              <w:top w:val="nil"/>
              <w:left w:val="nil"/>
              <w:bottom w:val="nil"/>
              <w:right w:val="nil"/>
            </w:tcBorders>
            <w:noWrap/>
            <w:vAlign w:val="center"/>
            <w:hideMark/>
          </w:tcPr>
          <w:p w14:paraId="136D1B25"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289/1268 (22.8%)</w:t>
            </w:r>
          </w:p>
        </w:tc>
        <w:tc>
          <w:tcPr>
            <w:tcW w:w="0" w:type="auto"/>
            <w:tcBorders>
              <w:top w:val="nil"/>
              <w:left w:val="nil"/>
              <w:bottom w:val="nil"/>
              <w:right w:val="nil"/>
            </w:tcBorders>
            <w:noWrap/>
            <w:vAlign w:val="center"/>
            <w:hideMark/>
          </w:tcPr>
          <w:p w14:paraId="5BB72704"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93/205 (45.4%)</w:t>
            </w:r>
          </w:p>
        </w:tc>
        <w:tc>
          <w:tcPr>
            <w:tcW w:w="0" w:type="auto"/>
            <w:tcBorders>
              <w:top w:val="nil"/>
              <w:left w:val="nil"/>
              <w:bottom w:val="nil"/>
              <w:right w:val="nil"/>
            </w:tcBorders>
            <w:noWrap/>
            <w:vAlign w:val="center"/>
            <w:hideMark/>
          </w:tcPr>
          <w:p w14:paraId="1C60B6B9"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208/784 (26.5%)</w:t>
            </w:r>
          </w:p>
        </w:tc>
        <w:tc>
          <w:tcPr>
            <w:tcW w:w="0" w:type="auto"/>
            <w:tcBorders>
              <w:top w:val="nil"/>
              <w:left w:val="nil"/>
              <w:bottom w:val="nil"/>
              <w:right w:val="nil"/>
            </w:tcBorders>
            <w:noWrap/>
            <w:vAlign w:val="center"/>
            <w:hideMark/>
          </w:tcPr>
          <w:p w14:paraId="454E8AC2"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60/145 (41.4%)</w:t>
            </w:r>
          </w:p>
        </w:tc>
        <w:tc>
          <w:tcPr>
            <w:tcW w:w="0" w:type="auto"/>
            <w:tcBorders>
              <w:top w:val="nil"/>
              <w:left w:val="nil"/>
              <w:bottom w:val="nil"/>
              <w:right w:val="nil"/>
            </w:tcBorders>
            <w:noWrap/>
            <w:vAlign w:val="center"/>
            <w:hideMark/>
          </w:tcPr>
          <w:p w14:paraId="712E0D1D"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81/484 (16.7%)</w:t>
            </w:r>
          </w:p>
        </w:tc>
        <w:tc>
          <w:tcPr>
            <w:tcW w:w="0" w:type="auto"/>
            <w:tcBorders>
              <w:top w:val="nil"/>
              <w:left w:val="nil"/>
              <w:bottom w:val="nil"/>
              <w:right w:val="nil"/>
            </w:tcBorders>
            <w:noWrap/>
            <w:vAlign w:val="center"/>
            <w:hideMark/>
          </w:tcPr>
          <w:p w14:paraId="0EBA0D2C"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33/60 (55.0%)</w:t>
            </w:r>
          </w:p>
        </w:tc>
      </w:tr>
      <w:tr w:rsidR="0033396C" w:rsidRPr="00B075FE" w14:paraId="17DF6C4B" w14:textId="77777777" w:rsidTr="00921131">
        <w:trPr>
          <w:trHeight w:val="288"/>
        </w:trPr>
        <w:tc>
          <w:tcPr>
            <w:tcW w:w="0" w:type="auto"/>
            <w:vMerge/>
            <w:tcBorders>
              <w:top w:val="nil"/>
              <w:left w:val="nil"/>
              <w:bottom w:val="nil"/>
              <w:right w:val="nil"/>
            </w:tcBorders>
            <w:noWrap/>
            <w:hideMark/>
          </w:tcPr>
          <w:p w14:paraId="6B4687AD" w14:textId="77777777" w:rsidR="0033396C" w:rsidRPr="00B075FE" w:rsidRDefault="0033396C" w:rsidP="00921131">
            <w:pPr>
              <w:rPr>
                <w:rFonts w:ascii="Segoe UI" w:hAnsi="Segoe UI" w:cs="Segoe UI"/>
                <w:sz w:val="16"/>
                <w:szCs w:val="16"/>
              </w:rPr>
            </w:pPr>
          </w:p>
        </w:tc>
        <w:tc>
          <w:tcPr>
            <w:tcW w:w="0" w:type="auto"/>
            <w:tcBorders>
              <w:top w:val="nil"/>
              <w:left w:val="nil"/>
              <w:bottom w:val="nil"/>
              <w:right w:val="nil"/>
            </w:tcBorders>
            <w:noWrap/>
            <w:vAlign w:val="center"/>
            <w:hideMark/>
          </w:tcPr>
          <w:p w14:paraId="0BCFF3B5"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4+</w:t>
            </w:r>
          </w:p>
        </w:tc>
        <w:tc>
          <w:tcPr>
            <w:tcW w:w="0" w:type="auto"/>
            <w:tcBorders>
              <w:top w:val="nil"/>
              <w:left w:val="nil"/>
              <w:bottom w:val="nil"/>
              <w:right w:val="nil"/>
            </w:tcBorders>
            <w:noWrap/>
            <w:vAlign w:val="center"/>
            <w:hideMark/>
          </w:tcPr>
          <w:p w14:paraId="43C523F8"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979/1268 (77.2%)</w:t>
            </w:r>
          </w:p>
        </w:tc>
        <w:tc>
          <w:tcPr>
            <w:tcW w:w="0" w:type="auto"/>
            <w:tcBorders>
              <w:top w:val="nil"/>
              <w:left w:val="nil"/>
              <w:bottom w:val="nil"/>
              <w:right w:val="nil"/>
            </w:tcBorders>
            <w:noWrap/>
            <w:vAlign w:val="center"/>
            <w:hideMark/>
          </w:tcPr>
          <w:p w14:paraId="7D01CA4A"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112/205 (54.6%)</w:t>
            </w:r>
          </w:p>
        </w:tc>
        <w:tc>
          <w:tcPr>
            <w:tcW w:w="0" w:type="auto"/>
            <w:tcBorders>
              <w:top w:val="nil"/>
              <w:left w:val="nil"/>
              <w:bottom w:val="nil"/>
              <w:right w:val="nil"/>
            </w:tcBorders>
            <w:noWrap/>
            <w:vAlign w:val="center"/>
            <w:hideMark/>
          </w:tcPr>
          <w:p w14:paraId="48BA79FC"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576/784 (73.5%)</w:t>
            </w:r>
          </w:p>
        </w:tc>
        <w:tc>
          <w:tcPr>
            <w:tcW w:w="0" w:type="auto"/>
            <w:tcBorders>
              <w:top w:val="nil"/>
              <w:left w:val="nil"/>
              <w:bottom w:val="nil"/>
              <w:right w:val="nil"/>
            </w:tcBorders>
            <w:noWrap/>
            <w:vAlign w:val="center"/>
            <w:hideMark/>
          </w:tcPr>
          <w:p w14:paraId="34E69130"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85/145 (58.6%)</w:t>
            </w:r>
          </w:p>
        </w:tc>
        <w:tc>
          <w:tcPr>
            <w:tcW w:w="0" w:type="auto"/>
            <w:tcBorders>
              <w:top w:val="nil"/>
              <w:left w:val="nil"/>
              <w:bottom w:val="nil"/>
              <w:right w:val="nil"/>
            </w:tcBorders>
            <w:noWrap/>
            <w:vAlign w:val="center"/>
            <w:hideMark/>
          </w:tcPr>
          <w:p w14:paraId="0C5CB3B6"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403/484 (83.3%)</w:t>
            </w:r>
          </w:p>
        </w:tc>
        <w:tc>
          <w:tcPr>
            <w:tcW w:w="0" w:type="auto"/>
            <w:tcBorders>
              <w:top w:val="nil"/>
              <w:left w:val="nil"/>
              <w:bottom w:val="nil"/>
              <w:right w:val="nil"/>
            </w:tcBorders>
            <w:noWrap/>
            <w:vAlign w:val="center"/>
            <w:hideMark/>
          </w:tcPr>
          <w:p w14:paraId="5B66F55A"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27/60 (45.0%)</w:t>
            </w:r>
          </w:p>
        </w:tc>
      </w:tr>
      <w:tr w:rsidR="0033396C" w:rsidRPr="00B075FE" w14:paraId="52012F8E" w14:textId="77777777" w:rsidTr="00921131">
        <w:trPr>
          <w:trHeight w:val="288"/>
        </w:trPr>
        <w:tc>
          <w:tcPr>
            <w:tcW w:w="0" w:type="auto"/>
            <w:vMerge/>
            <w:tcBorders>
              <w:top w:val="nil"/>
              <w:left w:val="nil"/>
              <w:bottom w:val="nil"/>
              <w:right w:val="nil"/>
            </w:tcBorders>
            <w:noWrap/>
            <w:hideMark/>
          </w:tcPr>
          <w:p w14:paraId="714A309E" w14:textId="77777777" w:rsidR="0033396C" w:rsidRPr="00B075FE" w:rsidRDefault="0033396C" w:rsidP="00921131">
            <w:pPr>
              <w:rPr>
                <w:rFonts w:ascii="Segoe UI" w:hAnsi="Segoe UI" w:cs="Segoe UI"/>
                <w:sz w:val="16"/>
                <w:szCs w:val="16"/>
              </w:rPr>
            </w:pPr>
          </w:p>
        </w:tc>
        <w:tc>
          <w:tcPr>
            <w:tcW w:w="0" w:type="auto"/>
            <w:tcBorders>
              <w:top w:val="nil"/>
              <w:left w:val="nil"/>
              <w:bottom w:val="nil"/>
              <w:right w:val="nil"/>
            </w:tcBorders>
            <w:noWrap/>
            <w:vAlign w:val="center"/>
            <w:hideMark/>
          </w:tcPr>
          <w:p w14:paraId="46380027"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Unknown</w:t>
            </w:r>
          </w:p>
        </w:tc>
        <w:tc>
          <w:tcPr>
            <w:tcW w:w="0" w:type="auto"/>
            <w:gridSpan w:val="2"/>
            <w:tcBorders>
              <w:top w:val="nil"/>
              <w:left w:val="nil"/>
              <w:bottom w:val="nil"/>
              <w:right w:val="nil"/>
            </w:tcBorders>
            <w:noWrap/>
            <w:vAlign w:val="center"/>
            <w:hideMark/>
          </w:tcPr>
          <w:p w14:paraId="6D6AC197"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412</w:t>
            </w:r>
          </w:p>
        </w:tc>
        <w:tc>
          <w:tcPr>
            <w:tcW w:w="0" w:type="auto"/>
            <w:gridSpan w:val="2"/>
            <w:tcBorders>
              <w:top w:val="nil"/>
              <w:left w:val="nil"/>
              <w:bottom w:val="nil"/>
              <w:right w:val="nil"/>
            </w:tcBorders>
            <w:noWrap/>
            <w:vAlign w:val="center"/>
            <w:hideMark/>
          </w:tcPr>
          <w:p w14:paraId="3391AD80"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w:t>
            </w:r>
          </w:p>
        </w:tc>
        <w:tc>
          <w:tcPr>
            <w:tcW w:w="0" w:type="auto"/>
            <w:gridSpan w:val="2"/>
            <w:tcBorders>
              <w:top w:val="nil"/>
              <w:left w:val="nil"/>
              <w:bottom w:val="nil"/>
              <w:right w:val="nil"/>
            </w:tcBorders>
            <w:noWrap/>
            <w:vAlign w:val="center"/>
            <w:hideMark/>
          </w:tcPr>
          <w:p w14:paraId="76B9D3D9"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411</w:t>
            </w:r>
          </w:p>
        </w:tc>
      </w:tr>
      <w:tr w:rsidR="0033396C" w:rsidRPr="00B075FE" w14:paraId="1D0D8303" w14:textId="77777777" w:rsidTr="00921131">
        <w:trPr>
          <w:trHeight w:val="288"/>
        </w:trPr>
        <w:tc>
          <w:tcPr>
            <w:tcW w:w="0" w:type="auto"/>
            <w:vMerge w:val="restart"/>
            <w:tcBorders>
              <w:top w:val="nil"/>
              <w:left w:val="nil"/>
              <w:bottom w:val="nil"/>
              <w:right w:val="nil"/>
            </w:tcBorders>
            <w:noWrap/>
            <w:hideMark/>
          </w:tcPr>
          <w:p w14:paraId="128A4104" w14:textId="77777777" w:rsidR="0033396C" w:rsidRPr="00B075FE" w:rsidRDefault="0033396C" w:rsidP="00921131">
            <w:pPr>
              <w:rPr>
                <w:rFonts w:ascii="Segoe UI" w:hAnsi="Segoe UI" w:cs="Segoe UI"/>
                <w:sz w:val="16"/>
                <w:szCs w:val="16"/>
              </w:rPr>
            </w:pPr>
            <w:r w:rsidRPr="00B075FE">
              <w:rPr>
                <w:rFonts w:ascii="Segoe UI" w:hAnsi="Segoe UI" w:cs="Segoe UI"/>
                <w:sz w:val="16"/>
                <w:szCs w:val="16"/>
              </w:rPr>
              <w:t>Dist. home to nearest HF</w:t>
            </w:r>
          </w:p>
        </w:tc>
        <w:tc>
          <w:tcPr>
            <w:tcW w:w="0" w:type="auto"/>
            <w:tcBorders>
              <w:top w:val="nil"/>
              <w:left w:val="nil"/>
              <w:bottom w:val="nil"/>
              <w:right w:val="nil"/>
            </w:tcBorders>
            <w:noWrap/>
            <w:vAlign w:val="center"/>
            <w:hideMark/>
          </w:tcPr>
          <w:p w14:paraId="5CECF58B"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&lt;30</w:t>
            </w:r>
          </w:p>
        </w:tc>
        <w:tc>
          <w:tcPr>
            <w:tcW w:w="0" w:type="auto"/>
            <w:tcBorders>
              <w:top w:val="nil"/>
              <w:left w:val="nil"/>
              <w:bottom w:val="nil"/>
              <w:right w:val="nil"/>
            </w:tcBorders>
            <w:noWrap/>
            <w:vAlign w:val="center"/>
            <w:hideMark/>
          </w:tcPr>
          <w:p w14:paraId="0994AD17"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1453/1604 (90.6%)</w:t>
            </w:r>
          </w:p>
        </w:tc>
        <w:tc>
          <w:tcPr>
            <w:tcW w:w="0" w:type="auto"/>
            <w:tcBorders>
              <w:top w:val="nil"/>
              <w:left w:val="nil"/>
              <w:bottom w:val="nil"/>
              <w:right w:val="nil"/>
            </w:tcBorders>
            <w:noWrap/>
            <w:vAlign w:val="center"/>
            <w:hideMark/>
          </w:tcPr>
          <w:p w14:paraId="27C10BCC"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213/234 (91.0%)</w:t>
            </w:r>
          </w:p>
        </w:tc>
        <w:tc>
          <w:tcPr>
            <w:tcW w:w="0" w:type="auto"/>
            <w:tcBorders>
              <w:top w:val="nil"/>
              <w:left w:val="nil"/>
              <w:bottom w:val="nil"/>
              <w:right w:val="nil"/>
            </w:tcBorders>
            <w:noWrap/>
            <w:vAlign w:val="center"/>
            <w:hideMark/>
          </w:tcPr>
          <w:p w14:paraId="33EE4CAE"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699/745 (93.8%)</w:t>
            </w:r>
          </w:p>
        </w:tc>
        <w:tc>
          <w:tcPr>
            <w:tcW w:w="0" w:type="auto"/>
            <w:tcBorders>
              <w:top w:val="nil"/>
              <w:left w:val="nil"/>
              <w:bottom w:val="nil"/>
              <w:right w:val="nil"/>
            </w:tcBorders>
            <w:noWrap/>
            <w:vAlign w:val="center"/>
            <w:hideMark/>
          </w:tcPr>
          <w:p w14:paraId="58007232"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139/140 (99.3%)</w:t>
            </w:r>
          </w:p>
        </w:tc>
        <w:tc>
          <w:tcPr>
            <w:tcW w:w="0" w:type="auto"/>
            <w:tcBorders>
              <w:top w:val="nil"/>
              <w:left w:val="nil"/>
              <w:bottom w:val="nil"/>
              <w:right w:val="nil"/>
            </w:tcBorders>
            <w:noWrap/>
            <w:vAlign w:val="center"/>
            <w:hideMark/>
          </w:tcPr>
          <w:p w14:paraId="2429D0D7"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754/859 (87.8%)</w:t>
            </w:r>
          </w:p>
        </w:tc>
        <w:tc>
          <w:tcPr>
            <w:tcW w:w="0" w:type="auto"/>
            <w:tcBorders>
              <w:top w:val="nil"/>
              <w:left w:val="nil"/>
              <w:bottom w:val="nil"/>
              <w:right w:val="nil"/>
            </w:tcBorders>
            <w:noWrap/>
            <w:vAlign w:val="center"/>
            <w:hideMark/>
          </w:tcPr>
          <w:p w14:paraId="733D986D"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74/94 (78.7%)</w:t>
            </w:r>
          </w:p>
        </w:tc>
      </w:tr>
      <w:tr w:rsidR="0033396C" w:rsidRPr="00B075FE" w14:paraId="23E3D810" w14:textId="77777777" w:rsidTr="00921131">
        <w:trPr>
          <w:trHeight w:val="288"/>
        </w:trPr>
        <w:tc>
          <w:tcPr>
            <w:tcW w:w="0" w:type="auto"/>
            <w:vMerge/>
            <w:tcBorders>
              <w:top w:val="nil"/>
              <w:left w:val="nil"/>
              <w:bottom w:val="nil"/>
              <w:right w:val="nil"/>
            </w:tcBorders>
            <w:noWrap/>
            <w:hideMark/>
          </w:tcPr>
          <w:p w14:paraId="2A67D5D8" w14:textId="77777777" w:rsidR="0033396C" w:rsidRPr="00B075FE" w:rsidRDefault="0033396C" w:rsidP="00921131">
            <w:pPr>
              <w:rPr>
                <w:rFonts w:ascii="Segoe UI" w:hAnsi="Segoe UI" w:cs="Segoe UI"/>
                <w:sz w:val="16"/>
                <w:szCs w:val="16"/>
              </w:rPr>
            </w:pPr>
          </w:p>
        </w:tc>
        <w:tc>
          <w:tcPr>
            <w:tcW w:w="0" w:type="auto"/>
            <w:tcBorders>
              <w:top w:val="nil"/>
              <w:left w:val="nil"/>
              <w:bottom w:val="nil"/>
              <w:right w:val="nil"/>
            </w:tcBorders>
            <w:noWrap/>
            <w:vAlign w:val="center"/>
            <w:hideMark/>
          </w:tcPr>
          <w:p w14:paraId="6C838B72"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31-60</w:t>
            </w:r>
          </w:p>
        </w:tc>
        <w:tc>
          <w:tcPr>
            <w:tcW w:w="0" w:type="auto"/>
            <w:tcBorders>
              <w:top w:val="nil"/>
              <w:left w:val="nil"/>
              <w:bottom w:val="nil"/>
              <w:right w:val="nil"/>
            </w:tcBorders>
            <w:noWrap/>
            <w:vAlign w:val="center"/>
            <w:hideMark/>
          </w:tcPr>
          <w:p w14:paraId="0D89754D"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126/1604 (7.9%)</w:t>
            </w:r>
          </w:p>
        </w:tc>
        <w:tc>
          <w:tcPr>
            <w:tcW w:w="0" w:type="auto"/>
            <w:tcBorders>
              <w:top w:val="nil"/>
              <w:left w:val="nil"/>
              <w:bottom w:val="nil"/>
              <w:right w:val="nil"/>
            </w:tcBorders>
            <w:noWrap/>
            <w:vAlign w:val="center"/>
            <w:hideMark/>
          </w:tcPr>
          <w:p w14:paraId="6D65B933"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13/234 (5.6%)</w:t>
            </w:r>
          </w:p>
        </w:tc>
        <w:tc>
          <w:tcPr>
            <w:tcW w:w="0" w:type="auto"/>
            <w:tcBorders>
              <w:top w:val="nil"/>
              <w:left w:val="nil"/>
              <w:bottom w:val="nil"/>
              <w:right w:val="nil"/>
            </w:tcBorders>
            <w:noWrap/>
            <w:vAlign w:val="center"/>
            <w:hideMark/>
          </w:tcPr>
          <w:p w14:paraId="727EDC80"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42/745 (5.6%)</w:t>
            </w:r>
          </w:p>
        </w:tc>
        <w:tc>
          <w:tcPr>
            <w:tcW w:w="0" w:type="auto"/>
            <w:tcBorders>
              <w:top w:val="nil"/>
              <w:left w:val="nil"/>
              <w:bottom w:val="nil"/>
              <w:right w:val="nil"/>
            </w:tcBorders>
            <w:noWrap/>
            <w:vAlign w:val="center"/>
            <w:hideMark/>
          </w:tcPr>
          <w:p w14:paraId="07DE07D3"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0/140 (0.0%)</w:t>
            </w:r>
          </w:p>
        </w:tc>
        <w:tc>
          <w:tcPr>
            <w:tcW w:w="0" w:type="auto"/>
            <w:tcBorders>
              <w:top w:val="nil"/>
              <w:left w:val="nil"/>
              <w:bottom w:val="nil"/>
              <w:right w:val="nil"/>
            </w:tcBorders>
            <w:noWrap/>
            <w:vAlign w:val="center"/>
            <w:hideMark/>
          </w:tcPr>
          <w:p w14:paraId="6BDEDDBA"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84/859 (9.8%)</w:t>
            </w:r>
          </w:p>
        </w:tc>
        <w:tc>
          <w:tcPr>
            <w:tcW w:w="0" w:type="auto"/>
            <w:tcBorders>
              <w:top w:val="nil"/>
              <w:left w:val="nil"/>
              <w:bottom w:val="nil"/>
              <w:right w:val="nil"/>
            </w:tcBorders>
            <w:noWrap/>
            <w:vAlign w:val="center"/>
            <w:hideMark/>
          </w:tcPr>
          <w:p w14:paraId="5FED0BA0"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13/94 (13.8%)</w:t>
            </w:r>
          </w:p>
        </w:tc>
      </w:tr>
      <w:tr w:rsidR="0033396C" w:rsidRPr="00B075FE" w14:paraId="43F5EFA2" w14:textId="77777777" w:rsidTr="00921131">
        <w:trPr>
          <w:trHeight w:val="288"/>
        </w:trPr>
        <w:tc>
          <w:tcPr>
            <w:tcW w:w="0" w:type="auto"/>
            <w:vMerge/>
            <w:tcBorders>
              <w:top w:val="nil"/>
              <w:left w:val="nil"/>
              <w:bottom w:val="nil"/>
              <w:right w:val="nil"/>
            </w:tcBorders>
            <w:noWrap/>
            <w:hideMark/>
          </w:tcPr>
          <w:p w14:paraId="76E4969B" w14:textId="77777777" w:rsidR="0033396C" w:rsidRPr="00B075FE" w:rsidRDefault="0033396C" w:rsidP="00921131">
            <w:pPr>
              <w:rPr>
                <w:rFonts w:ascii="Segoe UI" w:hAnsi="Segoe UI" w:cs="Segoe UI"/>
                <w:sz w:val="16"/>
                <w:szCs w:val="16"/>
              </w:rPr>
            </w:pPr>
          </w:p>
        </w:tc>
        <w:tc>
          <w:tcPr>
            <w:tcW w:w="0" w:type="auto"/>
            <w:tcBorders>
              <w:top w:val="nil"/>
              <w:left w:val="nil"/>
              <w:bottom w:val="nil"/>
              <w:right w:val="nil"/>
            </w:tcBorders>
            <w:noWrap/>
            <w:vAlign w:val="center"/>
            <w:hideMark/>
          </w:tcPr>
          <w:p w14:paraId="3A72AC60"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61-119</w:t>
            </w:r>
          </w:p>
        </w:tc>
        <w:tc>
          <w:tcPr>
            <w:tcW w:w="0" w:type="auto"/>
            <w:tcBorders>
              <w:top w:val="nil"/>
              <w:left w:val="nil"/>
              <w:bottom w:val="nil"/>
              <w:right w:val="nil"/>
            </w:tcBorders>
            <w:noWrap/>
            <w:vAlign w:val="center"/>
            <w:hideMark/>
          </w:tcPr>
          <w:p w14:paraId="5C4BA049"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19/1604 (1.2%)</w:t>
            </w:r>
          </w:p>
        </w:tc>
        <w:tc>
          <w:tcPr>
            <w:tcW w:w="0" w:type="auto"/>
            <w:tcBorders>
              <w:top w:val="nil"/>
              <w:left w:val="nil"/>
              <w:bottom w:val="nil"/>
              <w:right w:val="nil"/>
            </w:tcBorders>
            <w:noWrap/>
            <w:vAlign w:val="center"/>
            <w:hideMark/>
          </w:tcPr>
          <w:p w14:paraId="5C510050"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4/234 (1.7%)</w:t>
            </w:r>
          </w:p>
        </w:tc>
        <w:tc>
          <w:tcPr>
            <w:tcW w:w="0" w:type="auto"/>
            <w:tcBorders>
              <w:top w:val="nil"/>
              <w:left w:val="nil"/>
              <w:bottom w:val="nil"/>
              <w:right w:val="nil"/>
            </w:tcBorders>
            <w:noWrap/>
            <w:vAlign w:val="center"/>
            <w:hideMark/>
          </w:tcPr>
          <w:p w14:paraId="2A85D734"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3/745 (0.4%)</w:t>
            </w:r>
          </w:p>
        </w:tc>
        <w:tc>
          <w:tcPr>
            <w:tcW w:w="0" w:type="auto"/>
            <w:tcBorders>
              <w:top w:val="nil"/>
              <w:left w:val="nil"/>
              <w:bottom w:val="nil"/>
              <w:right w:val="nil"/>
            </w:tcBorders>
            <w:noWrap/>
            <w:vAlign w:val="center"/>
            <w:hideMark/>
          </w:tcPr>
          <w:p w14:paraId="6B9DAD12"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0/140 (0.0%)</w:t>
            </w:r>
          </w:p>
        </w:tc>
        <w:tc>
          <w:tcPr>
            <w:tcW w:w="0" w:type="auto"/>
            <w:tcBorders>
              <w:top w:val="nil"/>
              <w:left w:val="nil"/>
              <w:bottom w:val="nil"/>
              <w:right w:val="nil"/>
            </w:tcBorders>
            <w:noWrap/>
            <w:vAlign w:val="center"/>
            <w:hideMark/>
          </w:tcPr>
          <w:p w14:paraId="1B057ACF"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16/859 (1.9%)</w:t>
            </w:r>
          </w:p>
        </w:tc>
        <w:tc>
          <w:tcPr>
            <w:tcW w:w="0" w:type="auto"/>
            <w:tcBorders>
              <w:top w:val="nil"/>
              <w:left w:val="nil"/>
              <w:bottom w:val="nil"/>
              <w:right w:val="nil"/>
            </w:tcBorders>
            <w:noWrap/>
            <w:vAlign w:val="center"/>
            <w:hideMark/>
          </w:tcPr>
          <w:p w14:paraId="3C452700"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4/94 (4.3%)</w:t>
            </w:r>
          </w:p>
        </w:tc>
      </w:tr>
      <w:tr w:rsidR="0033396C" w:rsidRPr="00B075FE" w14:paraId="04F25F10" w14:textId="77777777" w:rsidTr="00921131">
        <w:trPr>
          <w:trHeight w:val="288"/>
        </w:trPr>
        <w:tc>
          <w:tcPr>
            <w:tcW w:w="0" w:type="auto"/>
            <w:vMerge/>
            <w:tcBorders>
              <w:top w:val="nil"/>
              <w:left w:val="nil"/>
              <w:bottom w:val="nil"/>
              <w:right w:val="nil"/>
            </w:tcBorders>
            <w:noWrap/>
            <w:hideMark/>
          </w:tcPr>
          <w:p w14:paraId="4CF70260" w14:textId="77777777" w:rsidR="0033396C" w:rsidRPr="00B075FE" w:rsidRDefault="0033396C" w:rsidP="00921131">
            <w:pPr>
              <w:rPr>
                <w:rFonts w:ascii="Segoe UI" w:hAnsi="Segoe UI" w:cs="Segoe UI"/>
                <w:sz w:val="16"/>
                <w:szCs w:val="16"/>
              </w:rPr>
            </w:pPr>
          </w:p>
        </w:tc>
        <w:tc>
          <w:tcPr>
            <w:tcW w:w="0" w:type="auto"/>
            <w:tcBorders>
              <w:top w:val="nil"/>
              <w:left w:val="nil"/>
              <w:bottom w:val="nil"/>
              <w:right w:val="nil"/>
            </w:tcBorders>
            <w:noWrap/>
            <w:vAlign w:val="center"/>
            <w:hideMark/>
          </w:tcPr>
          <w:p w14:paraId="3B2305A0"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120+</w:t>
            </w:r>
          </w:p>
        </w:tc>
        <w:tc>
          <w:tcPr>
            <w:tcW w:w="0" w:type="auto"/>
            <w:tcBorders>
              <w:top w:val="nil"/>
              <w:left w:val="nil"/>
              <w:bottom w:val="nil"/>
              <w:right w:val="nil"/>
            </w:tcBorders>
            <w:noWrap/>
            <w:vAlign w:val="center"/>
            <w:hideMark/>
          </w:tcPr>
          <w:p w14:paraId="499BA26B"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6/1604 (0.4%)</w:t>
            </w:r>
          </w:p>
        </w:tc>
        <w:tc>
          <w:tcPr>
            <w:tcW w:w="0" w:type="auto"/>
            <w:tcBorders>
              <w:top w:val="nil"/>
              <w:left w:val="nil"/>
              <w:bottom w:val="nil"/>
              <w:right w:val="nil"/>
            </w:tcBorders>
            <w:noWrap/>
            <w:vAlign w:val="center"/>
            <w:hideMark/>
          </w:tcPr>
          <w:p w14:paraId="72B2ADCC"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4/234 (1.7%)</w:t>
            </w:r>
          </w:p>
        </w:tc>
        <w:tc>
          <w:tcPr>
            <w:tcW w:w="0" w:type="auto"/>
            <w:tcBorders>
              <w:top w:val="nil"/>
              <w:left w:val="nil"/>
              <w:bottom w:val="nil"/>
              <w:right w:val="nil"/>
            </w:tcBorders>
            <w:noWrap/>
            <w:vAlign w:val="center"/>
            <w:hideMark/>
          </w:tcPr>
          <w:p w14:paraId="4BC25D86"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1/745 (0.1%)</w:t>
            </w:r>
          </w:p>
        </w:tc>
        <w:tc>
          <w:tcPr>
            <w:tcW w:w="0" w:type="auto"/>
            <w:tcBorders>
              <w:top w:val="nil"/>
              <w:left w:val="nil"/>
              <w:bottom w:val="nil"/>
              <w:right w:val="nil"/>
            </w:tcBorders>
            <w:noWrap/>
            <w:vAlign w:val="center"/>
            <w:hideMark/>
          </w:tcPr>
          <w:p w14:paraId="7A8AC59A"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1/140 (0.7%)</w:t>
            </w:r>
          </w:p>
        </w:tc>
        <w:tc>
          <w:tcPr>
            <w:tcW w:w="0" w:type="auto"/>
            <w:tcBorders>
              <w:top w:val="nil"/>
              <w:left w:val="nil"/>
              <w:bottom w:val="nil"/>
              <w:right w:val="nil"/>
            </w:tcBorders>
            <w:noWrap/>
            <w:vAlign w:val="center"/>
            <w:hideMark/>
          </w:tcPr>
          <w:p w14:paraId="38CBA2AD"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5/859 (0.6%)</w:t>
            </w:r>
          </w:p>
        </w:tc>
        <w:tc>
          <w:tcPr>
            <w:tcW w:w="0" w:type="auto"/>
            <w:tcBorders>
              <w:top w:val="nil"/>
              <w:left w:val="nil"/>
              <w:bottom w:val="nil"/>
              <w:right w:val="nil"/>
            </w:tcBorders>
            <w:noWrap/>
            <w:vAlign w:val="center"/>
            <w:hideMark/>
          </w:tcPr>
          <w:p w14:paraId="772C98E4"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3/94 (3.2%)</w:t>
            </w:r>
          </w:p>
        </w:tc>
      </w:tr>
      <w:tr w:rsidR="0033396C" w:rsidRPr="00B075FE" w14:paraId="009DF1BC" w14:textId="77777777" w:rsidTr="00921131">
        <w:trPr>
          <w:trHeight w:val="288"/>
        </w:trPr>
        <w:tc>
          <w:tcPr>
            <w:tcW w:w="0" w:type="auto"/>
            <w:vMerge/>
            <w:tcBorders>
              <w:top w:val="nil"/>
              <w:left w:val="nil"/>
              <w:bottom w:val="nil"/>
              <w:right w:val="nil"/>
            </w:tcBorders>
            <w:noWrap/>
            <w:hideMark/>
          </w:tcPr>
          <w:p w14:paraId="6135A295" w14:textId="77777777" w:rsidR="0033396C" w:rsidRPr="00B075FE" w:rsidRDefault="0033396C" w:rsidP="00921131">
            <w:pPr>
              <w:rPr>
                <w:rFonts w:ascii="Segoe UI" w:hAnsi="Segoe UI" w:cs="Segoe UI"/>
                <w:sz w:val="16"/>
                <w:szCs w:val="16"/>
              </w:rPr>
            </w:pPr>
          </w:p>
        </w:tc>
        <w:tc>
          <w:tcPr>
            <w:tcW w:w="0" w:type="auto"/>
            <w:tcBorders>
              <w:top w:val="nil"/>
              <w:left w:val="nil"/>
              <w:bottom w:val="nil"/>
              <w:right w:val="nil"/>
            </w:tcBorders>
            <w:noWrap/>
            <w:vAlign w:val="center"/>
            <w:hideMark/>
          </w:tcPr>
          <w:p w14:paraId="61AB09B1"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Unknown</w:t>
            </w:r>
          </w:p>
        </w:tc>
        <w:tc>
          <w:tcPr>
            <w:tcW w:w="0" w:type="auto"/>
            <w:gridSpan w:val="2"/>
            <w:tcBorders>
              <w:top w:val="nil"/>
              <w:left w:val="nil"/>
              <w:bottom w:val="nil"/>
              <w:right w:val="nil"/>
            </w:tcBorders>
            <w:noWrap/>
            <w:vAlign w:val="center"/>
            <w:hideMark/>
          </w:tcPr>
          <w:p w14:paraId="799FA3CA"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47</w:t>
            </w:r>
          </w:p>
        </w:tc>
        <w:tc>
          <w:tcPr>
            <w:tcW w:w="0" w:type="auto"/>
            <w:gridSpan w:val="2"/>
            <w:tcBorders>
              <w:top w:val="nil"/>
              <w:left w:val="nil"/>
              <w:bottom w:val="nil"/>
              <w:right w:val="nil"/>
            </w:tcBorders>
            <w:noWrap/>
            <w:vAlign w:val="center"/>
            <w:hideMark/>
          </w:tcPr>
          <w:p w14:paraId="7C5B6A13"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45</w:t>
            </w:r>
          </w:p>
        </w:tc>
        <w:tc>
          <w:tcPr>
            <w:tcW w:w="0" w:type="auto"/>
            <w:gridSpan w:val="2"/>
            <w:tcBorders>
              <w:top w:val="nil"/>
              <w:left w:val="nil"/>
              <w:bottom w:val="nil"/>
              <w:right w:val="nil"/>
            </w:tcBorders>
            <w:noWrap/>
            <w:vAlign w:val="center"/>
            <w:hideMark/>
          </w:tcPr>
          <w:p w14:paraId="5A01581B"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2</w:t>
            </w:r>
          </w:p>
        </w:tc>
      </w:tr>
      <w:tr w:rsidR="0033396C" w:rsidRPr="00B075FE" w14:paraId="515748AE" w14:textId="77777777" w:rsidTr="00921131">
        <w:trPr>
          <w:trHeight w:val="288"/>
        </w:trPr>
        <w:tc>
          <w:tcPr>
            <w:tcW w:w="0" w:type="auto"/>
            <w:vMerge w:val="restart"/>
            <w:tcBorders>
              <w:top w:val="nil"/>
              <w:left w:val="nil"/>
              <w:bottom w:val="nil"/>
              <w:right w:val="nil"/>
            </w:tcBorders>
            <w:noWrap/>
            <w:hideMark/>
          </w:tcPr>
          <w:p w14:paraId="464F5851" w14:textId="77777777" w:rsidR="0033396C" w:rsidRPr="00B075FE" w:rsidRDefault="0033396C" w:rsidP="00921131">
            <w:pPr>
              <w:rPr>
                <w:rFonts w:ascii="Segoe UI" w:hAnsi="Segoe UI" w:cs="Segoe UI"/>
                <w:sz w:val="16"/>
                <w:szCs w:val="16"/>
              </w:rPr>
            </w:pPr>
            <w:r w:rsidRPr="00B075FE">
              <w:rPr>
                <w:rFonts w:ascii="Segoe UI" w:hAnsi="Segoe UI" w:cs="Segoe UI"/>
                <w:sz w:val="16"/>
                <w:szCs w:val="16"/>
              </w:rPr>
              <w:t>Intrapartum Transfer</w:t>
            </w:r>
          </w:p>
        </w:tc>
        <w:tc>
          <w:tcPr>
            <w:tcW w:w="0" w:type="auto"/>
            <w:tcBorders>
              <w:top w:val="nil"/>
              <w:left w:val="nil"/>
              <w:bottom w:val="nil"/>
              <w:right w:val="nil"/>
            </w:tcBorders>
            <w:noWrap/>
            <w:vAlign w:val="center"/>
            <w:hideMark/>
          </w:tcPr>
          <w:p w14:paraId="6CFBFCE8"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No</w:t>
            </w:r>
          </w:p>
        </w:tc>
        <w:tc>
          <w:tcPr>
            <w:tcW w:w="0" w:type="auto"/>
            <w:tcBorders>
              <w:top w:val="nil"/>
              <w:left w:val="nil"/>
              <w:bottom w:val="nil"/>
              <w:right w:val="nil"/>
            </w:tcBorders>
            <w:noWrap/>
            <w:vAlign w:val="center"/>
            <w:hideMark/>
          </w:tcPr>
          <w:p w14:paraId="1A2241A7"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1308/1642 (79.7%)</w:t>
            </w:r>
          </w:p>
        </w:tc>
        <w:tc>
          <w:tcPr>
            <w:tcW w:w="0" w:type="auto"/>
            <w:tcBorders>
              <w:top w:val="nil"/>
              <w:left w:val="nil"/>
              <w:bottom w:val="nil"/>
              <w:right w:val="nil"/>
            </w:tcBorders>
            <w:noWrap/>
            <w:vAlign w:val="center"/>
            <w:hideMark/>
          </w:tcPr>
          <w:p w14:paraId="2F3D5067"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129/240 (53.8%)</w:t>
            </w:r>
          </w:p>
        </w:tc>
        <w:tc>
          <w:tcPr>
            <w:tcW w:w="0" w:type="auto"/>
            <w:tcBorders>
              <w:top w:val="nil"/>
              <w:left w:val="nil"/>
              <w:bottom w:val="nil"/>
              <w:right w:val="nil"/>
            </w:tcBorders>
            <w:noWrap/>
            <w:vAlign w:val="center"/>
            <w:hideMark/>
          </w:tcPr>
          <w:p w14:paraId="5E4243C0"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744/782 (95.1%)</w:t>
            </w:r>
          </w:p>
        </w:tc>
        <w:tc>
          <w:tcPr>
            <w:tcW w:w="0" w:type="auto"/>
            <w:tcBorders>
              <w:top w:val="nil"/>
              <w:left w:val="nil"/>
              <w:bottom w:val="nil"/>
              <w:right w:val="nil"/>
            </w:tcBorders>
            <w:noWrap/>
            <w:vAlign w:val="center"/>
            <w:hideMark/>
          </w:tcPr>
          <w:p w14:paraId="2F2E0FC4"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90/146 (61.6%)</w:t>
            </w:r>
          </w:p>
        </w:tc>
        <w:tc>
          <w:tcPr>
            <w:tcW w:w="0" w:type="auto"/>
            <w:tcBorders>
              <w:top w:val="nil"/>
              <w:left w:val="nil"/>
              <w:bottom w:val="nil"/>
              <w:right w:val="nil"/>
            </w:tcBorders>
            <w:noWrap/>
            <w:vAlign w:val="center"/>
            <w:hideMark/>
          </w:tcPr>
          <w:p w14:paraId="151FA514"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564/860 (65.6%)</w:t>
            </w:r>
          </w:p>
        </w:tc>
        <w:tc>
          <w:tcPr>
            <w:tcW w:w="0" w:type="auto"/>
            <w:tcBorders>
              <w:top w:val="nil"/>
              <w:left w:val="nil"/>
              <w:bottom w:val="nil"/>
              <w:right w:val="nil"/>
            </w:tcBorders>
            <w:noWrap/>
            <w:vAlign w:val="center"/>
            <w:hideMark/>
          </w:tcPr>
          <w:p w14:paraId="7A0C9FB1"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39/94 (41.5%)</w:t>
            </w:r>
          </w:p>
        </w:tc>
      </w:tr>
      <w:tr w:rsidR="0033396C" w:rsidRPr="00B075FE" w14:paraId="313B0770" w14:textId="77777777" w:rsidTr="00921131">
        <w:trPr>
          <w:trHeight w:val="288"/>
        </w:trPr>
        <w:tc>
          <w:tcPr>
            <w:tcW w:w="0" w:type="auto"/>
            <w:vMerge/>
            <w:tcBorders>
              <w:top w:val="nil"/>
              <w:left w:val="nil"/>
              <w:bottom w:val="nil"/>
              <w:right w:val="nil"/>
            </w:tcBorders>
            <w:noWrap/>
            <w:hideMark/>
          </w:tcPr>
          <w:p w14:paraId="1C8C0CF6" w14:textId="77777777" w:rsidR="0033396C" w:rsidRPr="00B075FE" w:rsidRDefault="0033396C" w:rsidP="00921131">
            <w:pPr>
              <w:rPr>
                <w:rFonts w:ascii="Segoe UI" w:hAnsi="Segoe UI" w:cs="Segoe UI"/>
                <w:sz w:val="16"/>
                <w:szCs w:val="16"/>
              </w:rPr>
            </w:pPr>
          </w:p>
        </w:tc>
        <w:tc>
          <w:tcPr>
            <w:tcW w:w="0" w:type="auto"/>
            <w:tcBorders>
              <w:top w:val="nil"/>
              <w:left w:val="nil"/>
              <w:bottom w:val="nil"/>
              <w:right w:val="nil"/>
            </w:tcBorders>
            <w:noWrap/>
            <w:vAlign w:val="center"/>
            <w:hideMark/>
          </w:tcPr>
          <w:p w14:paraId="43D9F35D"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Yes</w:t>
            </w:r>
          </w:p>
        </w:tc>
        <w:tc>
          <w:tcPr>
            <w:tcW w:w="0" w:type="auto"/>
            <w:tcBorders>
              <w:top w:val="nil"/>
              <w:left w:val="nil"/>
              <w:bottom w:val="nil"/>
              <w:right w:val="nil"/>
            </w:tcBorders>
            <w:noWrap/>
            <w:vAlign w:val="center"/>
            <w:hideMark/>
          </w:tcPr>
          <w:p w14:paraId="1B5A00E4"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334/1642 (20.3%)</w:t>
            </w:r>
          </w:p>
        </w:tc>
        <w:tc>
          <w:tcPr>
            <w:tcW w:w="0" w:type="auto"/>
            <w:tcBorders>
              <w:top w:val="nil"/>
              <w:left w:val="nil"/>
              <w:bottom w:val="nil"/>
              <w:right w:val="nil"/>
            </w:tcBorders>
            <w:noWrap/>
            <w:vAlign w:val="center"/>
            <w:hideMark/>
          </w:tcPr>
          <w:p w14:paraId="66E0F6F4"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111/240 (46.2%)</w:t>
            </w:r>
          </w:p>
        </w:tc>
        <w:tc>
          <w:tcPr>
            <w:tcW w:w="0" w:type="auto"/>
            <w:tcBorders>
              <w:top w:val="nil"/>
              <w:left w:val="nil"/>
              <w:bottom w:val="nil"/>
              <w:right w:val="nil"/>
            </w:tcBorders>
            <w:noWrap/>
            <w:vAlign w:val="center"/>
            <w:hideMark/>
          </w:tcPr>
          <w:p w14:paraId="5F6EDD75"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38/782 (4.9%)</w:t>
            </w:r>
          </w:p>
        </w:tc>
        <w:tc>
          <w:tcPr>
            <w:tcW w:w="0" w:type="auto"/>
            <w:tcBorders>
              <w:top w:val="nil"/>
              <w:left w:val="nil"/>
              <w:bottom w:val="nil"/>
              <w:right w:val="nil"/>
            </w:tcBorders>
            <w:noWrap/>
            <w:vAlign w:val="center"/>
            <w:hideMark/>
          </w:tcPr>
          <w:p w14:paraId="3B32C425"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56/146 (38.4%)</w:t>
            </w:r>
          </w:p>
        </w:tc>
        <w:tc>
          <w:tcPr>
            <w:tcW w:w="0" w:type="auto"/>
            <w:tcBorders>
              <w:top w:val="nil"/>
              <w:left w:val="nil"/>
              <w:bottom w:val="nil"/>
              <w:right w:val="nil"/>
            </w:tcBorders>
            <w:noWrap/>
            <w:vAlign w:val="center"/>
            <w:hideMark/>
          </w:tcPr>
          <w:p w14:paraId="259B95D6"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296/860 (34.4%)</w:t>
            </w:r>
          </w:p>
        </w:tc>
        <w:tc>
          <w:tcPr>
            <w:tcW w:w="0" w:type="auto"/>
            <w:tcBorders>
              <w:top w:val="nil"/>
              <w:left w:val="nil"/>
              <w:bottom w:val="nil"/>
              <w:right w:val="nil"/>
            </w:tcBorders>
            <w:noWrap/>
            <w:vAlign w:val="center"/>
            <w:hideMark/>
          </w:tcPr>
          <w:p w14:paraId="5CCFF6C7"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55/94 (58.5%)</w:t>
            </w:r>
          </w:p>
        </w:tc>
      </w:tr>
      <w:tr w:rsidR="0033396C" w:rsidRPr="00B075FE" w14:paraId="7F91A000" w14:textId="77777777" w:rsidTr="00921131">
        <w:trPr>
          <w:trHeight w:val="288"/>
        </w:trPr>
        <w:tc>
          <w:tcPr>
            <w:tcW w:w="0" w:type="auto"/>
            <w:vMerge/>
            <w:tcBorders>
              <w:top w:val="nil"/>
              <w:left w:val="nil"/>
              <w:bottom w:val="nil"/>
              <w:right w:val="nil"/>
            </w:tcBorders>
            <w:noWrap/>
            <w:hideMark/>
          </w:tcPr>
          <w:p w14:paraId="409910AE" w14:textId="77777777" w:rsidR="0033396C" w:rsidRPr="00B075FE" w:rsidRDefault="0033396C" w:rsidP="00921131">
            <w:pPr>
              <w:rPr>
                <w:rFonts w:ascii="Segoe UI" w:hAnsi="Segoe UI" w:cs="Segoe UI"/>
                <w:sz w:val="16"/>
                <w:szCs w:val="16"/>
              </w:rPr>
            </w:pPr>
          </w:p>
        </w:tc>
        <w:tc>
          <w:tcPr>
            <w:tcW w:w="0" w:type="auto"/>
            <w:tcBorders>
              <w:top w:val="nil"/>
              <w:left w:val="nil"/>
              <w:bottom w:val="nil"/>
              <w:right w:val="nil"/>
            </w:tcBorders>
            <w:noWrap/>
            <w:vAlign w:val="center"/>
            <w:hideMark/>
          </w:tcPr>
          <w:p w14:paraId="4B21B781"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Unknown</w:t>
            </w:r>
          </w:p>
        </w:tc>
        <w:tc>
          <w:tcPr>
            <w:tcW w:w="0" w:type="auto"/>
            <w:gridSpan w:val="2"/>
            <w:tcBorders>
              <w:top w:val="nil"/>
              <w:left w:val="nil"/>
              <w:bottom w:val="nil"/>
              <w:right w:val="nil"/>
            </w:tcBorders>
            <w:noWrap/>
            <w:vAlign w:val="center"/>
            <w:hideMark/>
          </w:tcPr>
          <w:p w14:paraId="6789B6F6"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3</w:t>
            </w:r>
          </w:p>
        </w:tc>
        <w:tc>
          <w:tcPr>
            <w:tcW w:w="0" w:type="auto"/>
            <w:gridSpan w:val="2"/>
            <w:tcBorders>
              <w:top w:val="nil"/>
              <w:left w:val="nil"/>
              <w:bottom w:val="nil"/>
              <w:right w:val="nil"/>
            </w:tcBorders>
            <w:noWrap/>
            <w:vAlign w:val="center"/>
            <w:hideMark/>
          </w:tcPr>
          <w:p w14:paraId="293CF92C"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2</w:t>
            </w:r>
          </w:p>
        </w:tc>
        <w:tc>
          <w:tcPr>
            <w:tcW w:w="0" w:type="auto"/>
            <w:gridSpan w:val="2"/>
            <w:tcBorders>
              <w:top w:val="nil"/>
              <w:left w:val="nil"/>
              <w:bottom w:val="nil"/>
              <w:right w:val="nil"/>
            </w:tcBorders>
            <w:noWrap/>
            <w:vAlign w:val="center"/>
            <w:hideMark/>
          </w:tcPr>
          <w:p w14:paraId="232FE5DA"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w:t>
            </w:r>
          </w:p>
        </w:tc>
      </w:tr>
      <w:tr w:rsidR="0033396C" w:rsidRPr="00B075FE" w14:paraId="38DC411D" w14:textId="77777777" w:rsidTr="00921131">
        <w:trPr>
          <w:trHeight w:val="288"/>
        </w:trPr>
        <w:tc>
          <w:tcPr>
            <w:tcW w:w="0" w:type="auto"/>
            <w:vMerge w:val="restart"/>
            <w:tcBorders>
              <w:top w:val="nil"/>
              <w:left w:val="single" w:sz="4" w:space="0" w:color="FFFFFF" w:themeColor="background1"/>
              <w:right w:val="single" w:sz="4" w:space="0" w:color="FFFFFF" w:themeColor="background1"/>
            </w:tcBorders>
            <w:noWrap/>
            <w:hideMark/>
          </w:tcPr>
          <w:p w14:paraId="10B42EF7" w14:textId="77777777" w:rsidR="0033396C" w:rsidRPr="00B075FE" w:rsidRDefault="0033396C" w:rsidP="00921131">
            <w:pPr>
              <w:rPr>
                <w:rFonts w:ascii="Segoe UI" w:hAnsi="Segoe UI" w:cs="Segoe UI"/>
                <w:sz w:val="16"/>
                <w:szCs w:val="16"/>
              </w:rPr>
            </w:pPr>
            <w:r w:rsidRPr="00B075FE">
              <w:rPr>
                <w:rFonts w:ascii="Segoe UI" w:hAnsi="Segoe UI" w:cs="Segoe UI"/>
                <w:sz w:val="16"/>
                <w:szCs w:val="16"/>
              </w:rPr>
              <w:t>Doc. or Obstetrician Available</w:t>
            </w:r>
          </w:p>
        </w:tc>
        <w:tc>
          <w:tcPr>
            <w:tcW w:w="0" w:type="auto"/>
            <w:tcBorders>
              <w:top w:val="nil"/>
              <w:left w:val="single" w:sz="4" w:space="0" w:color="FFFFFF" w:themeColor="background1"/>
              <w:bottom w:val="single" w:sz="4" w:space="0" w:color="FFFFFF" w:themeColor="background1"/>
              <w:right w:val="single" w:sz="4" w:space="0" w:color="FFFFFF" w:themeColor="background1"/>
            </w:tcBorders>
            <w:noWrap/>
            <w:vAlign w:val="center"/>
            <w:hideMark/>
          </w:tcPr>
          <w:p w14:paraId="6B7A8315"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No</w:t>
            </w:r>
          </w:p>
        </w:tc>
        <w:tc>
          <w:tcPr>
            <w:tcW w:w="0" w:type="auto"/>
            <w:tcBorders>
              <w:top w:val="nil"/>
              <w:left w:val="single" w:sz="4" w:space="0" w:color="FFFFFF" w:themeColor="background1"/>
              <w:bottom w:val="single" w:sz="4" w:space="0" w:color="FFFFFF" w:themeColor="background1"/>
              <w:right w:val="single" w:sz="4" w:space="0" w:color="FFFFFF" w:themeColor="background1"/>
            </w:tcBorders>
            <w:noWrap/>
            <w:vAlign w:val="center"/>
            <w:hideMark/>
          </w:tcPr>
          <w:p w14:paraId="5603B629"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1141/1645 (69.4%)</w:t>
            </w:r>
          </w:p>
        </w:tc>
        <w:tc>
          <w:tcPr>
            <w:tcW w:w="0" w:type="auto"/>
            <w:tcBorders>
              <w:top w:val="nil"/>
              <w:left w:val="single" w:sz="4" w:space="0" w:color="FFFFFF" w:themeColor="background1"/>
              <w:bottom w:val="single" w:sz="4" w:space="0" w:color="FFFFFF" w:themeColor="background1"/>
              <w:right w:val="single" w:sz="4" w:space="0" w:color="FFFFFF" w:themeColor="background1"/>
            </w:tcBorders>
            <w:noWrap/>
            <w:vAlign w:val="center"/>
            <w:hideMark/>
          </w:tcPr>
          <w:p w14:paraId="677034B5"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122/240 (50.8%)</w:t>
            </w:r>
          </w:p>
        </w:tc>
        <w:tc>
          <w:tcPr>
            <w:tcW w:w="0" w:type="auto"/>
            <w:tcBorders>
              <w:top w:val="nil"/>
              <w:left w:val="single" w:sz="4" w:space="0" w:color="FFFFFF" w:themeColor="background1"/>
              <w:bottom w:val="single" w:sz="4" w:space="0" w:color="FFFFFF" w:themeColor="background1"/>
              <w:right w:val="single" w:sz="4" w:space="0" w:color="FFFFFF" w:themeColor="background1"/>
            </w:tcBorders>
            <w:noWrap/>
            <w:vAlign w:val="center"/>
            <w:hideMark/>
          </w:tcPr>
          <w:p w14:paraId="56A30095"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423/784 (54.0%)</w:t>
            </w:r>
          </w:p>
        </w:tc>
        <w:tc>
          <w:tcPr>
            <w:tcW w:w="0" w:type="auto"/>
            <w:tcBorders>
              <w:top w:val="nil"/>
              <w:left w:val="single" w:sz="4" w:space="0" w:color="FFFFFF" w:themeColor="background1"/>
              <w:bottom w:val="single" w:sz="4" w:space="0" w:color="FFFFFF" w:themeColor="background1"/>
              <w:right w:val="single" w:sz="4" w:space="0" w:color="FFFFFF" w:themeColor="background1"/>
            </w:tcBorders>
            <w:noWrap/>
            <w:vAlign w:val="center"/>
            <w:hideMark/>
          </w:tcPr>
          <w:p w14:paraId="465A457F"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65/146 (44.5%)</w:t>
            </w:r>
          </w:p>
        </w:tc>
        <w:tc>
          <w:tcPr>
            <w:tcW w:w="0" w:type="auto"/>
            <w:tcBorders>
              <w:top w:val="nil"/>
              <w:left w:val="single" w:sz="4" w:space="0" w:color="FFFFFF" w:themeColor="background1"/>
              <w:bottom w:val="single" w:sz="4" w:space="0" w:color="FFFFFF" w:themeColor="background1"/>
              <w:right w:val="single" w:sz="4" w:space="0" w:color="FFFFFF" w:themeColor="background1"/>
            </w:tcBorders>
            <w:noWrap/>
            <w:vAlign w:val="center"/>
            <w:hideMark/>
          </w:tcPr>
          <w:p w14:paraId="1028EC29"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718/861 (83.4%)</w:t>
            </w:r>
          </w:p>
        </w:tc>
        <w:tc>
          <w:tcPr>
            <w:tcW w:w="0" w:type="auto"/>
            <w:tcBorders>
              <w:top w:val="nil"/>
              <w:left w:val="single" w:sz="4" w:space="0" w:color="FFFFFF" w:themeColor="background1"/>
              <w:bottom w:val="single" w:sz="4" w:space="0" w:color="FFFFFF" w:themeColor="background1"/>
              <w:right w:val="single" w:sz="4" w:space="0" w:color="FFFFFF" w:themeColor="background1"/>
            </w:tcBorders>
            <w:noWrap/>
            <w:vAlign w:val="center"/>
            <w:hideMark/>
          </w:tcPr>
          <w:p w14:paraId="0CF89E44"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57/94 (60.6%)</w:t>
            </w:r>
          </w:p>
        </w:tc>
      </w:tr>
      <w:tr w:rsidR="0033396C" w:rsidRPr="00B075FE" w14:paraId="5B5037C3" w14:textId="77777777" w:rsidTr="00921131">
        <w:trPr>
          <w:trHeight w:val="288"/>
        </w:trPr>
        <w:tc>
          <w:tcPr>
            <w:tcW w:w="0" w:type="auto"/>
            <w:vMerge/>
            <w:tcBorders>
              <w:left w:val="single" w:sz="4" w:space="0" w:color="FFFFFF" w:themeColor="background1"/>
              <w:right w:val="single" w:sz="4" w:space="0" w:color="FFFFFF" w:themeColor="background1"/>
            </w:tcBorders>
            <w:noWrap/>
            <w:hideMark/>
          </w:tcPr>
          <w:p w14:paraId="74BAC807" w14:textId="77777777" w:rsidR="0033396C" w:rsidRPr="00B075FE" w:rsidRDefault="0033396C" w:rsidP="00921131">
            <w:pPr>
              <w:rPr>
                <w:rFonts w:ascii="Segoe UI" w:hAnsi="Segoe UI" w:cs="Segoe UI"/>
                <w:sz w:val="16"/>
                <w:szCs w:val="16"/>
              </w:rPr>
            </w:pPr>
          </w:p>
        </w:tc>
        <w:tc>
          <w:tcPr>
            <w:tcW w:w="0" w:type="auto"/>
            <w:tcBorders>
              <w:top w:val="single" w:sz="4" w:space="0" w:color="FFFFFF" w:themeColor="background1"/>
              <w:left w:val="single" w:sz="4" w:space="0" w:color="FFFFFF" w:themeColor="background1"/>
              <w:right w:val="single" w:sz="4" w:space="0" w:color="FFFFFF" w:themeColor="background1"/>
            </w:tcBorders>
            <w:noWrap/>
            <w:vAlign w:val="center"/>
            <w:hideMark/>
          </w:tcPr>
          <w:p w14:paraId="3C98B439" w14:textId="77777777" w:rsidR="0033396C" w:rsidRPr="00B075FE" w:rsidRDefault="0033396C" w:rsidP="00921131">
            <w:pPr>
              <w:jc w:val="right"/>
              <w:rPr>
                <w:rFonts w:ascii="Segoe UI" w:hAnsi="Segoe UI" w:cs="Segoe UI"/>
                <w:sz w:val="16"/>
                <w:szCs w:val="16"/>
              </w:rPr>
            </w:pPr>
            <w:r w:rsidRPr="00B075FE">
              <w:rPr>
                <w:rFonts w:ascii="Segoe UI" w:hAnsi="Segoe UI" w:cs="Segoe UI"/>
                <w:sz w:val="16"/>
                <w:szCs w:val="16"/>
              </w:rPr>
              <w:t>Yes</w:t>
            </w:r>
          </w:p>
        </w:tc>
        <w:tc>
          <w:tcPr>
            <w:tcW w:w="0" w:type="auto"/>
            <w:tcBorders>
              <w:top w:val="single" w:sz="4" w:space="0" w:color="FFFFFF" w:themeColor="background1"/>
              <w:left w:val="single" w:sz="4" w:space="0" w:color="FFFFFF" w:themeColor="background1"/>
              <w:right w:val="single" w:sz="4" w:space="0" w:color="FFFFFF" w:themeColor="background1"/>
            </w:tcBorders>
            <w:noWrap/>
            <w:vAlign w:val="center"/>
            <w:hideMark/>
          </w:tcPr>
          <w:p w14:paraId="4946B5F7"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504/1645 (30.6%)</w:t>
            </w:r>
          </w:p>
        </w:tc>
        <w:tc>
          <w:tcPr>
            <w:tcW w:w="0" w:type="auto"/>
            <w:tcBorders>
              <w:top w:val="single" w:sz="4" w:space="0" w:color="FFFFFF" w:themeColor="background1"/>
              <w:left w:val="single" w:sz="4" w:space="0" w:color="FFFFFF" w:themeColor="background1"/>
              <w:right w:val="single" w:sz="4" w:space="0" w:color="FFFFFF" w:themeColor="background1"/>
            </w:tcBorders>
            <w:noWrap/>
            <w:vAlign w:val="center"/>
            <w:hideMark/>
          </w:tcPr>
          <w:p w14:paraId="38BF949B"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118/240 (49.2%)</w:t>
            </w:r>
          </w:p>
        </w:tc>
        <w:tc>
          <w:tcPr>
            <w:tcW w:w="0" w:type="auto"/>
            <w:tcBorders>
              <w:top w:val="single" w:sz="4" w:space="0" w:color="FFFFFF" w:themeColor="background1"/>
              <w:left w:val="single" w:sz="4" w:space="0" w:color="FFFFFF" w:themeColor="background1"/>
              <w:right w:val="single" w:sz="4" w:space="0" w:color="FFFFFF" w:themeColor="background1"/>
            </w:tcBorders>
            <w:noWrap/>
            <w:vAlign w:val="center"/>
            <w:hideMark/>
          </w:tcPr>
          <w:p w14:paraId="28B4C9EA"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361/784 (46.0%)</w:t>
            </w:r>
          </w:p>
        </w:tc>
        <w:tc>
          <w:tcPr>
            <w:tcW w:w="0" w:type="auto"/>
            <w:tcBorders>
              <w:top w:val="single" w:sz="4" w:space="0" w:color="FFFFFF" w:themeColor="background1"/>
              <w:left w:val="single" w:sz="4" w:space="0" w:color="FFFFFF" w:themeColor="background1"/>
              <w:right w:val="single" w:sz="4" w:space="0" w:color="FFFFFF" w:themeColor="background1"/>
            </w:tcBorders>
            <w:noWrap/>
            <w:vAlign w:val="center"/>
            <w:hideMark/>
          </w:tcPr>
          <w:p w14:paraId="3AB2D40D"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81/146 (55.5%)</w:t>
            </w:r>
          </w:p>
        </w:tc>
        <w:tc>
          <w:tcPr>
            <w:tcW w:w="0" w:type="auto"/>
            <w:tcBorders>
              <w:top w:val="single" w:sz="4" w:space="0" w:color="FFFFFF" w:themeColor="background1"/>
              <w:left w:val="single" w:sz="4" w:space="0" w:color="FFFFFF" w:themeColor="background1"/>
              <w:right w:val="single" w:sz="4" w:space="0" w:color="FFFFFF" w:themeColor="background1"/>
            </w:tcBorders>
            <w:noWrap/>
            <w:vAlign w:val="center"/>
            <w:hideMark/>
          </w:tcPr>
          <w:p w14:paraId="797DB97B"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143/861 (16.6%)</w:t>
            </w:r>
          </w:p>
        </w:tc>
        <w:tc>
          <w:tcPr>
            <w:tcW w:w="0" w:type="auto"/>
            <w:tcBorders>
              <w:top w:val="single" w:sz="4" w:space="0" w:color="FFFFFF" w:themeColor="background1"/>
              <w:left w:val="single" w:sz="4" w:space="0" w:color="FFFFFF" w:themeColor="background1"/>
              <w:right w:val="single" w:sz="4" w:space="0" w:color="FFFFFF" w:themeColor="background1"/>
            </w:tcBorders>
            <w:noWrap/>
            <w:vAlign w:val="center"/>
            <w:hideMark/>
          </w:tcPr>
          <w:p w14:paraId="67419DD1" w14:textId="77777777" w:rsidR="0033396C" w:rsidRPr="00B075FE" w:rsidRDefault="0033396C" w:rsidP="00921131">
            <w:pPr>
              <w:jc w:val="center"/>
              <w:rPr>
                <w:rFonts w:ascii="Segoe UI" w:hAnsi="Segoe UI" w:cs="Segoe UI"/>
                <w:sz w:val="16"/>
                <w:szCs w:val="16"/>
              </w:rPr>
            </w:pPr>
            <w:r w:rsidRPr="00B075FE">
              <w:rPr>
                <w:rFonts w:ascii="Segoe UI" w:hAnsi="Segoe UI" w:cs="Segoe UI"/>
                <w:sz w:val="16"/>
                <w:szCs w:val="16"/>
              </w:rPr>
              <w:t>37/94 (39.4%)</w:t>
            </w:r>
          </w:p>
        </w:tc>
      </w:tr>
      <w:bookmarkEnd w:id="7"/>
    </w:tbl>
    <w:p w14:paraId="4B3CCEF0" w14:textId="6AFDE8F9" w:rsidR="006C3FB6" w:rsidRDefault="006C3FB6" w:rsidP="00093ABE"/>
    <w:p w14:paraId="00C436EA" w14:textId="77777777" w:rsidR="0033396C" w:rsidRDefault="0033396C" w:rsidP="00093ABE">
      <w:pPr>
        <w:sectPr w:rsidR="0033396C" w:rsidSect="0033396C">
          <w:pgSz w:w="16838" w:h="11906" w:orient="landscape"/>
          <w:pgMar w:top="1440" w:right="1440" w:bottom="1440" w:left="1440" w:header="708" w:footer="708" w:gutter="0"/>
          <w:cols w:space="708"/>
          <w:docGrid w:linePitch="360"/>
        </w:sectPr>
      </w:pPr>
    </w:p>
    <w:p w14:paraId="2BC7C56B" w14:textId="77777777" w:rsidR="0033396C" w:rsidRPr="006C3FB6" w:rsidRDefault="0033396C" w:rsidP="0033396C">
      <w:pPr>
        <w:rPr>
          <w:b/>
        </w:rPr>
      </w:pPr>
      <w:r>
        <w:rPr>
          <w:b/>
        </w:rPr>
        <w:lastRenderedPageBreak/>
        <w:t xml:space="preserve">S1. </w:t>
      </w:r>
      <w:r w:rsidRPr="00DD2F28">
        <w:rPr>
          <w:bCs/>
        </w:rPr>
        <w:t>Participant demographics: interview study</w:t>
      </w:r>
    </w:p>
    <w:tbl>
      <w:tblPr>
        <w:tblStyle w:val="PlainTable21"/>
        <w:tblW w:w="0" w:type="auto"/>
        <w:tblLayout w:type="fixed"/>
        <w:tblLook w:val="04A0" w:firstRow="1" w:lastRow="0" w:firstColumn="1" w:lastColumn="0" w:noHBand="0" w:noVBand="1"/>
      </w:tblPr>
      <w:tblGrid>
        <w:gridCol w:w="1951"/>
        <w:gridCol w:w="1822"/>
        <w:gridCol w:w="1823"/>
        <w:gridCol w:w="1823"/>
        <w:gridCol w:w="1823"/>
      </w:tblGrid>
      <w:tr w:rsidR="0033396C" w:rsidRPr="0038555B" w14:paraId="22B50708" w14:textId="77777777" w:rsidTr="00921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9ED5943" w14:textId="77777777" w:rsidR="0033396C" w:rsidRPr="00971F8F" w:rsidRDefault="0033396C" w:rsidP="00921131">
            <w:pPr>
              <w:rPr>
                <w:sz w:val="20"/>
                <w:szCs w:val="20"/>
              </w:rPr>
            </w:pPr>
          </w:p>
        </w:tc>
        <w:tc>
          <w:tcPr>
            <w:tcW w:w="3645" w:type="dxa"/>
            <w:gridSpan w:val="2"/>
          </w:tcPr>
          <w:p w14:paraId="11862C72" w14:textId="77777777" w:rsidR="0033396C" w:rsidRPr="00971F8F" w:rsidRDefault="0033396C" w:rsidP="0092113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971F8F">
              <w:rPr>
                <w:b w:val="0"/>
                <w:sz w:val="20"/>
                <w:szCs w:val="20"/>
              </w:rPr>
              <w:t>Tanzania</w:t>
            </w:r>
          </w:p>
        </w:tc>
        <w:tc>
          <w:tcPr>
            <w:tcW w:w="3646" w:type="dxa"/>
            <w:gridSpan w:val="2"/>
          </w:tcPr>
          <w:p w14:paraId="6363C15E" w14:textId="77777777" w:rsidR="0033396C" w:rsidRPr="00971F8F" w:rsidRDefault="0033396C" w:rsidP="0092113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971F8F">
              <w:rPr>
                <w:b w:val="0"/>
                <w:sz w:val="20"/>
                <w:szCs w:val="20"/>
              </w:rPr>
              <w:t>Zambia</w:t>
            </w:r>
          </w:p>
          <w:p w14:paraId="04FE1695" w14:textId="77777777" w:rsidR="0033396C" w:rsidRPr="00971F8F" w:rsidRDefault="0033396C" w:rsidP="00921131">
            <w:pPr>
              <w:jc w:val="center"/>
              <w:cnfStyle w:val="100000000000" w:firstRow="1" w:lastRow="0" w:firstColumn="0" w:lastColumn="0" w:oddVBand="0" w:evenVBand="0" w:oddHBand="0" w:evenHBand="0" w:firstRowFirstColumn="0" w:firstRowLastColumn="0" w:lastRowFirstColumn="0" w:lastRowLastColumn="0"/>
              <w:rPr>
                <w:b w:val="0"/>
                <w:sz w:val="20"/>
                <w:szCs w:val="20"/>
              </w:rPr>
            </w:pPr>
          </w:p>
        </w:tc>
      </w:tr>
      <w:tr w:rsidR="0033396C" w:rsidRPr="0038555B" w14:paraId="20B82357" w14:textId="77777777" w:rsidTr="0092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5DB7A87" w14:textId="77777777" w:rsidR="0033396C" w:rsidRPr="00971F8F" w:rsidRDefault="0033396C" w:rsidP="00921131">
            <w:pPr>
              <w:rPr>
                <w:sz w:val="20"/>
                <w:szCs w:val="20"/>
              </w:rPr>
            </w:pPr>
          </w:p>
        </w:tc>
        <w:tc>
          <w:tcPr>
            <w:tcW w:w="1822" w:type="dxa"/>
          </w:tcPr>
          <w:p w14:paraId="1FF83E7F"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Women</w:t>
            </w:r>
          </w:p>
          <w:p w14:paraId="1182637C"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p w14:paraId="522F3B40"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N=21</w:t>
            </w:r>
          </w:p>
        </w:tc>
        <w:tc>
          <w:tcPr>
            <w:tcW w:w="1823" w:type="dxa"/>
          </w:tcPr>
          <w:p w14:paraId="7900F0B8"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Partner</w:t>
            </w:r>
          </w:p>
          <w:p w14:paraId="341FC751"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p w14:paraId="422E4DA9"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N=</w:t>
            </w:r>
            <w:r>
              <w:rPr>
                <w:sz w:val="20"/>
                <w:szCs w:val="20"/>
              </w:rPr>
              <w:t>10</w:t>
            </w:r>
          </w:p>
        </w:tc>
        <w:tc>
          <w:tcPr>
            <w:tcW w:w="1823" w:type="dxa"/>
          </w:tcPr>
          <w:p w14:paraId="05662111"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Women</w:t>
            </w:r>
          </w:p>
          <w:p w14:paraId="3A0F4665"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p w14:paraId="770C5386"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N=27</w:t>
            </w:r>
          </w:p>
        </w:tc>
        <w:tc>
          <w:tcPr>
            <w:tcW w:w="1823" w:type="dxa"/>
          </w:tcPr>
          <w:p w14:paraId="2EED3CC8"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Partner</w:t>
            </w:r>
          </w:p>
          <w:p w14:paraId="5E419D4B"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p w14:paraId="163C41E1"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N=9</w:t>
            </w:r>
          </w:p>
        </w:tc>
      </w:tr>
      <w:tr w:rsidR="0033396C" w:rsidRPr="0038555B" w14:paraId="623C5914" w14:textId="77777777" w:rsidTr="00921131">
        <w:tc>
          <w:tcPr>
            <w:cnfStyle w:val="001000000000" w:firstRow="0" w:lastRow="0" w:firstColumn="1" w:lastColumn="0" w:oddVBand="0" w:evenVBand="0" w:oddHBand="0" w:evenHBand="0" w:firstRowFirstColumn="0" w:firstRowLastColumn="0" w:lastRowFirstColumn="0" w:lastRowLastColumn="0"/>
            <w:tcW w:w="1951" w:type="dxa"/>
            <w:tcBorders>
              <w:bottom w:val="nil"/>
            </w:tcBorders>
          </w:tcPr>
          <w:p w14:paraId="533088D6" w14:textId="77777777" w:rsidR="0033396C" w:rsidRPr="00971F8F" w:rsidRDefault="0033396C" w:rsidP="00921131">
            <w:pPr>
              <w:rPr>
                <w:b w:val="0"/>
                <w:bCs w:val="0"/>
                <w:sz w:val="20"/>
                <w:szCs w:val="20"/>
              </w:rPr>
            </w:pPr>
            <w:r w:rsidRPr="00971F8F">
              <w:rPr>
                <w:b w:val="0"/>
                <w:bCs w:val="0"/>
                <w:sz w:val="20"/>
                <w:szCs w:val="20"/>
              </w:rPr>
              <w:t xml:space="preserve">Age, median (range) </w:t>
            </w:r>
          </w:p>
        </w:tc>
        <w:tc>
          <w:tcPr>
            <w:tcW w:w="1822" w:type="dxa"/>
            <w:tcBorders>
              <w:bottom w:val="nil"/>
            </w:tcBorders>
          </w:tcPr>
          <w:p w14:paraId="07FE577B"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21 (18-41)</w:t>
            </w:r>
          </w:p>
        </w:tc>
        <w:tc>
          <w:tcPr>
            <w:tcW w:w="1823" w:type="dxa"/>
            <w:tcBorders>
              <w:bottom w:val="nil"/>
            </w:tcBorders>
          </w:tcPr>
          <w:p w14:paraId="436EC613"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32 (26-50)</w:t>
            </w:r>
          </w:p>
        </w:tc>
        <w:tc>
          <w:tcPr>
            <w:tcW w:w="1823" w:type="dxa"/>
            <w:tcBorders>
              <w:bottom w:val="nil"/>
            </w:tcBorders>
          </w:tcPr>
          <w:p w14:paraId="0BB1B02E"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24 (18-45)</w:t>
            </w:r>
          </w:p>
        </w:tc>
        <w:tc>
          <w:tcPr>
            <w:tcW w:w="1823" w:type="dxa"/>
            <w:tcBorders>
              <w:bottom w:val="nil"/>
            </w:tcBorders>
          </w:tcPr>
          <w:p w14:paraId="3AC0900E" w14:textId="77777777" w:rsidR="0033396C"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31 (25-56)</w:t>
            </w:r>
          </w:p>
          <w:p w14:paraId="08633D89"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p>
        </w:tc>
      </w:tr>
      <w:tr w:rsidR="0033396C" w:rsidRPr="0038555B" w14:paraId="5E94D6C0" w14:textId="77777777" w:rsidTr="0092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14:paraId="403249D4" w14:textId="77777777" w:rsidR="0033396C" w:rsidRPr="00971F8F" w:rsidRDefault="0033396C" w:rsidP="00921131">
            <w:pPr>
              <w:rPr>
                <w:b w:val="0"/>
                <w:bCs w:val="0"/>
                <w:sz w:val="20"/>
                <w:szCs w:val="20"/>
              </w:rPr>
            </w:pPr>
            <w:r w:rsidRPr="00971F8F">
              <w:rPr>
                <w:b w:val="0"/>
                <w:bCs w:val="0"/>
                <w:sz w:val="20"/>
                <w:szCs w:val="20"/>
              </w:rPr>
              <w:t>Marital status</w:t>
            </w:r>
          </w:p>
          <w:p w14:paraId="644723A1" w14:textId="77777777" w:rsidR="0033396C" w:rsidRPr="00971F8F" w:rsidRDefault="0033396C" w:rsidP="00921131">
            <w:pPr>
              <w:rPr>
                <w:b w:val="0"/>
                <w:bCs w:val="0"/>
                <w:sz w:val="20"/>
                <w:szCs w:val="20"/>
              </w:rPr>
            </w:pPr>
            <w:r w:rsidRPr="00971F8F">
              <w:rPr>
                <w:b w:val="0"/>
                <w:bCs w:val="0"/>
                <w:sz w:val="20"/>
                <w:szCs w:val="20"/>
              </w:rPr>
              <w:t>-Married</w:t>
            </w:r>
          </w:p>
          <w:p w14:paraId="182EBA9F" w14:textId="77777777" w:rsidR="0033396C" w:rsidRPr="00971F8F" w:rsidRDefault="0033396C" w:rsidP="00921131">
            <w:pPr>
              <w:rPr>
                <w:b w:val="0"/>
                <w:bCs w:val="0"/>
                <w:sz w:val="20"/>
                <w:szCs w:val="20"/>
              </w:rPr>
            </w:pPr>
            <w:r w:rsidRPr="00971F8F">
              <w:rPr>
                <w:b w:val="0"/>
                <w:bCs w:val="0"/>
                <w:sz w:val="20"/>
                <w:szCs w:val="20"/>
              </w:rPr>
              <w:t>-Single</w:t>
            </w:r>
          </w:p>
          <w:p w14:paraId="53BA2526" w14:textId="77777777" w:rsidR="0033396C" w:rsidRDefault="0033396C" w:rsidP="00921131">
            <w:pPr>
              <w:rPr>
                <w:sz w:val="20"/>
                <w:szCs w:val="20"/>
              </w:rPr>
            </w:pPr>
            <w:r w:rsidRPr="00971F8F">
              <w:rPr>
                <w:b w:val="0"/>
                <w:bCs w:val="0"/>
                <w:sz w:val="20"/>
                <w:szCs w:val="20"/>
              </w:rPr>
              <w:t xml:space="preserve">-Widowed </w:t>
            </w:r>
          </w:p>
          <w:p w14:paraId="27301645" w14:textId="77777777" w:rsidR="0033396C" w:rsidRPr="00971F8F" w:rsidRDefault="0033396C" w:rsidP="00921131">
            <w:pPr>
              <w:rPr>
                <w:b w:val="0"/>
                <w:bCs w:val="0"/>
                <w:sz w:val="20"/>
                <w:szCs w:val="20"/>
              </w:rPr>
            </w:pPr>
          </w:p>
        </w:tc>
        <w:tc>
          <w:tcPr>
            <w:tcW w:w="1822" w:type="dxa"/>
            <w:tcBorders>
              <w:top w:val="nil"/>
              <w:bottom w:val="nil"/>
            </w:tcBorders>
          </w:tcPr>
          <w:p w14:paraId="7AD32B61"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p w14:paraId="12343209"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21</w:t>
            </w:r>
          </w:p>
          <w:p w14:paraId="7770383E"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0</w:t>
            </w:r>
          </w:p>
          <w:p w14:paraId="272A8C79"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0</w:t>
            </w:r>
          </w:p>
        </w:tc>
        <w:tc>
          <w:tcPr>
            <w:tcW w:w="1823" w:type="dxa"/>
            <w:tcBorders>
              <w:top w:val="nil"/>
              <w:bottom w:val="nil"/>
            </w:tcBorders>
          </w:tcPr>
          <w:p w14:paraId="265BD1CE"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p w14:paraId="2B8C8921"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p w14:paraId="497580CB"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0</w:t>
            </w:r>
          </w:p>
          <w:p w14:paraId="3BDAC25D"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0</w:t>
            </w:r>
          </w:p>
        </w:tc>
        <w:tc>
          <w:tcPr>
            <w:tcW w:w="1823" w:type="dxa"/>
            <w:tcBorders>
              <w:top w:val="nil"/>
              <w:bottom w:val="nil"/>
            </w:tcBorders>
          </w:tcPr>
          <w:p w14:paraId="525F42B9"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p w14:paraId="2B8FA45A"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24</w:t>
            </w:r>
          </w:p>
          <w:p w14:paraId="40A0CED0"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3</w:t>
            </w:r>
          </w:p>
          <w:p w14:paraId="742ACB4A"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0</w:t>
            </w:r>
          </w:p>
        </w:tc>
        <w:tc>
          <w:tcPr>
            <w:tcW w:w="1823" w:type="dxa"/>
            <w:tcBorders>
              <w:top w:val="nil"/>
              <w:bottom w:val="nil"/>
            </w:tcBorders>
          </w:tcPr>
          <w:p w14:paraId="28C5CBE6"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p w14:paraId="472BED54"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9</w:t>
            </w:r>
          </w:p>
          <w:p w14:paraId="7B3C80E2"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0</w:t>
            </w:r>
          </w:p>
          <w:p w14:paraId="5B296858"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0</w:t>
            </w:r>
          </w:p>
        </w:tc>
      </w:tr>
      <w:tr w:rsidR="0033396C" w:rsidRPr="0038555B" w14:paraId="1B3B45C9" w14:textId="77777777" w:rsidTr="00921131">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14:paraId="0EFF7B57" w14:textId="77777777" w:rsidR="0033396C" w:rsidRPr="00971F8F" w:rsidRDefault="0033396C" w:rsidP="00921131">
            <w:pPr>
              <w:rPr>
                <w:b w:val="0"/>
                <w:bCs w:val="0"/>
                <w:sz w:val="20"/>
                <w:szCs w:val="20"/>
              </w:rPr>
            </w:pPr>
            <w:r w:rsidRPr="00971F8F">
              <w:rPr>
                <w:b w:val="0"/>
                <w:bCs w:val="0"/>
                <w:sz w:val="20"/>
                <w:szCs w:val="20"/>
              </w:rPr>
              <w:t>Education</w:t>
            </w:r>
          </w:p>
          <w:p w14:paraId="7A2B682F" w14:textId="77777777" w:rsidR="0033396C" w:rsidRPr="00971F8F" w:rsidRDefault="0033396C" w:rsidP="00921131">
            <w:pPr>
              <w:rPr>
                <w:b w:val="0"/>
                <w:bCs w:val="0"/>
                <w:sz w:val="20"/>
                <w:szCs w:val="20"/>
              </w:rPr>
            </w:pPr>
            <w:r w:rsidRPr="00971F8F">
              <w:rPr>
                <w:b w:val="0"/>
                <w:bCs w:val="0"/>
                <w:sz w:val="20"/>
                <w:szCs w:val="20"/>
              </w:rPr>
              <w:t>-Primary</w:t>
            </w:r>
          </w:p>
          <w:p w14:paraId="6E48BA06" w14:textId="77777777" w:rsidR="0033396C" w:rsidRPr="00971F8F" w:rsidRDefault="0033396C" w:rsidP="00921131">
            <w:pPr>
              <w:rPr>
                <w:b w:val="0"/>
                <w:bCs w:val="0"/>
                <w:sz w:val="20"/>
                <w:szCs w:val="20"/>
              </w:rPr>
            </w:pPr>
            <w:r w:rsidRPr="00971F8F">
              <w:rPr>
                <w:b w:val="0"/>
                <w:bCs w:val="0"/>
                <w:sz w:val="20"/>
                <w:szCs w:val="20"/>
              </w:rPr>
              <w:t>-Secondary</w:t>
            </w:r>
          </w:p>
          <w:p w14:paraId="77156832" w14:textId="77777777" w:rsidR="0033396C" w:rsidRPr="00971F8F" w:rsidRDefault="0033396C" w:rsidP="00921131">
            <w:pPr>
              <w:rPr>
                <w:b w:val="0"/>
                <w:bCs w:val="0"/>
                <w:sz w:val="20"/>
                <w:szCs w:val="20"/>
              </w:rPr>
            </w:pPr>
            <w:r w:rsidRPr="00971F8F">
              <w:rPr>
                <w:b w:val="0"/>
                <w:bCs w:val="0"/>
                <w:sz w:val="20"/>
                <w:szCs w:val="20"/>
              </w:rPr>
              <w:t>-College</w:t>
            </w:r>
          </w:p>
          <w:p w14:paraId="0B4B3549" w14:textId="77777777" w:rsidR="0033396C" w:rsidRPr="00971F8F" w:rsidRDefault="0033396C" w:rsidP="00921131">
            <w:pPr>
              <w:rPr>
                <w:b w:val="0"/>
                <w:bCs w:val="0"/>
                <w:sz w:val="20"/>
                <w:szCs w:val="20"/>
              </w:rPr>
            </w:pPr>
            <w:r w:rsidRPr="00971F8F">
              <w:rPr>
                <w:b w:val="0"/>
                <w:bCs w:val="0"/>
                <w:sz w:val="20"/>
                <w:szCs w:val="20"/>
              </w:rPr>
              <w:t>-Diploma</w:t>
            </w:r>
          </w:p>
          <w:p w14:paraId="5F47F361" w14:textId="77777777" w:rsidR="0033396C" w:rsidRPr="00971F8F" w:rsidRDefault="0033396C" w:rsidP="00921131">
            <w:pPr>
              <w:rPr>
                <w:b w:val="0"/>
                <w:bCs w:val="0"/>
                <w:sz w:val="20"/>
                <w:szCs w:val="20"/>
              </w:rPr>
            </w:pPr>
            <w:r w:rsidRPr="00971F8F">
              <w:rPr>
                <w:b w:val="0"/>
                <w:bCs w:val="0"/>
                <w:sz w:val="20"/>
                <w:szCs w:val="20"/>
              </w:rPr>
              <w:t>-Degree</w:t>
            </w:r>
          </w:p>
          <w:p w14:paraId="6650C37A" w14:textId="77777777" w:rsidR="0033396C" w:rsidRPr="00971F8F" w:rsidRDefault="0033396C" w:rsidP="00921131">
            <w:pPr>
              <w:rPr>
                <w:b w:val="0"/>
                <w:bCs w:val="0"/>
                <w:sz w:val="20"/>
                <w:szCs w:val="20"/>
              </w:rPr>
            </w:pPr>
            <w:r w:rsidRPr="00971F8F">
              <w:rPr>
                <w:b w:val="0"/>
                <w:bCs w:val="0"/>
                <w:sz w:val="20"/>
                <w:szCs w:val="20"/>
              </w:rPr>
              <w:t>-Other</w:t>
            </w:r>
          </w:p>
          <w:p w14:paraId="43680719" w14:textId="77777777" w:rsidR="0033396C" w:rsidRPr="00971F8F" w:rsidRDefault="0033396C" w:rsidP="00921131">
            <w:pPr>
              <w:rPr>
                <w:b w:val="0"/>
                <w:bCs w:val="0"/>
                <w:sz w:val="20"/>
                <w:szCs w:val="20"/>
              </w:rPr>
            </w:pPr>
          </w:p>
        </w:tc>
        <w:tc>
          <w:tcPr>
            <w:tcW w:w="1822" w:type="dxa"/>
            <w:tcBorders>
              <w:top w:val="nil"/>
              <w:bottom w:val="nil"/>
            </w:tcBorders>
          </w:tcPr>
          <w:p w14:paraId="08E51384"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p>
          <w:p w14:paraId="572A62BA"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5</w:t>
            </w:r>
          </w:p>
          <w:p w14:paraId="101A671E"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15</w:t>
            </w:r>
          </w:p>
          <w:p w14:paraId="5FF2B2CD"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1</w:t>
            </w:r>
          </w:p>
          <w:p w14:paraId="7CC2588E"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0</w:t>
            </w:r>
          </w:p>
          <w:p w14:paraId="46CC49FA"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0</w:t>
            </w:r>
          </w:p>
          <w:p w14:paraId="263EE88B"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0</w:t>
            </w:r>
          </w:p>
        </w:tc>
        <w:tc>
          <w:tcPr>
            <w:tcW w:w="1823" w:type="dxa"/>
            <w:tcBorders>
              <w:top w:val="nil"/>
              <w:bottom w:val="nil"/>
            </w:tcBorders>
          </w:tcPr>
          <w:p w14:paraId="566BE57A"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p>
          <w:p w14:paraId="044F5004"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1</w:t>
            </w:r>
          </w:p>
          <w:p w14:paraId="71BD62FF"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6</w:t>
            </w:r>
          </w:p>
          <w:p w14:paraId="098BBDA9"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2</w:t>
            </w:r>
          </w:p>
          <w:p w14:paraId="50F7BAF5"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0</w:t>
            </w:r>
          </w:p>
          <w:p w14:paraId="4ACC3C8B"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1</w:t>
            </w:r>
          </w:p>
          <w:p w14:paraId="183B7DC9"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0</w:t>
            </w:r>
          </w:p>
          <w:p w14:paraId="3D5540F7"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p>
        </w:tc>
        <w:tc>
          <w:tcPr>
            <w:tcW w:w="1823" w:type="dxa"/>
            <w:tcBorders>
              <w:top w:val="nil"/>
              <w:bottom w:val="nil"/>
            </w:tcBorders>
          </w:tcPr>
          <w:p w14:paraId="0AAA1F5F"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p>
          <w:p w14:paraId="3B82389C"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9</w:t>
            </w:r>
          </w:p>
          <w:p w14:paraId="0DC27BE3"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15</w:t>
            </w:r>
          </w:p>
          <w:p w14:paraId="79176451"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1</w:t>
            </w:r>
          </w:p>
          <w:p w14:paraId="117061C1"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1</w:t>
            </w:r>
          </w:p>
          <w:p w14:paraId="1F62D300"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1</w:t>
            </w:r>
          </w:p>
          <w:p w14:paraId="2D456F15"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0</w:t>
            </w:r>
          </w:p>
        </w:tc>
        <w:tc>
          <w:tcPr>
            <w:tcW w:w="1823" w:type="dxa"/>
            <w:tcBorders>
              <w:top w:val="nil"/>
              <w:bottom w:val="nil"/>
            </w:tcBorders>
          </w:tcPr>
          <w:p w14:paraId="5BC3486D"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p>
          <w:p w14:paraId="6DBE6898"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3</w:t>
            </w:r>
          </w:p>
          <w:p w14:paraId="3CBF77BF"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4</w:t>
            </w:r>
          </w:p>
          <w:p w14:paraId="18619CDA"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1</w:t>
            </w:r>
          </w:p>
          <w:p w14:paraId="73CB0F17"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0</w:t>
            </w:r>
          </w:p>
          <w:p w14:paraId="500ED286"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1</w:t>
            </w:r>
          </w:p>
          <w:p w14:paraId="63AF518B"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0</w:t>
            </w:r>
          </w:p>
          <w:p w14:paraId="57D82CCB"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p>
        </w:tc>
      </w:tr>
      <w:tr w:rsidR="0033396C" w:rsidRPr="0038555B" w14:paraId="7425F614" w14:textId="77777777" w:rsidTr="0092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14:paraId="4BF0E1EC" w14:textId="77777777" w:rsidR="0033396C" w:rsidRPr="00971F8F" w:rsidRDefault="0033396C" w:rsidP="00921131">
            <w:pPr>
              <w:rPr>
                <w:b w:val="0"/>
                <w:bCs w:val="0"/>
                <w:sz w:val="20"/>
                <w:szCs w:val="20"/>
              </w:rPr>
            </w:pPr>
            <w:r w:rsidRPr="00971F8F">
              <w:rPr>
                <w:b w:val="0"/>
                <w:bCs w:val="0"/>
                <w:sz w:val="20"/>
                <w:szCs w:val="20"/>
              </w:rPr>
              <w:t>Religion</w:t>
            </w:r>
          </w:p>
          <w:p w14:paraId="7317F386" w14:textId="77777777" w:rsidR="0033396C" w:rsidRPr="00971F8F" w:rsidRDefault="0033396C" w:rsidP="00921131">
            <w:pPr>
              <w:rPr>
                <w:b w:val="0"/>
                <w:bCs w:val="0"/>
                <w:sz w:val="20"/>
                <w:szCs w:val="20"/>
              </w:rPr>
            </w:pPr>
            <w:r w:rsidRPr="00971F8F">
              <w:rPr>
                <w:b w:val="0"/>
                <w:bCs w:val="0"/>
                <w:sz w:val="20"/>
                <w:szCs w:val="20"/>
              </w:rPr>
              <w:t>-Christian</w:t>
            </w:r>
          </w:p>
          <w:p w14:paraId="78E63EE2" w14:textId="77777777" w:rsidR="0033396C" w:rsidRPr="00971F8F" w:rsidRDefault="0033396C" w:rsidP="00921131">
            <w:pPr>
              <w:rPr>
                <w:b w:val="0"/>
                <w:bCs w:val="0"/>
                <w:sz w:val="20"/>
                <w:szCs w:val="20"/>
              </w:rPr>
            </w:pPr>
            <w:r w:rsidRPr="00971F8F">
              <w:rPr>
                <w:b w:val="0"/>
                <w:bCs w:val="0"/>
                <w:sz w:val="20"/>
                <w:szCs w:val="20"/>
              </w:rPr>
              <w:t>-Muslim</w:t>
            </w:r>
          </w:p>
        </w:tc>
        <w:tc>
          <w:tcPr>
            <w:tcW w:w="1822" w:type="dxa"/>
            <w:tcBorders>
              <w:top w:val="nil"/>
              <w:bottom w:val="nil"/>
            </w:tcBorders>
          </w:tcPr>
          <w:p w14:paraId="340750D3"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p w14:paraId="17B477B6"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21</w:t>
            </w:r>
          </w:p>
          <w:p w14:paraId="0161386B"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0</w:t>
            </w:r>
          </w:p>
        </w:tc>
        <w:tc>
          <w:tcPr>
            <w:tcW w:w="1823" w:type="dxa"/>
            <w:tcBorders>
              <w:top w:val="nil"/>
              <w:bottom w:val="nil"/>
            </w:tcBorders>
          </w:tcPr>
          <w:p w14:paraId="09BE164C"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p w14:paraId="5C6A28A4"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p w14:paraId="6FA60869"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0</w:t>
            </w:r>
          </w:p>
        </w:tc>
        <w:tc>
          <w:tcPr>
            <w:tcW w:w="1823" w:type="dxa"/>
            <w:tcBorders>
              <w:top w:val="nil"/>
              <w:bottom w:val="nil"/>
            </w:tcBorders>
          </w:tcPr>
          <w:p w14:paraId="4F9D8ACC"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p w14:paraId="69E28840"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27</w:t>
            </w:r>
          </w:p>
          <w:p w14:paraId="3291FEC7"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0</w:t>
            </w:r>
          </w:p>
        </w:tc>
        <w:tc>
          <w:tcPr>
            <w:tcW w:w="1823" w:type="dxa"/>
            <w:tcBorders>
              <w:top w:val="nil"/>
              <w:bottom w:val="nil"/>
            </w:tcBorders>
          </w:tcPr>
          <w:p w14:paraId="25E7F7FA"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p w14:paraId="4F2109EF"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p w14:paraId="4187070B"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1</w:t>
            </w:r>
          </w:p>
        </w:tc>
      </w:tr>
      <w:tr w:rsidR="0033396C" w:rsidRPr="0038555B" w14:paraId="37DC2EF9" w14:textId="77777777" w:rsidTr="00921131">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14:paraId="6F5E493C" w14:textId="77777777" w:rsidR="0033396C" w:rsidRPr="00971F8F" w:rsidRDefault="0033396C" w:rsidP="00921131">
            <w:pPr>
              <w:rPr>
                <w:b w:val="0"/>
                <w:bCs w:val="0"/>
                <w:sz w:val="20"/>
                <w:szCs w:val="20"/>
              </w:rPr>
            </w:pPr>
            <w:r w:rsidRPr="00971F8F">
              <w:rPr>
                <w:b w:val="0"/>
                <w:bCs w:val="0"/>
                <w:sz w:val="20"/>
                <w:szCs w:val="20"/>
              </w:rPr>
              <w:t>Sampling group</w:t>
            </w:r>
          </w:p>
          <w:p w14:paraId="0F2C7943" w14:textId="77777777" w:rsidR="0033396C" w:rsidRPr="00971F8F" w:rsidRDefault="0033396C" w:rsidP="00921131">
            <w:pPr>
              <w:rPr>
                <w:b w:val="0"/>
                <w:bCs w:val="0"/>
                <w:sz w:val="20"/>
                <w:szCs w:val="20"/>
              </w:rPr>
            </w:pPr>
            <w:r w:rsidRPr="00971F8F">
              <w:rPr>
                <w:b w:val="0"/>
                <w:bCs w:val="0"/>
                <w:sz w:val="20"/>
                <w:szCs w:val="20"/>
              </w:rPr>
              <w:t>-Live birth</w:t>
            </w:r>
          </w:p>
          <w:p w14:paraId="3834B98F" w14:textId="77777777" w:rsidR="0033396C" w:rsidRPr="00971F8F" w:rsidRDefault="0033396C" w:rsidP="00921131">
            <w:pPr>
              <w:rPr>
                <w:b w:val="0"/>
                <w:bCs w:val="0"/>
                <w:sz w:val="20"/>
                <w:szCs w:val="20"/>
              </w:rPr>
            </w:pPr>
            <w:r w:rsidRPr="00971F8F">
              <w:rPr>
                <w:b w:val="0"/>
                <w:bCs w:val="0"/>
                <w:sz w:val="20"/>
                <w:szCs w:val="20"/>
              </w:rPr>
              <w:t>-Stillbirth</w:t>
            </w:r>
          </w:p>
          <w:p w14:paraId="59BF81F5" w14:textId="77777777" w:rsidR="0033396C" w:rsidRPr="00971F8F" w:rsidRDefault="0033396C" w:rsidP="00921131">
            <w:pPr>
              <w:rPr>
                <w:b w:val="0"/>
                <w:bCs w:val="0"/>
                <w:sz w:val="20"/>
                <w:szCs w:val="20"/>
              </w:rPr>
            </w:pPr>
            <w:r w:rsidRPr="00971F8F">
              <w:rPr>
                <w:b w:val="0"/>
                <w:bCs w:val="0"/>
                <w:sz w:val="20"/>
                <w:szCs w:val="20"/>
              </w:rPr>
              <w:t xml:space="preserve">-Near miss </w:t>
            </w:r>
          </w:p>
        </w:tc>
        <w:tc>
          <w:tcPr>
            <w:tcW w:w="1822" w:type="dxa"/>
            <w:tcBorders>
              <w:top w:val="nil"/>
              <w:bottom w:val="nil"/>
            </w:tcBorders>
          </w:tcPr>
          <w:p w14:paraId="22E97A22"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p>
          <w:p w14:paraId="71FF33EE"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7</w:t>
            </w:r>
          </w:p>
          <w:p w14:paraId="66781989"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10</w:t>
            </w:r>
          </w:p>
          <w:p w14:paraId="28788226"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4</w:t>
            </w:r>
          </w:p>
        </w:tc>
        <w:tc>
          <w:tcPr>
            <w:tcW w:w="1823" w:type="dxa"/>
            <w:tcBorders>
              <w:top w:val="nil"/>
              <w:bottom w:val="nil"/>
            </w:tcBorders>
          </w:tcPr>
          <w:p w14:paraId="3225BC6E"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p>
          <w:p w14:paraId="6CBA8C85"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4</w:t>
            </w:r>
          </w:p>
          <w:p w14:paraId="4BADABDF"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5</w:t>
            </w:r>
          </w:p>
          <w:p w14:paraId="60A77708"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1</w:t>
            </w:r>
          </w:p>
        </w:tc>
        <w:tc>
          <w:tcPr>
            <w:tcW w:w="1823" w:type="dxa"/>
            <w:tcBorders>
              <w:top w:val="nil"/>
              <w:bottom w:val="nil"/>
            </w:tcBorders>
          </w:tcPr>
          <w:p w14:paraId="138E52C3"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p>
          <w:p w14:paraId="5609C90C"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6</w:t>
            </w:r>
          </w:p>
          <w:p w14:paraId="5072B2C4"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13</w:t>
            </w:r>
          </w:p>
          <w:p w14:paraId="5B40E823"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8</w:t>
            </w:r>
          </w:p>
        </w:tc>
        <w:tc>
          <w:tcPr>
            <w:tcW w:w="1823" w:type="dxa"/>
            <w:tcBorders>
              <w:top w:val="nil"/>
              <w:bottom w:val="nil"/>
            </w:tcBorders>
          </w:tcPr>
          <w:p w14:paraId="641665DF"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p>
          <w:p w14:paraId="4A4F1013"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3</w:t>
            </w:r>
          </w:p>
          <w:p w14:paraId="5628909A"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3</w:t>
            </w:r>
          </w:p>
          <w:p w14:paraId="6D404CC4"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r w:rsidRPr="00971F8F">
              <w:rPr>
                <w:sz w:val="20"/>
                <w:szCs w:val="20"/>
              </w:rPr>
              <w:t>3</w:t>
            </w:r>
          </w:p>
          <w:p w14:paraId="56CDFFD3" w14:textId="77777777" w:rsidR="0033396C" w:rsidRPr="00971F8F" w:rsidRDefault="0033396C" w:rsidP="00921131">
            <w:pPr>
              <w:cnfStyle w:val="000000000000" w:firstRow="0" w:lastRow="0" w:firstColumn="0" w:lastColumn="0" w:oddVBand="0" w:evenVBand="0" w:oddHBand="0" w:evenHBand="0" w:firstRowFirstColumn="0" w:firstRowLastColumn="0" w:lastRowFirstColumn="0" w:lastRowLastColumn="0"/>
              <w:rPr>
                <w:sz w:val="20"/>
                <w:szCs w:val="20"/>
              </w:rPr>
            </w:pPr>
          </w:p>
        </w:tc>
      </w:tr>
      <w:tr w:rsidR="0033396C" w:rsidRPr="0038555B" w14:paraId="06F36176" w14:textId="77777777" w:rsidTr="0092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tcBorders>
          </w:tcPr>
          <w:p w14:paraId="1502E0D3" w14:textId="77777777" w:rsidR="0033396C" w:rsidRPr="00971F8F" w:rsidRDefault="0033396C" w:rsidP="00921131">
            <w:pPr>
              <w:rPr>
                <w:b w:val="0"/>
                <w:bCs w:val="0"/>
                <w:sz w:val="20"/>
                <w:szCs w:val="20"/>
              </w:rPr>
            </w:pPr>
            <w:r w:rsidRPr="00971F8F">
              <w:rPr>
                <w:b w:val="0"/>
                <w:bCs w:val="0"/>
                <w:sz w:val="20"/>
                <w:szCs w:val="20"/>
              </w:rPr>
              <w:t>Employment</w:t>
            </w:r>
          </w:p>
          <w:p w14:paraId="2A77B461" w14:textId="77777777" w:rsidR="0033396C" w:rsidRPr="00971F8F" w:rsidRDefault="0033396C" w:rsidP="00921131">
            <w:pPr>
              <w:rPr>
                <w:b w:val="0"/>
                <w:bCs w:val="0"/>
                <w:sz w:val="20"/>
                <w:szCs w:val="20"/>
              </w:rPr>
            </w:pPr>
            <w:r w:rsidRPr="00971F8F">
              <w:rPr>
                <w:b w:val="0"/>
                <w:bCs w:val="0"/>
                <w:sz w:val="20"/>
                <w:szCs w:val="20"/>
              </w:rPr>
              <w:t>-None/housewife</w:t>
            </w:r>
          </w:p>
          <w:p w14:paraId="4D4FA9C8" w14:textId="77777777" w:rsidR="0033396C" w:rsidRPr="00971F8F" w:rsidRDefault="0033396C" w:rsidP="00921131">
            <w:pPr>
              <w:rPr>
                <w:b w:val="0"/>
                <w:bCs w:val="0"/>
                <w:sz w:val="20"/>
                <w:szCs w:val="20"/>
              </w:rPr>
            </w:pPr>
            <w:r w:rsidRPr="00971F8F">
              <w:rPr>
                <w:b w:val="0"/>
                <w:bCs w:val="0"/>
                <w:sz w:val="20"/>
                <w:szCs w:val="20"/>
              </w:rPr>
              <w:t>-Farmer</w:t>
            </w:r>
          </w:p>
          <w:p w14:paraId="04312E82" w14:textId="77777777" w:rsidR="0033396C" w:rsidRPr="00971F8F" w:rsidRDefault="0033396C" w:rsidP="00921131">
            <w:pPr>
              <w:rPr>
                <w:b w:val="0"/>
                <w:bCs w:val="0"/>
                <w:sz w:val="20"/>
                <w:szCs w:val="20"/>
              </w:rPr>
            </w:pPr>
            <w:r w:rsidRPr="00971F8F">
              <w:rPr>
                <w:b w:val="0"/>
                <w:bCs w:val="0"/>
                <w:sz w:val="20"/>
                <w:szCs w:val="20"/>
              </w:rPr>
              <w:t>-Shop worker</w:t>
            </w:r>
          </w:p>
          <w:p w14:paraId="6DD1E453" w14:textId="77777777" w:rsidR="0033396C" w:rsidRPr="00971F8F" w:rsidRDefault="0033396C" w:rsidP="00921131">
            <w:pPr>
              <w:rPr>
                <w:b w:val="0"/>
                <w:bCs w:val="0"/>
                <w:sz w:val="20"/>
                <w:szCs w:val="20"/>
              </w:rPr>
            </w:pPr>
            <w:r w:rsidRPr="00971F8F">
              <w:rPr>
                <w:b w:val="0"/>
                <w:bCs w:val="0"/>
                <w:sz w:val="20"/>
                <w:szCs w:val="20"/>
              </w:rPr>
              <w:t>-Tailor</w:t>
            </w:r>
          </w:p>
          <w:p w14:paraId="28313FB6" w14:textId="77777777" w:rsidR="0033396C" w:rsidRPr="00971F8F" w:rsidRDefault="0033396C" w:rsidP="00921131">
            <w:pPr>
              <w:rPr>
                <w:b w:val="0"/>
                <w:bCs w:val="0"/>
                <w:sz w:val="20"/>
                <w:szCs w:val="20"/>
              </w:rPr>
            </w:pPr>
            <w:r w:rsidRPr="00971F8F">
              <w:rPr>
                <w:b w:val="0"/>
                <w:bCs w:val="0"/>
                <w:sz w:val="20"/>
                <w:szCs w:val="20"/>
              </w:rPr>
              <w:t>-Clerical</w:t>
            </w:r>
          </w:p>
          <w:p w14:paraId="0465F0D4" w14:textId="77777777" w:rsidR="0033396C" w:rsidRPr="00971F8F" w:rsidRDefault="0033396C" w:rsidP="00921131">
            <w:pPr>
              <w:rPr>
                <w:b w:val="0"/>
                <w:bCs w:val="0"/>
                <w:sz w:val="20"/>
                <w:szCs w:val="20"/>
              </w:rPr>
            </w:pPr>
            <w:r w:rsidRPr="00971F8F">
              <w:rPr>
                <w:b w:val="0"/>
                <w:bCs w:val="0"/>
                <w:sz w:val="20"/>
                <w:szCs w:val="20"/>
              </w:rPr>
              <w:t xml:space="preserve">-Business </w:t>
            </w:r>
          </w:p>
          <w:p w14:paraId="55D4A1F9" w14:textId="77777777" w:rsidR="0033396C" w:rsidRPr="00971F8F" w:rsidRDefault="0033396C" w:rsidP="00921131">
            <w:pPr>
              <w:rPr>
                <w:b w:val="0"/>
                <w:bCs w:val="0"/>
                <w:sz w:val="20"/>
                <w:szCs w:val="20"/>
              </w:rPr>
            </w:pPr>
            <w:r w:rsidRPr="00971F8F">
              <w:rPr>
                <w:b w:val="0"/>
                <w:bCs w:val="0"/>
                <w:sz w:val="20"/>
                <w:szCs w:val="20"/>
              </w:rPr>
              <w:t>-Nurse/midwife</w:t>
            </w:r>
          </w:p>
          <w:p w14:paraId="5956A6B2" w14:textId="77777777" w:rsidR="0033396C" w:rsidRPr="00971F8F" w:rsidRDefault="0033396C" w:rsidP="00921131">
            <w:pPr>
              <w:rPr>
                <w:b w:val="0"/>
                <w:bCs w:val="0"/>
                <w:sz w:val="20"/>
                <w:szCs w:val="20"/>
              </w:rPr>
            </w:pPr>
          </w:p>
        </w:tc>
        <w:tc>
          <w:tcPr>
            <w:tcW w:w="1822" w:type="dxa"/>
            <w:tcBorders>
              <w:top w:val="nil"/>
            </w:tcBorders>
          </w:tcPr>
          <w:p w14:paraId="6C45E150"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p w14:paraId="4FE1B46B"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8</w:t>
            </w:r>
          </w:p>
          <w:p w14:paraId="20D35E8A"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1</w:t>
            </w:r>
          </w:p>
          <w:p w14:paraId="67DE9CA9"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3</w:t>
            </w:r>
          </w:p>
          <w:p w14:paraId="622CF900"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3</w:t>
            </w:r>
          </w:p>
          <w:p w14:paraId="72596DA2"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4</w:t>
            </w:r>
          </w:p>
          <w:p w14:paraId="6BCFCA9F"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1</w:t>
            </w:r>
          </w:p>
          <w:p w14:paraId="1D9D2FD3"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1</w:t>
            </w:r>
          </w:p>
          <w:p w14:paraId="32406115"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tc>
        <w:tc>
          <w:tcPr>
            <w:tcW w:w="1823" w:type="dxa"/>
            <w:tcBorders>
              <w:top w:val="nil"/>
            </w:tcBorders>
          </w:tcPr>
          <w:p w14:paraId="6AD93BA4"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p w14:paraId="2AD1FAB1"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1</w:t>
            </w:r>
          </w:p>
          <w:p w14:paraId="548B125F"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4</w:t>
            </w:r>
          </w:p>
          <w:p w14:paraId="764C9795"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1</w:t>
            </w:r>
          </w:p>
          <w:p w14:paraId="73601D7F"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0</w:t>
            </w:r>
          </w:p>
          <w:p w14:paraId="49588068"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0</w:t>
            </w:r>
          </w:p>
          <w:p w14:paraId="6342E594"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4</w:t>
            </w:r>
          </w:p>
          <w:p w14:paraId="186E49C4"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0</w:t>
            </w:r>
          </w:p>
          <w:p w14:paraId="5A10A65D"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tc>
        <w:tc>
          <w:tcPr>
            <w:tcW w:w="1823" w:type="dxa"/>
            <w:tcBorders>
              <w:top w:val="nil"/>
            </w:tcBorders>
          </w:tcPr>
          <w:p w14:paraId="4BCB2689"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p w14:paraId="4B922D10"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10</w:t>
            </w:r>
          </w:p>
          <w:p w14:paraId="41D789BE"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4</w:t>
            </w:r>
          </w:p>
          <w:p w14:paraId="04CC0A14"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5</w:t>
            </w:r>
          </w:p>
          <w:p w14:paraId="22AB62C1"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4</w:t>
            </w:r>
          </w:p>
          <w:p w14:paraId="23F85683"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3</w:t>
            </w:r>
          </w:p>
          <w:p w14:paraId="091BB59C"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1</w:t>
            </w:r>
          </w:p>
          <w:p w14:paraId="0712E93B"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0</w:t>
            </w:r>
          </w:p>
          <w:p w14:paraId="7B8A41D0"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tc>
        <w:tc>
          <w:tcPr>
            <w:tcW w:w="1823" w:type="dxa"/>
            <w:tcBorders>
              <w:top w:val="nil"/>
            </w:tcBorders>
          </w:tcPr>
          <w:p w14:paraId="020BD069"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p w14:paraId="1A470BC3"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0</w:t>
            </w:r>
          </w:p>
          <w:p w14:paraId="329AF37C"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4</w:t>
            </w:r>
          </w:p>
          <w:p w14:paraId="7D7BBD00"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1</w:t>
            </w:r>
          </w:p>
          <w:p w14:paraId="0F0EAADB"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0</w:t>
            </w:r>
          </w:p>
          <w:p w14:paraId="40BD3ECB"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1</w:t>
            </w:r>
          </w:p>
          <w:p w14:paraId="371EC42B"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3</w:t>
            </w:r>
          </w:p>
          <w:p w14:paraId="325877F8"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r w:rsidRPr="00971F8F">
              <w:rPr>
                <w:sz w:val="20"/>
                <w:szCs w:val="20"/>
              </w:rPr>
              <w:t>0</w:t>
            </w:r>
          </w:p>
          <w:p w14:paraId="06FF307A" w14:textId="77777777" w:rsidR="0033396C" w:rsidRPr="00971F8F" w:rsidRDefault="0033396C" w:rsidP="00921131">
            <w:pPr>
              <w:cnfStyle w:val="000000100000" w:firstRow="0" w:lastRow="0" w:firstColumn="0" w:lastColumn="0" w:oddVBand="0" w:evenVBand="0" w:oddHBand="1" w:evenHBand="0" w:firstRowFirstColumn="0" w:firstRowLastColumn="0" w:lastRowFirstColumn="0" w:lastRowLastColumn="0"/>
              <w:rPr>
                <w:sz w:val="20"/>
                <w:szCs w:val="20"/>
              </w:rPr>
            </w:pPr>
          </w:p>
        </w:tc>
      </w:tr>
    </w:tbl>
    <w:p w14:paraId="41EE94A1" w14:textId="77777777" w:rsidR="0033396C" w:rsidRDefault="0033396C" w:rsidP="0033396C"/>
    <w:p w14:paraId="29DF88A0" w14:textId="42959D66" w:rsidR="0033396C" w:rsidRDefault="0033396C" w:rsidP="00093ABE"/>
    <w:sectPr w:rsidR="003339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1F0A3" w14:textId="77777777" w:rsidR="008E10CA" w:rsidRDefault="008E10CA" w:rsidP="0085490D">
      <w:pPr>
        <w:spacing w:after="0" w:line="240" w:lineRule="auto"/>
      </w:pPr>
      <w:r>
        <w:separator/>
      </w:r>
    </w:p>
  </w:endnote>
  <w:endnote w:type="continuationSeparator" w:id="0">
    <w:p w14:paraId="72243F90" w14:textId="77777777" w:rsidR="008E10CA" w:rsidRDefault="008E10CA" w:rsidP="0085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480621"/>
      <w:docPartObj>
        <w:docPartGallery w:val="Page Numbers (Bottom of Page)"/>
        <w:docPartUnique/>
      </w:docPartObj>
    </w:sdtPr>
    <w:sdtEndPr>
      <w:rPr>
        <w:noProof/>
      </w:rPr>
    </w:sdtEndPr>
    <w:sdtContent>
      <w:p w14:paraId="09C32E24" w14:textId="106EFE6D" w:rsidR="008E10CA" w:rsidRDefault="008E10CA">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61DCA4D0" w14:textId="77777777" w:rsidR="008E10CA" w:rsidRDefault="008E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43C63" w14:textId="77777777" w:rsidR="008E10CA" w:rsidRDefault="008E10CA" w:rsidP="0085490D">
      <w:pPr>
        <w:spacing w:after="0" w:line="240" w:lineRule="auto"/>
      </w:pPr>
      <w:r>
        <w:separator/>
      </w:r>
    </w:p>
  </w:footnote>
  <w:footnote w:type="continuationSeparator" w:id="0">
    <w:p w14:paraId="52FC904E" w14:textId="77777777" w:rsidR="008E10CA" w:rsidRDefault="008E10CA" w:rsidP="0085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7CDD" w14:textId="4AB58832" w:rsidR="008E10CA" w:rsidRDefault="008E10CA">
    <w:pPr>
      <w:pStyle w:val="Header"/>
    </w:pPr>
    <w:r w:rsidRPr="00891AFB">
      <w:t xml:space="preserve">Unexplained stillbirth in </w:t>
    </w:r>
    <w:r w:rsidR="0009428D">
      <w:t>sub-Saharan Africa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83063"/>
    <w:multiLevelType w:val="hybridMultilevel"/>
    <w:tmpl w:val="60A070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857483"/>
    <w:multiLevelType w:val="hybridMultilevel"/>
    <w:tmpl w:val="642698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CB"/>
    <w:rsid w:val="0000074C"/>
    <w:rsid w:val="000059D3"/>
    <w:rsid w:val="00006B7B"/>
    <w:rsid w:val="00006D3B"/>
    <w:rsid w:val="00007C78"/>
    <w:rsid w:val="000148A2"/>
    <w:rsid w:val="00015175"/>
    <w:rsid w:val="00015CA2"/>
    <w:rsid w:val="00017E09"/>
    <w:rsid w:val="00020C64"/>
    <w:rsid w:val="000237EA"/>
    <w:rsid w:val="00023BEA"/>
    <w:rsid w:val="00024963"/>
    <w:rsid w:val="000254A8"/>
    <w:rsid w:val="00027DA5"/>
    <w:rsid w:val="000331F8"/>
    <w:rsid w:val="00037B1C"/>
    <w:rsid w:val="000404FD"/>
    <w:rsid w:val="00045077"/>
    <w:rsid w:val="00057383"/>
    <w:rsid w:val="000575DC"/>
    <w:rsid w:val="000630A7"/>
    <w:rsid w:val="00065404"/>
    <w:rsid w:val="00066256"/>
    <w:rsid w:val="00067400"/>
    <w:rsid w:val="0007379A"/>
    <w:rsid w:val="00073A06"/>
    <w:rsid w:val="0007437C"/>
    <w:rsid w:val="00074750"/>
    <w:rsid w:val="0008325A"/>
    <w:rsid w:val="00083516"/>
    <w:rsid w:val="000860E2"/>
    <w:rsid w:val="00090420"/>
    <w:rsid w:val="00090B73"/>
    <w:rsid w:val="00090E01"/>
    <w:rsid w:val="00093ABE"/>
    <w:rsid w:val="0009428D"/>
    <w:rsid w:val="000970FE"/>
    <w:rsid w:val="00097109"/>
    <w:rsid w:val="000A395F"/>
    <w:rsid w:val="000A6845"/>
    <w:rsid w:val="000B193A"/>
    <w:rsid w:val="000B2C9F"/>
    <w:rsid w:val="000B3155"/>
    <w:rsid w:val="000B42E1"/>
    <w:rsid w:val="000B5DB7"/>
    <w:rsid w:val="000D42DC"/>
    <w:rsid w:val="000E0A5E"/>
    <w:rsid w:val="000E71AB"/>
    <w:rsid w:val="000F0E85"/>
    <w:rsid w:val="000F2F37"/>
    <w:rsid w:val="000F3637"/>
    <w:rsid w:val="000F4E83"/>
    <w:rsid w:val="001009B9"/>
    <w:rsid w:val="00100D79"/>
    <w:rsid w:val="00100F38"/>
    <w:rsid w:val="0010129A"/>
    <w:rsid w:val="00111608"/>
    <w:rsid w:val="00111CA3"/>
    <w:rsid w:val="00111E61"/>
    <w:rsid w:val="001139B1"/>
    <w:rsid w:val="00114090"/>
    <w:rsid w:val="001160C7"/>
    <w:rsid w:val="00124CF0"/>
    <w:rsid w:val="001253AF"/>
    <w:rsid w:val="00127BBC"/>
    <w:rsid w:val="0013194A"/>
    <w:rsid w:val="00134BCE"/>
    <w:rsid w:val="00136608"/>
    <w:rsid w:val="001377BD"/>
    <w:rsid w:val="00145A10"/>
    <w:rsid w:val="00146251"/>
    <w:rsid w:val="00146917"/>
    <w:rsid w:val="00155878"/>
    <w:rsid w:val="0015761F"/>
    <w:rsid w:val="00160F8E"/>
    <w:rsid w:val="001657F1"/>
    <w:rsid w:val="00171D34"/>
    <w:rsid w:val="00173FA1"/>
    <w:rsid w:val="0017513B"/>
    <w:rsid w:val="00176A14"/>
    <w:rsid w:val="001824E9"/>
    <w:rsid w:val="00186AA6"/>
    <w:rsid w:val="0018787A"/>
    <w:rsid w:val="00192FBC"/>
    <w:rsid w:val="001944D0"/>
    <w:rsid w:val="001A2FDC"/>
    <w:rsid w:val="001A3D3C"/>
    <w:rsid w:val="001A74B8"/>
    <w:rsid w:val="001A7628"/>
    <w:rsid w:val="001A7A23"/>
    <w:rsid w:val="001B3C13"/>
    <w:rsid w:val="001B5A17"/>
    <w:rsid w:val="001B61BE"/>
    <w:rsid w:val="001C10AE"/>
    <w:rsid w:val="001C44AF"/>
    <w:rsid w:val="001C671B"/>
    <w:rsid w:val="001C6969"/>
    <w:rsid w:val="001D121C"/>
    <w:rsid w:val="001D20AC"/>
    <w:rsid w:val="001D7856"/>
    <w:rsid w:val="001E1B50"/>
    <w:rsid w:val="001E1E3D"/>
    <w:rsid w:val="001E5E89"/>
    <w:rsid w:val="001E625D"/>
    <w:rsid w:val="001F0847"/>
    <w:rsid w:val="001F1CC2"/>
    <w:rsid w:val="001F31B8"/>
    <w:rsid w:val="001F699D"/>
    <w:rsid w:val="002014FF"/>
    <w:rsid w:val="00201E76"/>
    <w:rsid w:val="00204BCC"/>
    <w:rsid w:val="00205754"/>
    <w:rsid w:val="00205AB3"/>
    <w:rsid w:val="00211579"/>
    <w:rsid w:val="00224566"/>
    <w:rsid w:val="00246CC7"/>
    <w:rsid w:val="00250695"/>
    <w:rsid w:val="002541F3"/>
    <w:rsid w:val="00270331"/>
    <w:rsid w:val="0027072C"/>
    <w:rsid w:val="002749B6"/>
    <w:rsid w:val="00275D21"/>
    <w:rsid w:val="00281667"/>
    <w:rsid w:val="00281E64"/>
    <w:rsid w:val="00290D28"/>
    <w:rsid w:val="002920C2"/>
    <w:rsid w:val="0029367A"/>
    <w:rsid w:val="00293B2B"/>
    <w:rsid w:val="00295353"/>
    <w:rsid w:val="002A3F58"/>
    <w:rsid w:val="002B1751"/>
    <w:rsid w:val="002B1A6B"/>
    <w:rsid w:val="002B2CC7"/>
    <w:rsid w:val="002B6F7B"/>
    <w:rsid w:val="002B7E52"/>
    <w:rsid w:val="002C178E"/>
    <w:rsid w:val="002C4616"/>
    <w:rsid w:val="002C6167"/>
    <w:rsid w:val="002C71C1"/>
    <w:rsid w:val="002D0A33"/>
    <w:rsid w:val="002D104A"/>
    <w:rsid w:val="002D133D"/>
    <w:rsid w:val="002D2EB9"/>
    <w:rsid w:val="002E1BA3"/>
    <w:rsid w:val="002E45DA"/>
    <w:rsid w:val="002F06B2"/>
    <w:rsid w:val="002F18E9"/>
    <w:rsid w:val="002F2800"/>
    <w:rsid w:val="002F4287"/>
    <w:rsid w:val="002F51AC"/>
    <w:rsid w:val="0030038F"/>
    <w:rsid w:val="00300C9A"/>
    <w:rsid w:val="00301921"/>
    <w:rsid w:val="0030423E"/>
    <w:rsid w:val="00306068"/>
    <w:rsid w:val="003102B5"/>
    <w:rsid w:val="00312911"/>
    <w:rsid w:val="00312B9F"/>
    <w:rsid w:val="00317139"/>
    <w:rsid w:val="003256DE"/>
    <w:rsid w:val="00332102"/>
    <w:rsid w:val="0033396C"/>
    <w:rsid w:val="00334FB0"/>
    <w:rsid w:val="003356D4"/>
    <w:rsid w:val="00337D80"/>
    <w:rsid w:val="00346304"/>
    <w:rsid w:val="0034643A"/>
    <w:rsid w:val="00346F71"/>
    <w:rsid w:val="0035055D"/>
    <w:rsid w:val="00350867"/>
    <w:rsid w:val="00351925"/>
    <w:rsid w:val="00366D48"/>
    <w:rsid w:val="00370490"/>
    <w:rsid w:val="00372BD5"/>
    <w:rsid w:val="00376448"/>
    <w:rsid w:val="00376C8F"/>
    <w:rsid w:val="003778B0"/>
    <w:rsid w:val="00382936"/>
    <w:rsid w:val="00385FEA"/>
    <w:rsid w:val="00390080"/>
    <w:rsid w:val="00391484"/>
    <w:rsid w:val="00395455"/>
    <w:rsid w:val="0039560C"/>
    <w:rsid w:val="00397A0B"/>
    <w:rsid w:val="00397C1F"/>
    <w:rsid w:val="003A0680"/>
    <w:rsid w:val="003A2666"/>
    <w:rsid w:val="003B04B7"/>
    <w:rsid w:val="003B1FD1"/>
    <w:rsid w:val="003C1DDC"/>
    <w:rsid w:val="003C5288"/>
    <w:rsid w:val="003C7F99"/>
    <w:rsid w:val="003D22B5"/>
    <w:rsid w:val="003D2371"/>
    <w:rsid w:val="003D64EC"/>
    <w:rsid w:val="003E0642"/>
    <w:rsid w:val="003E191D"/>
    <w:rsid w:val="003F263F"/>
    <w:rsid w:val="003F284B"/>
    <w:rsid w:val="003F37DC"/>
    <w:rsid w:val="003F3934"/>
    <w:rsid w:val="00403DFC"/>
    <w:rsid w:val="00404F05"/>
    <w:rsid w:val="0040582C"/>
    <w:rsid w:val="00406BE9"/>
    <w:rsid w:val="0041225A"/>
    <w:rsid w:val="00412494"/>
    <w:rsid w:val="00417AAD"/>
    <w:rsid w:val="00422171"/>
    <w:rsid w:val="00422C9C"/>
    <w:rsid w:val="00425071"/>
    <w:rsid w:val="004252C8"/>
    <w:rsid w:val="00425682"/>
    <w:rsid w:val="00426211"/>
    <w:rsid w:val="00434F9D"/>
    <w:rsid w:val="00435836"/>
    <w:rsid w:val="00435D49"/>
    <w:rsid w:val="00440506"/>
    <w:rsid w:val="00451A71"/>
    <w:rsid w:val="00453AF5"/>
    <w:rsid w:val="00460A74"/>
    <w:rsid w:val="00466158"/>
    <w:rsid w:val="004704AB"/>
    <w:rsid w:val="00470DC2"/>
    <w:rsid w:val="00474517"/>
    <w:rsid w:val="00474F9D"/>
    <w:rsid w:val="0047629C"/>
    <w:rsid w:val="00477AE2"/>
    <w:rsid w:val="00484667"/>
    <w:rsid w:val="00490368"/>
    <w:rsid w:val="004911B1"/>
    <w:rsid w:val="004912BC"/>
    <w:rsid w:val="00491ACF"/>
    <w:rsid w:val="00491D43"/>
    <w:rsid w:val="00492685"/>
    <w:rsid w:val="004A5687"/>
    <w:rsid w:val="004A5C9D"/>
    <w:rsid w:val="004A61C3"/>
    <w:rsid w:val="004B28CC"/>
    <w:rsid w:val="004C6DF3"/>
    <w:rsid w:val="004D3665"/>
    <w:rsid w:val="004D4948"/>
    <w:rsid w:val="004E212A"/>
    <w:rsid w:val="004E3948"/>
    <w:rsid w:val="004E6E2A"/>
    <w:rsid w:val="004E70E0"/>
    <w:rsid w:val="004E7AD3"/>
    <w:rsid w:val="004F3801"/>
    <w:rsid w:val="004F43C5"/>
    <w:rsid w:val="00504A4F"/>
    <w:rsid w:val="00505987"/>
    <w:rsid w:val="00505B01"/>
    <w:rsid w:val="00506F28"/>
    <w:rsid w:val="0051688F"/>
    <w:rsid w:val="00517009"/>
    <w:rsid w:val="00517B31"/>
    <w:rsid w:val="005202B3"/>
    <w:rsid w:val="00526924"/>
    <w:rsid w:val="005269A7"/>
    <w:rsid w:val="00532740"/>
    <w:rsid w:val="005360FE"/>
    <w:rsid w:val="00537EE7"/>
    <w:rsid w:val="005400CE"/>
    <w:rsid w:val="005425F5"/>
    <w:rsid w:val="0054541A"/>
    <w:rsid w:val="00545B2A"/>
    <w:rsid w:val="005510CA"/>
    <w:rsid w:val="005532CC"/>
    <w:rsid w:val="005542FA"/>
    <w:rsid w:val="005613CA"/>
    <w:rsid w:val="00565F20"/>
    <w:rsid w:val="00566E1C"/>
    <w:rsid w:val="005712A0"/>
    <w:rsid w:val="00576F59"/>
    <w:rsid w:val="005954F7"/>
    <w:rsid w:val="0059571F"/>
    <w:rsid w:val="005960E5"/>
    <w:rsid w:val="005A1672"/>
    <w:rsid w:val="005A4C2D"/>
    <w:rsid w:val="005B7653"/>
    <w:rsid w:val="005C4B3D"/>
    <w:rsid w:val="005C4E20"/>
    <w:rsid w:val="005C7AFE"/>
    <w:rsid w:val="005C7EC2"/>
    <w:rsid w:val="005D0F74"/>
    <w:rsid w:val="005D31B1"/>
    <w:rsid w:val="005D4C78"/>
    <w:rsid w:val="005D6BDA"/>
    <w:rsid w:val="005E2EEC"/>
    <w:rsid w:val="005E4CF6"/>
    <w:rsid w:val="005E6D5D"/>
    <w:rsid w:val="005F2901"/>
    <w:rsid w:val="005F2DB1"/>
    <w:rsid w:val="005F5EC8"/>
    <w:rsid w:val="005F6980"/>
    <w:rsid w:val="00603E42"/>
    <w:rsid w:val="0061352C"/>
    <w:rsid w:val="00616BDE"/>
    <w:rsid w:val="00621266"/>
    <w:rsid w:val="006249B5"/>
    <w:rsid w:val="00630810"/>
    <w:rsid w:val="006343EB"/>
    <w:rsid w:val="0064377F"/>
    <w:rsid w:val="006455EC"/>
    <w:rsid w:val="00650082"/>
    <w:rsid w:val="00651729"/>
    <w:rsid w:val="00652842"/>
    <w:rsid w:val="006539DF"/>
    <w:rsid w:val="006573C3"/>
    <w:rsid w:val="00660C3F"/>
    <w:rsid w:val="00662C8D"/>
    <w:rsid w:val="00667F22"/>
    <w:rsid w:val="0067240B"/>
    <w:rsid w:val="00675411"/>
    <w:rsid w:val="00675663"/>
    <w:rsid w:val="00680FD3"/>
    <w:rsid w:val="00683BF3"/>
    <w:rsid w:val="00685922"/>
    <w:rsid w:val="006863B5"/>
    <w:rsid w:val="0069504D"/>
    <w:rsid w:val="0069509D"/>
    <w:rsid w:val="006A10E0"/>
    <w:rsid w:val="006A1CA2"/>
    <w:rsid w:val="006A3521"/>
    <w:rsid w:val="006A41E5"/>
    <w:rsid w:val="006B037E"/>
    <w:rsid w:val="006B215B"/>
    <w:rsid w:val="006B39FB"/>
    <w:rsid w:val="006B3AAA"/>
    <w:rsid w:val="006C3FB6"/>
    <w:rsid w:val="006C69B3"/>
    <w:rsid w:val="006C7FCB"/>
    <w:rsid w:val="006D03A2"/>
    <w:rsid w:val="006D5378"/>
    <w:rsid w:val="006D65B9"/>
    <w:rsid w:val="006E171E"/>
    <w:rsid w:val="006E1906"/>
    <w:rsid w:val="006E1C4A"/>
    <w:rsid w:val="006E7994"/>
    <w:rsid w:val="006F7FFC"/>
    <w:rsid w:val="00701BAD"/>
    <w:rsid w:val="00702808"/>
    <w:rsid w:val="007039E8"/>
    <w:rsid w:val="00711C91"/>
    <w:rsid w:val="00712841"/>
    <w:rsid w:val="00714BF9"/>
    <w:rsid w:val="0071587B"/>
    <w:rsid w:val="0072021A"/>
    <w:rsid w:val="0072440B"/>
    <w:rsid w:val="0072516A"/>
    <w:rsid w:val="007263B5"/>
    <w:rsid w:val="0073069C"/>
    <w:rsid w:val="00731015"/>
    <w:rsid w:val="00733CC3"/>
    <w:rsid w:val="0073486D"/>
    <w:rsid w:val="00736CD5"/>
    <w:rsid w:val="007370B1"/>
    <w:rsid w:val="00737484"/>
    <w:rsid w:val="00737622"/>
    <w:rsid w:val="00737A1A"/>
    <w:rsid w:val="00741265"/>
    <w:rsid w:val="00742A14"/>
    <w:rsid w:val="00742EAA"/>
    <w:rsid w:val="00742ED7"/>
    <w:rsid w:val="00743C97"/>
    <w:rsid w:val="00747FAB"/>
    <w:rsid w:val="007669D8"/>
    <w:rsid w:val="0077799A"/>
    <w:rsid w:val="00777A60"/>
    <w:rsid w:val="007821DF"/>
    <w:rsid w:val="00784E93"/>
    <w:rsid w:val="0079122B"/>
    <w:rsid w:val="007923DA"/>
    <w:rsid w:val="00793CA7"/>
    <w:rsid w:val="00793D93"/>
    <w:rsid w:val="007A40DD"/>
    <w:rsid w:val="007A5AB7"/>
    <w:rsid w:val="007A7517"/>
    <w:rsid w:val="007A7F00"/>
    <w:rsid w:val="007B1B99"/>
    <w:rsid w:val="007B589C"/>
    <w:rsid w:val="007C2CC9"/>
    <w:rsid w:val="007C4A37"/>
    <w:rsid w:val="007C4C6B"/>
    <w:rsid w:val="007D2EB7"/>
    <w:rsid w:val="007E343C"/>
    <w:rsid w:val="007E5DC3"/>
    <w:rsid w:val="007E7542"/>
    <w:rsid w:val="007F5F1A"/>
    <w:rsid w:val="007F72DA"/>
    <w:rsid w:val="00804FAB"/>
    <w:rsid w:val="008151B8"/>
    <w:rsid w:val="008174E1"/>
    <w:rsid w:val="008210A0"/>
    <w:rsid w:val="00827349"/>
    <w:rsid w:val="00833464"/>
    <w:rsid w:val="00833DA1"/>
    <w:rsid w:val="0084281C"/>
    <w:rsid w:val="00847E4A"/>
    <w:rsid w:val="0085490D"/>
    <w:rsid w:val="00857E13"/>
    <w:rsid w:val="008601ED"/>
    <w:rsid w:val="00860783"/>
    <w:rsid w:val="00862715"/>
    <w:rsid w:val="0086450A"/>
    <w:rsid w:val="008662C4"/>
    <w:rsid w:val="008663A0"/>
    <w:rsid w:val="0087174B"/>
    <w:rsid w:val="0087191B"/>
    <w:rsid w:val="00871E6F"/>
    <w:rsid w:val="00874DE9"/>
    <w:rsid w:val="00884C1A"/>
    <w:rsid w:val="00884D7C"/>
    <w:rsid w:val="0088652E"/>
    <w:rsid w:val="008869C3"/>
    <w:rsid w:val="00887B52"/>
    <w:rsid w:val="0089015C"/>
    <w:rsid w:val="00891AFB"/>
    <w:rsid w:val="00892138"/>
    <w:rsid w:val="00892D70"/>
    <w:rsid w:val="00894366"/>
    <w:rsid w:val="00896143"/>
    <w:rsid w:val="008965AD"/>
    <w:rsid w:val="008A2726"/>
    <w:rsid w:val="008A2791"/>
    <w:rsid w:val="008A42BD"/>
    <w:rsid w:val="008A4D36"/>
    <w:rsid w:val="008A65DA"/>
    <w:rsid w:val="008A759F"/>
    <w:rsid w:val="008A7F77"/>
    <w:rsid w:val="008B0FBE"/>
    <w:rsid w:val="008B4756"/>
    <w:rsid w:val="008B54A9"/>
    <w:rsid w:val="008C1133"/>
    <w:rsid w:val="008C183E"/>
    <w:rsid w:val="008C185D"/>
    <w:rsid w:val="008C3419"/>
    <w:rsid w:val="008C3C50"/>
    <w:rsid w:val="008C4F26"/>
    <w:rsid w:val="008C5AD8"/>
    <w:rsid w:val="008D3D72"/>
    <w:rsid w:val="008D429E"/>
    <w:rsid w:val="008D43EA"/>
    <w:rsid w:val="008D4FDE"/>
    <w:rsid w:val="008D7980"/>
    <w:rsid w:val="008E10CA"/>
    <w:rsid w:val="008F1848"/>
    <w:rsid w:val="008F2051"/>
    <w:rsid w:val="008F3C03"/>
    <w:rsid w:val="008F3CA0"/>
    <w:rsid w:val="008F6131"/>
    <w:rsid w:val="009036B7"/>
    <w:rsid w:val="00905976"/>
    <w:rsid w:val="00907486"/>
    <w:rsid w:val="00911E5F"/>
    <w:rsid w:val="009138B6"/>
    <w:rsid w:val="009161F4"/>
    <w:rsid w:val="00917832"/>
    <w:rsid w:val="00924C37"/>
    <w:rsid w:val="00925932"/>
    <w:rsid w:val="00930233"/>
    <w:rsid w:val="00931E7E"/>
    <w:rsid w:val="00932033"/>
    <w:rsid w:val="00932FBC"/>
    <w:rsid w:val="0093769E"/>
    <w:rsid w:val="00937BF2"/>
    <w:rsid w:val="00946DB8"/>
    <w:rsid w:val="00950395"/>
    <w:rsid w:val="00951A45"/>
    <w:rsid w:val="00953B6A"/>
    <w:rsid w:val="0096205E"/>
    <w:rsid w:val="00971F8F"/>
    <w:rsid w:val="00977C52"/>
    <w:rsid w:val="00982D60"/>
    <w:rsid w:val="00991A4B"/>
    <w:rsid w:val="00993961"/>
    <w:rsid w:val="00993DCC"/>
    <w:rsid w:val="009946BE"/>
    <w:rsid w:val="00997F91"/>
    <w:rsid w:val="009A0DC2"/>
    <w:rsid w:val="009A12A3"/>
    <w:rsid w:val="009A2C6F"/>
    <w:rsid w:val="009A5400"/>
    <w:rsid w:val="009A6103"/>
    <w:rsid w:val="009A711E"/>
    <w:rsid w:val="009B04CA"/>
    <w:rsid w:val="009B1634"/>
    <w:rsid w:val="009B2F0E"/>
    <w:rsid w:val="009B58FF"/>
    <w:rsid w:val="009C0B8E"/>
    <w:rsid w:val="009C2601"/>
    <w:rsid w:val="009C787F"/>
    <w:rsid w:val="009E1FFE"/>
    <w:rsid w:val="009E390C"/>
    <w:rsid w:val="009E796D"/>
    <w:rsid w:val="009F2BF1"/>
    <w:rsid w:val="009F4397"/>
    <w:rsid w:val="00A0022A"/>
    <w:rsid w:val="00A06557"/>
    <w:rsid w:val="00A071EB"/>
    <w:rsid w:val="00A1346D"/>
    <w:rsid w:val="00A17957"/>
    <w:rsid w:val="00A22899"/>
    <w:rsid w:val="00A22CED"/>
    <w:rsid w:val="00A261F9"/>
    <w:rsid w:val="00A27415"/>
    <w:rsid w:val="00A30B86"/>
    <w:rsid w:val="00A31A22"/>
    <w:rsid w:val="00A32B02"/>
    <w:rsid w:val="00A330C7"/>
    <w:rsid w:val="00A359B0"/>
    <w:rsid w:val="00A3665B"/>
    <w:rsid w:val="00A4012E"/>
    <w:rsid w:val="00A41E0F"/>
    <w:rsid w:val="00A43F5D"/>
    <w:rsid w:val="00A459CD"/>
    <w:rsid w:val="00A46108"/>
    <w:rsid w:val="00A46E83"/>
    <w:rsid w:val="00A51ADF"/>
    <w:rsid w:val="00A524F3"/>
    <w:rsid w:val="00A52630"/>
    <w:rsid w:val="00A62DD7"/>
    <w:rsid w:val="00A63201"/>
    <w:rsid w:val="00A646D9"/>
    <w:rsid w:val="00A67A40"/>
    <w:rsid w:val="00A71A13"/>
    <w:rsid w:val="00A73BE4"/>
    <w:rsid w:val="00A74518"/>
    <w:rsid w:val="00A774B4"/>
    <w:rsid w:val="00A82794"/>
    <w:rsid w:val="00A83AAA"/>
    <w:rsid w:val="00A83F97"/>
    <w:rsid w:val="00A85C6B"/>
    <w:rsid w:val="00A85ECD"/>
    <w:rsid w:val="00A8632F"/>
    <w:rsid w:val="00A9186F"/>
    <w:rsid w:val="00A96A1A"/>
    <w:rsid w:val="00A97F94"/>
    <w:rsid w:val="00AA031E"/>
    <w:rsid w:val="00AA0DF3"/>
    <w:rsid w:val="00AA1D75"/>
    <w:rsid w:val="00AA5D3D"/>
    <w:rsid w:val="00AB1AD5"/>
    <w:rsid w:val="00AB1C81"/>
    <w:rsid w:val="00AB245D"/>
    <w:rsid w:val="00AB5364"/>
    <w:rsid w:val="00AB70E5"/>
    <w:rsid w:val="00AB7A9D"/>
    <w:rsid w:val="00AC56AA"/>
    <w:rsid w:val="00AC5D2D"/>
    <w:rsid w:val="00AD068F"/>
    <w:rsid w:val="00AD184B"/>
    <w:rsid w:val="00AD6860"/>
    <w:rsid w:val="00AD7186"/>
    <w:rsid w:val="00AD71ED"/>
    <w:rsid w:val="00AE18F2"/>
    <w:rsid w:val="00AE46CC"/>
    <w:rsid w:val="00AE48DA"/>
    <w:rsid w:val="00AF116E"/>
    <w:rsid w:val="00AF1779"/>
    <w:rsid w:val="00AF2FFC"/>
    <w:rsid w:val="00AF34B2"/>
    <w:rsid w:val="00AF61D1"/>
    <w:rsid w:val="00AF706C"/>
    <w:rsid w:val="00B00A6E"/>
    <w:rsid w:val="00B01C0D"/>
    <w:rsid w:val="00B02350"/>
    <w:rsid w:val="00B029BF"/>
    <w:rsid w:val="00B04AFB"/>
    <w:rsid w:val="00B064BF"/>
    <w:rsid w:val="00B070C7"/>
    <w:rsid w:val="00B075FE"/>
    <w:rsid w:val="00B136B9"/>
    <w:rsid w:val="00B1462B"/>
    <w:rsid w:val="00B159CF"/>
    <w:rsid w:val="00B21A97"/>
    <w:rsid w:val="00B2284F"/>
    <w:rsid w:val="00B27814"/>
    <w:rsid w:val="00B33D06"/>
    <w:rsid w:val="00B363E3"/>
    <w:rsid w:val="00B36BC1"/>
    <w:rsid w:val="00B41E5C"/>
    <w:rsid w:val="00B42661"/>
    <w:rsid w:val="00B460FD"/>
    <w:rsid w:val="00B46A47"/>
    <w:rsid w:val="00B47097"/>
    <w:rsid w:val="00B507A4"/>
    <w:rsid w:val="00B50F1E"/>
    <w:rsid w:val="00B54134"/>
    <w:rsid w:val="00B57773"/>
    <w:rsid w:val="00B61562"/>
    <w:rsid w:val="00B71F63"/>
    <w:rsid w:val="00B7396B"/>
    <w:rsid w:val="00B77383"/>
    <w:rsid w:val="00B775A3"/>
    <w:rsid w:val="00B779E4"/>
    <w:rsid w:val="00B8267C"/>
    <w:rsid w:val="00B864B0"/>
    <w:rsid w:val="00B86D75"/>
    <w:rsid w:val="00B87E34"/>
    <w:rsid w:val="00B91BE9"/>
    <w:rsid w:val="00B9637C"/>
    <w:rsid w:val="00B9760A"/>
    <w:rsid w:val="00BA0F70"/>
    <w:rsid w:val="00BA16AF"/>
    <w:rsid w:val="00BA1CAB"/>
    <w:rsid w:val="00BA4AC2"/>
    <w:rsid w:val="00BA4FDA"/>
    <w:rsid w:val="00BA79BA"/>
    <w:rsid w:val="00BB09C1"/>
    <w:rsid w:val="00BB455E"/>
    <w:rsid w:val="00BB45B8"/>
    <w:rsid w:val="00BC28C6"/>
    <w:rsid w:val="00BC545C"/>
    <w:rsid w:val="00BC6787"/>
    <w:rsid w:val="00BC7334"/>
    <w:rsid w:val="00BD010B"/>
    <w:rsid w:val="00BD0E29"/>
    <w:rsid w:val="00BD44BA"/>
    <w:rsid w:val="00BD5E51"/>
    <w:rsid w:val="00BE0844"/>
    <w:rsid w:val="00BE36BB"/>
    <w:rsid w:val="00BE4127"/>
    <w:rsid w:val="00BE76AD"/>
    <w:rsid w:val="00BF03C5"/>
    <w:rsid w:val="00BF2689"/>
    <w:rsid w:val="00C003B2"/>
    <w:rsid w:val="00C0651F"/>
    <w:rsid w:val="00C16F73"/>
    <w:rsid w:val="00C20C0D"/>
    <w:rsid w:val="00C22101"/>
    <w:rsid w:val="00C23E12"/>
    <w:rsid w:val="00C273D3"/>
    <w:rsid w:val="00C30768"/>
    <w:rsid w:val="00C3154F"/>
    <w:rsid w:val="00C32493"/>
    <w:rsid w:val="00C33F55"/>
    <w:rsid w:val="00C344AD"/>
    <w:rsid w:val="00C367B6"/>
    <w:rsid w:val="00C40089"/>
    <w:rsid w:val="00C42BC6"/>
    <w:rsid w:val="00C43F43"/>
    <w:rsid w:val="00C453B1"/>
    <w:rsid w:val="00C46B66"/>
    <w:rsid w:val="00C55FF4"/>
    <w:rsid w:val="00C57E70"/>
    <w:rsid w:val="00C60779"/>
    <w:rsid w:val="00C6131C"/>
    <w:rsid w:val="00C63682"/>
    <w:rsid w:val="00C65EC6"/>
    <w:rsid w:val="00C7244A"/>
    <w:rsid w:val="00C737F9"/>
    <w:rsid w:val="00C758F8"/>
    <w:rsid w:val="00C76212"/>
    <w:rsid w:val="00C77241"/>
    <w:rsid w:val="00C87FDD"/>
    <w:rsid w:val="00C90817"/>
    <w:rsid w:val="00C93253"/>
    <w:rsid w:val="00C947F2"/>
    <w:rsid w:val="00C97AE2"/>
    <w:rsid w:val="00C97FC8"/>
    <w:rsid w:val="00CA063B"/>
    <w:rsid w:val="00CA5050"/>
    <w:rsid w:val="00CA7203"/>
    <w:rsid w:val="00CB1B94"/>
    <w:rsid w:val="00CB245B"/>
    <w:rsid w:val="00CB32A2"/>
    <w:rsid w:val="00CB4C66"/>
    <w:rsid w:val="00CB6F7B"/>
    <w:rsid w:val="00CB7CCA"/>
    <w:rsid w:val="00CC07F7"/>
    <w:rsid w:val="00CC0FCC"/>
    <w:rsid w:val="00CC2DAD"/>
    <w:rsid w:val="00CC64B2"/>
    <w:rsid w:val="00CD14D5"/>
    <w:rsid w:val="00CD25A5"/>
    <w:rsid w:val="00CD3CEF"/>
    <w:rsid w:val="00CE0355"/>
    <w:rsid w:val="00CE7034"/>
    <w:rsid w:val="00CE78F8"/>
    <w:rsid w:val="00CF7316"/>
    <w:rsid w:val="00CF757B"/>
    <w:rsid w:val="00D0052F"/>
    <w:rsid w:val="00D05ADF"/>
    <w:rsid w:val="00D10843"/>
    <w:rsid w:val="00D109DA"/>
    <w:rsid w:val="00D13E9E"/>
    <w:rsid w:val="00D15B0F"/>
    <w:rsid w:val="00D162EE"/>
    <w:rsid w:val="00D22449"/>
    <w:rsid w:val="00D23000"/>
    <w:rsid w:val="00D23A0B"/>
    <w:rsid w:val="00D26004"/>
    <w:rsid w:val="00D410FF"/>
    <w:rsid w:val="00D46875"/>
    <w:rsid w:val="00D51E24"/>
    <w:rsid w:val="00D615A2"/>
    <w:rsid w:val="00D61F39"/>
    <w:rsid w:val="00D65EA2"/>
    <w:rsid w:val="00D73104"/>
    <w:rsid w:val="00D75431"/>
    <w:rsid w:val="00D83D59"/>
    <w:rsid w:val="00D86B78"/>
    <w:rsid w:val="00D916A7"/>
    <w:rsid w:val="00D96DAA"/>
    <w:rsid w:val="00D97AE4"/>
    <w:rsid w:val="00DB64AB"/>
    <w:rsid w:val="00DB67EC"/>
    <w:rsid w:val="00DC0F18"/>
    <w:rsid w:val="00DC394E"/>
    <w:rsid w:val="00DD05EA"/>
    <w:rsid w:val="00DD5169"/>
    <w:rsid w:val="00DD7318"/>
    <w:rsid w:val="00DE3280"/>
    <w:rsid w:val="00DE41A3"/>
    <w:rsid w:val="00DF1BA9"/>
    <w:rsid w:val="00DF5BD5"/>
    <w:rsid w:val="00DF6299"/>
    <w:rsid w:val="00E06D7B"/>
    <w:rsid w:val="00E07934"/>
    <w:rsid w:val="00E109DA"/>
    <w:rsid w:val="00E2145C"/>
    <w:rsid w:val="00E22963"/>
    <w:rsid w:val="00E235DA"/>
    <w:rsid w:val="00E2426A"/>
    <w:rsid w:val="00E259B1"/>
    <w:rsid w:val="00E26A2E"/>
    <w:rsid w:val="00E32863"/>
    <w:rsid w:val="00E35088"/>
    <w:rsid w:val="00E35DB5"/>
    <w:rsid w:val="00E45A2A"/>
    <w:rsid w:val="00E51F52"/>
    <w:rsid w:val="00E51FEF"/>
    <w:rsid w:val="00E614AF"/>
    <w:rsid w:val="00E70D9A"/>
    <w:rsid w:val="00E737B1"/>
    <w:rsid w:val="00E85709"/>
    <w:rsid w:val="00E87856"/>
    <w:rsid w:val="00E87E7C"/>
    <w:rsid w:val="00E92798"/>
    <w:rsid w:val="00E95E3F"/>
    <w:rsid w:val="00E96EFD"/>
    <w:rsid w:val="00EB0738"/>
    <w:rsid w:val="00EB3B9D"/>
    <w:rsid w:val="00EB4557"/>
    <w:rsid w:val="00EB7948"/>
    <w:rsid w:val="00ED10D2"/>
    <w:rsid w:val="00ED7D4D"/>
    <w:rsid w:val="00EE1962"/>
    <w:rsid w:val="00EE1B0B"/>
    <w:rsid w:val="00EF0C8B"/>
    <w:rsid w:val="00EF59C1"/>
    <w:rsid w:val="00EF6AFA"/>
    <w:rsid w:val="00EF7787"/>
    <w:rsid w:val="00F01D5B"/>
    <w:rsid w:val="00F0505E"/>
    <w:rsid w:val="00F066C9"/>
    <w:rsid w:val="00F06F3F"/>
    <w:rsid w:val="00F10071"/>
    <w:rsid w:val="00F12793"/>
    <w:rsid w:val="00F14000"/>
    <w:rsid w:val="00F1670E"/>
    <w:rsid w:val="00F23CC0"/>
    <w:rsid w:val="00F24E05"/>
    <w:rsid w:val="00F24FA7"/>
    <w:rsid w:val="00F251BA"/>
    <w:rsid w:val="00F25C3C"/>
    <w:rsid w:val="00F25E93"/>
    <w:rsid w:val="00F27180"/>
    <w:rsid w:val="00F27B84"/>
    <w:rsid w:val="00F27FBF"/>
    <w:rsid w:val="00F33F83"/>
    <w:rsid w:val="00F41273"/>
    <w:rsid w:val="00F4164B"/>
    <w:rsid w:val="00F4195E"/>
    <w:rsid w:val="00F4375B"/>
    <w:rsid w:val="00F53260"/>
    <w:rsid w:val="00F53F5A"/>
    <w:rsid w:val="00F54E14"/>
    <w:rsid w:val="00F57C1F"/>
    <w:rsid w:val="00F57D43"/>
    <w:rsid w:val="00F57D6E"/>
    <w:rsid w:val="00F606C7"/>
    <w:rsid w:val="00F65713"/>
    <w:rsid w:val="00F6625D"/>
    <w:rsid w:val="00F72399"/>
    <w:rsid w:val="00F755A1"/>
    <w:rsid w:val="00F82FAA"/>
    <w:rsid w:val="00F85759"/>
    <w:rsid w:val="00FA0072"/>
    <w:rsid w:val="00FA3BC8"/>
    <w:rsid w:val="00FA663C"/>
    <w:rsid w:val="00FA6724"/>
    <w:rsid w:val="00FB2F06"/>
    <w:rsid w:val="00FB531B"/>
    <w:rsid w:val="00FB692D"/>
    <w:rsid w:val="00FB785F"/>
    <w:rsid w:val="00FC2FCB"/>
    <w:rsid w:val="00FD1804"/>
    <w:rsid w:val="00FD27D5"/>
    <w:rsid w:val="00FE7856"/>
    <w:rsid w:val="00FF0077"/>
    <w:rsid w:val="00FF3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9CB8"/>
  <w15:docId w15:val="{D96C70C3-9542-4B40-97D1-758894D7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90D"/>
    <w:rPr>
      <w:color w:val="0563C1" w:themeColor="hyperlink"/>
      <w:u w:val="single"/>
    </w:rPr>
  </w:style>
  <w:style w:type="paragraph" w:styleId="Header">
    <w:name w:val="header"/>
    <w:basedOn w:val="Normal"/>
    <w:link w:val="HeaderChar"/>
    <w:uiPriority w:val="99"/>
    <w:unhideWhenUsed/>
    <w:rsid w:val="00854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90D"/>
  </w:style>
  <w:style w:type="paragraph" w:styleId="Footer">
    <w:name w:val="footer"/>
    <w:basedOn w:val="Normal"/>
    <w:link w:val="FooterChar"/>
    <w:uiPriority w:val="99"/>
    <w:unhideWhenUsed/>
    <w:rsid w:val="00854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90D"/>
  </w:style>
  <w:style w:type="character" w:styleId="CommentReference">
    <w:name w:val="annotation reference"/>
    <w:basedOn w:val="DefaultParagraphFont"/>
    <w:uiPriority w:val="99"/>
    <w:semiHidden/>
    <w:unhideWhenUsed/>
    <w:rsid w:val="00391484"/>
    <w:rPr>
      <w:sz w:val="16"/>
      <w:szCs w:val="16"/>
    </w:rPr>
  </w:style>
  <w:style w:type="paragraph" w:styleId="CommentText">
    <w:name w:val="annotation text"/>
    <w:basedOn w:val="Normal"/>
    <w:link w:val="CommentTextChar"/>
    <w:uiPriority w:val="99"/>
    <w:unhideWhenUsed/>
    <w:rsid w:val="00391484"/>
    <w:pPr>
      <w:spacing w:line="240" w:lineRule="auto"/>
    </w:pPr>
    <w:rPr>
      <w:sz w:val="20"/>
      <w:szCs w:val="20"/>
    </w:rPr>
  </w:style>
  <w:style w:type="character" w:customStyle="1" w:styleId="CommentTextChar">
    <w:name w:val="Comment Text Char"/>
    <w:basedOn w:val="DefaultParagraphFont"/>
    <w:link w:val="CommentText"/>
    <w:uiPriority w:val="99"/>
    <w:rsid w:val="00391484"/>
    <w:rPr>
      <w:sz w:val="20"/>
      <w:szCs w:val="20"/>
    </w:rPr>
  </w:style>
  <w:style w:type="paragraph" w:styleId="CommentSubject">
    <w:name w:val="annotation subject"/>
    <w:basedOn w:val="CommentText"/>
    <w:next w:val="CommentText"/>
    <w:link w:val="CommentSubjectChar"/>
    <w:uiPriority w:val="99"/>
    <w:semiHidden/>
    <w:unhideWhenUsed/>
    <w:rsid w:val="00391484"/>
    <w:rPr>
      <w:b/>
      <w:bCs/>
    </w:rPr>
  </w:style>
  <w:style w:type="character" w:customStyle="1" w:styleId="CommentSubjectChar">
    <w:name w:val="Comment Subject Char"/>
    <w:basedOn w:val="CommentTextChar"/>
    <w:link w:val="CommentSubject"/>
    <w:uiPriority w:val="99"/>
    <w:semiHidden/>
    <w:rsid w:val="00391484"/>
    <w:rPr>
      <w:b/>
      <w:bCs/>
      <w:sz w:val="20"/>
      <w:szCs w:val="20"/>
    </w:rPr>
  </w:style>
  <w:style w:type="paragraph" w:styleId="BalloonText">
    <w:name w:val="Balloon Text"/>
    <w:basedOn w:val="Normal"/>
    <w:link w:val="BalloonTextChar"/>
    <w:uiPriority w:val="99"/>
    <w:semiHidden/>
    <w:unhideWhenUsed/>
    <w:rsid w:val="00391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84"/>
    <w:rPr>
      <w:rFonts w:ascii="Tahoma" w:hAnsi="Tahoma" w:cs="Tahoma"/>
      <w:sz w:val="16"/>
      <w:szCs w:val="16"/>
    </w:rPr>
  </w:style>
  <w:style w:type="character" w:customStyle="1" w:styleId="UnresolvedMention1">
    <w:name w:val="Unresolved Mention1"/>
    <w:basedOn w:val="DefaultParagraphFont"/>
    <w:uiPriority w:val="99"/>
    <w:semiHidden/>
    <w:unhideWhenUsed/>
    <w:rsid w:val="0051688F"/>
    <w:rPr>
      <w:color w:val="605E5C"/>
      <w:shd w:val="clear" w:color="auto" w:fill="E1DFDD"/>
    </w:rPr>
  </w:style>
  <w:style w:type="character" w:styleId="SubtleEmphasis">
    <w:name w:val="Subtle Emphasis"/>
    <w:basedOn w:val="DefaultParagraphFont"/>
    <w:uiPriority w:val="19"/>
    <w:qFormat/>
    <w:rsid w:val="00741265"/>
    <w:rPr>
      <w:i/>
      <w:iCs/>
      <w:color w:val="808080" w:themeColor="text1" w:themeTint="7F"/>
    </w:rPr>
  </w:style>
  <w:style w:type="table" w:styleId="TableGrid">
    <w:name w:val="Table Grid"/>
    <w:basedOn w:val="TableNormal"/>
    <w:uiPriority w:val="39"/>
    <w:rsid w:val="006C3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252C8"/>
    <w:rPr>
      <w:color w:val="605E5C"/>
      <w:shd w:val="clear" w:color="auto" w:fill="E1DFDD"/>
    </w:rPr>
  </w:style>
  <w:style w:type="table" w:customStyle="1" w:styleId="PlainTable21">
    <w:name w:val="Plain Table 21"/>
    <w:basedOn w:val="TableNormal"/>
    <w:uiPriority w:val="42"/>
    <w:rsid w:val="00A274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C273D3"/>
    <w:pPr>
      <w:ind w:left="720"/>
      <w:contextualSpacing/>
    </w:pPr>
  </w:style>
  <w:style w:type="character" w:customStyle="1" w:styleId="UnresolvedMention3">
    <w:name w:val="Unresolved Mention3"/>
    <w:basedOn w:val="DefaultParagraphFont"/>
    <w:uiPriority w:val="99"/>
    <w:semiHidden/>
    <w:unhideWhenUsed/>
    <w:rsid w:val="008C1133"/>
    <w:rPr>
      <w:color w:val="605E5C"/>
      <w:shd w:val="clear" w:color="auto" w:fill="E1DFDD"/>
    </w:rPr>
  </w:style>
  <w:style w:type="character" w:styleId="FollowedHyperlink">
    <w:name w:val="FollowedHyperlink"/>
    <w:basedOn w:val="DefaultParagraphFont"/>
    <w:uiPriority w:val="99"/>
    <w:semiHidden/>
    <w:unhideWhenUsed/>
    <w:rsid w:val="004911B1"/>
    <w:rPr>
      <w:color w:val="954F72" w:themeColor="followedHyperlink"/>
      <w:u w:val="single"/>
    </w:rPr>
  </w:style>
  <w:style w:type="table" w:customStyle="1" w:styleId="PlainTable22">
    <w:name w:val="Plain Table 22"/>
    <w:basedOn w:val="TableNormal"/>
    <w:uiPriority w:val="42"/>
    <w:rsid w:val="00B075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B0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0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5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281E64"/>
    <w:rPr>
      <w:color w:val="605E5C"/>
      <w:shd w:val="clear" w:color="auto" w:fill="E1DFDD"/>
    </w:rPr>
  </w:style>
  <w:style w:type="character" w:styleId="LineNumber">
    <w:name w:val="line number"/>
    <w:basedOn w:val="DefaultParagraphFont"/>
    <w:uiPriority w:val="99"/>
    <w:semiHidden/>
    <w:unhideWhenUsed/>
    <w:rsid w:val="00B21A97"/>
  </w:style>
  <w:style w:type="character" w:styleId="UnresolvedMention">
    <w:name w:val="Unresolved Mention"/>
    <w:basedOn w:val="DefaultParagraphFont"/>
    <w:uiPriority w:val="99"/>
    <w:semiHidden/>
    <w:unhideWhenUsed/>
    <w:rsid w:val="004D3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Bedwell@lstmed.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rojec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s.who.int/gho/data/view.main.GSWCAH06v%20Accessed%2008/05/19" TargetMode="External"/><Relationship Id="rId4" Type="http://schemas.openxmlformats.org/officeDocument/2006/relationships/settings" Target="settings.xml"/><Relationship Id="rId9" Type="http://schemas.openxmlformats.org/officeDocument/2006/relationships/hyperlink" Target="http://www.who.int/maternal_child_adolescent/epidemiology/stillbirth/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18C4-DBBF-407B-909B-805BFF6E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6241</Words>
  <Characters>35574</Characters>
  <Application>Microsoft Office Word</Application>
  <DocSecurity>0</DocSecurity>
  <Lines>296</Lines>
  <Paragraphs>83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The University of Manchester</Company>
  <LinksUpToDate>false</LinksUpToDate>
  <CharactersWithSpaces>41732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Bedwell</dc:creator>
  <cp:lastModifiedBy>Carol Bedwell</cp:lastModifiedBy>
  <cp:revision>2</cp:revision>
  <cp:lastPrinted>2020-05-23T12:57:00Z</cp:lastPrinted>
  <dcterms:created xsi:type="dcterms:W3CDTF">2020-12-09T09:49:00Z</dcterms:created>
  <dcterms:modified xsi:type="dcterms:W3CDTF">2020-12-09T09:49:00Z</dcterms:modified>
</cp:coreProperties>
</file>