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49FE" w14:textId="77777777" w:rsidR="004A16AD" w:rsidRPr="00F978D8" w:rsidRDefault="004A16AD" w:rsidP="00CA4637">
      <w:pPr>
        <w:rPr>
          <w:b/>
          <w:bCs/>
          <w:sz w:val="24"/>
          <w:szCs w:val="24"/>
        </w:rPr>
      </w:pPr>
      <w:r>
        <w:rPr>
          <w:b/>
          <w:bCs/>
          <w:sz w:val="24"/>
          <w:szCs w:val="24"/>
        </w:rPr>
        <w:t>An enhanced care package</w:t>
      </w:r>
      <w:r w:rsidRPr="00F978D8">
        <w:rPr>
          <w:b/>
          <w:bCs/>
          <w:sz w:val="24"/>
          <w:szCs w:val="24"/>
        </w:rPr>
        <w:t xml:space="preserve"> to improve asthma management in Malawi</w:t>
      </w:r>
      <w:r>
        <w:rPr>
          <w:b/>
          <w:bCs/>
          <w:sz w:val="24"/>
          <w:szCs w:val="24"/>
        </w:rPr>
        <w:t>an children</w:t>
      </w:r>
      <w:r w:rsidRPr="00F978D8">
        <w:rPr>
          <w:b/>
          <w:bCs/>
          <w:sz w:val="24"/>
          <w:szCs w:val="24"/>
        </w:rPr>
        <w:t>: a randomised controlled trial</w:t>
      </w:r>
    </w:p>
    <w:p w14:paraId="4A294BD2" w14:textId="77777777" w:rsidR="004A16AD" w:rsidRPr="007C7112" w:rsidRDefault="004A16AD" w:rsidP="00CA4637">
      <w:pPr>
        <w:rPr>
          <w:sz w:val="24"/>
          <w:szCs w:val="24"/>
        </w:rPr>
      </w:pPr>
      <w:r w:rsidRPr="007C7112">
        <w:rPr>
          <w:sz w:val="24"/>
          <w:szCs w:val="24"/>
        </w:rPr>
        <w:t>Rylance S</w:t>
      </w:r>
      <w:r>
        <w:rPr>
          <w:sz w:val="24"/>
          <w:szCs w:val="24"/>
        </w:rPr>
        <w:t>*</w:t>
      </w:r>
      <w:r w:rsidRPr="007C7112">
        <w:rPr>
          <w:sz w:val="24"/>
          <w:szCs w:val="24"/>
        </w:rPr>
        <w:t xml:space="preserve">, </w:t>
      </w:r>
      <w:proofErr w:type="spellStart"/>
      <w:r w:rsidRPr="007C7112">
        <w:rPr>
          <w:sz w:val="24"/>
          <w:szCs w:val="24"/>
        </w:rPr>
        <w:t>Chinoko</w:t>
      </w:r>
      <w:proofErr w:type="spellEnd"/>
      <w:r w:rsidRPr="007C7112">
        <w:rPr>
          <w:sz w:val="24"/>
          <w:szCs w:val="24"/>
        </w:rPr>
        <w:t xml:space="preserve"> B, </w:t>
      </w:r>
      <w:proofErr w:type="spellStart"/>
      <w:r w:rsidRPr="007C7112">
        <w:rPr>
          <w:sz w:val="24"/>
          <w:szCs w:val="24"/>
        </w:rPr>
        <w:t>Mnesa</w:t>
      </w:r>
      <w:proofErr w:type="spellEnd"/>
      <w:r w:rsidRPr="007C7112">
        <w:rPr>
          <w:sz w:val="24"/>
          <w:szCs w:val="24"/>
        </w:rPr>
        <w:t xml:space="preserve"> B, Jewell C, Grigg J, Mortimer K</w:t>
      </w:r>
    </w:p>
    <w:p w14:paraId="2D4E9A1F" w14:textId="77777777" w:rsidR="004A16AD" w:rsidRDefault="004A16AD" w:rsidP="00CA4637">
      <w:pPr>
        <w:spacing w:after="0" w:line="276" w:lineRule="auto"/>
      </w:pPr>
    </w:p>
    <w:p w14:paraId="3B7B6124" w14:textId="77777777" w:rsidR="004A16AD" w:rsidRDefault="004A16AD" w:rsidP="00CA4637">
      <w:pPr>
        <w:spacing w:after="0" w:line="276" w:lineRule="auto"/>
        <w:rPr>
          <w:rFonts w:cstheme="minorHAnsi"/>
          <w:sz w:val="24"/>
          <w:szCs w:val="24"/>
        </w:rPr>
      </w:pPr>
      <w:r>
        <w:rPr>
          <w:rFonts w:cstheme="minorHAnsi"/>
          <w:sz w:val="24"/>
          <w:szCs w:val="24"/>
        </w:rPr>
        <w:t xml:space="preserve">Sarah Rylance: </w:t>
      </w:r>
      <w:r w:rsidRPr="000C4F3C">
        <w:rPr>
          <w:rFonts w:cstheme="minorHAnsi"/>
          <w:sz w:val="24"/>
          <w:szCs w:val="24"/>
        </w:rPr>
        <w:t>Department of Clinical Sciences, Liverpool School of Tropical Medicine, Liverpool, UK</w:t>
      </w:r>
      <w:r>
        <w:rPr>
          <w:rFonts w:cstheme="minorHAnsi"/>
          <w:sz w:val="24"/>
          <w:szCs w:val="24"/>
        </w:rPr>
        <w:t xml:space="preserve">; </w:t>
      </w:r>
      <w:r w:rsidRPr="000C4F3C">
        <w:rPr>
          <w:rFonts w:cstheme="minorHAnsi"/>
          <w:sz w:val="24"/>
          <w:szCs w:val="24"/>
        </w:rPr>
        <w:t>Malawi-Liverpool-</w:t>
      </w:r>
      <w:proofErr w:type="spellStart"/>
      <w:r w:rsidRPr="000C4F3C">
        <w:rPr>
          <w:rFonts w:cstheme="minorHAnsi"/>
          <w:sz w:val="24"/>
          <w:szCs w:val="24"/>
        </w:rPr>
        <w:t>Wellcome</w:t>
      </w:r>
      <w:proofErr w:type="spellEnd"/>
      <w:r w:rsidRPr="000C4F3C">
        <w:rPr>
          <w:rFonts w:cstheme="minorHAnsi"/>
          <w:sz w:val="24"/>
          <w:szCs w:val="24"/>
        </w:rPr>
        <w:t xml:space="preserve"> Trust Clinical Research Programme, Blantyre, Malawi</w:t>
      </w:r>
    </w:p>
    <w:p w14:paraId="074A7FAB" w14:textId="77777777" w:rsidR="004A16AD" w:rsidRDefault="004A16AD" w:rsidP="00CA4637">
      <w:pPr>
        <w:spacing w:after="0" w:line="276" w:lineRule="auto"/>
        <w:rPr>
          <w:rFonts w:cstheme="minorHAnsi"/>
          <w:sz w:val="24"/>
          <w:szCs w:val="24"/>
        </w:rPr>
      </w:pPr>
      <w:r>
        <w:rPr>
          <w:rFonts w:cstheme="minorHAnsi"/>
          <w:sz w:val="24"/>
          <w:szCs w:val="24"/>
        </w:rPr>
        <w:t xml:space="preserve">Beatrice </w:t>
      </w:r>
      <w:proofErr w:type="spellStart"/>
      <w:r>
        <w:rPr>
          <w:rFonts w:cstheme="minorHAnsi"/>
          <w:sz w:val="24"/>
          <w:szCs w:val="24"/>
        </w:rPr>
        <w:t>Chinoko</w:t>
      </w:r>
      <w:proofErr w:type="spellEnd"/>
      <w:r>
        <w:rPr>
          <w:rFonts w:cstheme="minorHAnsi"/>
          <w:sz w:val="24"/>
          <w:szCs w:val="24"/>
        </w:rPr>
        <w:t xml:space="preserve">: </w:t>
      </w:r>
      <w:r w:rsidRPr="000C4F3C">
        <w:rPr>
          <w:rFonts w:cstheme="minorHAnsi"/>
          <w:sz w:val="24"/>
          <w:szCs w:val="24"/>
        </w:rPr>
        <w:t>Malawi-Liverpool-</w:t>
      </w:r>
      <w:proofErr w:type="spellStart"/>
      <w:r w:rsidRPr="000C4F3C">
        <w:rPr>
          <w:rFonts w:cstheme="minorHAnsi"/>
          <w:sz w:val="24"/>
          <w:szCs w:val="24"/>
        </w:rPr>
        <w:t>Wellcome</w:t>
      </w:r>
      <w:proofErr w:type="spellEnd"/>
      <w:r w:rsidRPr="000C4F3C">
        <w:rPr>
          <w:rFonts w:cstheme="minorHAnsi"/>
          <w:sz w:val="24"/>
          <w:szCs w:val="24"/>
        </w:rPr>
        <w:t xml:space="preserve"> Trust Clinical Research Programme, Blantyre, Malawi</w:t>
      </w:r>
    </w:p>
    <w:p w14:paraId="50107193" w14:textId="77777777" w:rsidR="004A16AD" w:rsidRDefault="004A16AD" w:rsidP="00CA4637">
      <w:pPr>
        <w:spacing w:after="0" w:line="276" w:lineRule="auto"/>
        <w:rPr>
          <w:rFonts w:cstheme="minorHAnsi"/>
          <w:sz w:val="24"/>
          <w:szCs w:val="24"/>
        </w:rPr>
      </w:pPr>
      <w:r>
        <w:rPr>
          <w:rFonts w:cstheme="minorHAnsi"/>
          <w:sz w:val="24"/>
          <w:szCs w:val="24"/>
        </w:rPr>
        <w:t xml:space="preserve">Bright </w:t>
      </w:r>
      <w:proofErr w:type="spellStart"/>
      <w:r>
        <w:rPr>
          <w:rFonts w:cstheme="minorHAnsi"/>
          <w:sz w:val="24"/>
          <w:szCs w:val="24"/>
        </w:rPr>
        <w:t>Mnesa</w:t>
      </w:r>
      <w:proofErr w:type="spellEnd"/>
      <w:r>
        <w:rPr>
          <w:rFonts w:cstheme="minorHAnsi"/>
          <w:sz w:val="24"/>
          <w:szCs w:val="24"/>
        </w:rPr>
        <w:t xml:space="preserve">: </w:t>
      </w:r>
      <w:r w:rsidRPr="000C4F3C">
        <w:rPr>
          <w:rFonts w:cstheme="minorHAnsi"/>
          <w:sz w:val="24"/>
          <w:szCs w:val="24"/>
        </w:rPr>
        <w:t>Malawi-Liverpool-</w:t>
      </w:r>
      <w:proofErr w:type="spellStart"/>
      <w:r w:rsidRPr="000C4F3C">
        <w:rPr>
          <w:rFonts w:cstheme="minorHAnsi"/>
          <w:sz w:val="24"/>
          <w:szCs w:val="24"/>
        </w:rPr>
        <w:t>Wellcome</w:t>
      </w:r>
      <w:proofErr w:type="spellEnd"/>
      <w:r w:rsidRPr="000C4F3C">
        <w:rPr>
          <w:rFonts w:cstheme="minorHAnsi"/>
          <w:sz w:val="24"/>
          <w:szCs w:val="24"/>
        </w:rPr>
        <w:t xml:space="preserve"> Trust Clinical Research Programme, Blantyre, Malawi</w:t>
      </w:r>
    </w:p>
    <w:p w14:paraId="21E205EC" w14:textId="77777777" w:rsidR="004A16AD" w:rsidRDefault="004A16AD" w:rsidP="00CA4637">
      <w:pPr>
        <w:spacing w:after="0" w:line="276" w:lineRule="auto"/>
        <w:rPr>
          <w:rFonts w:cstheme="minorHAnsi"/>
          <w:sz w:val="24"/>
          <w:szCs w:val="24"/>
        </w:rPr>
      </w:pPr>
      <w:r>
        <w:rPr>
          <w:rFonts w:cstheme="minorHAnsi"/>
          <w:sz w:val="24"/>
          <w:szCs w:val="24"/>
        </w:rPr>
        <w:t>Chris Jewell: CHICAS, Lancaster University, Lancaster, UK</w:t>
      </w:r>
    </w:p>
    <w:p w14:paraId="7709E953" w14:textId="77777777" w:rsidR="004A16AD" w:rsidRDefault="004A16AD" w:rsidP="00CA4637">
      <w:pPr>
        <w:spacing w:after="0" w:line="276" w:lineRule="auto"/>
        <w:rPr>
          <w:rFonts w:cstheme="minorHAnsi"/>
          <w:sz w:val="24"/>
          <w:szCs w:val="24"/>
        </w:rPr>
      </w:pPr>
      <w:r>
        <w:rPr>
          <w:rFonts w:cstheme="minorHAnsi"/>
          <w:sz w:val="24"/>
          <w:szCs w:val="24"/>
        </w:rPr>
        <w:t>Jonathan Grigg: Blizard Institute, Queen Mary University of London, London, UK</w:t>
      </w:r>
    </w:p>
    <w:p w14:paraId="52491701" w14:textId="77777777" w:rsidR="004A16AD" w:rsidRDefault="004A16AD" w:rsidP="00CA4637">
      <w:pPr>
        <w:spacing w:after="0" w:line="276" w:lineRule="auto"/>
        <w:rPr>
          <w:rFonts w:cstheme="minorHAnsi"/>
          <w:sz w:val="24"/>
          <w:szCs w:val="24"/>
        </w:rPr>
      </w:pPr>
      <w:r>
        <w:rPr>
          <w:rFonts w:cstheme="minorHAnsi"/>
          <w:sz w:val="24"/>
          <w:szCs w:val="24"/>
        </w:rPr>
        <w:t xml:space="preserve">Kevin Mortimer: </w:t>
      </w:r>
      <w:r w:rsidRPr="000C4F3C">
        <w:rPr>
          <w:rFonts w:cstheme="minorHAnsi"/>
          <w:sz w:val="24"/>
          <w:szCs w:val="24"/>
        </w:rPr>
        <w:t>Department of Clinical Sciences, Liverpool School of Tropical Medicine, Liverpool, UK</w:t>
      </w:r>
    </w:p>
    <w:p w14:paraId="590452F6" w14:textId="77777777" w:rsidR="004A16AD" w:rsidRDefault="004A16AD" w:rsidP="00CA4637">
      <w:pPr>
        <w:spacing w:after="0" w:line="276" w:lineRule="auto"/>
        <w:rPr>
          <w:rFonts w:cstheme="minorHAnsi"/>
          <w:sz w:val="24"/>
          <w:szCs w:val="24"/>
        </w:rPr>
      </w:pPr>
    </w:p>
    <w:p w14:paraId="15EF79CB" w14:textId="77777777" w:rsidR="004A16AD" w:rsidRPr="00FF62B4" w:rsidRDefault="004A16AD" w:rsidP="00CA4637">
      <w:pPr>
        <w:spacing w:after="0" w:line="276" w:lineRule="auto"/>
        <w:rPr>
          <w:rFonts w:cstheme="minorHAnsi"/>
          <w:b/>
          <w:bCs/>
          <w:sz w:val="24"/>
          <w:szCs w:val="24"/>
        </w:rPr>
      </w:pPr>
      <w:r>
        <w:rPr>
          <w:rFonts w:cstheme="minorHAnsi"/>
          <w:b/>
          <w:bCs/>
          <w:sz w:val="24"/>
          <w:szCs w:val="24"/>
        </w:rPr>
        <w:t>*</w:t>
      </w:r>
      <w:r w:rsidRPr="00FF62B4">
        <w:rPr>
          <w:rFonts w:cstheme="minorHAnsi"/>
          <w:b/>
          <w:bCs/>
          <w:sz w:val="24"/>
          <w:szCs w:val="24"/>
        </w:rPr>
        <w:t>Corresponding author</w:t>
      </w:r>
    </w:p>
    <w:p w14:paraId="1F200CBB" w14:textId="77777777" w:rsidR="004A16AD" w:rsidRPr="00FF62B4" w:rsidRDefault="004A16AD" w:rsidP="00CA4637">
      <w:pPr>
        <w:spacing w:after="0" w:line="276" w:lineRule="auto"/>
        <w:rPr>
          <w:rFonts w:cstheme="minorHAnsi"/>
          <w:sz w:val="24"/>
          <w:szCs w:val="24"/>
        </w:rPr>
      </w:pPr>
      <w:r>
        <w:rPr>
          <w:rFonts w:cstheme="minorHAnsi"/>
          <w:sz w:val="24"/>
          <w:szCs w:val="24"/>
        </w:rPr>
        <w:t>Sarah Rylance;</w:t>
      </w:r>
      <w:r w:rsidRPr="00D65D8B">
        <w:rPr>
          <w:rFonts w:cstheme="minorHAnsi"/>
          <w:sz w:val="24"/>
          <w:szCs w:val="24"/>
        </w:rPr>
        <w:t xml:space="preserve"> </w:t>
      </w:r>
      <w:r w:rsidRPr="000C4F3C">
        <w:rPr>
          <w:rFonts w:cstheme="minorHAnsi"/>
          <w:sz w:val="24"/>
          <w:szCs w:val="24"/>
        </w:rPr>
        <w:t>Malawi-Liverpool-</w:t>
      </w:r>
      <w:proofErr w:type="spellStart"/>
      <w:r w:rsidRPr="000C4F3C">
        <w:rPr>
          <w:rFonts w:cstheme="minorHAnsi"/>
          <w:sz w:val="24"/>
          <w:szCs w:val="24"/>
        </w:rPr>
        <w:t>Wellcome</w:t>
      </w:r>
      <w:proofErr w:type="spellEnd"/>
      <w:r w:rsidRPr="000C4F3C">
        <w:rPr>
          <w:rFonts w:cstheme="minorHAnsi"/>
          <w:sz w:val="24"/>
          <w:szCs w:val="24"/>
        </w:rPr>
        <w:t xml:space="preserve"> Trust Clinical Research Programme, Blantyre, Malawi</w:t>
      </w:r>
      <w:r w:rsidRPr="000C4F3C">
        <w:rPr>
          <w:rFonts w:cstheme="minorHAnsi"/>
          <w:sz w:val="24"/>
          <w:szCs w:val="24"/>
          <w:vertAlign w:val="superscript"/>
        </w:rPr>
        <w:t xml:space="preserve"> </w:t>
      </w:r>
    </w:p>
    <w:p w14:paraId="2B952D50" w14:textId="77777777" w:rsidR="004A16AD" w:rsidRDefault="006034BA" w:rsidP="00CA4637">
      <w:pPr>
        <w:spacing w:after="0" w:line="276" w:lineRule="auto"/>
        <w:rPr>
          <w:rFonts w:cstheme="minorHAnsi"/>
          <w:sz w:val="24"/>
          <w:szCs w:val="24"/>
        </w:rPr>
      </w:pPr>
      <w:hyperlink r:id="rId7" w:history="1">
        <w:r w:rsidR="004A16AD" w:rsidRPr="0092678A">
          <w:rPr>
            <w:rStyle w:val="Hyperlink"/>
            <w:rFonts w:cstheme="minorHAnsi"/>
            <w:sz w:val="24"/>
            <w:szCs w:val="24"/>
          </w:rPr>
          <w:t>Sarah.rylance@lstmed.ac.uk</w:t>
        </w:r>
      </w:hyperlink>
    </w:p>
    <w:p w14:paraId="14F82590" w14:textId="77777777" w:rsidR="004A16AD" w:rsidRDefault="004A16AD" w:rsidP="00CA4637">
      <w:pPr>
        <w:spacing w:after="0" w:line="276" w:lineRule="auto"/>
        <w:rPr>
          <w:rFonts w:cstheme="minorHAnsi"/>
          <w:sz w:val="24"/>
          <w:szCs w:val="24"/>
        </w:rPr>
      </w:pPr>
    </w:p>
    <w:p w14:paraId="0EC5D471" w14:textId="77777777" w:rsidR="004A16AD" w:rsidRDefault="004A16AD" w:rsidP="00CA4637">
      <w:pPr>
        <w:spacing w:after="0" w:line="276" w:lineRule="auto"/>
        <w:rPr>
          <w:rFonts w:cstheme="minorHAnsi"/>
          <w:b/>
          <w:bCs/>
          <w:sz w:val="24"/>
          <w:szCs w:val="24"/>
        </w:rPr>
      </w:pPr>
      <w:r w:rsidRPr="00AD718B">
        <w:rPr>
          <w:rFonts w:cstheme="minorHAnsi"/>
          <w:b/>
          <w:bCs/>
          <w:sz w:val="24"/>
          <w:szCs w:val="24"/>
        </w:rPr>
        <w:t>Word count:</w:t>
      </w:r>
      <w:r w:rsidRPr="00AA1669">
        <w:rPr>
          <w:rFonts w:cstheme="minorHAnsi"/>
          <w:sz w:val="24"/>
          <w:szCs w:val="24"/>
        </w:rPr>
        <w:t xml:space="preserve"> </w:t>
      </w:r>
      <w:r>
        <w:rPr>
          <w:rFonts w:cstheme="minorHAnsi"/>
          <w:sz w:val="24"/>
          <w:szCs w:val="24"/>
        </w:rPr>
        <w:t xml:space="preserve"> 3500</w:t>
      </w:r>
    </w:p>
    <w:p w14:paraId="56739F55" w14:textId="77777777" w:rsidR="004A16AD" w:rsidRDefault="004A16AD" w:rsidP="00CA4637">
      <w:pPr>
        <w:spacing w:after="0" w:line="276" w:lineRule="auto"/>
        <w:rPr>
          <w:rFonts w:cstheme="minorHAnsi"/>
          <w:b/>
          <w:bCs/>
          <w:sz w:val="24"/>
          <w:szCs w:val="24"/>
        </w:rPr>
      </w:pPr>
    </w:p>
    <w:p w14:paraId="2CB46722" w14:textId="77777777" w:rsidR="004A16AD" w:rsidRPr="00FF62B4" w:rsidRDefault="004A16AD" w:rsidP="00CA4637">
      <w:pPr>
        <w:spacing w:after="0" w:line="276" w:lineRule="auto"/>
        <w:rPr>
          <w:rFonts w:cstheme="minorHAnsi"/>
          <w:b/>
          <w:bCs/>
          <w:sz w:val="24"/>
          <w:szCs w:val="24"/>
        </w:rPr>
      </w:pPr>
      <w:r w:rsidRPr="00FF62B4">
        <w:rPr>
          <w:rFonts w:cstheme="minorHAnsi"/>
          <w:b/>
          <w:bCs/>
          <w:sz w:val="24"/>
          <w:szCs w:val="24"/>
        </w:rPr>
        <w:t>Author contributions</w:t>
      </w:r>
    </w:p>
    <w:p w14:paraId="1FE5425E" w14:textId="77777777" w:rsidR="004A16AD" w:rsidRPr="000C4F3C" w:rsidRDefault="004A16AD" w:rsidP="00CA4637">
      <w:pPr>
        <w:spacing w:after="0" w:line="480" w:lineRule="auto"/>
        <w:outlineLvl w:val="0"/>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Design: SR, KM</w:t>
      </w:r>
    </w:p>
    <w:p w14:paraId="392FE0C6" w14:textId="77777777" w:rsidR="004A16AD" w:rsidRPr="000C4F3C" w:rsidRDefault="004A16AD" w:rsidP="00CA4637">
      <w:pPr>
        <w:spacing w:after="0" w:line="480" w:lineRule="auto"/>
        <w:outlineLvl w:val="0"/>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 xml:space="preserve">Acquisition of data: SR, </w:t>
      </w:r>
      <w:r>
        <w:rPr>
          <w:rFonts w:eastAsia="Arial Unicode MS" w:cstheme="minorHAnsi"/>
          <w:color w:val="000000" w:themeColor="text1"/>
          <w:sz w:val="24"/>
          <w:szCs w:val="24"/>
          <w:lang w:val="en-US"/>
        </w:rPr>
        <w:t>BC, BM</w:t>
      </w:r>
    </w:p>
    <w:p w14:paraId="7CCED07C" w14:textId="77777777" w:rsidR="004A16AD" w:rsidRPr="000C4F3C" w:rsidRDefault="004A16AD" w:rsidP="00CA4637">
      <w:pPr>
        <w:spacing w:after="0" w:line="480" w:lineRule="auto"/>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Analysis of data: SR, CJ</w:t>
      </w:r>
    </w:p>
    <w:p w14:paraId="25212CF8" w14:textId="77777777" w:rsidR="004A16AD" w:rsidRDefault="004A16AD" w:rsidP="00CA4637">
      <w:pPr>
        <w:spacing w:after="0" w:line="480" w:lineRule="auto"/>
        <w:outlineLvl w:val="0"/>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Interpretation of data: SR, CJ,</w:t>
      </w:r>
      <w:r>
        <w:rPr>
          <w:rFonts w:eastAsia="Arial Unicode MS" w:cstheme="minorHAnsi"/>
          <w:color w:val="000000" w:themeColor="text1"/>
          <w:sz w:val="24"/>
          <w:szCs w:val="24"/>
          <w:lang w:val="en-US"/>
        </w:rPr>
        <w:t xml:space="preserve"> </w:t>
      </w:r>
      <w:r w:rsidRPr="000C4F3C">
        <w:rPr>
          <w:rFonts w:eastAsia="Arial Unicode MS" w:cstheme="minorHAnsi"/>
          <w:color w:val="000000" w:themeColor="text1"/>
          <w:sz w:val="24"/>
          <w:szCs w:val="24"/>
          <w:lang w:val="en-US"/>
        </w:rPr>
        <w:t>KM</w:t>
      </w:r>
    </w:p>
    <w:p w14:paraId="04C6ECC1" w14:textId="77777777" w:rsidR="004A16AD" w:rsidRPr="000C4F3C" w:rsidRDefault="004A16AD" w:rsidP="00CA4637">
      <w:pPr>
        <w:spacing w:after="0" w:line="480" w:lineRule="auto"/>
        <w:outlineLvl w:val="0"/>
        <w:rPr>
          <w:rFonts w:eastAsia="Arial Unicode MS" w:cstheme="minorHAnsi"/>
          <w:color w:val="000000" w:themeColor="text1"/>
          <w:sz w:val="24"/>
          <w:szCs w:val="24"/>
          <w:lang w:val="en-US"/>
        </w:rPr>
      </w:pPr>
      <w:r>
        <w:rPr>
          <w:rFonts w:eastAsia="Arial Unicode MS" w:cstheme="minorHAnsi"/>
          <w:color w:val="000000" w:themeColor="text1"/>
          <w:sz w:val="24"/>
          <w:szCs w:val="24"/>
          <w:lang w:val="en-US"/>
        </w:rPr>
        <w:t>Supervision: KM, CJ, JG</w:t>
      </w:r>
    </w:p>
    <w:p w14:paraId="5E75669A" w14:textId="77777777" w:rsidR="004A16AD" w:rsidRDefault="004A16AD" w:rsidP="00CA4637">
      <w:pPr>
        <w:spacing w:after="0" w:line="480" w:lineRule="auto"/>
        <w:rPr>
          <w:rFonts w:eastAsia="Arial Unicode MS" w:cstheme="minorHAnsi"/>
          <w:color w:val="000000" w:themeColor="text1"/>
          <w:sz w:val="24"/>
          <w:szCs w:val="24"/>
          <w:lang w:val="en-US"/>
        </w:rPr>
      </w:pPr>
      <w:r w:rsidRPr="000C4F3C">
        <w:rPr>
          <w:rFonts w:eastAsia="Arial Unicode MS" w:cstheme="minorHAnsi"/>
          <w:color w:val="000000" w:themeColor="text1"/>
          <w:sz w:val="24"/>
          <w:szCs w:val="24"/>
          <w:lang w:val="en-US"/>
        </w:rPr>
        <w:t>Writing the manuscript, approval of the version to be published and agreement to be accountable for all aspects of the work: All authors</w:t>
      </w:r>
    </w:p>
    <w:p w14:paraId="58EE0E84" w14:textId="77777777" w:rsidR="004A16AD" w:rsidRDefault="004A16AD" w:rsidP="00CA4637">
      <w:pPr>
        <w:spacing w:after="0" w:line="480" w:lineRule="auto"/>
        <w:rPr>
          <w:rFonts w:eastAsia="Arial Unicode MS" w:cstheme="minorHAnsi"/>
          <w:color w:val="000000" w:themeColor="text1"/>
          <w:sz w:val="24"/>
          <w:szCs w:val="24"/>
          <w:lang w:val="en-US"/>
        </w:rPr>
      </w:pPr>
    </w:p>
    <w:p w14:paraId="3FAFBF5C" w14:textId="77777777" w:rsidR="004A16AD" w:rsidRDefault="004A16AD" w:rsidP="00CA4637">
      <w:pPr>
        <w:spacing w:after="0" w:line="480" w:lineRule="auto"/>
        <w:rPr>
          <w:rFonts w:eastAsia="Arial Unicode MS" w:cstheme="minorHAnsi"/>
          <w:color w:val="000000" w:themeColor="text1"/>
          <w:sz w:val="24"/>
          <w:szCs w:val="24"/>
          <w:lang w:val="en-US"/>
        </w:rPr>
      </w:pPr>
      <w:r>
        <w:rPr>
          <w:rFonts w:eastAsia="Arial Unicode MS" w:cstheme="minorHAnsi"/>
          <w:color w:val="000000" w:themeColor="text1"/>
          <w:sz w:val="24"/>
          <w:szCs w:val="24"/>
          <w:lang w:val="en-US"/>
        </w:rPr>
        <w:t>Keywords: asthma, task-shifting, education, Africa, children</w:t>
      </w:r>
    </w:p>
    <w:p w14:paraId="544D0B5B" w14:textId="77777777" w:rsidR="004A16AD" w:rsidRDefault="004A16AD">
      <w:pPr>
        <w:rPr>
          <w:rFonts w:eastAsia="Arial Unicode MS" w:cstheme="minorHAnsi"/>
          <w:color w:val="000000" w:themeColor="text1"/>
          <w:sz w:val="24"/>
          <w:szCs w:val="24"/>
          <w:lang w:val="en-US"/>
        </w:rPr>
      </w:pPr>
      <w:r>
        <w:rPr>
          <w:rFonts w:eastAsia="Arial Unicode MS" w:cstheme="minorHAnsi"/>
          <w:color w:val="000000" w:themeColor="text1"/>
          <w:sz w:val="24"/>
          <w:szCs w:val="24"/>
          <w:lang w:val="en-US"/>
        </w:rPr>
        <w:br w:type="page"/>
      </w:r>
    </w:p>
    <w:p w14:paraId="2AB98138" w14:textId="77777777" w:rsidR="004A16AD" w:rsidRPr="002B3B28" w:rsidRDefault="004A16AD" w:rsidP="00CA4637">
      <w:pPr>
        <w:spacing w:line="480" w:lineRule="auto"/>
        <w:rPr>
          <w:b/>
          <w:bCs/>
          <w:sz w:val="24"/>
          <w:szCs w:val="24"/>
        </w:rPr>
      </w:pPr>
      <w:r w:rsidRPr="002B3B28">
        <w:rPr>
          <w:b/>
          <w:bCs/>
          <w:sz w:val="24"/>
          <w:szCs w:val="24"/>
        </w:rPr>
        <w:lastRenderedPageBreak/>
        <w:t>Key messages:</w:t>
      </w:r>
    </w:p>
    <w:p w14:paraId="299F0F0C" w14:textId="77777777" w:rsidR="004A16AD" w:rsidRPr="002B3B28" w:rsidRDefault="004A16AD" w:rsidP="00CA4637">
      <w:pPr>
        <w:spacing w:line="480" w:lineRule="auto"/>
        <w:rPr>
          <w:b/>
          <w:bCs/>
          <w:sz w:val="24"/>
          <w:szCs w:val="24"/>
        </w:rPr>
      </w:pPr>
      <w:bookmarkStart w:id="0" w:name="_Hlk47961983"/>
      <w:r w:rsidRPr="002B3B28">
        <w:rPr>
          <w:b/>
          <w:bCs/>
          <w:sz w:val="24"/>
          <w:szCs w:val="24"/>
        </w:rPr>
        <w:t>What is the key question?</w:t>
      </w:r>
    </w:p>
    <w:p w14:paraId="561100B2" w14:textId="77777777" w:rsidR="004A16AD" w:rsidRPr="002B3B28" w:rsidRDefault="004A16AD" w:rsidP="00CA4637">
      <w:pPr>
        <w:spacing w:line="480" w:lineRule="auto"/>
        <w:rPr>
          <w:sz w:val="24"/>
          <w:szCs w:val="24"/>
        </w:rPr>
      </w:pPr>
      <w:r w:rsidRPr="002B3B28">
        <w:rPr>
          <w:sz w:val="24"/>
          <w:szCs w:val="24"/>
        </w:rPr>
        <w:t>Can an enhanced asthma care package, including optimisation of inhaler treatment and task-shifting of asthma education roles to non-</w:t>
      </w:r>
      <w:r>
        <w:rPr>
          <w:sz w:val="24"/>
          <w:szCs w:val="24"/>
        </w:rPr>
        <w:t>physicians</w:t>
      </w:r>
      <w:r w:rsidRPr="002B3B28">
        <w:rPr>
          <w:sz w:val="24"/>
          <w:szCs w:val="24"/>
        </w:rPr>
        <w:t>, improve asthma outcomes for children in a resource-limited setting, such as Malawi?</w:t>
      </w:r>
    </w:p>
    <w:p w14:paraId="6554957D" w14:textId="77777777" w:rsidR="004A16AD" w:rsidRPr="002B3B28" w:rsidRDefault="004A16AD" w:rsidP="00CA4637">
      <w:pPr>
        <w:spacing w:line="480" w:lineRule="auto"/>
        <w:rPr>
          <w:b/>
          <w:bCs/>
          <w:sz w:val="24"/>
          <w:szCs w:val="24"/>
        </w:rPr>
      </w:pPr>
      <w:r w:rsidRPr="002B3B28">
        <w:rPr>
          <w:b/>
          <w:bCs/>
          <w:sz w:val="24"/>
          <w:szCs w:val="24"/>
        </w:rPr>
        <w:t>What is the bottom line?</w:t>
      </w:r>
    </w:p>
    <w:p w14:paraId="78F7BAAB" w14:textId="77777777" w:rsidR="004A16AD" w:rsidRPr="002B3B28" w:rsidRDefault="004A16AD" w:rsidP="00CA4637">
      <w:pPr>
        <w:spacing w:line="480" w:lineRule="auto"/>
        <w:rPr>
          <w:sz w:val="24"/>
          <w:szCs w:val="24"/>
        </w:rPr>
      </w:pPr>
      <w:r w:rsidRPr="002B3B28">
        <w:rPr>
          <w:sz w:val="24"/>
          <w:szCs w:val="24"/>
        </w:rPr>
        <w:t>Children receiving a pragmatic enhanced asthma care package reported significantly fewer symptoms and decreased exacerbations resulting in emergency health care attendance or school absence after 3-months, compared to those receiving standard care in a government hospital outpatient clinic in Blantyre, Malawi.</w:t>
      </w:r>
    </w:p>
    <w:p w14:paraId="52C11F4A" w14:textId="77777777" w:rsidR="004A16AD" w:rsidRPr="002B3B28" w:rsidRDefault="004A16AD" w:rsidP="00CA4637">
      <w:pPr>
        <w:spacing w:line="480" w:lineRule="auto"/>
        <w:rPr>
          <w:b/>
          <w:bCs/>
          <w:sz w:val="24"/>
          <w:szCs w:val="24"/>
        </w:rPr>
      </w:pPr>
      <w:r w:rsidRPr="002B3B28">
        <w:rPr>
          <w:b/>
          <w:bCs/>
          <w:sz w:val="24"/>
          <w:szCs w:val="24"/>
        </w:rPr>
        <w:t>Why read on?</w:t>
      </w:r>
    </w:p>
    <w:p w14:paraId="55DA4CBF" w14:textId="77777777" w:rsidR="004A16AD" w:rsidRPr="002B3B28" w:rsidRDefault="004A16AD" w:rsidP="00CA4637">
      <w:pPr>
        <w:spacing w:line="480" w:lineRule="auto"/>
        <w:rPr>
          <w:sz w:val="24"/>
          <w:szCs w:val="24"/>
        </w:rPr>
      </w:pPr>
      <w:r w:rsidRPr="002B3B28">
        <w:rPr>
          <w:sz w:val="24"/>
          <w:szCs w:val="24"/>
        </w:rPr>
        <w:t>Asthma is an increasing concern in low- and middle-income countries but evidence to guide long-term management in these settings is lacking – it is essential to develop, evaluate and scale-up strategies specifically tailored to resource-limited settings to improve asthma care for the world’s poorest populations.</w:t>
      </w:r>
    </w:p>
    <w:bookmarkEnd w:id="0"/>
    <w:p w14:paraId="32BF26AF" w14:textId="77777777" w:rsidR="004A16AD" w:rsidRPr="00987C1A" w:rsidRDefault="004A16AD" w:rsidP="00CA4637">
      <w:pPr>
        <w:rPr>
          <w:rFonts w:eastAsia="Arial Unicode MS" w:cstheme="minorHAnsi"/>
          <w:color w:val="000000" w:themeColor="text1"/>
          <w:sz w:val="24"/>
          <w:szCs w:val="24"/>
          <w:highlight w:val="yellow"/>
          <w:lang w:val="en-US"/>
        </w:rPr>
      </w:pPr>
      <w:r>
        <w:rPr>
          <w:rFonts w:eastAsia="Arial Unicode MS" w:cstheme="minorHAnsi"/>
          <w:color w:val="000000" w:themeColor="text1"/>
          <w:sz w:val="24"/>
          <w:szCs w:val="24"/>
          <w:highlight w:val="yellow"/>
          <w:lang w:val="en-US"/>
        </w:rPr>
        <w:br w:type="page"/>
      </w:r>
    </w:p>
    <w:p w14:paraId="6A3BE59B" w14:textId="77777777" w:rsidR="004A16AD" w:rsidRDefault="004A16AD" w:rsidP="00CA4637">
      <w:pPr>
        <w:rPr>
          <w:rFonts w:eastAsia="Arial Unicode MS" w:cstheme="minorHAnsi"/>
          <w:b/>
          <w:bCs/>
          <w:color w:val="000000" w:themeColor="text1"/>
          <w:sz w:val="24"/>
          <w:szCs w:val="24"/>
          <w:lang w:val="en-US"/>
        </w:rPr>
      </w:pPr>
      <w:r>
        <w:rPr>
          <w:rFonts w:eastAsia="Arial Unicode MS" w:cstheme="minorHAnsi"/>
          <w:b/>
          <w:bCs/>
          <w:color w:val="000000" w:themeColor="text1"/>
          <w:sz w:val="24"/>
          <w:szCs w:val="24"/>
          <w:lang w:val="en-US"/>
        </w:rPr>
        <w:lastRenderedPageBreak/>
        <w:t>ABSTRACT</w:t>
      </w:r>
    </w:p>
    <w:p w14:paraId="16E469F1" w14:textId="77777777" w:rsidR="004A16AD" w:rsidRPr="0093562C" w:rsidRDefault="004A16AD" w:rsidP="00CA4637">
      <w:pPr>
        <w:spacing w:line="480" w:lineRule="auto"/>
        <w:rPr>
          <w:rFonts w:eastAsia="Arial Unicode MS" w:cstheme="minorHAnsi"/>
          <w:b/>
          <w:bCs/>
          <w:color w:val="000000" w:themeColor="text1"/>
          <w:sz w:val="24"/>
          <w:szCs w:val="24"/>
          <w:lang w:val="en-US"/>
        </w:rPr>
      </w:pPr>
      <w:r w:rsidRPr="0093562C">
        <w:rPr>
          <w:rFonts w:eastAsia="Arial Unicode MS" w:cstheme="minorHAnsi"/>
          <w:b/>
          <w:bCs/>
          <w:color w:val="000000" w:themeColor="text1"/>
          <w:sz w:val="24"/>
          <w:szCs w:val="24"/>
          <w:lang w:val="en-US"/>
        </w:rPr>
        <w:t>Background</w:t>
      </w:r>
    </w:p>
    <w:p w14:paraId="53C0F4FA" w14:textId="77777777" w:rsidR="004A16AD" w:rsidRPr="0093562C" w:rsidRDefault="004A16AD" w:rsidP="00CA4637">
      <w:pPr>
        <w:spacing w:line="480" w:lineRule="auto"/>
        <w:rPr>
          <w:rFonts w:eastAsia="Arial Unicode MS" w:cstheme="minorHAnsi"/>
          <w:color w:val="000000" w:themeColor="text1"/>
          <w:sz w:val="24"/>
          <w:szCs w:val="24"/>
          <w:lang w:val="en-US"/>
        </w:rPr>
      </w:pPr>
      <w:r>
        <w:rPr>
          <w:rFonts w:eastAsia="Arial Unicode MS" w:cstheme="minorHAnsi"/>
          <w:color w:val="000000" w:themeColor="text1"/>
          <w:sz w:val="24"/>
          <w:szCs w:val="24"/>
          <w:lang w:val="en-US"/>
        </w:rPr>
        <w:t>Shortages of clinical staff make chronic a</w:t>
      </w:r>
      <w:r w:rsidRPr="0093562C">
        <w:rPr>
          <w:rFonts w:eastAsia="Arial Unicode MS" w:cstheme="minorHAnsi"/>
          <w:color w:val="000000" w:themeColor="text1"/>
          <w:sz w:val="24"/>
          <w:szCs w:val="24"/>
          <w:lang w:val="en-US"/>
        </w:rPr>
        <w:t>sthma care</w:t>
      </w:r>
      <w:r>
        <w:rPr>
          <w:rFonts w:eastAsia="Arial Unicode MS" w:cstheme="minorHAnsi"/>
          <w:color w:val="000000" w:themeColor="text1"/>
          <w:sz w:val="24"/>
          <w:szCs w:val="24"/>
          <w:lang w:val="en-US"/>
        </w:rPr>
        <w:t xml:space="preserve"> </w:t>
      </w:r>
      <w:r w:rsidRPr="0093562C">
        <w:rPr>
          <w:rFonts w:eastAsia="Arial Unicode MS" w:cstheme="minorHAnsi"/>
          <w:color w:val="000000" w:themeColor="text1"/>
          <w:sz w:val="24"/>
          <w:szCs w:val="24"/>
          <w:lang w:val="en-US"/>
        </w:rPr>
        <w:t>challenging in low-income countries. We evaluated an outpatient asthma care package for children</w:t>
      </w:r>
      <w:r>
        <w:rPr>
          <w:rFonts w:eastAsia="Arial Unicode MS" w:cstheme="minorHAnsi"/>
          <w:color w:val="000000" w:themeColor="text1"/>
          <w:sz w:val="24"/>
          <w:szCs w:val="24"/>
          <w:lang w:val="en-US"/>
        </w:rPr>
        <w:t>,</w:t>
      </w:r>
      <w:r w:rsidRPr="0093562C">
        <w:rPr>
          <w:rFonts w:eastAsia="Arial Unicode MS" w:cstheme="minorHAnsi"/>
          <w:color w:val="000000" w:themeColor="text1"/>
          <w:sz w:val="24"/>
          <w:szCs w:val="24"/>
          <w:lang w:val="en-US"/>
        </w:rPr>
        <w:t xml:space="preserve"> includ</w:t>
      </w:r>
      <w:r>
        <w:rPr>
          <w:rFonts w:eastAsia="Arial Unicode MS" w:cstheme="minorHAnsi"/>
          <w:color w:val="000000" w:themeColor="text1"/>
          <w:sz w:val="24"/>
          <w:szCs w:val="24"/>
          <w:lang w:val="en-US"/>
        </w:rPr>
        <w:t>ing</w:t>
      </w:r>
      <w:r w:rsidRPr="0093562C">
        <w:rPr>
          <w:rFonts w:eastAsia="Arial Unicode MS" w:cstheme="minorHAnsi"/>
          <w:color w:val="000000" w:themeColor="text1"/>
          <w:sz w:val="24"/>
          <w:szCs w:val="24"/>
          <w:lang w:val="en-US"/>
        </w:rPr>
        <w:t xml:space="preserve"> task-shifting of asthma </w:t>
      </w:r>
      <w:r>
        <w:rPr>
          <w:rFonts w:eastAsia="Arial Unicode MS" w:cstheme="minorHAnsi"/>
          <w:color w:val="000000" w:themeColor="text1"/>
          <w:sz w:val="24"/>
          <w:szCs w:val="24"/>
          <w:lang w:val="en-US"/>
        </w:rPr>
        <w:t>management</w:t>
      </w:r>
      <w:r w:rsidRPr="0093562C">
        <w:rPr>
          <w:rFonts w:eastAsia="Arial Unicode MS" w:cstheme="minorHAnsi"/>
          <w:color w:val="000000" w:themeColor="text1"/>
          <w:sz w:val="24"/>
          <w:szCs w:val="24"/>
          <w:lang w:val="en-US"/>
        </w:rPr>
        <w:t xml:space="preserve"> roles.</w:t>
      </w:r>
    </w:p>
    <w:p w14:paraId="2C82FE07" w14:textId="77777777" w:rsidR="004A16AD" w:rsidRPr="0093562C" w:rsidRDefault="004A16AD" w:rsidP="00CA4637">
      <w:pPr>
        <w:spacing w:line="480" w:lineRule="auto"/>
        <w:rPr>
          <w:rFonts w:eastAsia="Arial Unicode MS" w:cstheme="minorHAnsi"/>
          <w:b/>
          <w:bCs/>
          <w:color w:val="000000" w:themeColor="text1"/>
          <w:sz w:val="24"/>
          <w:szCs w:val="24"/>
          <w:lang w:val="en-US"/>
        </w:rPr>
      </w:pPr>
      <w:r w:rsidRPr="0093562C">
        <w:rPr>
          <w:rFonts w:eastAsia="Arial Unicode MS" w:cstheme="minorHAnsi"/>
          <w:b/>
          <w:bCs/>
          <w:color w:val="000000" w:themeColor="text1"/>
          <w:sz w:val="24"/>
          <w:szCs w:val="24"/>
          <w:lang w:val="en-US"/>
        </w:rPr>
        <w:t>Methods</w:t>
      </w:r>
    </w:p>
    <w:p w14:paraId="385818E7" w14:textId="77777777" w:rsidR="004A16AD" w:rsidRPr="0093562C" w:rsidRDefault="004A16AD" w:rsidP="00CA4637">
      <w:pPr>
        <w:spacing w:line="480" w:lineRule="auto"/>
        <w:rPr>
          <w:rFonts w:eastAsia="Arial Unicode MS" w:cstheme="minorHAnsi"/>
          <w:color w:val="000000" w:themeColor="text1"/>
          <w:sz w:val="24"/>
          <w:szCs w:val="24"/>
          <w:lang w:val="en-US"/>
        </w:rPr>
      </w:pPr>
      <w:r w:rsidRPr="0093562C">
        <w:rPr>
          <w:rFonts w:eastAsia="Arial Unicode MS" w:cstheme="minorHAnsi"/>
          <w:color w:val="000000" w:themeColor="text1"/>
          <w:sz w:val="24"/>
          <w:szCs w:val="24"/>
          <w:lang w:val="en-US"/>
        </w:rPr>
        <w:t xml:space="preserve">We conducted a non-blinded individually </w:t>
      </w:r>
      <w:proofErr w:type="spellStart"/>
      <w:r w:rsidRPr="0093562C">
        <w:rPr>
          <w:rFonts w:eastAsia="Arial Unicode MS" w:cstheme="minorHAnsi"/>
          <w:color w:val="000000" w:themeColor="text1"/>
          <w:sz w:val="24"/>
          <w:szCs w:val="24"/>
          <w:lang w:val="en-US"/>
        </w:rPr>
        <w:t>randomised</w:t>
      </w:r>
      <w:proofErr w:type="spellEnd"/>
      <w:r w:rsidRPr="0093562C">
        <w:rPr>
          <w:rFonts w:eastAsia="Arial Unicode MS" w:cstheme="minorHAnsi"/>
          <w:color w:val="000000" w:themeColor="text1"/>
          <w:sz w:val="24"/>
          <w:szCs w:val="24"/>
          <w:lang w:val="en-US"/>
        </w:rPr>
        <w:t xml:space="preserve"> controlled trial at a tertiary-level government hospital in Blantyre, Malawi. Children aged 6-15 years</w:t>
      </w:r>
      <w:r>
        <w:rPr>
          <w:rFonts w:eastAsia="Arial Unicode MS" w:cstheme="minorHAnsi"/>
          <w:color w:val="000000" w:themeColor="text1"/>
          <w:sz w:val="24"/>
          <w:szCs w:val="24"/>
          <w:lang w:val="en-US"/>
        </w:rPr>
        <w:t>,</w:t>
      </w:r>
      <w:r w:rsidRPr="0093562C">
        <w:rPr>
          <w:rFonts w:eastAsia="Arial Unicode MS" w:cstheme="minorHAnsi"/>
          <w:color w:val="000000" w:themeColor="text1"/>
          <w:sz w:val="24"/>
          <w:szCs w:val="24"/>
          <w:lang w:val="en-US"/>
        </w:rPr>
        <w:t xml:space="preserve"> </w:t>
      </w:r>
      <w:r>
        <w:rPr>
          <w:rFonts w:eastAsia="Arial Unicode MS" w:cstheme="minorHAnsi"/>
          <w:color w:val="000000" w:themeColor="text1"/>
          <w:sz w:val="24"/>
          <w:szCs w:val="24"/>
          <w:lang w:val="en-US"/>
        </w:rPr>
        <w:t xml:space="preserve">diagnosed </w:t>
      </w:r>
      <w:r w:rsidRPr="0093562C">
        <w:rPr>
          <w:rFonts w:eastAsia="Arial Unicode MS" w:cstheme="minorHAnsi"/>
          <w:color w:val="000000" w:themeColor="text1"/>
          <w:sz w:val="24"/>
          <w:szCs w:val="24"/>
          <w:lang w:val="en-US"/>
        </w:rPr>
        <w:t>with asthma were recruited from outpatient clinic</w:t>
      </w:r>
      <w:r>
        <w:rPr>
          <w:rFonts w:eastAsia="Arial Unicode MS" w:cstheme="minorHAnsi"/>
          <w:color w:val="000000" w:themeColor="text1"/>
          <w:sz w:val="24"/>
          <w:szCs w:val="24"/>
          <w:lang w:val="en-US"/>
        </w:rPr>
        <w:t xml:space="preserve">, </w:t>
      </w:r>
      <w:r w:rsidRPr="0093562C">
        <w:rPr>
          <w:rFonts w:eastAsia="Arial Unicode MS" w:cstheme="minorHAnsi"/>
          <w:color w:val="000000" w:themeColor="text1"/>
          <w:sz w:val="24"/>
          <w:szCs w:val="24"/>
          <w:lang w:val="en-US"/>
        </w:rPr>
        <w:t>stratified by Childhood Asthma Control Test (</w:t>
      </w:r>
      <w:proofErr w:type="spellStart"/>
      <w:r w:rsidRPr="0093562C">
        <w:rPr>
          <w:rFonts w:eastAsia="Arial Unicode MS" w:cstheme="minorHAnsi"/>
          <w:color w:val="000000" w:themeColor="text1"/>
          <w:sz w:val="24"/>
          <w:szCs w:val="24"/>
          <w:lang w:val="en-US"/>
        </w:rPr>
        <w:t>cACT</w:t>
      </w:r>
      <w:proofErr w:type="spellEnd"/>
      <w:r w:rsidRPr="0093562C">
        <w:rPr>
          <w:rFonts w:eastAsia="Arial Unicode MS" w:cstheme="minorHAnsi"/>
          <w:color w:val="000000" w:themeColor="text1"/>
          <w:sz w:val="24"/>
          <w:szCs w:val="24"/>
          <w:lang w:val="en-US"/>
        </w:rPr>
        <w:t>) score</w:t>
      </w:r>
      <w:r>
        <w:rPr>
          <w:rFonts w:eastAsia="Arial Unicode MS" w:cstheme="minorHAnsi"/>
          <w:color w:val="000000" w:themeColor="text1"/>
          <w:sz w:val="24"/>
          <w:szCs w:val="24"/>
          <w:lang w:val="en-US"/>
        </w:rPr>
        <w:t>,</w:t>
      </w:r>
      <w:r w:rsidRPr="0093562C">
        <w:rPr>
          <w:rFonts w:eastAsia="Arial Unicode MS" w:cstheme="minorHAnsi"/>
          <w:color w:val="000000" w:themeColor="text1"/>
          <w:sz w:val="24"/>
          <w:szCs w:val="24"/>
          <w:lang w:val="en-US"/>
        </w:rPr>
        <w:t xml:space="preserve"> and allocated 1:1 from a concealed file, accessed during electronic questionnaire completion. The intervention</w:t>
      </w:r>
      <w:r>
        <w:rPr>
          <w:rFonts w:eastAsia="Arial Unicode MS" w:cstheme="minorHAnsi"/>
          <w:color w:val="000000" w:themeColor="text1"/>
          <w:sz w:val="24"/>
          <w:szCs w:val="24"/>
          <w:lang w:val="en-US"/>
        </w:rPr>
        <w:t>, delivered by non-physicians,</w:t>
      </w:r>
      <w:r w:rsidRPr="0093562C">
        <w:rPr>
          <w:rFonts w:eastAsia="Arial Unicode MS" w:cstheme="minorHAnsi"/>
          <w:color w:val="000000" w:themeColor="text1"/>
          <w:sz w:val="24"/>
          <w:szCs w:val="24"/>
          <w:lang w:val="en-US"/>
        </w:rPr>
        <w:t xml:space="preserve"> comprised; clinical assessment, </w:t>
      </w:r>
      <w:proofErr w:type="spellStart"/>
      <w:r w:rsidRPr="0093562C">
        <w:rPr>
          <w:rFonts w:eastAsia="Arial Unicode MS" w:cstheme="minorHAnsi"/>
          <w:color w:val="000000" w:themeColor="text1"/>
          <w:sz w:val="24"/>
          <w:szCs w:val="24"/>
          <w:lang w:val="en-US"/>
        </w:rPr>
        <w:t>optimisation</w:t>
      </w:r>
      <w:proofErr w:type="spellEnd"/>
      <w:r w:rsidRPr="0093562C">
        <w:rPr>
          <w:rFonts w:eastAsia="Arial Unicode MS" w:cstheme="minorHAnsi"/>
          <w:color w:val="000000" w:themeColor="text1"/>
          <w:sz w:val="24"/>
          <w:szCs w:val="24"/>
          <w:lang w:val="en-US"/>
        </w:rPr>
        <w:t xml:space="preserve"> of inhaled treatment, </w:t>
      </w:r>
      <w:proofErr w:type="spellStart"/>
      <w:r w:rsidRPr="0093562C">
        <w:rPr>
          <w:rFonts w:eastAsia="Arial Unicode MS" w:cstheme="minorHAnsi"/>
          <w:color w:val="000000" w:themeColor="text1"/>
          <w:sz w:val="24"/>
          <w:szCs w:val="24"/>
          <w:lang w:val="en-US"/>
        </w:rPr>
        <w:t>individualised</w:t>
      </w:r>
      <w:proofErr w:type="spellEnd"/>
      <w:r w:rsidRPr="0093562C">
        <w:rPr>
          <w:rFonts w:eastAsia="Arial Unicode MS" w:cstheme="minorHAnsi"/>
          <w:color w:val="000000" w:themeColor="text1"/>
          <w:sz w:val="24"/>
          <w:szCs w:val="24"/>
          <w:lang w:val="en-US"/>
        </w:rPr>
        <w:t xml:space="preserve"> asthma education. The control group received standard care</w:t>
      </w:r>
      <w:r>
        <w:rPr>
          <w:rFonts w:eastAsia="Arial Unicode MS" w:cstheme="minorHAnsi"/>
          <w:color w:val="000000" w:themeColor="text1"/>
          <w:sz w:val="24"/>
          <w:szCs w:val="24"/>
          <w:lang w:val="en-US"/>
        </w:rPr>
        <w:t xml:space="preserve"> from</w:t>
      </w:r>
      <w:r w:rsidRPr="0093562C">
        <w:rPr>
          <w:rFonts w:eastAsia="Arial Unicode MS" w:cstheme="minorHAnsi"/>
          <w:color w:val="000000" w:themeColor="text1"/>
          <w:sz w:val="24"/>
          <w:szCs w:val="24"/>
          <w:lang w:val="en-US"/>
        </w:rPr>
        <w:t xml:space="preserve"> outpatient </w:t>
      </w:r>
      <w:r>
        <w:rPr>
          <w:rFonts w:eastAsia="Arial Unicode MS" w:cstheme="minorHAnsi"/>
          <w:color w:val="000000" w:themeColor="text1"/>
          <w:sz w:val="24"/>
          <w:szCs w:val="24"/>
          <w:lang w:val="en-US"/>
        </w:rPr>
        <w:t>physicians</w:t>
      </w:r>
      <w:r w:rsidRPr="0093562C">
        <w:rPr>
          <w:rFonts w:eastAsia="Arial Unicode MS" w:cstheme="minorHAnsi"/>
          <w:color w:val="000000" w:themeColor="text1"/>
          <w:sz w:val="24"/>
          <w:szCs w:val="24"/>
          <w:lang w:val="en-US"/>
        </w:rPr>
        <w:t xml:space="preserve">. Primary outcome for intention-to-treat analysis was change in </w:t>
      </w:r>
      <w:proofErr w:type="spellStart"/>
      <w:r w:rsidRPr="0093562C">
        <w:rPr>
          <w:rFonts w:eastAsia="Arial Unicode MS" w:cstheme="minorHAnsi"/>
          <w:color w:val="000000" w:themeColor="text1"/>
          <w:sz w:val="24"/>
          <w:szCs w:val="24"/>
          <w:lang w:val="en-US"/>
        </w:rPr>
        <w:t>cACT</w:t>
      </w:r>
      <w:proofErr w:type="spellEnd"/>
      <w:r w:rsidRPr="0093562C">
        <w:rPr>
          <w:rFonts w:eastAsia="Arial Unicode MS" w:cstheme="minorHAnsi"/>
          <w:color w:val="000000" w:themeColor="text1"/>
          <w:sz w:val="24"/>
          <w:szCs w:val="24"/>
          <w:lang w:val="en-US"/>
        </w:rPr>
        <w:t xml:space="preserve"> score at 3-months. Secondary outcomes included asthma exacerbations requiring emergency health care and school absence. </w:t>
      </w:r>
    </w:p>
    <w:p w14:paraId="26C01EE6" w14:textId="77777777" w:rsidR="004A16AD" w:rsidRPr="0093562C" w:rsidRDefault="004A16AD" w:rsidP="00CA4637">
      <w:pPr>
        <w:spacing w:line="480" w:lineRule="auto"/>
        <w:rPr>
          <w:rFonts w:eastAsia="Arial Unicode MS" w:cstheme="minorHAnsi"/>
          <w:color w:val="000000" w:themeColor="text1"/>
          <w:sz w:val="24"/>
          <w:szCs w:val="24"/>
          <w:lang w:val="en-US"/>
        </w:rPr>
      </w:pPr>
      <w:r>
        <w:rPr>
          <w:rFonts w:eastAsia="Arial Unicode MS" w:cstheme="minorHAnsi"/>
          <w:color w:val="000000" w:themeColor="text1"/>
          <w:sz w:val="24"/>
          <w:szCs w:val="24"/>
          <w:lang w:val="en-US"/>
        </w:rPr>
        <w:t>R</w:t>
      </w:r>
      <w:r w:rsidRPr="0093562C">
        <w:rPr>
          <w:rFonts w:eastAsia="Arial Unicode MS" w:cstheme="minorHAnsi"/>
          <w:color w:val="000000" w:themeColor="text1"/>
          <w:sz w:val="24"/>
          <w:szCs w:val="24"/>
          <w:lang w:val="en-US"/>
        </w:rPr>
        <w:t>egistration: Pan African Clinical Trials Registry: PACTR</w:t>
      </w:r>
      <w:r w:rsidRPr="0093562C">
        <w:rPr>
          <w:bCs/>
          <w:sz w:val="24"/>
          <w:szCs w:val="24"/>
        </w:rPr>
        <w:t>201807211617031</w:t>
      </w:r>
    </w:p>
    <w:p w14:paraId="336E343F" w14:textId="77777777" w:rsidR="004A16AD" w:rsidRPr="0093562C" w:rsidRDefault="004A16AD" w:rsidP="00CA4637">
      <w:pPr>
        <w:spacing w:line="480" w:lineRule="auto"/>
        <w:rPr>
          <w:rFonts w:eastAsia="Arial Unicode MS" w:cstheme="minorHAnsi"/>
          <w:b/>
          <w:bCs/>
          <w:color w:val="000000" w:themeColor="text1"/>
          <w:sz w:val="24"/>
          <w:szCs w:val="24"/>
          <w:lang w:val="en-US"/>
        </w:rPr>
      </w:pPr>
      <w:r w:rsidRPr="0093562C">
        <w:rPr>
          <w:rFonts w:eastAsia="Arial Unicode MS" w:cstheme="minorHAnsi"/>
          <w:b/>
          <w:bCs/>
          <w:color w:val="000000" w:themeColor="text1"/>
          <w:sz w:val="24"/>
          <w:szCs w:val="24"/>
          <w:lang w:val="en-US"/>
        </w:rPr>
        <w:t>Findings</w:t>
      </w:r>
    </w:p>
    <w:p w14:paraId="25D734CC" w14:textId="77777777" w:rsidR="004A16AD" w:rsidRPr="0093562C" w:rsidRDefault="004A16AD" w:rsidP="00CA4637">
      <w:pPr>
        <w:spacing w:line="480" w:lineRule="auto"/>
        <w:rPr>
          <w:rFonts w:eastAsia="Arial Unicode MS" w:cstheme="minorHAnsi"/>
          <w:color w:val="000000" w:themeColor="text1"/>
          <w:sz w:val="24"/>
          <w:szCs w:val="24"/>
          <w:lang w:val="en-US"/>
        </w:rPr>
      </w:pPr>
      <w:r w:rsidRPr="0093562C">
        <w:rPr>
          <w:rFonts w:eastAsia="Arial Unicode MS" w:cstheme="minorHAnsi"/>
          <w:color w:val="000000" w:themeColor="text1"/>
          <w:sz w:val="24"/>
          <w:szCs w:val="24"/>
          <w:lang w:val="en-US"/>
        </w:rPr>
        <w:t xml:space="preserve">Between </w:t>
      </w:r>
      <w:r w:rsidRPr="0093562C">
        <w:rPr>
          <w:sz w:val="24"/>
          <w:szCs w:val="24"/>
        </w:rPr>
        <w:t>September 2018 to December 2019</w:t>
      </w:r>
      <w:r w:rsidRPr="0093562C">
        <w:rPr>
          <w:rFonts w:eastAsia="Arial Unicode MS" w:cstheme="minorHAnsi"/>
          <w:color w:val="000000" w:themeColor="text1"/>
          <w:sz w:val="24"/>
          <w:szCs w:val="24"/>
          <w:lang w:val="en-US"/>
        </w:rPr>
        <w:t xml:space="preserve">, 120 children (59 intervention; 61 control) were recruited; 65.8% males, with mean </w:t>
      </w:r>
      <w:r>
        <w:rPr>
          <w:rFonts w:eastAsia="Arial Unicode MS" w:cstheme="minorHAnsi"/>
          <w:color w:val="000000" w:themeColor="text1"/>
          <w:sz w:val="24"/>
          <w:szCs w:val="24"/>
          <w:lang w:val="en-US"/>
        </w:rPr>
        <w:t xml:space="preserve">(SD) </w:t>
      </w:r>
      <w:r w:rsidRPr="0093562C">
        <w:rPr>
          <w:rFonts w:eastAsia="Arial Unicode MS" w:cstheme="minorHAnsi"/>
          <w:color w:val="000000" w:themeColor="text1"/>
          <w:sz w:val="24"/>
          <w:szCs w:val="24"/>
          <w:lang w:val="en-US"/>
        </w:rPr>
        <w:t xml:space="preserve">age 9.8 </w:t>
      </w:r>
      <w:r>
        <w:rPr>
          <w:rFonts w:eastAsia="Arial Unicode MS" w:cstheme="minorHAnsi"/>
          <w:color w:val="000000" w:themeColor="text1"/>
          <w:sz w:val="24"/>
          <w:szCs w:val="24"/>
          <w:lang w:val="en-US"/>
        </w:rPr>
        <w:t xml:space="preserve">(2.8) </w:t>
      </w:r>
      <w:r w:rsidRPr="0093562C">
        <w:rPr>
          <w:rFonts w:eastAsia="Arial Unicode MS" w:cstheme="minorHAnsi"/>
          <w:color w:val="000000" w:themeColor="text1"/>
          <w:sz w:val="24"/>
          <w:szCs w:val="24"/>
          <w:lang w:val="en-US"/>
        </w:rPr>
        <w:t xml:space="preserve">years, mean (SD) baseline </w:t>
      </w:r>
      <w:proofErr w:type="spellStart"/>
      <w:r w:rsidRPr="0093562C">
        <w:rPr>
          <w:rFonts w:eastAsia="Arial Unicode MS" w:cstheme="minorHAnsi"/>
          <w:color w:val="000000" w:themeColor="text1"/>
          <w:sz w:val="24"/>
          <w:szCs w:val="24"/>
          <w:lang w:val="en-US"/>
        </w:rPr>
        <w:t>cACT</w:t>
      </w:r>
      <w:proofErr w:type="spellEnd"/>
      <w:r w:rsidRPr="0093562C">
        <w:rPr>
          <w:rFonts w:eastAsia="Arial Unicode MS" w:cstheme="minorHAnsi"/>
          <w:color w:val="000000" w:themeColor="text1"/>
          <w:sz w:val="24"/>
          <w:szCs w:val="24"/>
          <w:lang w:val="en-US"/>
        </w:rPr>
        <w:t xml:space="preserve"> 20.3 (2.6). </w:t>
      </w:r>
      <w:r>
        <w:rPr>
          <w:rFonts w:eastAsia="Arial Unicode MS" w:cstheme="minorHAnsi"/>
          <w:color w:val="000000" w:themeColor="text1"/>
          <w:sz w:val="24"/>
          <w:szCs w:val="24"/>
          <w:lang w:val="en-US"/>
        </w:rPr>
        <w:t>A</w:t>
      </w:r>
      <w:r w:rsidRPr="0093562C">
        <w:rPr>
          <w:rFonts w:eastAsia="Arial Unicode MS" w:cstheme="minorHAnsi"/>
          <w:color w:val="000000" w:themeColor="text1"/>
          <w:sz w:val="24"/>
          <w:szCs w:val="24"/>
          <w:lang w:val="en-US"/>
        </w:rPr>
        <w:t xml:space="preserve">t 3-months: </w:t>
      </w:r>
      <w:r w:rsidRPr="0093562C">
        <w:rPr>
          <w:sz w:val="24"/>
          <w:szCs w:val="24"/>
        </w:rPr>
        <w:t xml:space="preserve">intervention </w:t>
      </w:r>
      <w:r>
        <w:rPr>
          <w:sz w:val="24"/>
          <w:szCs w:val="24"/>
        </w:rPr>
        <w:t>children (n=56)</w:t>
      </w:r>
      <w:r w:rsidRPr="0093562C">
        <w:rPr>
          <w:sz w:val="24"/>
          <w:szCs w:val="24"/>
        </w:rPr>
        <w:t xml:space="preserve"> had a greater mean (SD) change in </w:t>
      </w:r>
      <w:proofErr w:type="spellStart"/>
      <w:r w:rsidRPr="0093562C">
        <w:rPr>
          <w:sz w:val="24"/>
          <w:szCs w:val="24"/>
        </w:rPr>
        <w:t>cACT</w:t>
      </w:r>
      <w:proofErr w:type="spellEnd"/>
      <w:r w:rsidRPr="0093562C">
        <w:rPr>
          <w:sz w:val="24"/>
          <w:szCs w:val="24"/>
        </w:rPr>
        <w:t xml:space="preserve"> score from baseline (2.7 (2.8) vs 0.6 (2.8)) compared to standard care participants</w:t>
      </w:r>
      <w:r>
        <w:rPr>
          <w:sz w:val="24"/>
          <w:szCs w:val="24"/>
        </w:rPr>
        <w:t xml:space="preserve"> (n=59)</w:t>
      </w:r>
      <w:r w:rsidRPr="0093562C">
        <w:rPr>
          <w:sz w:val="24"/>
          <w:szCs w:val="24"/>
        </w:rPr>
        <w:t xml:space="preserve">; a difference of 2.1 points (95% CI: 1.1-3.1, p&lt;0.001). </w:t>
      </w:r>
      <w:r w:rsidRPr="0093562C">
        <w:rPr>
          <w:rFonts w:eastAsia="Arial Unicode MS" w:cstheme="minorHAnsi"/>
          <w:color w:val="000000" w:themeColor="text1"/>
          <w:sz w:val="24"/>
          <w:szCs w:val="24"/>
          <w:lang w:val="en-US"/>
        </w:rPr>
        <w:t>Fewer intervention</w:t>
      </w:r>
      <w:r>
        <w:rPr>
          <w:rFonts w:eastAsia="Arial Unicode MS" w:cstheme="minorHAnsi"/>
          <w:color w:val="000000" w:themeColor="text1"/>
          <w:sz w:val="24"/>
          <w:szCs w:val="24"/>
          <w:lang w:val="en-US"/>
        </w:rPr>
        <w:t xml:space="preserve"> </w:t>
      </w:r>
      <w:r w:rsidRPr="0093562C">
        <w:rPr>
          <w:rFonts w:eastAsia="Arial Unicode MS" w:cstheme="minorHAnsi"/>
          <w:color w:val="000000" w:themeColor="text1"/>
          <w:sz w:val="24"/>
          <w:szCs w:val="24"/>
          <w:lang w:val="en-US"/>
        </w:rPr>
        <w:t xml:space="preserve">children </w:t>
      </w:r>
      <w:r w:rsidRPr="0093562C">
        <w:rPr>
          <w:rFonts w:eastAsia="Arial Unicode MS" w:cstheme="minorHAnsi"/>
          <w:color w:val="000000" w:themeColor="text1"/>
          <w:sz w:val="24"/>
          <w:szCs w:val="24"/>
          <w:lang w:val="en-US"/>
        </w:rPr>
        <w:lastRenderedPageBreak/>
        <w:t xml:space="preserve">attended emergency health care (7.3% vs 25.4%, p=0.02) and missed school (20.0% vs 62.7%, p&lt;0.001), compared to standard care children. </w:t>
      </w:r>
    </w:p>
    <w:p w14:paraId="4C113CC4" w14:textId="77777777" w:rsidR="004A16AD" w:rsidRPr="0093562C" w:rsidRDefault="004A16AD" w:rsidP="00CA4637">
      <w:pPr>
        <w:spacing w:line="480" w:lineRule="auto"/>
        <w:rPr>
          <w:rFonts w:eastAsia="Arial Unicode MS" w:cstheme="minorHAnsi"/>
          <w:b/>
          <w:bCs/>
          <w:color w:val="000000" w:themeColor="text1"/>
          <w:sz w:val="24"/>
          <w:szCs w:val="24"/>
          <w:lang w:val="en-US"/>
        </w:rPr>
      </w:pPr>
      <w:r w:rsidRPr="0093562C">
        <w:rPr>
          <w:rFonts w:eastAsia="Arial Unicode MS" w:cstheme="minorHAnsi"/>
          <w:b/>
          <w:bCs/>
          <w:color w:val="000000" w:themeColor="text1"/>
          <w:sz w:val="24"/>
          <w:szCs w:val="24"/>
          <w:lang w:val="en-US"/>
        </w:rPr>
        <w:t>Interpretation</w:t>
      </w:r>
    </w:p>
    <w:p w14:paraId="4C55100E" w14:textId="77777777" w:rsidR="004A16AD" w:rsidRPr="0093562C" w:rsidRDefault="004A16AD" w:rsidP="00CA4637">
      <w:pPr>
        <w:spacing w:line="480" w:lineRule="auto"/>
        <w:rPr>
          <w:rFonts w:eastAsia="Arial Unicode MS" w:cstheme="minorHAnsi"/>
          <w:color w:val="000000" w:themeColor="text1"/>
          <w:sz w:val="24"/>
          <w:szCs w:val="24"/>
          <w:lang w:val="en-US"/>
        </w:rPr>
      </w:pPr>
      <w:r w:rsidRPr="0093562C">
        <w:rPr>
          <w:rFonts w:eastAsia="Arial Unicode MS" w:cstheme="minorHAnsi"/>
          <w:color w:val="000000" w:themeColor="text1"/>
          <w:sz w:val="24"/>
          <w:szCs w:val="24"/>
          <w:lang w:val="en-US"/>
        </w:rPr>
        <w:t xml:space="preserve">The intervention resulted in </w:t>
      </w:r>
      <w:r>
        <w:rPr>
          <w:rFonts w:eastAsia="Arial Unicode MS" w:cstheme="minorHAnsi"/>
          <w:color w:val="000000" w:themeColor="text1"/>
          <w:sz w:val="24"/>
          <w:szCs w:val="24"/>
          <w:lang w:val="en-US"/>
        </w:rPr>
        <w:t>decreased</w:t>
      </w:r>
      <w:r w:rsidRPr="0093562C">
        <w:rPr>
          <w:rFonts w:eastAsia="Arial Unicode MS" w:cstheme="minorHAnsi"/>
          <w:color w:val="000000" w:themeColor="text1"/>
          <w:sz w:val="24"/>
          <w:szCs w:val="24"/>
          <w:lang w:val="en-US"/>
        </w:rPr>
        <w:t xml:space="preserve"> asthma symptoms and exacerbations. Wider scale-up could present substantial benefits for asthmatic patients</w:t>
      </w:r>
      <w:r>
        <w:rPr>
          <w:rFonts w:eastAsia="Arial Unicode MS" w:cstheme="minorHAnsi"/>
          <w:color w:val="000000" w:themeColor="text1"/>
          <w:sz w:val="24"/>
          <w:szCs w:val="24"/>
          <w:lang w:val="en-US"/>
        </w:rPr>
        <w:t xml:space="preserve"> in resource-limited settings</w:t>
      </w:r>
      <w:r w:rsidRPr="0093562C">
        <w:rPr>
          <w:rFonts w:eastAsia="Arial Unicode MS" w:cstheme="minorHAnsi"/>
          <w:color w:val="000000" w:themeColor="text1"/>
          <w:sz w:val="24"/>
          <w:szCs w:val="24"/>
          <w:lang w:val="en-US"/>
        </w:rPr>
        <w:t>.</w:t>
      </w:r>
    </w:p>
    <w:p w14:paraId="7655D5A7" w14:textId="77777777" w:rsidR="004A16AD" w:rsidRPr="0093562C" w:rsidRDefault="004A16AD" w:rsidP="00CA4637">
      <w:pPr>
        <w:spacing w:line="480" w:lineRule="auto"/>
        <w:rPr>
          <w:sz w:val="24"/>
          <w:szCs w:val="24"/>
        </w:rPr>
      </w:pPr>
      <w:r w:rsidRPr="0093562C">
        <w:rPr>
          <w:rFonts w:eastAsia="Arial Unicode MS" w:cstheme="minorHAnsi"/>
          <w:b/>
          <w:bCs/>
          <w:color w:val="000000" w:themeColor="text1"/>
          <w:sz w:val="24"/>
          <w:szCs w:val="24"/>
          <w:lang w:val="en-US"/>
        </w:rPr>
        <w:t>Funding</w:t>
      </w:r>
      <w:r w:rsidRPr="0093562C">
        <w:rPr>
          <w:rFonts w:eastAsia="Arial Unicode MS" w:cstheme="minorHAnsi"/>
          <w:color w:val="000000" w:themeColor="text1"/>
          <w:sz w:val="24"/>
          <w:szCs w:val="24"/>
          <w:lang w:val="en-US"/>
        </w:rPr>
        <w:t xml:space="preserve">: </w:t>
      </w:r>
      <w:r>
        <w:rPr>
          <w:rFonts w:eastAsia="Arial Unicode MS" w:cstheme="minorHAnsi"/>
          <w:color w:val="000000" w:themeColor="text1"/>
          <w:sz w:val="24"/>
          <w:szCs w:val="24"/>
          <w:lang w:val="en-US"/>
        </w:rPr>
        <w:t xml:space="preserve">MRC UK and NIHR </w:t>
      </w:r>
    </w:p>
    <w:p w14:paraId="55F26F70" w14:textId="77777777" w:rsidR="004A16AD" w:rsidRDefault="004A16AD">
      <w:pPr>
        <w:rPr>
          <w:rFonts w:asciiTheme="majorHAnsi" w:eastAsia="Arial Unicode MS" w:hAnsiTheme="majorHAnsi" w:cstheme="majorBidi"/>
          <w:color w:val="2F5496" w:themeColor="accent1" w:themeShade="BF"/>
          <w:sz w:val="26"/>
          <w:szCs w:val="26"/>
          <w:lang w:val="en-US"/>
        </w:rPr>
      </w:pPr>
      <w:bookmarkStart w:id="1" w:name="_Toc39997750"/>
      <w:r>
        <w:rPr>
          <w:rFonts w:asciiTheme="majorHAnsi" w:eastAsia="Arial Unicode MS" w:hAnsiTheme="majorHAnsi" w:cstheme="majorBidi"/>
          <w:color w:val="2F5496" w:themeColor="accent1" w:themeShade="BF"/>
          <w:sz w:val="26"/>
          <w:szCs w:val="26"/>
          <w:lang w:val="en-US"/>
        </w:rPr>
        <w:br w:type="page"/>
      </w:r>
    </w:p>
    <w:bookmarkEnd w:id="1"/>
    <w:p w14:paraId="50A9FA9F" w14:textId="77777777" w:rsidR="004A16AD" w:rsidRPr="003A6454" w:rsidRDefault="004A16AD" w:rsidP="00CA4637">
      <w:pPr>
        <w:spacing w:line="480" w:lineRule="auto"/>
        <w:rPr>
          <w:b/>
          <w:bCs/>
          <w:sz w:val="24"/>
          <w:szCs w:val="24"/>
          <w:lang w:val="en-US"/>
        </w:rPr>
      </w:pPr>
      <w:r w:rsidRPr="003A6454">
        <w:rPr>
          <w:b/>
          <w:bCs/>
          <w:sz w:val="24"/>
          <w:szCs w:val="24"/>
          <w:lang w:val="en-US"/>
        </w:rPr>
        <w:lastRenderedPageBreak/>
        <w:t>INTRODUCTION</w:t>
      </w:r>
    </w:p>
    <w:p w14:paraId="240084EC" w14:textId="77777777" w:rsidR="004A16AD" w:rsidRPr="003A6454" w:rsidRDefault="004A16AD" w:rsidP="00CA4637">
      <w:pPr>
        <w:spacing w:line="480" w:lineRule="auto"/>
        <w:rPr>
          <w:sz w:val="24"/>
          <w:szCs w:val="24"/>
        </w:rPr>
      </w:pPr>
      <w:r w:rsidRPr="003A6454">
        <w:rPr>
          <w:sz w:val="24"/>
          <w:szCs w:val="24"/>
        </w:rPr>
        <w:t>Asthma is the most common chronic condition in childhood and is a growing concern in Africa.</w:t>
      </w:r>
      <w:r w:rsidRPr="003A6454">
        <w:rPr>
          <w:noProof/>
          <w:sz w:val="24"/>
          <w:szCs w:val="24"/>
          <w:vertAlign w:val="superscript"/>
        </w:rPr>
        <w:t>1</w:t>
      </w:r>
      <w:r w:rsidRPr="003A6454">
        <w:rPr>
          <w:sz w:val="24"/>
          <w:szCs w:val="24"/>
        </w:rPr>
        <w:t xml:space="preserve"> Asthma causes an estimated 1000 deaths worldwide every day, and is a major cause of morbidity in children, ranking in the top ten causes of disability adjusted life years.</w:t>
      </w:r>
      <w:r w:rsidRPr="00354B2D">
        <w:rPr>
          <w:noProof/>
          <w:sz w:val="24"/>
          <w:szCs w:val="24"/>
          <w:vertAlign w:val="superscript"/>
        </w:rPr>
        <w:t>1 2</w:t>
      </w:r>
      <w:r w:rsidRPr="003A6454">
        <w:rPr>
          <w:sz w:val="24"/>
          <w:szCs w:val="24"/>
        </w:rPr>
        <w:t xml:space="preserve"> Asthmatic adults in sub-Saharan Africa (</w:t>
      </w:r>
      <w:proofErr w:type="spellStart"/>
      <w:r w:rsidRPr="003A6454">
        <w:rPr>
          <w:sz w:val="24"/>
          <w:szCs w:val="24"/>
        </w:rPr>
        <w:t>sSA</w:t>
      </w:r>
      <w:proofErr w:type="spellEnd"/>
      <w:r w:rsidRPr="003A6454">
        <w:rPr>
          <w:sz w:val="24"/>
          <w:szCs w:val="24"/>
        </w:rPr>
        <w:t>) suffer frequent acute exacerbations, and have symptoms which are poorly controlled.</w:t>
      </w:r>
      <w:r w:rsidRPr="00784288">
        <w:rPr>
          <w:noProof/>
          <w:sz w:val="24"/>
          <w:szCs w:val="24"/>
          <w:vertAlign w:val="superscript"/>
        </w:rPr>
        <w:t>3 4</w:t>
      </w:r>
      <w:r w:rsidRPr="003A6454">
        <w:rPr>
          <w:sz w:val="24"/>
          <w:szCs w:val="24"/>
        </w:rPr>
        <w:t xml:space="preserve"> Limited data from asthmatic children living in </w:t>
      </w:r>
      <w:proofErr w:type="spellStart"/>
      <w:r w:rsidRPr="003A6454">
        <w:rPr>
          <w:sz w:val="24"/>
          <w:szCs w:val="24"/>
        </w:rPr>
        <w:t>sSA</w:t>
      </w:r>
      <w:proofErr w:type="spellEnd"/>
      <w:r w:rsidRPr="003A6454">
        <w:rPr>
          <w:sz w:val="24"/>
          <w:szCs w:val="24"/>
        </w:rPr>
        <w:t xml:space="preserve"> suggest higher rates of severe symptoms compared to high-income settings, likely due to challenges with diagnosis and quality of asthma care.</w:t>
      </w:r>
      <w:r w:rsidRPr="00784288">
        <w:rPr>
          <w:noProof/>
          <w:sz w:val="24"/>
          <w:szCs w:val="24"/>
          <w:vertAlign w:val="superscript"/>
        </w:rPr>
        <w:t>5</w:t>
      </w:r>
    </w:p>
    <w:p w14:paraId="42F81F6F" w14:textId="77777777" w:rsidR="004A16AD" w:rsidRPr="003A6454" w:rsidRDefault="004A16AD" w:rsidP="00CA4637">
      <w:pPr>
        <w:spacing w:line="480" w:lineRule="auto"/>
        <w:rPr>
          <w:sz w:val="24"/>
          <w:szCs w:val="24"/>
        </w:rPr>
      </w:pPr>
      <w:r w:rsidRPr="003A6454">
        <w:rPr>
          <w:sz w:val="24"/>
          <w:szCs w:val="24"/>
        </w:rPr>
        <w:t>The Malawi Standard Treatment Guidelines for asthma management are extrapolated from global guidelines, adopting a step-wise approach centred on inhaled corticosteroid (ICS) therapy.</w:t>
      </w:r>
      <w:r w:rsidRPr="00784288">
        <w:rPr>
          <w:noProof/>
          <w:sz w:val="24"/>
          <w:szCs w:val="24"/>
          <w:vertAlign w:val="superscript"/>
        </w:rPr>
        <w:t>6</w:t>
      </w:r>
      <w:r w:rsidRPr="003A6454">
        <w:rPr>
          <w:sz w:val="24"/>
          <w:szCs w:val="24"/>
          <w:vertAlign w:val="superscript"/>
        </w:rPr>
        <w:t>,</w:t>
      </w:r>
      <w:r w:rsidRPr="00784288">
        <w:rPr>
          <w:noProof/>
          <w:sz w:val="24"/>
          <w:szCs w:val="24"/>
          <w:vertAlign w:val="superscript"/>
        </w:rPr>
        <w:t>7</w:t>
      </w:r>
      <w:r w:rsidRPr="003A6454">
        <w:rPr>
          <w:sz w:val="24"/>
          <w:szCs w:val="24"/>
        </w:rPr>
        <w:t xml:space="preserve"> These guidelines are appropriate where steroid-responsive, allergen-driven, eosinophilic asthma predominates: it is unknown whether this is true for Malawi. Limited evaluation of asthma guideline implementation in selected low- and middle-income countries (LMICs), found that physicians often underutilise ICS treatment, and that patient adherence to treatment is a challenge.</w:t>
      </w:r>
      <w:r w:rsidRPr="00784288">
        <w:rPr>
          <w:noProof/>
          <w:sz w:val="24"/>
          <w:szCs w:val="24"/>
          <w:vertAlign w:val="superscript"/>
        </w:rPr>
        <w:t>8</w:t>
      </w:r>
      <w:r w:rsidRPr="003A6454">
        <w:rPr>
          <w:sz w:val="24"/>
          <w:szCs w:val="24"/>
        </w:rPr>
        <w:t xml:space="preserve"> Reasons for poor adherence are likely to be multifactorial, including unreliable supplies of affordable medication, and misconceptions regarding effective asthma treatments.</w:t>
      </w:r>
      <w:r w:rsidRPr="00784288">
        <w:rPr>
          <w:noProof/>
          <w:sz w:val="24"/>
          <w:szCs w:val="24"/>
          <w:vertAlign w:val="superscript"/>
        </w:rPr>
        <w:t>9 10</w:t>
      </w:r>
    </w:p>
    <w:p w14:paraId="43DACD06" w14:textId="77777777" w:rsidR="004A16AD" w:rsidRPr="003A6454" w:rsidRDefault="004A16AD" w:rsidP="00CA4637">
      <w:pPr>
        <w:spacing w:line="480" w:lineRule="auto"/>
        <w:rPr>
          <w:sz w:val="24"/>
          <w:szCs w:val="24"/>
        </w:rPr>
      </w:pPr>
      <w:r w:rsidRPr="003A6454">
        <w:rPr>
          <w:sz w:val="24"/>
          <w:szCs w:val="24"/>
        </w:rPr>
        <w:t>Asthma education and the use of an Asthma Action Plan (AAP) are considered important elements of chronic asthma management in high-income countries (HIC) and are recommended in international guidelines.</w:t>
      </w:r>
      <w:r w:rsidRPr="00784288">
        <w:rPr>
          <w:noProof/>
          <w:sz w:val="24"/>
          <w:szCs w:val="24"/>
          <w:vertAlign w:val="superscript"/>
        </w:rPr>
        <w:t>7</w:t>
      </w:r>
      <w:r w:rsidRPr="003A6454">
        <w:rPr>
          <w:sz w:val="24"/>
          <w:szCs w:val="24"/>
        </w:rPr>
        <w:t xml:space="preserve"> Studies demonstrating a beneficial impact of asthma education in HIC include a wide range of interventions, with variable content, duration and delivery methods.</w:t>
      </w:r>
      <w:r w:rsidRPr="00784288">
        <w:rPr>
          <w:noProof/>
          <w:sz w:val="24"/>
          <w:szCs w:val="24"/>
          <w:vertAlign w:val="superscript"/>
        </w:rPr>
        <w:t>11</w:t>
      </w:r>
      <w:r w:rsidRPr="003A6454">
        <w:rPr>
          <w:sz w:val="24"/>
          <w:szCs w:val="24"/>
        </w:rPr>
        <w:t xml:space="preserve"> AAPs facilitate the early detection and treatment of an exacerbation, and have been shown to improve asthma health outcomes in HIC.</w:t>
      </w:r>
      <w:r w:rsidRPr="00784288">
        <w:rPr>
          <w:noProof/>
          <w:sz w:val="24"/>
          <w:szCs w:val="24"/>
          <w:vertAlign w:val="superscript"/>
        </w:rPr>
        <w:t>12</w:t>
      </w:r>
      <w:r w:rsidRPr="003A6454">
        <w:rPr>
          <w:sz w:val="24"/>
          <w:szCs w:val="24"/>
        </w:rPr>
        <w:t xml:space="preserve"> However, </w:t>
      </w:r>
      <w:r w:rsidRPr="003A6454">
        <w:rPr>
          <w:sz w:val="24"/>
          <w:szCs w:val="24"/>
        </w:rPr>
        <w:lastRenderedPageBreak/>
        <w:t>the provision of asthma education can be time consuming and human resources constraints in Malawi limit the quality of care available. Task</w:t>
      </w:r>
      <w:r w:rsidR="00CA4637">
        <w:rPr>
          <w:sz w:val="24"/>
          <w:szCs w:val="24"/>
        </w:rPr>
        <w:t>-</w:t>
      </w:r>
      <w:r w:rsidRPr="003A6454">
        <w:rPr>
          <w:sz w:val="24"/>
          <w:szCs w:val="24"/>
        </w:rPr>
        <w:t>shifting, defined as “the transfer of a task normally performed by a more highly trained health care worker to another with a different, usually lower level of training,” is a possible solution, but research exploring this approach to asthma management in LIC is lacking.</w:t>
      </w:r>
      <w:r w:rsidRPr="00784288">
        <w:rPr>
          <w:noProof/>
          <w:sz w:val="24"/>
          <w:szCs w:val="24"/>
          <w:vertAlign w:val="superscript"/>
        </w:rPr>
        <w:t>13</w:t>
      </w:r>
      <w:r w:rsidRPr="003A6454">
        <w:rPr>
          <w:sz w:val="24"/>
          <w:szCs w:val="24"/>
          <w:vertAlign w:val="superscript"/>
        </w:rPr>
        <w:t>,</w:t>
      </w:r>
      <w:r w:rsidRPr="00784288">
        <w:rPr>
          <w:noProof/>
          <w:sz w:val="24"/>
          <w:szCs w:val="24"/>
          <w:vertAlign w:val="superscript"/>
        </w:rPr>
        <w:t>14</w:t>
      </w:r>
    </w:p>
    <w:p w14:paraId="3BF84801" w14:textId="77777777" w:rsidR="004A16AD" w:rsidRPr="003A6454" w:rsidRDefault="004A16AD" w:rsidP="00CA4637">
      <w:pPr>
        <w:spacing w:line="480" w:lineRule="auto"/>
        <w:rPr>
          <w:sz w:val="24"/>
          <w:szCs w:val="24"/>
        </w:rPr>
      </w:pPr>
      <w:r w:rsidRPr="003A6454">
        <w:rPr>
          <w:sz w:val="24"/>
          <w:szCs w:val="24"/>
        </w:rPr>
        <w:t xml:space="preserve">We implemented a package of enhanced asthma care, appropriate for a LIC, </w:t>
      </w:r>
      <w:r>
        <w:rPr>
          <w:sz w:val="24"/>
          <w:szCs w:val="24"/>
        </w:rPr>
        <w:t xml:space="preserve">delivered by non-physicians, </w:t>
      </w:r>
      <w:r w:rsidRPr="003A6454">
        <w:rPr>
          <w:sz w:val="24"/>
          <w:szCs w:val="24"/>
        </w:rPr>
        <w:t>which included a standardised clinical assessment, optimisation of locally available inhaled asthma treatment, and personalised asthma education.</w:t>
      </w:r>
    </w:p>
    <w:p w14:paraId="3EEF2CA0" w14:textId="77777777" w:rsidR="004A16AD" w:rsidRPr="003A6454" w:rsidRDefault="004A16AD" w:rsidP="00CA4637">
      <w:pPr>
        <w:spacing w:line="480" w:lineRule="auto"/>
        <w:rPr>
          <w:sz w:val="24"/>
          <w:szCs w:val="24"/>
        </w:rPr>
      </w:pPr>
      <w:r w:rsidRPr="003A6454">
        <w:rPr>
          <w:sz w:val="24"/>
          <w:szCs w:val="24"/>
        </w:rPr>
        <w:t xml:space="preserve">We did a non-blinded, individually randomised controlled trial </w:t>
      </w:r>
      <w:r>
        <w:rPr>
          <w:sz w:val="24"/>
          <w:szCs w:val="24"/>
        </w:rPr>
        <w:t xml:space="preserve">(RCT) </w:t>
      </w:r>
      <w:r w:rsidRPr="003A6454">
        <w:rPr>
          <w:sz w:val="24"/>
          <w:szCs w:val="24"/>
        </w:rPr>
        <w:t xml:space="preserve">comparing the effects of the enhanced asthma care package with standard outpatient care, on asthma outcomes over a 3-month period. </w:t>
      </w:r>
    </w:p>
    <w:p w14:paraId="788FBCEE" w14:textId="77777777" w:rsidR="004A16AD" w:rsidRPr="003A6454" w:rsidRDefault="004A16AD" w:rsidP="00CA4637">
      <w:pPr>
        <w:pStyle w:val="ThoraxHead1"/>
        <w:spacing w:line="480" w:lineRule="auto"/>
        <w:rPr>
          <w:szCs w:val="24"/>
        </w:rPr>
      </w:pPr>
      <w:bookmarkStart w:id="2" w:name="_Toc39997752"/>
      <w:r w:rsidRPr="003A6454">
        <w:rPr>
          <w:szCs w:val="24"/>
        </w:rPr>
        <w:t>METHODS</w:t>
      </w:r>
    </w:p>
    <w:p w14:paraId="3D4FE940" w14:textId="77777777" w:rsidR="004A16AD" w:rsidRPr="003A6454" w:rsidRDefault="004A16AD" w:rsidP="00CA4637">
      <w:pPr>
        <w:pStyle w:val="ThoraxHead1"/>
        <w:spacing w:line="480" w:lineRule="auto"/>
        <w:rPr>
          <w:szCs w:val="24"/>
        </w:rPr>
      </w:pPr>
      <w:r w:rsidRPr="003A6454">
        <w:rPr>
          <w:szCs w:val="24"/>
        </w:rPr>
        <w:t>Setting</w:t>
      </w:r>
    </w:p>
    <w:p w14:paraId="3DB42094" w14:textId="77777777" w:rsidR="004A16AD" w:rsidRPr="003A6454" w:rsidRDefault="004A16AD" w:rsidP="00CA4637">
      <w:pPr>
        <w:spacing w:line="480" w:lineRule="auto"/>
        <w:rPr>
          <w:sz w:val="24"/>
          <w:szCs w:val="24"/>
        </w:rPr>
      </w:pPr>
      <w:r w:rsidRPr="003A6454">
        <w:rPr>
          <w:bCs/>
          <w:sz w:val="24"/>
          <w:szCs w:val="24"/>
        </w:rPr>
        <w:t>Queen Elizabeth Central Hospital (</w:t>
      </w:r>
      <w:r w:rsidRPr="003A6454">
        <w:rPr>
          <w:sz w:val="24"/>
          <w:szCs w:val="24"/>
        </w:rPr>
        <w:t>QECH)</w:t>
      </w:r>
      <w:r>
        <w:rPr>
          <w:sz w:val="24"/>
          <w:szCs w:val="24"/>
        </w:rPr>
        <w:t xml:space="preserve"> </w:t>
      </w:r>
      <w:r w:rsidRPr="003A6454">
        <w:rPr>
          <w:sz w:val="24"/>
          <w:szCs w:val="24"/>
        </w:rPr>
        <w:t>is a government-run, tertiary hospital, located in Blantyre, Malawi’s second largest city, receiving referrals from the Southern Region. Children attending the general paediatric clinic are referred from primary health centres, and from within QECH following emergency department attendance or admission.</w:t>
      </w:r>
      <w:bookmarkEnd w:id="2"/>
      <w:r w:rsidRPr="003A6454">
        <w:rPr>
          <w:sz w:val="24"/>
          <w:szCs w:val="24"/>
        </w:rPr>
        <w:t xml:space="preserve"> The study was approved by the College of Medicine, Malawi (reference P.04/18/2384) and Liverpool School of Tropical Medicine, UK (reference 18-018) Research Ethics Committees. </w:t>
      </w:r>
    </w:p>
    <w:p w14:paraId="4252AFEC" w14:textId="77777777" w:rsidR="004A16AD" w:rsidRPr="003A6454" w:rsidRDefault="004A16AD" w:rsidP="00CA4637">
      <w:pPr>
        <w:pStyle w:val="ThoraxHead1"/>
        <w:spacing w:line="480" w:lineRule="auto"/>
        <w:rPr>
          <w:szCs w:val="24"/>
        </w:rPr>
      </w:pPr>
      <w:bookmarkStart w:id="3" w:name="_Toc39997754"/>
      <w:r w:rsidRPr="003A6454">
        <w:rPr>
          <w:szCs w:val="24"/>
        </w:rPr>
        <w:t>Participants</w:t>
      </w:r>
      <w:bookmarkEnd w:id="3"/>
    </w:p>
    <w:p w14:paraId="7933C89F" w14:textId="77777777" w:rsidR="004A16AD" w:rsidRPr="003A6454" w:rsidRDefault="004A16AD" w:rsidP="00CA4637">
      <w:pPr>
        <w:spacing w:line="480" w:lineRule="auto"/>
        <w:rPr>
          <w:sz w:val="24"/>
          <w:szCs w:val="24"/>
        </w:rPr>
      </w:pPr>
      <w:r w:rsidRPr="003A6454">
        <w:rPr>
          <w:sz w:val="24"/>
          <w:szCs w:val="24"/>
        </w:rPr>
        <w:t xml:space="preserve">All children aged 6-15 years attending the general paediatric outpatient clinic at QECH with a doctor-diagnosis of asthma recorded in their health passport were invited to participate. </w:t>
      </w:r>
      <w:r w:rsidRPr="003A6454">
        <w:rPr>
          <w:sz w:val="24"/>
          <w:szCs w:val="24"/>
        </w:rPr>
        <w:lastRenderedPageBreak/>
        <w:t>Children with symptoms suggestive of tuberculosis; productive cough, haemoptysis, weight loss, recurrent fevers or night sweats, were excluded.</w:t>
      </w:r>
    </w:p>
    <w:p w14:paraId="52A47E70" w14:textId="77777777" w:rsidR="004A16AD" w:rsidRPr="003A6454" w:rsidRDefault="004A16AD" w:rsidP="00CA4637">
      <w:pPr>
        <w:pStyle w:val="ThoraxHead1"/>
        <w:spacing w:line="480" w:lineRule="auto"/>
        <w:rPr>
          <w:szCs w:val="24"/>
        </w:rPr>
      </w:pPr>
      <w:bookmarkStart w:id="4" w:name="_Toc39997755"/>
      <w:r w:rsidRPr="003A6454">
        <w:rPr>
          <w:szCs w:val="24"/>
        </w:rPr>
        <w:t>Consent and randomisation</w:t>
      </w:r>
      <w:bookmarkEnd w:id="4"/>
    </w:p>
    <w:p w14:paraId="0B936023" w14:textId="77777777" w:rsidR="004A16AD" w:rsidRPr="003A6454" w:rsidRDefault="004A16AD" w:rsidP="00CA4637">
      <w:pPr>
        <w:spacing w:line="480" w:lineRule="auto"/>
        <w:rPr>
          <w:rFonts w:cstheme="minorHAnsi"/>
          <w:sz w:val="24"/>
          <w:szCs w:val="24"/>
        </w:rPr>
      </w:pPr>
      <w:r w:rsidRPr="003A6454">
        <w:rPr>
          <w:sz w:val="24"/>
          <w:szCs w:val="24"/>
        </w:rPr>
        <w:t xml:space="preserve">Study information was provided in the local language (Chichewa). Following written informed consent from the parent or guardian and assent from the child, a baseline electronic questionnaire was completed; children were stratified </w:t>
      </w:r>
      <w:r>
        <w:rPr>
          <w:sz w:val="24"/>
          <w:szCs w:val="24"/>
        </w:rPr>
        <w:t>by</w:t>
      </w:r>
      <w:r w:rsidRPr="003A6454">
        <w:rPr>
          <w:sz w:val="24"/>
          <w:szCs w:val="24"/>
        </w:rPr>
        <w:t xml:space="preserve"> their level of asthma control, as assessed by the childhood Asthma Control Test (</w:t>
      </w:r>
      <w:proofErr w:type="spellStart"/>
      <w:r w:rsidRPr="003A6454">
        <w:rPr>
          <w:sz w:val="24"/>
          <w:szCs w:val="24"/>
        </w:rPr>
        <w:t>cACT</w:t>
      </w:r>
      <w:proofErr w:type="spellEnd"/>
      <w:r w:rsidRPr="003A6454">
        <w:rPr>
          <w:sz w:val="24"/>
          <w:szCs w:val="24"/>
        </w:rPr>
        <w:t>), into two groups (cACT</w:t>
      </w:r>
      <w:r w:rsidRPr="003A6454">
        <w:rPr>
          <w:rFonts w:cstheme="minorHAnsi"/>
          <w:sz w:val="24"/>
          <w:szCs w:val="24"/>
        </w:rPr>
        <w:t>≥20 or cACT≤19).</w:t>
      </w:r>
      <w:r w:rsidRPr="00784288">
        <w:rPr>
          <w:rFonts w:cstheme="minorHAnsi"/>
          <w:noProof/>
          <w:sz w:val="24"/>
          <w:szCs w:val="24"/>
          <w:vertAlign w:val="superscript"/>
        </w:rPr>
        <w:t>15</w:t>
      </w:r>
      <w:r w:rsidRPr="003A6454">
        <w:rPr>
          <w:rFonts w:cstheme="minorHAnsi"/>
          <w:sz w:val="24"/>
          <w:szCs w:val="24"/>
        </w:rPr>
        <w:t xml:space="preserve"> Within each group, individuals were allocated 1:1 to intervention or standard care arms using pre-generated variable length, permuted block randomisation codes. Allocation information was not accessible to any staff prior to electronic questionnaire completion.</w:t>
      </w:r>
    </w:p>
    <w:p w14:paraId="2FDBE333" w14:textId="77777777" w:rsidR="004A16AD" w:rsidRPr="003A6454" w:rsidRDefault="004A16AD" w:rsidP="00CA4637">
      <w:pPr>
        <w:pStyle w:val="ThoraxHead1"/>
        <w:spacing w:line="480" w:lineRule="auto"/>
        <w:rPr>
          <w:szCs w:val="24"/>
        </w:rPr>
      </w:pPr>
      <w:bookmarkStart w:id="5" w:name="_Ref39395941"/>
      <w:bookmarkStart w:id="6" w:name="_Toc39997756"/>
      <w:r w:rsidRPr="003A6454">
        <w:rPr>
          <w:szCs w:val="24"/>
        </w:rPr>
        <w:t>Procedures</w:t>
      </w:r>
      <w:bookmarkEnd w:id="5"/>
      <w:bookmarkEnd w:id="6"/>
    </w:p>
    <w:p w14:paraId="21A7F61E" w14:textId="6FEC6FE2" w:rsidR="004A16AD" w:rsidRDefault="004A16AD" w:rsidP="00CA4637">
      <w:pPr>
        <w:spacing w:line="480" w:lineRule="auto"/>
        <w:rPr>
          <w:sz w:val="24"/>
          <w:szCs w:val="24"/>
        </w:rPr>
      </w:pPr>
      <w:r w:rsidRPr="003A6454">
        <w:rPr>
          <w:sz w:val="24"/>
          <w:szCs w:val="24"/>
        </w:rPr>
        <w:t>The intervention comprised 3 components</w:t>
      </w:r>
      <w:r>
        <w:rPr>
          <w:sz w:val="24"/>
          <w:szCs w:val="24"/>
        </w:rPr>
        <w:t xml:space="preserve"> delivered by non-physicians</w:t>
      </w:r>
      <w:r w:rsidRPr="003A6454">
        <w:rPr>
          <w:sz w:val="24"/>
          <w:szCs w:val="24"/>
        </w:rPr>
        <w:t xml:space="preserve">; clinical assessment, optimisation of locally available inhaled asthma treatment, and asthma education. </w:t>
      </w:r>
      <w:r>
        <w:rPr>
          <w:sz w:val="24"/>
          <w:szCs w:val="24"/>
        </w:rPr>
        <w:t>The components address the common challenges we have observed in Malawi and reallocate tasks usually performed by doctors to nursing staff and lay</w:t>
      </w:r>
      <w:r w:rsidR="00CA4637">
        <w:rPr>
          <w:sz w:val="24"/>
          <w:szCs w:val="24"/>
        </w:rPr>
        <w:t xml:space="preserve"> </w:t>
      </w:r>
      <w:r>
        <w:rPr>
          <w:sz w:val="24"/>
          <w:szCs w:val="24"/>
        </w:rPr>
        <w:t>educators (Table 1).</w:t>
      </w:r>
    </w:p>
    <w:p w14:paraId="4399A787" w14:textId="77777777" w:rsidR="004A16AD" w:rsidRDefault="004A16AD">
      <w:pPr>
        <w:rPr>
          <w:sz w:val="24"/>
          <w:szCs w:val="24"/>
        </w:rPr>
      </w:pPr>
      <w:r>
        <w:rPr>
          <w:sz w:val="24"/>
          <w:szCs w:val="24"/>
        </w:rPr>
        <w:br w:type="page"/>
      </w:r>
    </w:p>
    <w:p w14:paraId="78BCBC95" w14:textId="77777777" w:rsidR="004A16AD" w:rsidRPr="001A70E9" w:rsidRDefault="004A16AD" w:rsidP="00CA4637">
      <w:pPr>
        <w:spacing w:after="0" w:line="240" w:lineRule="auto"/>
        <w:rPr>
          <w:rFonts w:ascii="Calibri" w:eastAsia="Times New Roman" w:hAnsi="Calibri" w:cs="Calibri"/>
          <w:b/>
          <w:bCs/>
          <w:lang w:eastAsia="en-GB"/>
        </w:rPr>
      </w:pPr>
      <w:r w:rsidRPr="001A70E9">
        <w:rPr>
          <w:rFonts w:ascii="Calibri" w:eastAsia="Times New Roman" w:hAnsi="Calibri" w:cs="Calibri"/>
          <w:b/>
          <w:bCs/>
          <w:lang w:eastAsia="en-GB"/>
        </w:rPr>
        <w:lastRenderedPageBreak/>
        <w:t xml:space="preserve">Table 1. </w:t>
      </w:r>
      <w:r w:rsidRPr="00295483">
        <w:rPr>
          <w:rFonts w:ascii="Calibri" w:eastAsia="Times New Roman" w:hAnsi="Calibri" w:cs="Calibri"/>
          <w:lang w:eastAsia="en-GB"/>
        </w:rPr>
        <w:t>Components of enhanced care intervention; rationale for inclusion and member of staff performing each task</w:t>
      </w:r>
    </w:p>
    <w:tbl>
      <w:tblPr>
        <w:tblStyle w:val="TableGrid"/>
        <w:tblW w:w="0" w:type="auto"/>
        <w:tblLook w:val="04A0" w:firstRow="1" w:lastRow="0" w:firstColumn="1" w:lastColumn="0" w:noHBand="0" w:noVBand="1"/>
      </w:tblPr>
      <w:tblGrid>
        <w:gridCol w:w="2379"/>
        <w:gridCol w:w="2933"/>
        <w:gridCol w:w="2916"/>
        <w:gridCol w:w="788"/>
      </w:tblGrid>
      <w:tr w:rsidR="004A16AD" w:rsidRPr="00295483" w14:paraId="11EB1BA6" w14:textId="77777777" w:rsidTr="001A70E9">
        <w:trPr>
          <w:cantSplit/>
          <w:trHeight w:val="591"/>
        </w:trPr>
        <w:tc>
          <w:tcPr>
            <w:tcW w:w="2379" w:type="dxa"/>
            <w:tcBorders>
              <w:top w:val="single" w:sz="4" w:space="0" w:color="auto"/>
              <w:left w:val="nil"/>
              <w:bottom w:val="single" w:sz="4" w:space="0" w:color="auto"/>
              <w:right w:val="nil"/>
            </w:tcBorders>
          </w:tcPr>
          <w:p w14:paraId="7B9B9876" w14:textId="77777777" w:rsidR="004A16AD" w:rsidRPr="001A70E9" w:rsidRDefault="004A16AD" w:rsidP="00CA4637">
            <w:pPr>
              <w:rPr>
                <w:rFonts w:ascii="Calibri" w:eastAsia="Times New Roman" w:hAnsi="Calibri" w:cs="Calibri"/>
                <w:b/>
                <w:bCs/>
                <w:lang w:eastAsia="en-GB"/>
              </w:rPr>
            </w:pPr>
            <w:r w:rsidRPr="001A70E9">
              <w:rPr>
                <w:rFonts w:ascii="Calibri" w:eastAsia="Times New Roman" w:hAnsi="Calibri" w:cs="Calibri"/>
                <w:b/>
                <w:bCs/>
                <w:lang w:eastAsia="en-GB"/>
              </w:rPr>
              <w:t>Factors contributing to suboptimal care</w:t>
            </w:r>
          </w:p>
        </w:tc>
        <w:tc>
          <w:tcPr>
            <w:tcW w:w="2933" w:type="dxa"/>
            <w:tcBorders>
              <w:top w:val="single" w:sz="4" w:space="0" w:color="auto"/>
              <w:left w:val="nil"/>
              <w:bottom w:val="single" w:sz="4" w:space="0" w:color="auto"/>
              <w:right w:val="nil"/>
            </w:tcBorders>
          </w:tcPr>
          <w:p w14:paraId="1B34DC48" w14:textId="77777777" w:rsidR="004A16AD" w:rsidRPr="001A70E9" w:rsidRDefault="004A16AD" w:rsidP="00CA4637">
            <w:pPr>
              <w:rPr>
                <w:rFonts w:ascii="Calibri" w:eastAsia="Times New Roman" w:hAnsi="Calibri" w:cs="Calibri"/>
                <w:b/>
                <w:bCs/>
                <w:lang w:eastAsia="en-GB"/>
              </w:rPr>
            </w:pPr>
            <w:r w:rsidRPr="001A70E9">
              <w:rPr>
                <w:rFonts w:ascii="Calibri" w:eastAsia="Times New Roman" w:hAnsi="Calibri" w:cs="Calibri"/>
                <w:b/>
                <w:bCs/>
                <w:lang w:eastAsia="en-GB"/>
              </w:rPr>
              <w:t>Component of intervention</w:t>
            </w:r>
          </w:p>
        </w:tc>
        <w:tc>
          <w:tcPr>
            <w:tcW w:w="2916" w:type="dxa"/>
            <w:tcBorders>
              <w:top w:val="single" w:sz="4" w:space="0" w:color="auto"/>
              <w:left w:val="nil"/>
              <w:bottom w:val="single" w:sz="4" w:space="0" w:color="auto"/>
              <w:right w:val="nil"/>
            </w:tcBorders>
          </w:tcPr>
          <w:p w14:paraId="55F381E8" w14:textId="77777777" w:rsidR="004A16AD" w:rsidRPr="001A70E9" w:rsidRDefault="004A16AD" w:rsidP="00CA4637">
            <w:pPr>
              <w:rPr>
                <w:rFonts w:ascii="Calibri" w:eastAsia="Times New Roman" w:hAnsi="Calibri" w:cs="Calibri"/>
                <w:b/>
                <w:bCs/>
                <w:lang w:eastAsia="en-GB"/>
              </w:rPr>
            </w:pPr>
            <w:r w:rsidRPr="001A70E9">
              <w:rPr>
                <w:rFonts w:ascii="Calibri" w:eastAsia="Times New Roman" w:hAnsi="Calibri" w:cs="Calibri"/>
                <w:b/>
                <w:bCs/>
                <w:lang w:eastAsia="en-GB"/>
              </w:rPr>
              <w:t>Rationale</w:t>
            </w:r>
          </w:p>
        </w:tc>
        <w:tc>
          <w:tcPr>
            <w:tcW w:w="788" w:type="dxa"/>
            <w:tcBorders>
              <w:top w:val="single" w:sz="4" w:space="0" w:color="auto"/>
              <w:left w:val="nil"/>
              <w:bottom w:val="single" w:sz="4" w:space="0" w:color="auto"/>
              <w:right w:val="nil"/>
            </w:tcBorders>
          </w:tcPr>
          <w:p w14:paraId="79CB939E" w14:textId="77777777" w:rsidR="004A16AD" w:rsidRPr="001A70E9" w:rsidRDefault="004A16AD" w:rsidP="00CA4637">
            <w:pPr>
              <w:rPr>
                <w:rFonts w:ascii="Calibri" w:eastAsia="Times New Roman" w:hAnsi="Calibri" w:cs="Calibri"/>
                <w:b/>
                <w:bCs/>
                <w:lang w:eastAsia="en-GB"/>
              </w:rPr>
            </w:pPr>
            <w:r w:rsidRPr="001A70E9">
              <w:rPr>
                <w:rFonts w:ascii="Calibri" w:eastAsia="Times New Roman" w:hAnsi="Calibri" w:cs="Calibri"/>
                <w:b/>
                <w:bCs/>
                <w:lang w:eastAsia="en-GB"/>
              </w:rPr>
              <w:t>Staff*</w:t>
            </w:r>
          </w:p>
        </w:tc>
      </w:tr>
      <w:tr w:rsidR="004A16AD" w:rsidRPr="00295483" w14:paraId="2F16CF8F" w14:textId="77777777" w:rsidTr="001A70E9">
        <w:tc>
          <w:tcPr>
            <w:tcW w:w="2379" w:type="dxa"/>
            <w:tcBorders>
              <w:top w:val="single" w:sz="4" w:space="0" w:color="auto"/>
              <w:bottom w:val="single" w:sz="4" w:space="0" w:color="auto"/>
              <w:right w:val="nil"/>
            </w:tcBorders>
            <w:shd w:val="clear" w:color="auto" w:fill="F2F2F2" w:themeFill="background1" w:themeFillShade="F2"/>
          </w:tcPr>
          <w:p w14:paraId="03905D8A" w14:textId="77777777" w:rsidR="004A16AD" w:rsidRPr="00295483" w:rsidRDefault="004A16AD" w:rsidP="00CA4637">
            <w:pPr>
              <w:rPr>
                <w:rFonts w:ascii="Calibri" w:eastAsia="Times New Roman" w:hAnsi="Calibri" w:cs="Calibri"/>
                <w:highlight w:val="yellow"/>
                <w:lang w:eastAsia="en-GB"/>
              </w:rPr>
            </w:pPr>
          </w:p>
        </w:tc>
        <w:tc>
          <w:tcPr>
            <w:tcW w:w="6637" w:type="dxa"/>
            <w:gridSpan w:val="3"/>
            <w:tcBorders>
              <w:top w:val="single" w:sz="4" w:space="0" w:color="auto"/>
              <w:left w:val="nil"/>
              <w:bottom w:val="single" w:sz="4" w:space="0" w:color="auto"/>
              <w:right w:val="nil"/>
            </w:tcBorders>
            <w:shd w:val="clear" w:color="auto" w:fill="F2F2F2" w:themeFill="background1" w:themeFillShade="F2"/>
          </w:tcPr>
          <w:p w14:paraId="54612D61"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ASSESSMENT</w:t>
            </w:r>
          </w:p>
        </w:tc>
      </w:tr>
      <w:tr w:rsidR="004A16AD" w:rsidRPr="00295483" w14:paraId="18FAB733" w14:textId="77777777" w:rsidTr="001A70E9">
        <w:tc>
          <w:tcPr>
            <w:tcW w:w="2379" w:type="dxa"/>
            <w:vMerge w:val="restart"/>
            <w:tcBorders>
              <w:top w:val="single" w:sz="4" w:space="0" w:color="auto"/>
              <w:left w:val="nil"/>
              <w:bottom w:val="nil"/>
              <w:right w:val="nil"/>
            </w:tcBorders>
          </w:tcPr>
          <w:p w14:paraId="19257B51"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 xml:space="preserve">Assessment may be rushed or not systematic: symptoms often underreported or </w:t>
            </w:r>
            <w:proofErr w:type="spellStart"/>
            <w:r w:rsidRPr="00295483">
              <w:rPr>
                <w:rFonts w:ascii="Calibri" w:eastAsia="Times New Roman" w:hAnsi="Calibri" w:cs="Calibri"/>
                <w:lang w:eastAsia="en-GB"/>
              </w:rPr>
              <w:t>underrecognised</w:t>
            </w:r>
            <w:proofErr w:type="spellEnd"/>
          </w:p>
        </w:tc>
        <w:tc>
          <w:tcPr>
            <w:tcW w:w="2933" w:type="dxa"/>
            <w:tcBorders>
              <w:top w:val="single" w:sz="4" w:space="0" w:color="auto"/>
              <w:left w:val="nil"/>
              <w:bottom w:val="single" w:sz="4" w:space="0" w:color="auto"/>
              <w:right w:val="nil"/>
            </w:tcBorders>
          </w:tcPr>
          <w:p w14:paraId="4DF88826"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 xml:space="preserve">Administration of </w:t>
            </w:r>
            <w:proofErr w:type="spellStart"/>
            <w:r w:rsidRPr="00295483">
              <w:rPr>
                <w:rFonts w:ascii="Calibri" w:eastAsia="Times New Roman" w:hAnsi="Calibri" w:cs="Calibri"/>
                <w:lang w:eastAsia="en-GB"/>
              </w:rPr>
              <w:t>cACT</w:t>
            </w:r>
            <w:proofErr w:type="spellEnd"/>
          </w:p>
        </w:tc>
        <w:tc>
          <w:tcPr>
            <w:tcW w:w="2916" w:type="dxa"/>
            <w:tcBorders>
              <w:top w:val="single" w:sz="4" w:space="0" w:color="auto"/>
              <w:left w:val="nil"/>
              <w:bottom w:val="single" w:sz="4" w:space="0" w:color="auto"/>
              <w:right w:val="nil"/>
            </w:tcBorders>
          </w:tcPr>
          <w:p w14:paraId="528BFCB6"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Objective and repeatable measurement of symptoms</w:t>
            </w:r>
          </w:p>
        </w:tc>
        <w:tc>
          <w:tcPr>
            <w:tcW w:w="788" w:type="dxa"/>
            <w:tcBorders>
              <w:top w:val="single" w:sz="4" w:space="0" w:color="auto"/>
              <w:left w:val="nil"/>
              <w:bottom w:val="single" w:sz="4" w:space="0" w:color="auto"/>
              <w:right w:val="nil"/>
            </w:tcBorders>
          </w:tcPr>
          <w:p w14:paraId="5F6AA2F7"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L</w:t>
            </w:r>
          </w:p>
        </w:tc>
      </w:tr>
      <w:tr w:rsidR="004A16AD" w:rsidRPr="00295483" w14:paraId="0983D0A4" w14:textId="77777777" w:rsidTr="001A70E9">
        <w:tc>
          <w:tcPr>
            <w:tcW w:w="2379" w:type="dxa"/>
            <w:vMerge/>
            <w:tcBorders>
              <w:top w:val="nil"/>
              <w:left w:val="nil"/>
              <w:bottom w:val="nil"/>
              <w:right w:val="nil"/>
            </w:tcBorders>
          </w:tcPr>
          <w:p w14:paraId="6552CE5B" w14:textId="77777777" w:rsidR="004A16AD" w:rsidRPr="00295483" w:rsidRDefault="004A16AD" w:rsidP="00CA4637">
            <w:pPr>
              <w:rPr>
                <w:rFonts w:ascii="Calibri" w:eastAsia="Times New Roman" w:hAnsi="Calibri" w:cs="Calibri"/>
                <w:lang w:eastAsia="en-GB"/>
              </w:rPr>
            </w:pPr>
          </w:p>
        </w:tc>
        <w:tc>
          <w:tcPr>
            <w:tcW w:w="2933" w:type="dxa"/>
            <w:tcBorders>
              <w:top w:val="single" w:sz="4" w:space="0" w:color="auto"/>
              <w:left w:val="nil"/>
              <w:bottom w:val="single" w:sz="4" w:space="0" w:color="auto"/>
              <w:right w:val="nil"/>
            </w:tcBorders>
            <w:shd w:val="clear" w:color="auto" w:fill="FFFFFF" w:themeFill="background1"/>
          </w:tcPr>
          <w:p w14:paraId="34C3670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 xml:space="preserve">Measurement of </w:t>
            </w:r>
            <w:proofErr w:type="spellStart"/>
            <w:r w:rsidRPr="00295483">
              <w:rPr>
                <w:rFonts w:ascii="Calibri" w:eastAsia="Times New Roman" w:hAnsi="Calibri" w:cs="Calibri"/>
                <w:lang w:eastAsia="en-GB"/>
              </w:rPr>
              <w:t>FeNO</w:t>
            </w:r>
            <w:proofErr w:type="spellEnd"/>
          </w:p>
        </w:tc>
        <w:tc>
          <w:tcPr>
            <w:tcW w:w="2916" w:type="dxa"/>
            <w:tcBorders>
              <w:top w:val="single" w:sz="4" w:space="0" w:color="auto"/>
              <w:left w:val="nil"/>
              <w:bottom w:val="single" w:sz="4" w:space="0" w:color="auto"/>
              <w:right w:val="nil"/>
            </w:tcBorders>
            <w:shd w:val="clear" w:color="auto" w:fill="FFFFFF" w:themeFill="background1"/>
          </w:tcPr>
          <w:p w14:paraId="47555070"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 xml:space="preserve">Identify airway inflammation phenotype in this population </w:t>
            </w:r>
          </w:p>
        </w:tc>
        <w:tc>
          <w:tcPr>
            <w:tcW w:w="788" w:type="dxa"/>
            <w:tcBorders>
              <w:top w:val="single" w:sz="4" w:space="0" w:color="auto"/>
              <w:left w:val="nil"/>
              <w:bottom w:val="single" w:sz="4" w:space="0" w:color="auto"/>
              <w:right w:val="nil"/>
            </w:tcBorders>
            <w:shd w:val="clear" w:color="auto" w:fill="FFFFFF" w:themeFill="background1"/>
          </w:tcPr>
          <w:p w14:paraId="2EFBB60D"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L</w:t>
            </w:r>
          </w:p>
        </w:tc>
      </w:tr>
      <w:tr w:rsidR="004A16AD" w:rsidRPr="00295483" w14:paraId="306D2E6E" w14:textId="77777777" w:rsidTr="001A70E9">
        <w:tc>
          <w:tcPr>
            <w:tcW w:w="2379" w:type="dxa"/>
            <w:vMerge/>
            <w:tcBorders>
              <w:top w:val="nil"/>
              <w:left w:val="nil"/>
              <w:bottom w:val="nil"/>
              <w:right w:val="nil"/>
            </w:tcBorders>
          </w:tcPr>
          <w:p w14:paraId="20E7D4BC" w14:textId="77777777" w:rsidR="004A16AD" w:rsidRPr="00295483" w:rsidRDefault="004A16AD" w:rsidP="00CA4637">
            <w:pPr>
              <w:rPr>
                <w:rFonts w:ascii="Calibri" w:eastAsia="Times New Roman" w:hAnsi="Calibri" w:cs="Calibri"/>
                <w:lang w:eastAsia="en-GB"/>
              </w:rPr>
            </w:pPr>
          </w:p>
        </w:tc>
        <w:tc>
          <w:tcPr>
            <w:tcW w:w="2933" w:type="dxa"/>
            <w:tcBorders>
              <w:top w:val="single" w:sz="4" w:space="0" w:color="auto"/>
              <w:left w:val="nil"/>
              <w:bottom w:val="nil"/>
              <w:right w:val="nil"/>
            </w:tcBorders>
          </w:tcPr>
          <w:p w14:paraId="78D8E9C4"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Spirometry measurement</w:t>
            </w:r>
          </w:p>
        </w:tc>
        <w:tc>
          <w:tcPr>
            <w:tcW w:w="2916" w:type="dxa"/>
            <w:vMerge w:val="restart"/>
            <w:tcBorders>
              <w:top w:val="single" w:sz="4" w:space="0" w:color="auto"/>
              <w:left w:val="nil"/>
              <w:bottom w:val="nil"/>
              <w:right w:val="nil"/>
            </w:tcBorders>
          </w:tcPr>
          <w:p w14:paraId="348CEA42"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Objective measurement of airway obstruction</w:t>
            </w:r>
          </w:p>
        </w:tc>
        <w:tc>
          <w:tcPr>
            <w:tcW w:w="788" w:type="dxa"/>
            <w:tcBorders>
              <w:top w:val="single" w:sz="4" w:space="0" w:color="auto"/>
              <w:left w:val="nil"/>
              <w:bottom w:val="nil"/>
              <w:right w:val="nil"/>
            </w:tcBorders>
          </w:tcPr>
          <w:p w14:paraId="1D03A8BD"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L</w:t>
            </w:r>
          </w:p>
        </w:tc>
      </w:tr>
      <w:tr w:rsidR="004A16AD" w:rsidRPr="00295483" w14:paraId="2BA86416" w14:textId="77777777" w:rsidTr="001A70E9">
        <w:tc>
          <w:tcPr>
            <w:tcW w:w="2379" w:type="dxa"/>
            <w:vMerge/>
            <w:tcBorders>
              <w:top w:val="nil"/>
              <w:left w:val="nil"/>
              <w:bottom w:val="nil"/>
              <w:right w:val="nil"/>
            </w:tcBorders>
          </w:tcPr>
          <w:p w14:paraId="679B0EA5" w14:textId="77777777" w:rsidR="004A16AD" w:rsidRPr="00295483" w:rsidRDefault="004A16AD" w:rsidP="00CA4637">
            <w:pPr>
              <w:rPr>
                <w:rFonts w:ascii="Calibri" w:eastAsia="Times New Roman" w:hAnsi="Calibri" w:cs="Calibri"/>
                <w:lang w:eastAsia="en-GB"/>
              </w:rPr>
            </w:pPr>
          </w:p>
        </w:tc>
        <w:tc>
          <w:tcPr>
            <w:tcW w:w="2933" w:type="dxa"/>
            <w:tcBorders>
              <w:top w:val="nil"/>
              <w:left w:val="nil"/>
              <w:bottom w:val="single" w:sz="4" w:space="0" w:color="auto"/>
              <w:right w:val="nil"/>
            </w:tcBorders>
          </w:tcPr>
          <w:p w14:paraId="428DC43B"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Spirometry QC/interpretation</w:t>
            </w:r>
          </w:p>
        </w:tc>
        <w:tc>
          <w:tcPr>
            <w:tcW w:w="2916" w:type="dxa"/>
            <w:vMerge/>
            <w:tcBorders>
              <w:top w:val="nil"/>
              <w:left w:val="nil"/>
              <w:bottom w:val="single" w:sz="4" w:space="0" w:color="auto"/>
              <w:right w:val="nil"/>
            </w:tcBorders>
          </w:tcPr>
          <w:p w14:paraId="53ADE1AD" w14:textId="77777777" w:rsidR="004A16AD" w:rsidRPr="00295483" w:rsidRDefault="004A16AD" w:rsidP="00CA4637">
            <w:pPr>
              <w:rPr>
                <w:rFonts w:ascii="Calibri" w:eastAsia="Times New Roman" w:hAnsi="Calibri" w:cs="Calibri"/>
                <w:lang w:eastAsia="en-GB"/>
              </w:rPr>
            </w:pPr>
          </w:p>
        </w:tc>
        <w:tc>
          <w:tcPr>
            <w:tcW w:w="788" w:type="dxa"/>
            <w:tcBorders>
              <w:top w:val="nil"/>
              <w:left w:val="nil"/>
              <w:bottom w:val="single" w:sz="4" w:space="0" w:color="auto"/>
              <w:right w:val="nil"/>
            </w:tcBorders>
          </w:tcPr>
          <w:p w14:paraId="50B7864F"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N</w:t>
            </w:r>
          </w:p>
        </w:tc>
      </w:tr>
      <w:tr w:rsidR="004A16AD" w:rsidRPr="00295483" w14:paraId="154A93BC" w14:textId="77777777" w:rsidTr="001A70E9">
        <w:tc>
          <w:tcPr>
            <w:tcW w:w="2379" w:type="dxa"/>
            <w:vMerge/>
            <w:tcBorders>
              <w:top w:val="nil"/>
              <w:left w:val="nil"/>
              <w:bottom w:val="single" w:sz="4" w:space="0" w:color="auto"/>
              <w:right w:val="nil"/>
            </w:tcBorders>
          </w:tcPr>
          <w:p w14:paraId="76145C3B" w14:textId="77777777" w:rsidR="004A16AD" w:rsidRPr="00295483" w:rsidRDefault="004A16AD" w:rsidP="00CA4637">
            <w:pPr>
              <w:rPr>
                <w:rFonts w:ascii="Calibri" w:eastAsia="Times New Roman" w:hAnsi="Calibri" w:cs="Calibri"/>
                <w:lang w:eastAsia="en-GB"/>
              </w:rPr>
            </w:pPr>
          </w:p>
        </w:tc>
        <w:tc>
          <w:tcPr>
            <w:tcW w:w="2933" w:type="dxa"/>
            <w:tcBorders>
              <w:top w:val="single" w:sz="4" w:space="0" w:color="auto"/>
              <w:left w:val="nil"/>
              <w:bottom w:val="single" w:sz="4" w:space="0" w:color="auto"/>
              <w:right w:val="nil"/>
            </w:tcBorders>
            <w:shd w:val="clear" w:color="auto" w:fill="FFFFFF" w:themeFill="background1"/>
          </w:tcPr>
          <w:p w14:paraId="06234523"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Physical examination (auscultate chest, look for clubbing/lymph nodes)</w:t>
            </w:r>
          </w:p>
        </w:tc>
        <w:tc>
          <w:tcPr>
            <w:tcW w:w="2916" w:type="dxa"/>
            <w:tcBorders>
              <w:top w:val="single" w:sz="4" w:space="0" w:color="auto"/>
              <w:left w:val="nil"/>
              <w:bottom w:val="single" w:sz="4" w:space="0" w:color="auto"/>
              <w:right w:val="nil"/>
            </w:tcBorders>
            <w:shd w:val="clear" w:color="auto" w:fill="FFFFFF" w:themeFill="background1"/>
          </w:tcPr>
          <w:p w14:paraId="12201361"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Exclude co-morbidity or misdiagnosis (congenital /rheumatic heart disease, TB)</w:t>
            </w:r>
          </w:p>
        </w:tc>
        <w:tc>
          <w:tcPr>
            <w:tcW w:w="788" w:type="dxa"/>
            <w:tcBorders>
              <w:top w:val="single" w:sz="4" w:space="0" w:color="auto"/>
              <w:left w:val="nil"/>
              <w:bottom w:val="single" w:sz="4" w:space="0" w:color="auto"/>
              <w:right w:val="nil"/>
            </w:tcBorders>
            <w:shd w:val="clear" w:color="auto" w:fill="FFFFFF" w:themeFill="background1"/>
          </w:tcPr>
          <w:p w14:paraId="73942489"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N</w:t>
            </w:r>
          </w:p>
        </w:tc>
      </w:tr>
      <w:tr w:rsidR="004A16AD" w:rsidRPr="00295483" w14:paraId="4833C30D" w14:textId="77777777" w:rsidTr="001A70E9">
        <w:tc>
          <w:tcPr>
            <w:tcW w:w="2379" w:type="dxa"/>
            <w:tcBorders>
              <w:top w:val="single" w:sz="4" w:space="0" w:color="auto"/>
              <w:left w:val="nil"/>
              <w:bottom w:val="single" w:sz="4" w:space="0" w:color="auto"/>
              <w:right w:val="nil"/>
            </w:tcBorders>
            <w:shd w:val="clear" w:color="auto" w:fill="F2F2F2" w:themeFill="background1" w:themeFillShade="F2"/>
          </w:tcPr>
          <w:p w14:paraId="69123F6D" w14:textId="77777777" w:rsidR="004A16AD" w:rsidRPr="00295483" w:rsidRDefault="004A16AD" w:rsidP="00CA4637">
            <w:pPr>
              <w:rPr>
                <w:rFonts w:ascii="Calibri" w:eastAsia="Times New Roman" w:hAnsi="Calibri" w:cs="Calibri"/>
                <w:lang w:eastAsia="en-GB"/>
              </w:rPr>
            </w:pPr>
          </w:p>
        </w:tc>
        <w:tc>
          <w:tcPr>
            <w:tcW w:w="6637" w:type="dxa"/>
            <w:gridSpan w:val="3"/>
            <w:tcBorders>
              <w:top w:val="single" w:sz="4" w:space="0" w:color="auto"/>
              <w:left w:val="nil"/>
              <w:bottom w:val="single" w:sz="4" w:space="0" w:color="auto"/>
              <w:right w:val="nil"/>
            </w:tcBorders>
            <w:shd w:val="clear" w:color="auto" w:fill="F2F2F2" w:themeFill="background1" w:themeFillShade="F2"/>
          </w:tcPr>
          <w:p w14:paraId="7C183846"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TREATMENT OPTIMISATION</w:t>
            </w:r>
          </w:p>
        </w:tc>
      </w:tr>
      <w:tr w:rsidR="004A16AD" w:rsidRPr="00295483" w14:paraId="7FE7BA8D" w14:textId="77777777" w:rsidTr="001A70E9">
        <w:tc>
          <w:tcPr>
            <w:tcW w:w="2379" w:type="dxa"/>
            <w:tcBorders>
              <w:top w:val="single" w:sz="4" w:space="0" w:color="auto"/>
              <w:left w:val="nil"/>
              <w:bottom w:val="single" w:sz="4" w:space="0" w:color="auto"/>
              <w:right w:val="nil"/>
            </w:tcBorders>
          </w:tcPr>
          <w:p w14:paraId="04CE99AD"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Clinicians reluctant to prescribe ICS and escalate dose if needed</w:t>
            </w:r>
          </w:p>
        </w:tc>
        <w:tc>
          <w:tcPr>
            <w:tcW w:w="2933" w:type="dxa"/>
            <w:tcBorders>
              <w:top w:val="single" w:sz="4" w:space="0" w:color="auto"/>
              <w:left w:val="nil"/>
              <w:bottom w:val="single" w:sz="4" w:space="0" w:color="auto"/>
              <w:right w:val="nil"/>
            </w:tcBorders>
          </w:tcPr>
          <w:p w14:paraId="04EA2E0F"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 xml:space="preserve">Treatment increased according to protocol based on </w:t>
            </w:r>
            <w:proofErr w:type="spellStart"/>
            <w:r w:rsidRPr="00295483">
              <w:rPr>
                <w:rFonts w:ascii="Calibri" w:eastAsia="Times New Roman" w:hAnsi="Calibri" w:cs="Calibri"/>
                <w:lang w:eastAsia="en-GB"/>
              </w:rPr>
              <w:t>cACT</w:t>
            </w:r>
            <w:proofErr w:type="spellEnd"/>
            <w:r w:rsidRPr="00295483">
              <w:rPr>
                <w:rFonts w:ascii="Calibri" w:eastAsia="Times New Roman" w:hAnsi="Calibri" w:cs="Calibri"/>
                <w:lang w:eastAsia="en-GB"/>
              </w:rPr>
              <w:t xml:space="preserve"> and FEV</w:t>
            </w:r>
            <w:r w:rsidRPr="00295483">
              <w:rPr>
                <w:rFonts w:ascii="Calibri" w:eastAsia="Times New Roman" w:hAnsi="Calibri" w:cs="Calibri"/>
                <w:vertAlign w:val="subscript"/>
                <w:lang w:eastAsia="en-GB"/>
              </w:rPr>
              <w:t>1</w:t>
            </w:r>
            <w:r w:rsidRPr="00295483">
              <w:rPr>
                <w:rFonts w:ascii="Calibri" w:eastAsia="Times New Roman" w:hAnsi="Calibri" w:cs="Calibri"/>
                <w:lang w:eastAsia="en-GB"/>
              </w:rPr>
              <w:t>/FVC ratio</w:t>
            </w:r>
          </w:p>
        </w:tc>
        <w:tc>
          <w:tcPr>
            <w:tcW w:w="2916" w:type="dxa"/>
            <w:tcBorders>
              <w:top w:val="single" w:sz="4" w:space="0" w:color="auto"/>
              <w:left w:val="nil"/>
              <w:bottom w:val="single" w:sz="4" w:space="0" w:color="auto"/>
              <w:right w:val="nil"/>
            </w:tcBorders>
          </w:tcPr>
          <w:p w14:paraId="26F5AF5F"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Encourage appropriate use of ICS</w:t>
            </w:r>
          </w:p>
        </w:tc>
        <w:tc>
          <w:tcPr>
            <w:tcW w:w="788" w:type="dxa"/>
            <w:tcBorders>
              <w:top w:val="single" w:sz="4" w:space="0" w:color="auto"/>
              <w:left w:val="nil"/>
              <w:bottom w:val="single" w:sz="4" w:space="0" w:color="auto"/>
              <w:right w:val="nil"/>
            </w:tcBorders>
          </w:tcPr>
          <w:p w14:paraId="3A5592A6"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L/N</w:t>
            </w:r>
          </w:p>
        </w:tc>
      </w:tr>
      <w:tr w:rsidR="004A16AD" w:rsidRPr="00295483" w14:paraId="274D9E30" w14:textId="77777777" w:rsidTr="001A70E9">
        <w:tc>
          <w:tcPr>
            <w:tcW w:w="2379" w:type="dxa"/>
            <w:tcBorders>
              <w:top w:val="single" w:sz="4" w:space="0" w:color="auto"/>
              <w:left w:val="nil"/>
              <w:bottom w:val="single" w:sz="4" w:space="0" w:color="auto"/>
              <w:right w:val="nil"/>
            </w:tcBorders>
            <w:shd w:val="clear" w:color="auto" w:fill="F2F2F2" w:themeFill="background1" w:themeFillShade="F2"/>
          </w:tcPr>
          <w:p w14:paraId="77ECA1AA" w14:textId="77777777" w:rsidR="004A16AD" w:rsidRPr="00295483" w:rsidRDefault="004A16AD" w:rsidP="00CA4637">
            <w:pPr>
              <w:rPr>
                <w:rFonts w:ascii="Calibri" w:eastAsia="Times New Roman" w:hAnsi="Calibri" w:cs="Calibri"/>
                <w:lang w:eastAsia="en-GB"/>
              </w:rPr>
            </w:pPr>
          </w:p>
        </w:tc>
        <w:tc>
          <w:tcPr>
            <w:tcW w:w="6637" w:type="dxa"/>
            <w:gridSpan w:val="3"/>
            <w:tcBorders>
              <w:top w:val="single" w:sz="4" w:space="0" w:color="auto"/>
              <w:left w:val="nil"/>
              <w:bottom w:val="single" w:sz="4" w:space="0" w:color="auto"/>
              <w:right w:val="nil"/>
            </w:tcBorders>
            <w:shd w:val="clear" w:color="auto" w:fill="F2F2F2" w:themeFill="background1" w:themeFillShade="F2"/>
          </w:tcPr>
          <w:p w14:paraId="4C02ED12"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ASTHMA EDUCATION</w:t>
            </w:r>
          </w:p>
        </w:tc>
      </w:tr>
      <w:tr w:rsidR="004A16AD" w:rsidRPr="00295483" w14:paraId="284634CA" w14:textId="77777777" w:rsidTr="001A70E9">
        <w:tc>
          <w:tcPr>
            <w:tcW w:w="2379" w:type="dxa"/>
            <w:vMerge w:val="restart"/>
            <w:tcBorders>
              <w:top w:val="single" w:sz="4" w:space="0" w:color="auto"/>
              <w:left w:val="nil"/>
              <w:bottom w:val="nil"/>
              <w:right w:val="nil"/>
            </w:tcBorders>
          </w:tcPr>
          <w:p w14:paraId="67BA5853"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Fears and misconceptions, poor understanding of asthma and inhalers</w:t>
            </w:r>
          </w:p>
        </w:tc>
        <w:tc>
          <w:tcPr>
            <w:tcW w:w="2933" w:type="dxa"/>
            <w:tcBorders>
              <w:top w:val="single" w:sz="4" w:space="0" w:color="auto"/>
              <w:left w:val="nil"/>
              <w:bottom w:val="nil"/>
              <w:right w:val="nil"/>
            </w:tcBorders>
          </w:tcPr>
          <w:p w14:paraId="72DB4D87"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1-hour individualised asthma education session</w:t>
            </w:r>
          </w:p>
        </w:tc>
        <w:tc>
          <w:tcPr>
            <w:tcW w:w="2916" w:type="dxa"/>
            <w:vMerge w:val="restart"/>
            <w:tcBorders>
              <w:top w:val="single" w:sz="4" w:space="0" w:color="auto"/>
              <w:left w:val="nil"/>
              <w:bottom w:val="nil"/>
              <w:right w:val="nil"/>
            </w:tcBorders>
          </w:tcPr>
          <w:p w14:paraId="623A2B07"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Increase knowledge levels, improve inhaler technique and compliance</w:t>
            </w:r>
          </w:p>
        </w:tc>
        <w:tc>
          <w:tcPr>
            <w:tcW w:w="788" w:type="dxa"/>
            <w:tcBorders>
              <w:top w:val="single" w:sz="4" w:space="0" w:color="auto"/>
              <w:left w:val="nil"/>
              <w:bottom w:val="nil"/>
              <w:right w:val="nil"/>
            </w:tcBorders>
          </w:tcPr>
          <w:p w14:paraId="6C919677"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L</w:t>
            </w:r>
          </w:p>
        </w:tc>
      </w:tr>
      <w:tr w:rsidR="004A16AD" w:rsidRPr="00295483" w14:paraId="120F80C6" w14:textId="77777777" w:rsidTr="001A70E9">
        <w:tc>
          <w:tcPr>
            <w:tcW w:w="2379" w:type="dxa"/>
            <w:vMerge/>
            <w:tcBorders>
              <w:top w:val="nil"/>
              <w:left w:val="nil"/>
              <w:bottom w:val="single" w:sz="4" w:space="0" w:color="auto"/>
              <w:right w:val="nil"/>
            </w:tcBorders>
          </w:tcPr>
          <w:p w14:paraId="2863F00B" w14:textId="77777777" w:rsidR="004A16AD" w:rsidRPr="00295483" w:rsidRDefault="004A16AD" w:rsidP="00CA4637">
            <w:pPr>
              <w:rPr>
                <w:rFonts w:ascii="Calibri" w:eastAsia="Times New Roman" w:hAnsi="Calibri" w:cs="Calibri"/>
                <w:lang w:eastAsia="en-GB"/>
              </w:rPr>
            </w:pPr>
          </w:p>
        </w:tc>
        <w:tc>
          <w:tcPr>
            <w:tcW w:w="2933" w:type="dxa"/>
            <w:tcBorders>
              <w:top w:val="nil"/>
              <w:left w:val="nil"/>
              <w:bottom w:val="single" w:sz="4" w:space="0" w:color="auto"/>
              <w:right w:val="nil"/>
            </w:tcBorders>
          </w:tcPr>
          <w:p w14:paraId="1CFC947D"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6-week review: revision of asthma education</w:t>
            </w:r>
          </w:p>
        </w:tc>
        <w:tc>
          <w:tcPr>
            <w:tcW w:w="2916" w:type="dxa"/>
            <w:vMerge/>
            <w:tcBorders>
              <w:top w:val="nil"/>
              <w:left w:val="nil"/>
              <w:bottom w:val="single" w:sz="4" w:space="0" w:color="auto"/>
              <w:right w:val="nil"/>
            </w:tcBorders>
          </w:tcPr>
          <w:p w14:paraId="20D9459F" w14:textId="77777777" w:rsidR="004A16AD" w:rsidRPr="00295483" w:rsidRDefault="004A16AD" w:rsidP="00CA4637">
            <w:pPr>
              <w:rPr>
                <w:rFonts w:ascii="Calibri" w:eastAsia="Times New Roman" w:hAnsi="Calibri" w:cs="Calibri"/>
                <w:lang w:eastAsia="en-GB"/>
              </w:rPr>
            </w:pPr>
          </w:p>
        </w:tc>
        <w:tc>
          <w:tcPr>
            <w:tcW w:w="788" w:type="dxa"/>
            <w:tcBorders>
              <w:top w:val="nil"/>
              <w:left w:val="nil"/>
              <w:bottom w:val="single" w:sz="4" w:space="0" w:color="auto"/>
              <w:right w:val="nil"/>
            </w:tcBorders>
          </w:tcPr>
          <w:p w14:paraId="4A509FC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L</w:t>
            </w:r>
          </w:p>
        </w:tc>
      </w:tr>
    </w:tbl>
    <w:p w14:paraId="77CBE4B9" w14:textId="77777777" w:rsidR="004A16AD" w:rsidRPr="00D24167" w:rsidRDefault="004A16AD" w:rsidP="00CA4637">
      <w:pPr>
        <w:spacing w:after="0" w:line="240" w:lineRule="auto"/>
        <w:rPr>
          <w:rFonts w:ascii="Calibri" w:eastAsia="Times New Roman" w:hAnsi="Calibri" w:cs="Calibri"/>
          <w:lang w:eastAsia="en-GB"/>
        </w:rPr>
      </w:pPr>
      <w:r w:rsidRPr="00D24167">
        <w:rPr>
          <w:rFonts w:ascii="Calibri" w:eastAsia="Times New Roman" w:hAnsi="Calibri" w:cs="Calibri"/>
          <w:lang w:eastAsia="en-GB"/>
        </w:rPr>
        <w:t>*Staff responsible for performing each</w:t>
      </w:r>
      <w:r>
        <w:rPr>
          <w:rFonts w:ascii="Calibri" w:eastAsia="Times New Roman" w:hAnsi="Calibri" w:cs="Calibri"/>
          <w:lang w:eastAsia="en-GB"/>
        </w:rPr>
        <w:t xml:space="preserve"> intervention</w:t>
      </w:r>
      <w:r w:rsidRPr="00D24167">
        <w:rPr>
          <w:rFonts w:ascii="Calibri" w:eastAsia="Times New Roman" w:hAnsi="Calibri" w:cs="Calibri"/>
          <w:lang w:eastAsia="en-GB"/>
        </w:rPr>
        <w:t xml:space="preserve"> task: </w:t>
      </w:r>
      <w:r>
        <w:rPr>
          <w:rFonts w:ascii="Calibri" w:eastAsia="Times New Roman" w:hAnsi="Calibri" w:cs="Calibri"/>
          <w:lang w:eastAsia="en-GB"/>
        </w:rPr>
        <w:t>L</w:t>
      </w:r>
      <w:r w:rsidRPr="00D24167">
        <w:rPr>
          <w:rFonts w:ascii="Calibri" w:eastAsia="Times New Roman" w:hAnsi="Calibri" w:cs="Calibri"/>
          <w:lang w:eastAsia="en-GB"/>
        </w:rPr>
        <w:t xml:space="preserve">, </w:t>
      </w:r>
      <w:r>
        <w:rPr>
          <w:rFonts w:ascii="Calibri" w:eastAsia="Times New Roman" w:hAnsi="Calibri" w:cs="Calibri"/>
          <w:lang w:eastAsia="en-GB"/>
        </w:rPr>
        <w:t>lay</w:t>
      </w:r>
      <w:r w:rsidR="00CA4637">
        <w:rPr>
          <w:rFonts w:ascii="Calibri" w:eastAsia="Times New Roman" w:hAnsi="Calibri" w:cs="Calibri"/>
          <w:lang w:eastAsia="en-GB"/>
        </w:rPr>
        <w:t xml:space="preserve"> </w:t>
      </w:r>
      <w:r>
        <w:rPr>
          <w:rFonts w:ascii="Calibri" w:eastAsia="Times New Roman" w:hAnsi="Calibri" w:cs="Calibri"/>
          <w:lang w:eastAsia="en-GB"/>
        </w:rPr>
        <w:t>educator</w:t>
      </w:r>
      <w:r w:rsidRPr="00D24167">
        <w:rPr>
          <w:rFonts w:ascii="Calibri" w:eastAsia="Times New Roman" w:hAnsi="Calibri" w:cs="Calibri"/>
          <w:lang w:eastAsia="en-GB"/>
        </w:rPr>
        <w:t xml:space="preserve"> (non-clinical); N, nurse</w:t>
      </w:r>
    </w:p>
    <w:p w14:paraId="64128145" w14:textId="77777777" w:rsidR="004A16AD" w:rsidRPr="00D24167" w:rsidRDefault="004A16AD" w:rsidP="00CA4637">
      <w:pPr>
        <w:spacing w:after="0" w:line="240" w:lineRule="auto"/>
        <w:rPr>
          <w:rFonts w:ascii="Calibri" w:eastAsia="Times New Roman" w:hAnsi="Calibri" w:cs="Calibri"/>
          <w:lang w:eastAsia="en-GB"/>
        </w:rPr>
      </w:pPr>
      <w:r w:rsidRPr="00D24167">
        <w:rPr>
          <w:rFonts w:ascii="Calibri" w:eastAsia="Times New Roman" w:hAnsi="Calibri" w:cs="Calibri"/>
          <w:lang w:eastAsia="en-GB"/>
        </w:rPr>
        <w:t xml:space="preserve">Abbreviations: </w:t>
      </w:r>
      <w:proofErr w:type="spellStart"/>
      <w:r w:rsidRPr="00D24167">
        <w:rPr>
          <w:rFonts w:ascii="Calibri" w:eastAsia="Times New Roman" w:hAnsi="Calibri" w:cs="Calibri"/>
          <w:lang w:eastAsia="en-GB"/>
        </w:rPr>
        <w:t>cACT</w:t>
      </w:r>
      <w:proofErr w:type="spellEnd"/>
      <w:r w:rsidRPr="00D24167">
        <w:rPr>
          <w:rFonts w:ascii="Calibri" w:eastAsia="Times New Roman" w:hAnsi="Calibri" w:cs="Calibri"/>
          <w:lang w:eastAsia="en-GB"/>
        </w:rPr>
        <w:t xml:space="preserve">, Childhood Asthma Control Test; </w:t>
      </w:r>
      <w:proofErr w:type="spellStart"/>
      <w:r w:rsidRPr="00D24167">
        <w:rPr>
          <w:rFonts w:ascii="Calibri" w:eastAsia="Times New Roman" w:hAnsi="Calibri" w:cs="Calibri"/>
          <w:lang w:eastAsia="en-GB"/>
        </w:rPr>
        <w:t>FeNO</w:t>
      </w:r>
      <w:proofErr w:type="spellEnd"/>
      <w:r w:rsidRPr="00D24167">
        <w:rPr>
          <w:rFonts w:ascii="Calibri" w:eastAsia="Times New Roman" w:hAnsi="Calibri" w:cs="Calibri"/>
          <w:lang w:eastAsia="en-GB"/>
        </w:rPr>
        <w:t>, exhaled nitric oxide; FEV</w:t>
      </w:r>
      <w:r w:rsidRPr="00D24167">
        <w:rPr>
          <w:rFonts w:ascii="Calibri" w:eastAsia="Times New Roman" w:hAnsi="Calibri" w:cs="Calibri"/>
          <w:vertAlign w:val="subscript"/>
          <w:lang w:eastAsia="en-GB"/>
        </w:rPr>
        <w:t>1</w:t>
      </w:r>
      <w:r w:rsidRPr="00D24167">
        <w:rPr>
          <w:rFonts w:ascii="Calibri" w:eastAsia="Times New Roman" w:hAnsi="Calibri" w:cs="Calibri"/>
          <w:lang w:eastAsia="en-GB"/>
        </w:rPr>
        <w:t>, Forced Expiratory Volume in 1 second; FVC, Forced Vital Capacity; ICS, inhaled corticosteroid; QC, quality control; TB, tuberculosis.</w:t>
      </w:r>
    </w:p>
    <w:p w14:paraId="34F61BD8" w14:textId="77777777" w:rsidR="004A16AD" w:rsidRPr="003A6454" w:rsidRDefault="004A16AD" w:rsidP="00CA4637">
      <w:pPr>
        <w:spacing w:line="480" w:lineRule="auto"/>
        <w:rPr>
          <w:sz w:val="24"/>
          <w:szCs w:val="24"/>
        </w:rPr>
      </w:pPr>
    </w:p>
    <w:p w14:paraId="6096F6E6" w14:textId="77777777" w:rsidR="004A16AD" w:rsidRPr="003A6454" w:rsidRDefault="004A16AD" w:rsidP="00CA4637">
      <w:pPr>
        <w:keepNext/>
        <w:keepLines/>
        <w:numPr>
          <w:ilvl w:val="3"/>
          <w:numId w:val="0"/>
        </w:numPr>
        <w:spacing w:before="40" w:after="0" w:line="480" w:lineRule="auto"/>
        <w:ind w:left="864" w:hanging="864"/>
        <w:outlineLvl w:val="3"/>
        <w:rPr>
          <w:rFonts w:eastAsiaTheme="majorEastAsia" w:cstheme="minorHAnsi"/>
          <w:sz w:val="24"/>
          <w:szCs w:val="24"/>
        </w:rPr>
      </w:pPr>
      <w:r w:rsidRPr="00C31DE6">
        <w:rPr>
          <w:rFonts w:eastAsiaTheme="majorEastAsia" w:cstheme="minorHAnsi"/>
          <w:sz w:val="24"/>
          <w:szCs w:val="24"/>
        </w:rPr>
        <w:t>Intervention: Clinical assessment</w:t>
      </w:r>
    </w:p>
    <w:p w14:paraId="1A8AAFB2" w14:textId="77777777" w:rsidR="004A16AD" w:rsidRPr="003A6454" w:rsidRDefault="004A16AD" w:rsidP="00CA4637">
      <w:pPr>
        <w:spacing w:line="480" w:lineRule="auto"/>
        <w:rPr>
          <w:rFonts w:cstheme="minorHAnsi"/>
          <w:sz w:val="24"/>
          <w:szCs w:val="24"/>
        </w:rPr>
      </w:pPr>
      <w:r w:rsidRPr="003A6454">
        <w:rPr>
          <w:rFonts w:cstheme="minorHAnsi"/>
          <w:sz w:val="24"/>
          <w:szCs w:val="24"/>
        </w:rPr>
        <w:t xml:space="preserve">Participants in the intervention arm attended the hospital shortly after recruitment for an assessment visit which </w:t>
      </w:r>
      <w:r>
        <w:rPr>
          <w:rFonts w:cstheme="minorHAnsi"/>
          <w:sz w:val="24"/>
          <w:szCs w:val="24"/>
        </w:rPr>
        <w:t xml:space="preserve">included </w:t>
      </w:r>
      <w:r w:rsidRPr="003A6454">
        <w:rPr>
          <w:rFonts w:cstheme="minorHAnsi"/>
          <w:sz w:val="24"/>
          <w:szCs w:val="24"/>
        </w:rPr>
        <w:t>clinical examination, anthropometry, exhaled nitric oxide (</w:t>
      </w:r>
      <w:proofErr w:type="spellStart"/>
      <w:r w:rsidRPr="003A6454">
        <w:rPr>
          <w:rFonts w:cstheme="minorHAnsi"/>
          <w:sz w:val="24"/>
          <w:szCs w:val="24"/>
        </w:rPr>
        <w:t>FeNO</w:t>
      </w:r>
      <w:proofErr w:type="spellEnd"/>
      <w:r w:rsidRPr="003A6454">
        <w:rPr>
          <w:rFonts w:cstheme="minorHAnsi"/>
          <w:sz w:val="24"/>
          <w:szCs w:val="24"/>
        </w:rPr>
        <w:t xml:space="preserve">) measurement, </w:t>
      </w:r>
      <w:r>
        <w:rPr>
          <w:rFonts w:cstheme="minorHAnsi"/>
          <w:sz w:val="24"/>
          <w:szCs w:val="24"/>
        </w:rPr>
        <w:t xml:space="preserve">and </w:t>
      </w:r>
      <w:r w:rsidRPr="003A6454">
        <w:rPr>
          <w:rFonts w:cstheme="minorHAnsi"/>
          <w:sz w:val="24"/>
          <w:szCs w:val="24"/>
        </w:rPr>
        <w:t>pre-and post-bronchodilator spirometry. All procedures were performed according to standardised operating procedures, with regular quality control monitoring by the study clinician. Asthma symptoms were assessed using Global Initiative for Asthma (GINA) and International Study of Asthma and Allergies in Childhood (ISAAC) questionnaires.</w:t>
      </w:r>
      <w:r w:rsidRPr="00784288">
        <w:rPr>
          <w:rFonts w:cstheme="minorHAnsi"/>
          <w:noProof/>
          <w:sz w:val="24"/>
          <w:szCs w:val="24"/>
          <w:vertAlign w:val="superscript"/>
        </w:rPr>
        <w:t>5 7</w:t>
      </w:r>
      <w:r w:rsidRPr="003A6454">
        <w:rPr>
          <w:rFonts w:cstheme="minorHAnsi"/>
          <w:sz w:val="24"/>
          <w:szCs w:val="24"/>
        </w:rPr>
        <w:t xml:space="preserve"> Spirometry was conducted by experienced technicians, using an Easy On-PC spirometer (</w:t>
      </w:r>
      <w:proofErr w:type="spellStart"/>
      <w:r w:rsidRPr="003A6454">
        <w:rPr>
          <w:rFonts w:cstheme="minorHAnsi"/>
          <w:sz w:val="24"/>
          <w:szCs w:val="24"/>
        </w:rPr>
        <w:t>ndd</w:t>
      </w:r>
      <w:proofErr w:type="spellEnd"/>
      <w:r w:rsidRPr="003A6454">
        <w:rPr>
          <w:rFonts w:cstheme="minorHAnsi"/>
          <w:sz w:val="24"/>
          <w:szCs w:val="24"/>
        </w:rPr>
        <w:t xml:space="preserve"> Medical Technologies), according to American Thoracic Society/European Respiratory Society (ATS/ERS) guidelines.</w:t>
      </w:r>
      <w:r w:rsidRPr="00784288">
        <w:rPr>
          <w:rFonts w:cstheme="minorHAnsi"/>
          <w:noProof/>
          <w:sz w:val="24"/>
          <w:szCs w:val="24"/>
          <w:vertAlign w:val="superscript"/>
        </w:rPr>
        <w:t>16</w:t>
      </w:r>
      <w:r w:rsidRPr="003A6454">
        <w:rPr>
          <w:rFonts w:cstheme="minorHAnsi"/>
          <w:sz w:val="24"/>
          <w:szCs w:val="24"/>
        </w:rPr>
        <w:t xml:space="preserve"> Lung function was measured </w:t>
      </w:r>
      <w:r w:rsidRPr="003A6454">
        <w:rPr>
          <w:rFonts w:cstheme="minorHAnsi"/>
          <w:sz w:val="24"/>
          <w:szCs w:val="24"/>
        </w:rPr>
        <w:lastRenderedPageBreak/>
        <w:t>before and after 400µg salbutamol administered by metered-dose inhaler via a Volumatic spacer. Lung function parameters; forced expiratory volume in one second (FEV</w:t>
      </w:r>
      <w:r w:rsidRPr="003A6454">
        <w:rPr>
          <w:rFonts w:cstheme="minorHAnsi"/>
          <w:sz w:val="24"/>
          <w:szCs w:val="24"/>
          <w:vertAlign w:val="subscript"/>
        </w:rPr>
        <w:t>1</w:t>
      </w:r>
      <w:r w:rsidRPr="003A6454">
        <w:rPr>
          <w:rFonts w:cstheme="minorHAnsi"/>
          <w:sz w:val="24"/>
          <w:szCs w:val="24"/>
        </w:rPr>
        <w:t xml:space="preserve">), forced vital capacity (FVC), </w:t>
      </w:r>
      <w:r>
        <w:rPr>
          <w:rFonts w:cstheme="minorHAnsi"/>
          <w:sz w:val="24"/>
          <w:szCs w:val="24"/>
        </w:rPr>
        <w:t xml:space="preserve">and </w:t>
      </w:r>
      <w:r w:rsidRPr="003A6454">
        <w:rPr>
          <w:rFonts w:cstheme="minorHAnsi"/>
          <w:sz w:val="24"/>
          <w:szCs w:val="24"/>
        </w:rPr>
        <w:t>FEV</w:t>
      </w:r>
      <w:r w:rsidRPr="003A6454">
        <w:rPr>
          <w:rFonts w:cstheme="minorHAnsi"/>
          <w:sz w:val="24"/>
          <w:szCs w:val="24"/>
          <w:vertAlign w:val="subscript"/>
        </w:rPr>
        <w:t>1</w:t>
      </w:r>
      <w:r w:rsidRPr="003A6454">
        <w:rPr>
          <w:rFonts w:cstheme="minorHAnsi"/>
          <w:sz w:val="24"/>
          <w:szCs w:val="24"/>
        </w:rPr>
        <w:t>/FVC ratio were interpreted with reference to the African American Global Lung Initiative 2012 equations.</w:t>
      </w:r>
      <w:r w:rsidRPr="00784288">
        <w:rPr>
          <w:rFonts w:cstheme="minorHAnsi"/>
          <w:noProof/>
          <w:sz w:val="24"/>
          <w:szCs w:val="24"/>
          <w:vertAlign w:val="superscript"/>
        </w:rPr>
        <w:t>17</w:t>
      </w:r>
      <w:r>
        <w:rPr>
          <w:rFonts w:cstheme="minorHAnsi"/>
          <w:sz w:val="24"/>
          <w:szCs w:val="24"/>
        </w:rPr>
        <w:t xml:space="preserve"> </w:t>
      </w:r>
      <w:proofErr w:type="spellStart"/>
      <w:r w:rsidRPr="003A6454">
        <w:rPr>
          <w:rFonts w:cstheme="minorHAnsi"/>
          <w:sz w:val="24"/>
          <w:szCs w:val="24"/>
        </w:rPr>
        <w:t>FeNO</w:t>
      </w:r>
      <w:proofErr w:type="spellEnd"/>
      <w:r w:rsidRPr="003A6454">
        <w:rPr>
          <w:rFonts w:cstheme="minorHAnsi"/>
          <w:sz w:val="24"/>
          <w:szCs w:val="24"/>
        </w:rPr>
        <w:t xml:space="preserve"> was measure</w:t>
      </w:r>
      <w:r>
        <w:rPr>
          <w:rFonts w:cstheme="minorHAnsi"/>
          <w:sz w:val="24"/>
          <w:szCs w:val="24"/>
        </w:rPr>
        <w:t>d</w:t>
      </w:r>
      <w:r w:rsidRPr="003A6454">
        <w:rPr>
          <w:rFonts w:cstheme="minorHAnsi"/>
          <w:sz w:val="24"/>
          <w:szCs w:val="24"/>
        </w:rPr>
        <w:t xml:space="preserve"> using an </w:t>
      </w:r>
      <w:proofErr w:type="spellStart"/>
      <w:r w:rsidRPr="003A6454">
        <w:rPr>
          <w:rFonts w:cstheme="minorHAnsi"/>
          <w:sz w:val="24"/>
          <w:szCs w:val="24"/>
        </w:rPr>
        <w:t>NObreath</w:t>
      </w:r>
      <w:proofErr w:type="spellEnd"/>
      <w:r w:rsidRPr="003A6454">
        <w:rPr>
          <w:rFonts w:cstheme="minorHAnsi"/>
          <w:sz w:val="24"/>
          <w:szCs w:val="24"/>
        </w:rPr>
        <w:t xml:space="preserve"> machine (Bedford Scientific Ltd.), following ATS/ERS guidelines.</w:t>
      </w:r>
      <w:r w:rsidRPr="00784288">
        <w:rPr>
          <w:rFonts w:cstheme="minorHAnsi"/>
          <w:noProof/>
          <w:sz w:val="24"/>
          <w:szCs w:val="24"/>
          <w:vertAlign w:val="superscript"/>
        </w:rPr>
        <w:t>18</w:t>
      </w:r>
      <w:r w:rsidRPr="003A6454">
        <w:rPr>
          <w:rFonts w:cstheme="minorHAnsi"/>
          <w:sz w:val="24"/>
          <w:szCs w:val="24"/>
        </w:rPr>
        <w:t xml:space="preserve"> </w:t>
      </w:r>
    </w:p>
    <w:p w14:paraId="558306D8" w14:textId="77777777" w:rsidR="004A16AD" w:rsidRPr="003A6454" w:rsidRDefault="004A16AD" w:rsidP="00CA4637">
      <w:pPr>
        <w:keepNext/>
        <w:keepLines/>
        <w:numPr>
          <w:ilvl w:val="3"/>
          <w:numId w:val="0"/>
        </w:numPr>
        <w:spacing w:before="40" w:after="0" w:line="480" w:lineRule="auto"/>
        <w:ind w:left="864" w:hanging="864"/>
        <w:outlineLvl w:val="3"/>
        <w:rPr>
          <w:rFonts w:eastAsiaTheme="majorEastAsia" w:cstheme="minorHAnsi"/>
          <w:sz w:val="24"/>
          <w:szCs w:val="24"/>
        </w:rPr>
      </w:pPr>
      <w:r w:rsidRPr="00C31DE6">
        <w:rPr>
          <w:rFonts w:eastAsiaTheme="majorEastAsia" w:cstheme="minorHAnsi"/>
          <w:sz w:val="24"/>
          <w:szCs w:val="24"/>
        </w:rPr>
        <w:t>Intervention: Optimisation of inhaled asthma treatment</w:t>
      </w:r>
    </w:p>
    <w:p w14:paraId="1EAA7BBD" w14:textId="77777777" w:rsidR="004A16AD" w:rsidRPr="003A6454" w:rsidRDefault="004A16AD" w:rsidP="00CA4637">
      <w:pPr>
        <w:spacing w:line="480" w:lineRule="auto"/>
        <w:rPr>
          <w:rFonts w:cstheme="minorHAnsi"/>
          <w:sz w:val="24"/>
          <w:szCs w:val="24"/>
        </w:rPr>
      </w:pPr>
      <w:r w:rsidRPr="003A6454">
        <w:rPr>
          <w:rFonts w:cstheme="minorHAnsi"/>
          <w:sz w:val="24"/>
          <w:szCs w:val="24"/>
        </w:rPr>
        <w:t xml:space="preserve">Following clinical assessment, ICS treatment was started or escalated to a maximum daily dose of 400µg of </w:t>
      </w:r>
      <w:proofErr w:type="spellStart"/>
      <w:r w:rsidRPr="003A6454">
        <w:rPr>
          <w:rFonts w:cstheme="minorHAnsi"/>
          <w:sz w:val="24"/>
          <w:szCs w:val="24"/>
        </w:rPr>
        <w:t>beclometasone</w:t>
      </w:r>
      <w:proofErr w:type="spellEnd"/>
      <w:r w:rsidRPr="003A6454">
        <w:rPr>
          <w:rFonts w:cstheme="minorHAnsi"/>
          <w:sz w:val="24"/>
          <w:szCs w:val="24"/>
        </w:rPr>
        <w:t xml:space="preserve"> dipropionate, for children with poor control or obstructive spirometry (defined as cACT≤19 or FEV</w:t>
      </w:r>
      <w:r w:rsidRPr="003A6454">
        <w:rPr>
          <w:rFonts w:cstheme="minorHAnsi"/>
          <w:sz w:val="24"/>
          <w:szCs w:val="24"/>
          <w:vertAlign w:val="subscript"/>
        </w:rPr>
        <w:t>1</w:t>
      </w:r>
      <w:r w:rsidRPr="003A6454">
        <w:rPr>
          <w:rFonts w:cstheme="minorHAnsi"/>
          <w:sz w:val="24"/>
          <w:szCs w:val="24"/>
        </w:rPr>
        <w:t>/FVC ratio below the lower limit of normal (LLN) respectively). These participants were reviewed after 6-weeks to assess their response and encourage treatment adherence. Participants with cACT≥20 and FEV</w:t>
      </w:r>
      <w:r w:rsidRPr="003A6454">
        <w:rPr>
          <w:rFonts w:cstheme="minorHAnsi"/>
          <w:sz w:val="24"/>
          <w:szCs w:val="24"/>
          <w:vertAlign w:val="subscript"/>
        </w:rPr>
        <w:t>1</w:t>
      </w:r>
      <w:r w:rsidRPr="003A6454">
        <w:rPr>
          <w:rFonts w:cstheme="minorHAnsi"/>
          <w:sz w:val="24"/>
          <w:szCs w:val="24"/>
        </w:rPr>
        <w:t>/FVC above the LLN continued their previous medication.</w:t>
      </w:r>
    </w:p>
    <w:p w14:paraId="0D59D163" w14:textId="77777777" w:rsidR="004A16AD" w:rsidRPr="003A6454" w:rsidRDefault="004A16AD" w:rsidP="00CA4637">
      <w:pPr>
        <w:keepNext/>
        <w:keepLines/>
        <w:numPr>
          <w:ilvl w:val="3"/>
          <w:numId w:val="0"/>
        </w:numPr>
        <w:spacing w:before="40" w:after="0" w:line="480" w:lineRule="auto"/>
        <w:ind w:left="864" w:hanging="864"/>
        <w:outlineLvl w:val="3"/>
        <w:rPr>
          <w:rFonts w:eastAsiaTheme="majorEastAsia" w:cstheme="minorHAnsi"/>
          <w:sz w:val="24"/>
          <w:szCs w:val="24"/>
        </w:rPr>
      </w:pPr>
      <w:r w:rsidRPr="00C31DE6">
        <w:rPr>
          <w:rFonts w:eastAsiaTheme="majorEastAsia" w:cstheme="minorHAnsi"/>
          <w:sz w:val="24"/>
          <w:szCs w:val="24"/>
        </w:rPr>
        <w:t>Intervention: Asthma education delivered lay</w:t>
      </w:r>
      <w:r w:rsidR="00CA4637">
        <w:rPr>
          <w:rFonts w:eastAsiaTheme="majorEastAsia" w:cstheme="minorHAnsi"/>
          <w:sz w:val="24"/>
          <w:szCs w:val="24"/>
        </w:rPr>
        <w:t xml:space="preserve"> </w:t>
      </w:r>
      <w:r w:rsidRPr="00C31DE6">
        <w:rPr>
          <w:rFonts w:eastAsiaTheme="majorEastAsia" w:cstheme="minorHAnsi"/>
          <w:sz w:val="24"/>
          <w:szCs w:val="24"/>
        </w:rPr>
        <w:t>educators</w:t>
      </w:r>
    </w:p>
    <w:p w14:paraId="49C280A1" w14:textId="77777777" w:rsidR="004A16AD" w:rsidRPr="003A6454" w:rsidRDefault="004A16AD" w:rsidP="00CA4637">
      <w:pPr>
        <w:spacing w:line="480" w:lineRule="auto"/>
        <w:rPr>
          <w:rFonts w:cstheme="minorHAnsi"/>
          <w:sz w:val="24"/>
          <w:szCs w:val="24"/>
        </w:rPr>
      </w:pPr>
      <w:r w:rsidRPr="003A6454">
        <w:rPr>
          <w:rFonts w:cstheme="minorHAnsi"/>
          <w:sz w:val="24"/>
          <w:szCs w:val="24"/>
        </w:rPr>
        <w:t xml:space="preserve">Non-clinical </w:t>
      </w:r>
      <w:r w:rsidRPr="00194CE4">
        <w:rPr>
          <w:rFonts w:cstheme="minorHAnsi"/>
          <w:sz w:val="24"/>
          <w:szCs w:val="24"/>
        </w:rPr>
        <w:t>“lay</w:t>
      </w:r>
      <w:r w:rsidR="00CA4637">
        <w:rPr>
          <w:rFonts w:cstheme="minorHAnsi"/>
          <w:sz w:val="24"/>
          <w:szCs w:val="24"/>
        </w:rPr>
        <w:t xml:space="preserve"> </w:t>
      </w:r>
      <w:r w:rsidRPr="00194CE4">
        <w:rPr>
          <w:rFonts w:cstheme="minorHAnsi"/>
          <w:sz w:val="24"/>
          <w:szCs w:val="24"/>
        </w:rPr>
        <w:t>educators”</w:t>
      </w:r>
      <w:r w:rsidRPr="003A6454">
        <w:rPr>
          <w:rFonts w:cstheme="minorHAnsi"/>
          <w:sz w:val="24"/>
          <w:szCs w:val="24"/>
        </w:rPr>
        <w:t xml:space="preserve"> delivered a 1-hour asthma education session to the child and carer, including discussion of a personalised AAP, with </w:t>
      </w:r>
      <w:r>
        <w:rPr>
          <w:rFonts w:cstheme="minorHAnsi"/>
          <w:sz w:val="24"/>
          <w:szCs w:val="24"/>
        </w:rPr>
        <w:t>clinical support available if required.</w:t>
      </w:r>
      <w:r w:rsidRPr="003A6454">
        <w:rPr>
          <w:rFonts w:cstheme="minorHAnsi"/>
          <w:sz w:val="24"/>
          <w:szCs w:val="24"/>
        </w:rPr>
        <w:t xml:space="preserve"> </w:t>
      </w:r>
      <w:r>
        <w:rPr>
          <w:rFonts w:cstheme="minorHAnsi"/>
          <w:sz w:val="24"/>
          <w:szCs w:val="24"/>
        </w:rPr>
        <w:t xml:space="preserve">Educators were secondary school graduates, with no previous experience in medical education. </w:t>
      </w:r>
      <w:r w:rsidRPr="003A6454">
        <w:rPr>
          <w:rFonts w:cstheme="minorHAnsi"/>
          <w:sz w:val="24"/>
          <w:szCs w:val="24"/>
        </w:rPr>
        <w:t xml:space="preserve">Before study initiation, educators completed a structured training programme, and were required to pass a formal assessment of their knowledge and skills. Each asthma education session followed a structured approach, with checklist, to ensure consistency within and between educators. Details of the </w:t>
      </w:r>
      <w:r w:rsidRPr="00194CE4">
        <w:rPr>
          <w:rFonts w:cstheme="minorHAnsi"/>
          <w:sz w:val="24"/>
          <w:szCs w:val="24"/>
        </w:rPr>
        <w:t>educators</w:t>
      </w:r>
      <w:r w:rsidRPr="001A70E9">
        <w:rPr>
          <w:rFonts w:cstheme="minorHAnsi"/>
          <w:sz w:val="24"/>
          <w:szCs w:val="24"/>
        </w:rPr>
        <w:t>’</w:t>
      </w:r>
      <w:r w:rsidRPr="00194CE4">
        <w:rPr>
          <w:rFonts w:cstheme="minorHAnsi"/>
          <w:sz w:val="24"/>
          <w:szCs w:val="24"/>
        </w:rPr>
        <w:t xml:space="preserve"> background,</w:t>
      </w:r>
      <w:r w:rsidRPr="00371C24">
        <w:rPr>
          <w:rFonts w:cstheme="minorHAnsi"/>
          <w:sz w:val="24"/>
          <w:szCs w:val="24"/>
        </w:rPr>
        <w:t xml:space="preserve"> training</w:t>
      </w:r>
      <w:r w:rsidRPr="007B1531">
        <w:rPr>
          <w:rFonts w:cstheme="minorHAnsi"/>
          <w:sz w:val="24"/>
          <w:szCs w:val="24"/>
        </w:rPr>
        <w:t xml:space="preserve"> programme</w:t>
      </w:r>
      <w:r w:rsidRPr="003A6454">
        <w:rPr>
          <w:rFonts w:cstheme="minorHAnsi"/>
          <w:sz w:val="24"/>
          <w:szCs w:val="24"/>
        </w:rPr>
        <w:t xml:space="preserve"> and education session checklist are included </w:t>
      </w:r>
      <w:r>
        <w:rPr>
          <w:rFonts w:cstheme="minorHAnsi"/>
          <w:sz w:val="24"/>
          <w:szCs w:val="24"/>
        </w:rPr>
        <w:t xml:space="preserve">in the online supplementary </w:t>
      </w:r>
      <w:r w:rsidRPr="00186011">
        <w:rPr>
          <w:rFonts w:cstheme="minorHAnsi"/>
          <w:sz w:val="24"/>
          <w:szCs w:val="24"/>
        </w:rPr>
        <w:t>text S1 and tables S1 and S2.</w:t>
      </w:r>
    </w:p>
    <w:p w14:paraId="45CD8D22" w14:textId="77777777" w:rsidR="004A16AD" w:rsidRPr="003A6454" w:rsidRDefault="004A16AD" w:rsidP="00CA4637">
      <w:pPr>
        <w:keepNext/>
        <w:keepLines/>
        <w:numPr>
          <w:ilvl w:val="3"/>
          <w:numId w:val="0"/>
        </w:numPr>
        <w:spacing w:before="40" w:after="0" w:line="480" w:lineRule="auto"/>
        <w:ind w:left="864" w:hanging="864"/>
        <w:outlineLvl w:val="3"/>
        <w:rPr>
          <w:rFonts w:eastAsiaTheme="majorEastAsia" w:cstheme="minorHAnsi"/>
          <w:sz w:val="24"/>
          <w:szCs w:val="24"/>
        </w:rPr>
      </w:pPr>
      <w:r w:rsidRPr="00C31DE6">
        <w:rPr>
          <w:rFonts w:eastAsiaTheme="majorEastAsia" w:cstheme="minorHAnsi"/>
          <w:sz w:val="24"/>
          <w:szCs w:val="24"/>
        </w:rPr>
        <w:lastRenderedPageBreak/>
        <w:t>Standard care</w:t>
      </w:r>
    </w:p>
    <w:p w14:paraId="79AC39B9" w14:textId="77777777" w:rsidR="004A16AD" w:rsidRPr="003A6454" w:rsidRDefault="004A16AD" w:rsidP="00CA4637">
      <w:pPr>
        <w:spacing w:line="480" w:lineRule="auto"/>
        <w:rPr>
          <w:rFonts w:cstheme="minorHAnsi"/>
          <w:sz w:val="24"/>
          <w:szCs w:val="24"/>
        </w:rPr>
      </w:pPr>
      <w:r w:rsidRPr="003A6454">
        <w:rPr>
          <w:rFonts w:cstheme="minorHAnsi"/>
          <w:sz w:val="24"/>
          <w:szCs w:val="24"/>
        </w:rPr>
        <w:t>Participants in standard care continued with their asthma treatment and follow-up schedule prescribed by the QECH clinic staff (paediatric specialist of registrar or consultant level).</w:t>
      </w:r>
    </w:p>
    <w:p w14:paraId="5F2F6F62" w14:textId="77777777" w:rsidR="004A16AD" w:rsidRPr="003A6454" w:rsidRDefault="004A16AD" w:rsidP="00CA4637">
      <w:pPr>
        <w:spacing w:line="480" w:lineRule="auto"/>
        <w:rPr>
          <w:rFonts w:cstheme="minorHAnsi"/>
          <w:sz w:val="24"/>
          <w:szCs w:val="24"/>
        </w:rPr>
      </w:pPr>
      <w:r w:rsidRPr="003A6454">
        <w:rPr>
          <w:rFonts w:cstheme="minorHAnsi"/>
          <w:sz w:val="24"/>
          <w:szCs w:val="24"/>
        </w:rPr>
        <w:t xml:space="preserve">All participants received their medication from QECH pharmacy: salbutamol and </w:t>
      </w:r>
      <w:bookmarkStart w:id="7" w:name="_Hlk25223437"/>
      <w:proofErr w:type="spellStart"/>
      <w:r w:rsidRPr="003A6454">
        <w:rPr>
          <w:rFonts w:cstheme="minorHAnsi"/>
          <w:sz w:val="24"/>
          <w:szCs w:val="24"/>
        </w:rPr>
        <w:t>beclometasone</w:t>
      </w:r>
      <w:proofErr w:type="spellEnd"/>
      <w:r w:rsidRPr="003A6454">
        <w:rPr>
          <w:rFonts w:cstheme="minorHAnsi"/>
          <w:sz w:val="24"/>
          <w:szCs w:val="24"/>
        </w:rPr>
        <w:t xml:space="preserve"> dipropionate </w:t>
      </w:r>
      <w:bookmarkEnd w:id="7"/>
      <w:r w:rsidRPr="003A6454">
        <w:rPr>
          <w:rFonts w:cstheme="minorHAnsi"/>
          <w:sz w:val="24"/>
          <w:szCs w:val="24"/>
        </w:rPr>
        <w:t xml:space="preserve">inhalers are included in the Malawi Standard Treatment Guidelines, and usually available, free of charge. </w:t>
      </w:r>
      <w:r>
        <w:rPr>
          <w:rFonts w:cstheme="minorHAnsi"/>
          <w:sz w:val="24"/>
          <w:szCs w:val="24"/>
        </w:rPr>
        <w:t>W</w:t>
      </w:r>
      <w:r w:rsidRPr="003A6454">
        <w:rPr>
          <w:rFonts w:cstheme="minorHAnsi"/>
          <w:sz w:val="24"/>
          <w:szCs w:val="24"/>
        </w:rPr>
        <w:t>hen inhalers were out of stock, children received their inhalers from a private supply, purchased by the Paediatric department.</w:t>
      </w:r>
    </w:p>
    <w:p w14:paraId="39D0E223" w14:textId="77777777" w:rsidR="004A16AD" w:rsidRPr="003A6454" w:rsidRDefault="004A16AD" w:rsidP="00CA4637">
      <w:pPr>
        <w:pStyle w:val="ThoraxHead1"/>
      </w:pPr>
      <w:bookmarkStart w:id="8" w:name="_Toc39997757"/>
      <w:r w:rsidRPr="003A6454">
        <w:t>Outcomes</w:t>
      </w:r>
      <w:bookmarkEnd w:id="8"/>
    </w:p>
    <w:p w14:paraId="1D8022E5" w14:textId="77777777" w:rsidR="004A16AD" w:rsidRPr="003A6454" w:rsidRDefault="004A16AD" w:rsidP="00CA4637">
      <w:pPr>
        <w:spacing w:line="480" w:lineRule="auto"/>
        <w:rPr>
          <w:rFonts w:cstheme="minorHAnsi"/>
          <w:sz w:val="24"/>
          <w:szCs w:val="24"/>
        </w:rPr>
      </w:pPr>
      <w:r w:rsidRPr="003A6454">
        <w:rPr>
          <w:rFonts w:cstheme="minorHAnsi"/>
          <w:sz w:val="24"/>
          <w:szCs w:val="24"/>
        </w:rPr>
        <w:t xml:space="preserve">All participants were invited </w:t>
      </w:r>
      <w:r>
        <w:rPr>
          <w:rFonts w:cstheme="minorHAnsi"/>
          <w:sz w:val="24"/>
          <w:szCs w:val="24"/>
        </w:rPr>
        <w:t>for</w:t>
      </w:r>
      <w:r w:rsidRPr="003A6454">
        <w:rPr>
          <w:rFonts w:cstheme="minorHAnsi"/>
          <w:sz w:val="24"/>
          <w:szCs w:val="24"/>
        </w:rPr>
        <w:t xml:space="preserve"> review at 3-months </w:t>
      </w:r>
      <w:r>
        <w:rPr>
          <w:rFonts w:cstheme="minorHAnsi"/>
          <w:sz w:val="24"/>
          <w:szCs w:val="24"/>
        </w:rPr>
        <w:t>to</w:t>
      </w:r>
      <w:r w:rsidRPr="003A6454">
        <w:rPr>
          <w:rFonts w:cstheme="minorHAnsi"/>
          <w:sz w:val="24"/>
          <w:szCs w:val="24"/>
        </w:rPr>
        <w:t xml:space="preserve"> asses</w:t>
      </w:r>
      <w:r>
        <w:rPr>
          <w:rFonts w:cstheme="minorHAnsi"/>
          <w:sz w:val="24"/>
          <w:szCs w:val="24"/>
        </w:rPr>
        <w:t>s</w:t>
      </w:r>
      <w:r w:rsidRPr="003A6454">
        <w:rPr>
          <w:rFonts w:cstheme="minorHAnsi"/>
          <w:sz w:val="24"/>
          <w:szCs w:val="24"/>
        </w:rPr>
        <w:t xml:space="preserve"> primary and secondary outcomes. The primary outcome, asthma symptom control, was measured by the </w:t>
      </w:r>
      <w:proofErr w:type="spellStart"/>
      <w:r w:rsidRPr="003A6454">
        <w:rPr>
          <w:rFonts w:cstheme="minorHAnsi"/>
          <w:sz w:val="24"/>
          <w:szCs w:val="24"/>
        </w:rPr>
        <w:t>cACT</w:t>
      </w:r>
      <w:proofErr w:type="spellEnd"/>
      <w:r w:rsidRPr="003A6454">
        <w:rPr>
          <w:rFonts w:cstheme="minorHAnsi"/>
          <w:sz w:val="24"/>
          <w:szCs w:val="24"/>
        </w:rPr>
        <w:t>, a 7-item questionnaire, translated into Chichewa according to linguistic validation guidelines</w:t>
      </w:r>
      <w:r>
        <w:rPr>
          <w:rFonts w:cstheme="minorHAnsi"/>
          <w:sz w:val="24"/>
          <w:szCs w:val="24"/>
        </w:rPr>
        <w:t>, with forward and back translation and local piloting</w:t>
      </w:r>
      <w:r w:rsidRPr="003A6454">
        <w:rPr>
          <w:rFonts w:cstheme="minorHAnsi"/>
          <w:sz w:val="24"/>
          <w:szCs w:val="24"/>
        </w:rPr>
        <w:t xml:space="preserve">. Secondary outcomes were; asthma exacerbations requiring hospitalization, emergency health care use or treatment with oral corticosteroid; school absence; lung function; </w:t>
      </w:r>
      <w:proofErr w:type="spellStart"/>
      <w:r w:rsidRPr="003A6454">
        <w:rPr>
          <w:rFonts w:cstheme="minorHAnsi"/>
          <w:sz w:val="24"/>
          <w:szCs w:val="24"/>
        </w:rPr>
        <w:t>FeNO</w:t>
      </w:r>
      <w:proofErr w:type="spellEnd"/>
      <w:r w:rsidRPr="003A6454">
        <w:rPr>
          <w:rFonts w:cstheme="minorHAnsi"/>
          <w:sz w:val="24"/>
          <w:szCs w:val="24"/>
        </w:rPr>
        <w:t>. Serious adverse events were reported within 72-hours to a Data Safety and Monitoring Board, which also met at regular intervals.</w:t>
      </w:r>
    </w:p>
    <w:p w14:paraId="57C77E49" w14:textId="77777777" w:rsidR="004A16AD" w:rsidRPr="003A6454" w:rsidRDefault="004A16AD" w:rsidP="00CA4637">
      <w:pPr>
        <w:pStyle w:val="ThoraxHead1"/>
      </w:pPr>
      <w:bookmarkStart w:id="9" w:name="_Toc39997758"/>
      <w:r w:rsidRPr="003A6454">
        <w:t>Follow-on care</w:t>
      </w:r>
      <w:bookmarkEnd w:id="9"/>
    </w:p>
    <w:p w14:paraId="1B44A138" w14:textId="77777777" w:rsidR="004A16AD" w:rsidRPr="003A6454" w:rsidRDefault="004A16AD" w:rsidP="00CA4637">
      <w:pPr>
        <w:spacing w:line="480" w:lineRule="auto"/>
        <w:rPr>
          <w:rFonts w:cstheme="minorHAnsi"/>
          <w:sz w:val="24"/>
          <w:szCs w:val="24"/>
        </w:rPr>
      </w:pPr>
      <w:r w:rsidRPr="003A6454">
        <w:rPr>
          <w:rFonts w:cstheme="minorHAnsi"/>
          <w:sz w:val="24"/>
          <w:szCs w:val="24"/>
        </w:rPr>
        <w:t xml:space="preserve">At the end of the 3-month </w:t>
      </w:r>
      <w:r w:rsidR="00CA4637">
        <w:rPr>
          <w:rFonts w:cstheme="minorHAnsi"/>
          <w:sz w:val="24"/>
          <w:szCs w:val="24"/>
        </w:rPr>
        <w:t>RCT</w:t>
      </w:r>
      <w:r w:rsidRPr="003A6454">
        <w:rPr>
          <w:rFonts w:cstheme="minorHAnsi"/>
          <w:sz w:val="24"/>
          <w:szCs w:val="24"/>
        </w:rPr>
        <w:t xml:space="preserve"> period, participants </w:t>
      </w:r>
      <w:r>
        <w:rPr>
          <w:rFonts w:cstheme="minorHAnsi"/>
          <w:sz w:val="24"/>
          <w:szCs w:val="24"/>
        </w:rPr>
        <w:t>receiving</w:t>
      </w:r>
      <w:r w:rsidRPr="003A6454">
        <w:rPr>
          <w:rFonts w:cstheme="minorHAnsi"/>
          <w:sz w:val="24"/>
          <w:szCs w:val="24"/>
        </w:rPr>
        <w:t xml:space="preserve"> standard care were offered the intervention package. At the end of the intervention, all participants returned to </w:t>
      </w:r>
      <w:r>
        <w:rPr>
          <w:rFonts w:cstheme="minorHAnsi"/>
          <w:sz w:val="24"/>
          <w:szCs w:val="24"/>
        </w:rPr>
        <w:t>QECH</w:t>
      </w:r>
      <w:r w:rsidRPr="003A6454">
        <w:rPr>
          <w:rFonts w:cstheme="minorHAnsi"/>
          <w:sz w:val="24"/>
          <w:szCs w:val="24"/>
        </w:rPr>
        <w:t xml:space="preserve"> general clinic for ongoing care</w:t>
      </w:r>
      <w:r>
        <w:rPr>
          <w:rFonts w:cstheme="minorHAnsi"/>
          <w:sz w:val="24"/>
          <w:szCs w:val="24"/>
        </w:rPr>
        <w:t>, with review after 3-months, or sooner if clinically indicated</w:t>
      </w:r>
      <w:r w:rsidRPr="003A6454">
        <w:rPr>
          <w:rFonts w:cstheme="minorHAnsi"/>
          <w:sz w:val="24"/>
          <w:szCs w:val="24"/>
        </w:rPr>
        <w:t xml:space="preserve">. </w:t>
      </w:r>
    </w:p>
    <w:p w14:paraId="32E9ADFF" w14:textId="77777777" w:rsidR="004A16AD" w:rsidRPr="003A6454" w:rsidRDefault="004A16AD" w:rsidP="00CA4637">
      <w:pPr>
        <w:pStyle w:val="ThoraxHead1"/>
      </w:pPr>
      <w:bookmarkStart w:id="10" w:name="_Toc39997759"/>
      <w:r w:rsidRPr="003A6454">
        <w:t>S</w:t>
      </w:r>
      <w:bookmarkEnd w:id="10"/>
      <w:r w:rsidRPr="003A6454">
        <w:t>tatistical analysis</w:t>
      </w:r>
    </w:p>
    <w:p w14:paraId="49C4E282" w14:textId="3AF03DBD" w:rsidR="004A16AD" w:rsidRPr="003A6454" w:rsidRDefault="004A16AD" w:rsidP="00CA4637">
      <w:pPr>
        <w:spacing w:line="480" w:lineRule="auto"/>
        <w:rPr>
          <w:rFonts w:cstheme="minorHAnsi"/>
          <w:sz w:val="24"/>
          <w:szCs w:val="24"/>
        </w:rPr>
      </w:pPr>
      <w:r w:rsidRPr="003A6454">
        <w:rPr>
          <w:rFonts w:cstheme="minorHAnsi"/>
          <w:sz w:val="24"/>
          <w:szCs w:val="24"/>
        </w:rPr>
        <w:t xml:space="preserve">We planned to enrol 120 participants, aiming for at least 90 children with complete data, after loss-to-follow-up and technical difficulty with clinical procedures. Using two-tailed </w:t>
      </w:r>
      <w:r w:rsidRPr="003A6454">
        <w:rPr>
          <w:rFonts w:cstheme="minorHAnsi"/>
          <w:sz w:val="24"/>
          <w:szCs w:val="24"/>
        </w:rPr>
        <w:lastRenderedPageBreak/>
        <w:t>Student’s t-test, 45 children in each arm will detect a 3</w:t>
      </w:r>
      <w:r w:rsidR="0013066E">
        <w:rPr>
          <w:rFonts w:cstheme="minorHAnsi"/>
          <w:sz w:val="24"/>
          <w:szCs w:val="24"/>
        </w:rPr>
        <w:t>-</w:t>
      </w:r>
      <w:r w:rsidRPr="003A6454">
        <w:rPr>
          <w:rFonts w:cstheme="minorHAnsi"/>
          <w:sz w:val="24"/>
          <w:szCs w:val="24"/>
        </w:rPr>
        <w:t>point</w:t>
      </w:r>
      <w:r w:rsidR="0013066E">
        <w:rPr>
          <w:rFonts w:cstheme="minorHAnsi"/>
          <w:sz w:val="24"/>
          <w:szCs w:val="24"/>
        </w:rPr>
        <w:t xml:space="preserve"> difference in </w:t>
      </w:r>
      <w:proofErr w:type="spellStart"/>
      <w:r w:rsidR="0013066E">
        <w:rPr>
          <w:rFonts w:cstheme="minorHAnsi"/>
          <w:sz w:val="24"/>
          <w:szCs w:val="24"/>
        </w:rPr>
        <w:t>cACT</w:t>
      </w:r>
      <w:proofErr w:type="spellEnd"/>
      <w:r w:rsidRPr="003A6454">
        <w:rPr>
          <w:rFonts w:cstheme="minorHAnsi"/>
          <w:sz w:val="24"/>
          <w:szCs w:val="24"/>
        </w:rPr>
        <w:t>; an effect size of 0.6, given standard deviation 5, with 80% power at a 5% significance level.</w:t>
      </w:r>
    </w:p>
    <w:p w14:paraId="21326B06" w14:textId="3DB5D09E" w:rsidR="004A16AD" w:rsidRPr="003A6454" w:rsidRDefault="004A16AD" w:rsidP="00CA4637">
      <w:pPr>
        <w:spacing w:line="480" w:lineRule="auto"/>
        <w:rPr>
          <w:rFonts w:cstheme="minorHAnsi"/>
          <w:sz w:val="24"/>
          <w:szCs w:val="24"/>
        </w:rPr>
      </w:pPr>
      <w:r w:rsidRPr="003A6454">
        <w:rPr>
          <w:rFonts w:cstheme="minorHAnsi"/>
          <w:sz w:val="24"/>
          <w:szCs w:val="24"/>
        </w:rPr>
        <w:t xml:space="preserve">Intention-to-treat analysis compared primary and secondary outcomes between the </w:t>
      </w:r>
      <w:proofErr w:type="gramStart"/>
      <w:r w:rsidR="0013066E">
        <w:rPr>
          <w:rFonts w:cstheme="minorHAnsi"/>
          <w:sz w:val="24"/>
          <w:szCs w:val="24"/>
        </w:rPr>
        <w:t xml:space="preserve">two </w:t>
      </w:r>
      <w:r w:rsidRPr="003A6454">
        <w:rPr>
          <w:rFonts w:cstheme="minorHAnsi"/>
          <w:sz w:val="24"/>
          <w:szCs w:val="24"/>
        </w:rPr>
        <w:t xml:space="preserve"> arms</w:t>
      </w:r>
      <w:proofErr w:type="gramEnd"/>
      <w:r w:rsidRPr="003A6454">
        <w:rPr>
          <w:rFonts w:cstheme="minorHAnsi"/>
          <w:sz w:val="24"/>
          <w:szCs w:val="24"/>
        </w:rPr>
        <w:t xml:space="preserve"> using two-tailed Student’s t-test and Wilcoxon Signed-Rank test for normally distributed and </w:t>
      </w:r>
      <w:r>
        <w:rPr>
          <w:rFonts w:cstheme="minorHAnsi"/>
          <w:sz w:val="24"/>
          <w:szCs w:val="24"/>
        </w:rPr>
        <w:t>skewed continuous</w:t>
      </w:r>
      <w:r w:rsidRPr="003A6454">
        <w:rPr>
          <w:rFonts w:cstheme="minorHAnsi"/>
          <w:sz w:val="24"/>
          <w:szCs w:val="24"/>
        </w:rPr>
        <w:t xml:space="preserve"> data, respectively</w:t>
      </w:r>
      <w:r w:rsidR="002254BC">
        <w:rPr>
          <w:rFonts w:cstheme="minorHAnsi"/>
          <w:sz w:val="24"/>
          <w:szCs w:val="24"/>
        </w:rPr>
        <w:t xml:space="preserve">, with </w:t>
      </w:r>
      <w:r w:rsidR="0013066E">
        <w:rPr>
          <w:rFonts w:cstheme="minorHAnsi"/>
          <w:sz w:val="24"/>
          <w:szCs w:val="24"/>
        </w:rPr>
        <w:t>the</w:t>
      </w:r>
      <w:r w:rsidR="002254BC">
        <w:rPr>
          <w:rFonts w:cstheme="minorHAnsi"/>
          <w:sz w:val="24"/>
          <w:szCs w:val="24"/>
        </w:rPr>
        <w:t xml:space="preserve"> </w:t>
      </w:r>
      <w:r w:rsidR="0013066E">
        <w:rPr>
          <w:rFonts w:cstheme="minorHAnsi"/>
          <w:sz w:val="24"/>
          <w:szCs w:val="24"/>
        </w:rPr>
        <w:t xml:space="preserve">primary outcome </w:t>
      </w:r>
      <w:r w:rsidR="002254BC">
        <w:rPr>
          <w:rFonts w:cstheme="minorHAnsi"/>
          <w:sz w:val="24"/>
          <w:szCs w:val="24"/>
        </w:rPr>
        <w:t>sub-analys</w:t>
      </w:r>
      <w:r w:rsidR="0013066E">
        <w:rPr>
          <w:rFonts w:cstheme="minorHAnsi"/>
          <w:sz w:val="24"/>
          <w:szCs w:val="24"/>
        </w:rPr>
        <w:t xml:space="preserve">ed, stratified by baseline </w:t>
      </w:r>
      <w:proofErr w:type="spellStart"/>
      <w:r w:rsidR="0013066E">
        <w:rPr>
          <w:rFonts w:cstheme="minorHAnsi"/>
          <w:sz w:val="24"/>
          <w:szCs w:val="24"/>
        </w:rPr>
        <w:t>cACT</w:t>
      </w:r>
      <w:proofErr w:type="spellEnd"/>
      <w:r w:rsidR="002254BC">
        <w:rPr>
          <w:rFonts w:cstheme="minorHAnsi"/>
          <w:sz w:val="24"/>
          <w:szCs w:val="24"/>
        </w:rPr>
        <w:t xml:space="preserve"> </w:t>
      </w:r>
      <w:r w:rsidRPr="003A6454">
        <w:rPr>
          <w:rFonts w:cstheme="minorHAnsi"/>
          <w:sz w:val="24"/>
          <w:szCs w:val="24"/>
        </w:rPr>
        <w:t>. Pearson’s Chi-squared tests were used to compare proportions. Analyses were conducted using R v3.4.1 statistical software.</w:t>
      </w:r>
    </w:p>
    <w:p w14:paraId="264077D5" w14:textId="77777777" w:rsidR="004A16AD" w:rsidRPr="003A6454" w:rsidRDefault="004A16AD" w:rsidP="00CA4637">
      <w:pPr>
        <w:spacing w:line="480" w:lineRule="auto"/>
        <w:rPr>
          <w:rFonts w:cstheme="minorHAnsi"/>
          <w:sz w:val="24"/>
          <w:szCs w:val="24"/>
        </w:rPr>
      </w:pPr>
      <w:r w:rsidRPr="003A6454">
        <w:rPr>
          <w:rFonts w:cstheme="minorHAnsi"/>
          <w:sz w:val="24"/>
          <w:szCs w:val="24"/>
        </w:rPr>
        <w:t xml:space="preserve">The trial was registered with the Pan African Clinical Trials Registry (reference </w:t>
      </w:r>
      <w:r w:rsidRPr="003A6454">
        <w:rPr>
          <w:rFonts w:cstheme="minorHAnsi"/>
          <w:bCs/>
          <w:sz w:val="24"/>
          <w:szCs w:val="24"/>
        </w:rPr>
        <w:t>PACTR201807211617031)</w:t>
      </w:r>
      <w:r>
        <w:rPr>
          <w:rFonts w:cstheme="minorHAnsi"/>
          <w:bCs/>
          <w:sz w:val="24"/>
          <w:szCs w:val="24"/>
        </w:rPr>
        <w:t xml:space="preserve">; </w:t>
      </w:r>
      <w:r w:rsidRPr="001236BA">
        <w:rPr>
          <w:rFonts w:cstheme="minorHAnsi"/>
          <w:bCs/>
          <w:sz w:val="24"/>
          <w:szCs w:val="24"/>
        </w:rPr>
        <w:t>the trial protocol is publicly available.</w:t>
      </w:r>
      <w:r w:rsidRPr="00784288">
        <w:rPr>
          <w:rFonts w:cstheme="minorHAnsi"/>
          <w:bCs/>
          <w:noProof/>
          <w:sz w:val="24"/>
          <w:szCs w:val="24"/>
          <w:vertAlign w:val="superscript"/>
        </w:rPr>
        <w:t>19</w:t>
      </w:r>
    </w:p>
    <w:p w14:paraId="1241F821" w14:textId="77777777" w:rsidR="004A16AD" w:rsidRPr="003A6454" w:rsidRDefault="004A16AD" w:rsidP="00CA4637">
      <w:pPr>
        <w:pStyle w:val="ThoraxHead1"/>
      </w:pPr>
      <w:r w:rsidRPr="003A6454">
        <w:t>Role of the funding source</w:t>
      </w:r>
    </w:p>
    <w:p w14:paraId="07D8C3FD" w14:textId="03112062" w:rsidR="004A16AD" w:rsidRPr="003A6454" w:rsidRDefault="004A16AD" w:rsidP="00CA4637">
      <w:pPr>
        <w:spacing w:line="480" w:lineRule="auto"/>
        <w:rPr>
          <w:rFonts w:cstheme="minorHAnsi"/>
          <w:sz w:val="24"/>
          <w:szCs w:val="24"/>
        </w:rPr>
      </w:pPr>
      <w:r w:rsidRPr="003A6454">
        <w:rPr>
          <w:rFonts w:cstheme="minorHAnsi"/>
          <w:sz w:val="24"/>
          <w:szCs w:val="24"/>
        </w:rPr>
        <w:t>The funder of the study had no role in study design, data collection, data analysis, data interpretation, or writing of this report. The corresponding author had full access to all the data in the study and final responsibility for the decision to submit for publication.</w:t>
      </w:r>
    </w:p>
    <w:p w14:paraId="21E364A7" w14:textId="77777777" w:rsidR="004A16AD" w:rsidRPr="003A6454" w:rsidRDefault="004A16AD" w:rsidP="00CA4637">
      <w:pPr>
        <w:pStyle w:val="ThoraxHead1"/>
      </w:pPr>
      <w:bookmarkStart w:id="11" w:name="_Toc39997762"/>
      <w:r w:rsidRPr="003A6454">
        <w:t>R</w:t>
      </w:r>
      <w:bookmarkEnd w:id="11"/>
      <w:r>
        <w:t>ESULTS</w:t>
      </w:r>
    </w:p>
    <w:p w14:paraId="2B9926CC" w14:textId="77777777" w:rsidR="004A16AD" w:rsidRDefault="004A16AD" w:rsidP="00CA4637">
      <w:pPr>
        <w:spacing w:line="480" w:lineRule="auto"/>
        <w:rPr>
          <w:rFonts w:cstheme="minorHAnsi"/>
          <w:sz w:val="24"/>
          <w:szCs w:val="24"/>
        </w:rPr>
      </w:pPr>
      <w:r w:rsidRPr="003A6454">
        <w:rPr>
          <w:rFonts w:cstheme="minorHAnsi"/>
          <w:sz w:val="24"/>
          <w:szCs w:val="24"/>
        </w:rPr>
        <w:t>We recruited 120 children between September 12, 2018 to December 11, 2019; 59 and 61 were randomised to receive the intervention and standard care, respectively. Mean age (SD) of participants was 9.8 (2.8) years with 65.8% males. 115 participants were reviewed at 3-months (Figure 1): 114 children attempted spirometry, of these 86.8% (99/114) and 80.7% (92/114) produced acceptable FEV</w:t>
      </w:r>
      <w:r w:rsidRPr="003A6454">
        <w:rPr>
          <w:rFonts w:cstheme="minorHAnsi"/>
          <w:sz w:val="24"/>
          <w:szCs w:val="24"/>
          <w:vertAlign w:val="subscript"/>
        </w:rPr>
        <w:t>1</w:t>
      </w:r>
      <w:r w:rsidRPr="003A6454">
        <w:rPr>
          <w:rFonts w:cstheme="minorHAnsi"/>
          <w:sz w:val="24"/>
          <w:szCs w:val="24"/>
        </w:rPr>
        <w:t xml:space="preserve"> and FEV</w:t>
      </w:r>
      <w:r w:rsidRPr="003A6454">
        <w:rPr>
          <w:rFonts w:cstheme="minorHAnsi"/>
          <w:sz w:val="24"/>
          <w:szCs w:val="24"/>
          <w:vertAlign w:val="subscript"/>
        </w:rPr>
        <w:t>1</w:t>
      </w:r>
      <w:r w:rsidRPr="003A6454">
        <w:rPr>
          <w:rFonts w:cstheme="minorHAnsi"/>
          <w:sz w:val="24"/>
          <w:szCs w:val="24"/>
        </w:rPr>
        <w:t xml:space="preserve">/FVC measurements, respectively. Primary outcome questionnaire data was missing for one participant, and </w:t>
      </w:r>
      <w:proofErr w:type="spellStart"/>
      <w:r w:rsidRPr="003A6454">
        <w:rPr>
          <w:rFonts w:cstheme="minorHAnsi"/>
          <w:sz w:val="24"/>
          <w:szCs w:val="24"/>
        </w:rPr>
        <w:t>FeNO</w:t>
      </w:r>
      <w:proofErr w:type="spellEnd"/>
      <w:r w:rsidRPr="003A6454">
        <w:rPr>
          <w:rFonts w:cstheme="minorHAnsi"/>
          <w:sz w:val="24"/>
          <w:szCs w:val="24"/>
        </w:rPr>
        <w:t xml:space="preserve"> results for three participants due to technical issues. Mean (SD) duration of follow-up was 96.6 (12.0) days and 91.0 (10.1) days for intervention and standard care participants, respectively. </w:t>
      </w:r>
    </w:p>
    <w:p w14:paraId="2D722891" w14:textId="77777777" w:rsidR="004A16AD" w:rsidRDefault="004A16AD" w:rsidP="00CA4637">
      <w:pPr>
        <w:spacing w:line="480" w:lineRule="auto"/>
        <w:rPr>
          <w:rFonts w:cstheme="minorHAnsi"/>
          <w:b/>
          <w:color w:val="000000" w:themeColor="text1"/>
          <w:szCs w:val="18"/>
        </w:rPr>
      </w:pPr>
      <w:r w:rsidRPr="001B6C5B">
        <w:rPr>
          <w:sz w:val="24"/>
        </w:rPr>
        <w:lastRenderedPageBreak/>
        <w:t>Eighty percent of participants reported previous hospital admission with asthma symptoms. In the preceding 3-months, 28/120 (23.3%) were admitted to hospital, 39/120 (32.5%) attended a health facility, but did not require admission, and 79/120 (65.8%) missed school due to asthma symptoms. Median (IQR) school absence was 3 (2-5) days, with 58.2% (46/79) of absentees seeking medical review. Baseline clinical characteristics were similar for both study arms (</w:t>
      </w:r>
      <w:r>
        <w:rPr>
          <w:sz w:val="24"/>
        </w:rPr>
        <w:t>Table 2</w:t>
      </w:r>
      <w:r w:rsidRPr="001B6C5B">
        <w:rPr>
          <w:sz w:val="24"/>
        </w:rPr>
        <w:t>).</w:t>
      </w:r>
      <w:bookmarkStart w:id="12" w:name="_Ref38634695"/>
      <w:bookmarkStart w:id="13" w:name="_Toc39916966"/>
    </w:p>
    <w:p w14:paraId="0F8B0EF5" w14:textId="77777777" w:rsidR="004A16AD" w:rsidRPr="001A70E9" w:rsidRDefault="004A16AD" w:rsidP="001A70E9">
      <w:pPr>
        <w:spacing w:line="480" w:lineRule="auto"/>
        <w:rPr>
          <w:rFonts w:cstheme="minorHAnsi"/>
          <w:b/>
          <w:color w:val="000000" w:themeColor="text1"/>
          <w:szCs w:val="18"/>
        </w:rPr>
      </w:pPr>
      <w:r w:rsidRPr="001A70E9">
        <w:rPr>
          <w:rFonts w:cstheme="minorHAnsi"/>
          <w:b/>
          <w:color w:val="000000" w:themeColor="text1"/>
          <w:szCs w:val="18"/>
        </w:rPr>
        <w:t>Table</w:t>
      </w:r>
      <w:bookmarkEnd w:id="12"/>
      <w:r w:rsidRPr="001A70E9">
        <w:rPr>
          <w:rFonts w:cstheme="minorHAnsi"/>
          <w:b/>
          <w:color w:val="000000" w:themeColor="text1"/>
          <w:szCs w:val="18"/>
        </w:rPr>
        <w:t xml:space="preserve"> 2</w:t>
      </w:r>
      <w:r w:rsidRPr="001A70E9">
        <w:rPr>
          <w:rFonts w:cstheme="minorHAnsi"/>
          <w:b/>
          <w:noProof/>
          <w:color w:val="000000" w:themeColor="text1"/>
          <w:szCs w:val="18"/>
        </w:rPr>
        <w:t>.</w:t>
      </w:r>
      <w:r w:rsidRPr="001A70E9">
        <w:rPr>
          <w:rFonts w:cstheme="minorHAnsi"/>
          <w:b/>
          <w:color w:val="000000" w:themeColor="text1"/>
          <w:szCs w:val="18"/>
        </w:rPr>
        <w:t xml:space="preserve"> </w:t>
      </w:r>
      <w:r w:rsidRPr="001A70E9">
        <w:rPr>
          <w:rFonts w:cstheme="minorHAnsi"/>
          <w:bCs/>
          <w:color w:val="000000" w:themeColor="text1"/>
          <w:szCs w:val="18"/>
        </w:rPr>
        <w:t>Baseline characteristics of study population (n=120)</w:t>
      </w:r>
      <w:bookmarkEnd w:id="13"/>
    </w:p>
    <w:tbl>
      <w:tblPr>
        <w:tblStyle w:val="GridTable2-Accent3"/>
        <w:tblW w:w="7933" w:type="dxa"/>
        <w:tblLook w:val="0420" w:firstRow="1" w:lastRow="0" w:firstColumn="0" w:lastColumn="0" w:noHBand="0" w:noVBand="1"/>
      </w:tblPr>
      <w:tblGrid>
        <w:gridCol w:w="4815"/>
        <w:gridCol w:w="1559"/>
        <w:gridCol w:w="1559"/>
      </w:tblGrid>
      <w:tr w:rsidR="004A16AD" w:rsidRPr="001B6C5B" w14:paraId="327C352E" w14:textId="77777777" w:rsidTr="00CA4637">
        <w:trPr>
          <w:cnfStyle w:val="100000000000" w:firstRow="1" w:lastRow="0" w:firstColumn="0" w:lastColumn="0" w:oddVBand="0" w:evenVBand="0" w:oddHBand="0" w:evenHBand="0" w:firstRowFirstColumn="0" w:firstRowLastColumn="0" w:lastRowFirstColumn="0" w:lastRowLastColumn="0"/>
        </w:trPr>
        <w:tc>
          <w:tcPr>
            <w:tcW w:w="4815" w:type="dxa"/>
            <w:tcBorders>
              <w:top w:val="single" w:sz="4" w:space="0" w:color="auto"/>
              <w:bottom w:val="single" w:sz="4" w:space="0" w:color="auto"/>
            </w:tcBorders>
          </w:tcPr>
          <w:p w14:paraId="64C97D08" w14:textId="77777777" w:rsidR="004A16AD" w:rsidRPr="001B6C5B" w:rsidRDefault="004A16AD" w:rsidP="00CA4637">
            <w:pPr>
              <w:spacing w:line="276" w:lineRule="auto"/>
            </w:pPr>
          </w:p>
        </w:tc>
        <w:tc>
          <w:tcPr>
            <w:tcW w:w="1559" w:type="dxa"/>
            <w:tcBorders>
              <w:top w:val="single" w:sz="4" w:space="0" w:color="auto"/>
              <w:bottom w:val="single" w:sz="4" w:space="0" w:color="auto"/>
            </w:tcBorders>
          </w:tcPr>
          <w:p w14:paraId="20CE864F" w14:textId="77777777" w:rsidR="004A16AD" w:rsidRPr="001B6C5B" w:rsidRDefault="004A16AD" w:rsidP="00CA4637">
            <w:pPr>
              <w:spacing w:line="276" w:lineRule="auto"/>
            </w:pPr>
            <w:r>
              <w:t>Intervention</w:t>
            </w:r>
          </w:p>
          <w:p w14:paraId="2E03357B" w14:textId="77777777" w:rsidR="004A16AD" w:rsidRPr="001B6C5B" w:rsidRDefault="004A16AD" w:rsidP="00CA4637">
            <w:pPr>
              <w:spacing w:line="276" w:lineRule="auto"/>
            </w:pPr>
            <w:r w:rsidRPr="001B6C5B">
              <w:t>n=59</w:t>
            </w:r>
          </w:p>
        </w:tc>
        <w:tc>
          <w:tcPr>
            <w:tcW w:w="1559" w:type="dxa"/>
            <w:tcBorders>
              <w:top w:val="single" w:sz="4" w:space="0" w:color="auto"/>
              <w:bottom w:val="single" w:sz="4" w:space="0" w:color="auto"/>
            </w:tcBorders>
          </w:tcPr>
          <w:p w14:paraId="4C276CAD" w14:textId="77777777" w:rsidR="004A16AD" w:rsidRPr="001B6C5B" w:rsidRDefault="004A16AD" w:rsidP="00CA4637">
            <w:pPr>
              <w:spacing w:line="276" w:lineRule="auto"/>
            </w:pPr>
            <w:r w:rsidRPr="001B6C5B">
              <w:t>Standard care</w:t>
            </w:r>
          </w:p>
          <w:p w14:paraId="1F80FD25" w14:textId="77777777" w:rsidR="004A16AD" w:rsidRPr="001B6C5B" w:rsidRDefault="004A16AD" w:rsidP="00CA4637">
            <w:pPr>
              <w:spacing w:line="276" w:lineRule="auto"/>
            </w:pPr>
            <w:r w:rsidRPr="001B6C5B">
              <w:t>n=61</w:t>
            </w:r>
          </w:p>
        </w:tc>
      </w:tr>
      <w:tr w:rsidR="004A16AD" w:rsidRPr="001B6C5B" w14:paraId="5BD55ADD"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Borders>
              <w:top w:val="single" w:sz="4" w:space="0" w:color="auto"/>
            </w:tcBorders>
          </w:tcPr>
          <w:p w14:paraId="6210FD27" w14:textId="77777777" w:rsidR="004A16AD" w:rsidRPr="001B6C5B" w:rsidRDefault="004A16AD" w:rsidP="00CA4637">
            <w:pPr>
              <w:spacing w:line="276" w:lineRule="auto"/>
            </w:pPr>
            <w:r w:rsidRPr="001B6C5B">
              <w:t xml:space="preserve">Age, mean (SD) years </w:t>
            </w:r>
          </w:p>
        </w:tc>
        <w:tc>
          <w:tcPr>
            <w:tcW w:w="1559" w:type="dxa"/>
            <w:tcBorders>
              <w:top w:val="single" w:sz="4" w:space="0" w:color="auto"/>
            </w:tcBorders>
          </w:tcPr>
          <w:p w14:paraId="40CC9A08" w14:textId="77777777" w:rsidR="004A16AD" w:rsidRPr="001B6C5B" w:rsidRDefault="004A16AD" w:rsidP="00CA4637">
            <w:pPr>
              <w:spacing w:line="276" w:lineRule="auto"/>
            </w:pPr>
            <w:r w:rsidRPr="001B6C5B">
              <w:t>10.1 (2.8)</w:t>
            </w:r>
          </w:p>
        </w:tc>
        <w:tc>
          <w:tcPr>
            <w:tcW w:w="1559" w:type="dxa"/>
            <w:tcBorders>
              <w:top w:val="single" w:sz="4" w:space="0" w:color="auto"/>
            </w:tcBorders>
          </w:tcPr>
          <w:p w14:paraId="043E0F15" w14:textId="77777777" w:rsidR="004A16AD" w:rsidRPr="001B6C5B" w:rsidRDefault="004A16AD" w:rsidP="00CA4637">
            <w:pPr>
              <w:spacing w:line="276" w:lineRule="auto"/>
            </w:pPr>
            <w:r w:rsidRPr="001B6C5B">
              <w:t>9.4 (2.9)</w:t>
            </w:r>
          </w:p>
        </w:tc>
      </w:tr>
      <w:tr w:rsidR="004A16AD" w:rsidRPr="001B6C5B" w14:paraId="1DBC096F" w14:textId="77777777" w:rsidTr="00CA4637">
        <w:tc>
          <w:tcPr>
            <w:tcW w:w="4815" w:type="dxa"/>
          </w:tcPr>
          <w:p w14:paraId="230BC001" w14:textId="77777777" w:rsidR="004A16AD" w:rsidRPr="001B6C5B" w:rsidRDefault="004A16AD" w:rsidP="00CA4637">
            <w:pPr>
              <w:spacing w:line="276" w:lineRule="auto"/>
            </w:pPr>
            <w:r w:rsidRPr="001B6C5B">
              <w:t>Sex: female, n (%)</w:t>
            </w:r>
          </w:p>
        </w:tc>
        <w:tc>
          <w:tcPr>
            <w:tcW w:w="1559" w:type="dxa"/>
          </w:tcPr>
          <w:p w14:paraId="14D1B989" w14:textId="77777777" w:rsidR="004A16AD" w:rsidRPr="001B6C5B" w:rsidRDefault="004A16AD" w:rsidP="00CA4637">
            <w:pPr>
              <w:spacing w:line="276" w:lineRule="auto"/>
            </w:pPr>
            <w:r w:rsidRPr="001B6C5B">
              <w:t>18 (30.5)</w:t>
            </w:r>
          </w:p>
        </w:tc>
        <w:tc>
          <w:tcPr>
            <w:tcW w:w="1559" w:type="dxa"/>
          </w:tcPr>
          <w:p w14:paraId="4CC78812" w14:textId="77777777" w:rsidR="004A16AD" w:rsidRPr="001B6C5B" w:rsidRDefault="004A16AD" w:rsidP="00CA4637">
            <w:pPr>
              <w:spacing w:line="276" w:lineRule="auto"/>
            </w:pPr>
            <w:r w:rsidRPr="001B6C5B">
              <w:t>23 (37.7)</w:t>
            </w:r>
          </w:p>
        </w:tc>
      </w:tr>
      <w:tr w:rsidR="004A16AD" w:rsidRPr="001B6C5B" w14:paraId="21463F94"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Pr>
          <w:p w14:paraId="51C2BA92" w14:textId="77777777" w:rsidR="004A16AD" w:rsidRPr="001B6C5B" w:rsidRDefault="004A16AD" w:rsidP="00CA4637">
            <w:pPr>
              <w:spacing w:line="276" w:lineRule="auto"/>
            </w:pPr>
            <w:r w:rsidRPr="001B6C5B">
              <w:t>Hospital admission ever, n (%)</w:t>
            </w:r>
          </w:p>
        </w:tc>
        <w:tc>
          <w:tcPr>
            <w:tcW w:w="1559" w:type="dxa"/>
          </w:tcPr>
          <w:p w14:paraId="367C4550" w14:textId="77777777" w:rsidR="004A16AD" w:rsidRPr="001B6C5B" w:rsidRDefault="004A16AD" w:rsidP="00CA4637">
            <w:pPr>
              <w:spacing w:line="276" w:lineRule="auto"/>
            </w:pPr>
            <w:r w:rsidRPr="001B6C5B">
              <w:t>47 (79.7)</w:t>
            </w:r>
          </w:p>
        </w:tc>
        <w:tc>
          <w:tcPr>
            <w:tcW w:w="1559" w:type="dxa"/>
          </w:tcPr>
          <w:p w14:paraId="587BD279" w14:textId="77777777" w:rsidR="004A16AD" w:rsidRPr="001B6C5B" w:rsidRDefault="004A16AD" w:rsidP="00CA4637">
            <w:pPr>
              <w:spacing w:line="276" w:lineRule="auto"/>
            </w:pPr>
            <w:r w:rsidRPr="001B6C5B">
              <w:t>49 (80.3)</w:t>
            </w:r>
          </w:p>
        </w:tc>
      </w:tr>
      <w:tr w:rsidR="004A16AD" w:rsidRPr="001B6C5B" w14:paraId="2A228A9F" w14:textId="77777777" w:rsidTr="00CA4637">
        <w:tc>
          <w:tcPr>
            <w:tcW w:w="4815" w:type="dxa"/>
          </w:tcPr>
          <w:p w14:paraId="1F01DF85" w14:textId="77777777" w:rsidR="004A16AD" w:rsidRPr="001B6C5B" w:rsidRDefault="004A16AD" w:rsidP="00CA4637">
            <w:pPr>
              <w:spacing w:line="276" w:lineRule="auto"/>
            </w:pPr>
            <w:r w:rsidRPr="001B6C5B">
              <w:t>Hospital admission in past 3 months, n (%)</w:t>
            </w:r>
          </w:p>
        </w:tc>
        <w:tc>
          <w:tcPr>
            <w:tcW w:w="1559" w:type="dxa"/>
          </w:tcPr>
          <w:p w14:paraId="25E8A11F" w14:textId="77777777" w:rsidR="004A16AD" w:rsidRPr="001B6C5B" w:rsidRDefault="004A16AD" w:rsidP="00CA4637">
            <w:pPr>
              <w:spacing w:line="276" w:lineRule="auto"/>
            </w:pPr>
            <w:r w:rsidRPr="001B6C5B">
              <w:t>14 (23.7)</w:t>
            </w:r>
          </w:p>
        </w:tc>
        <w:tc>
          <w:tcPr>
            <w:tcW w:w="1559" w:type="dxa"/>
          </w:tcPr>
          <w:p w14:paraId="6879F7C1" w14:textId="77777777" w:rsidR="004A16AD" w:rsidRPr="001B6C5B" w:rsidRDefault="004A16AD" w:rsidP="00CA4637">
            <w:pPr>
              <w:spacing w:line="276" w:lineRule="auto"/>
            </w:pPr>
            <w:r w:rsidRPr="001B6C5B">
              <w:t>14 (23.0)</w:t>
            </w:r>
          </w:p>
        </w:tc>
      </w:tr>
      <w:tr w:rsidR="004A16AD" w:rsidRPr="001B6C5B" w14:paraId="37EE4894"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Pr>
          <w:p w14:paraId="0A2CB1A2" w14:textId="77777777" w:rsidR="004A16AD" w:rsidRPr="001B6C5B" w:rsidRDefault="004A16AD" w:rsidP="00CA4637">
            <w:pPr>
              <w:spacing w:line="276" w:lineRule="auto"/>
            </w:pPr>
            <w:r w:rsidRPr="001B6C5B">
              <w:t>Health facility attendance in past 3 months, n (%)</w:t>
            </w:r>
          </w:p>
        </w:tc>
        <w:tc>
          <w:tcPr>
            <w:tcW w:w="1559" w:type="dxa"/>
          </w:tcPr>
          <w:p w14:paraId="6FA74C58" w14:textId="77777777" w:rsidR="004A16AD" w:rsidRPr="001B6C5B" w:rsidRDefault="004A16AD" w:rsidP="00CA4637">
            <w:pPr>
              <w:spacing w:line="276" w:lineRule="auto"/>
            </w:pPr>
            <w:r w:rsidRPr="001B6C5B">
              <w:t>18 (30.5)</w:t>
            </w:r>
          </w:p>
        </w:tc>
        <w:tc>
          <w:tcPr>
            <w:tcW w:w="1559" w:type="dxa"/>
          </w:tcPr>
          <w:p w14:paraId="0028CA87" w14:textId="77777777" w:rsidR="004A16AD" w:rsidRPr="001B6C5B" w:rsidRDefault="004A16AD" w:rsidP="00CA4637">
            <w:pPr>
              <w:spacing w:line="276" w:lineRule="auto"/>
            </w:pPr>
            <w:r w:rsidRPr="001B6C5B">
              <w:t>21 (34.4)</w:t>
            </w:r>
          </w:p>
        </w:tc>
      </w:tr>
      <w:tr w:rsidR="004A16AD" w:rsidRPr="001B6C5B" w14:paraId="6D9FCC2C" w14:textId="77777777" w:rsidTr="00CA4637">
        <w:tc>
          <w:tcPr>
            <w:tcW w:w="4815" w:type="dxa"/>
          </w:tcPr>
          <w:p w14:paraId="4B631DB3" w14:textId="77777777" w:rsidR="004A16AD" w:rsidRPr="001B6C5B" w:rsidRDefault="004A16AD" w:rsidP="00CA4637">
            <w:pPr>
              <w:spacing w:line="276" w:lineRule="auto"/>
            </w:pPr>
            <w:r w:rsidRPr="001B6C5B">
              <w:t>School absence in past 3 months, n (%)</w:t>
            </w:r>
          </w:p>
        </w:tc>
        <w:tc>
          <w:tcPr>
            <w:tcW w:w="1559" w:type="dxa"/>
          </w:tcPr>
          <w:p w14:paraId="34772C47" w14:textId="77777777" w:rsidR="004A16AD" w:rsidRPr="001B6C5B" w:rsidRDefault="004A16AD" w:rsidP="00CA4637">
            <w:pPr>
              <w:spacing w:line="276" w:lineRule="auto"/>
            </w:pPr>
            <w:r w:rsidRPr="001B6C5B">
              <w:t>40 (67.8)</w:t>
            </w:r>
          </w:p>
        </w:tc>
        <w:tc>
          <w:tcPr>
            <w:tcW w:w="1559" w:type="dxa"/>
          </w:tcPr>
          <w:p w14:paraId="5AEA67DF" w14:textId="77777777" w:rsidR="004A16AD" w:rsidRPr="001B6C5B" w:rsidRDefault="004A16AD" w:rsidP="00CA4637">
            <w:pPr>
              <w:spacing w:line="276" w:lineRule="auto"/>
            </w:pPr>
            <w:r w:rsidRPr="001B6C5B">
              <w:t>39 (63.9)</w:t>
            </w:r>
          </w:p>
        </w:tc>
      </w:tr>
      <w:tr w:rsidR="004A16AD" w:rsidRPr="001B6C5B" w14:paraId="01319729"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Pr>
          <w:p w14:paraId="26689EFC" w14:textId="77777777" w:rsidR="004A16AD" w:rsidRPr="001B6C5B" w:rsidRDefault="004A16AD" w:rsidP="00CA4637">
            <w:pPr>
              <w:spacing w:line="276" w:lineRule="auto"/>
            </w:pPr>
            <w:r w:rsidRPr="001B6C5B">
              <w:t>School absence in past 3 months, median days (IQR)</w:t>
            </w:r>
          </w:p>
        </w:tc>
        <w:tc>
          <w:tcPr>
            <w:tcW w:w="1559" w:type="dxa"/>
          </w:tcPr>
          <w:p w14:paraId="16A7EBB6" w14:textId="77777777" w:rsidR="004A16AD" w:rsidRPr="001B6C5B" w:rsidRDefault="004A16AD" w:rsidP="00CA4637">
            <w:pPr>
              <w:spacing w:line="276" w:lineRule="auto"/>
            </w:pPr>
            <w:r w:rsidRPr="001B6C5B">
              <w:t>3 (2-5)</w:t>
            </w:r>
          </w:p>
        </w:tc>
        <w:tc>
          <w:tcPr>
            <w:tcW w:w="1559" w:type="dxa"/>
          </w:tcPr>
          <w:p w14:paraId="430A6781" w14:textId="77777777" w:rsidR="004A16AD" w:rsidRPr="001B6C5B" w:rsidRDefault="004A16AD" w:rsidP="00CA4637">
            <w:pPr>
              <w:spacing w:line="276" w:lineRule="auto"/>
            </w:pPr>
            <w:r w:rsidRPr="001B6C5B">
              <w:t>3 (2-5)</w:t>
            </w:r>
          </w:p>
        </w:tc>
      </w:tr>
      <w:tr w:rsidR="004A16AD" w:rsidRPr="001B6C5B" w14:paraId="1F856865" w14:textId="77777777" w:rsidTr="00CA4637">
        <w:tc>
          <w:tcPr>
            <w:tcW w:w="4815" w:type="dxa"/>
          </w:tcPr>
          <w:p w14:paraId="6680A475" w14:textId="77777777" w:rsidR="004A16AD" w:rsidRPr="001B6C5B" w:rsidRDefault="004A16AD" w:rsidP="00CA4637">
            <w:pPr>
              <w:spacing w:line="276" w:lineRule="auto"/>
            </w:pPr>
            <w:r w:rsidRPr="001B6C5B">
              <w:t>Reported using salbutamol inhaler</w:t>
            </w:r>
          </w:p>
        </w:tc>
        <w:tc>
          <w:tcPr>
            <w:tcW w:w="1559" w:type="dxa"/>
          </w:tcPr>
          <w:p w14:paraId="70320EEB" w14:textId="77777777" w:rsidR="004A16AD" w:rsidRPr="001B6C5B" w:rsidRDefault="004A16AD" w:rsidP="00CA4637">
            <w:pPr>
              <w:spacing w:line="276" w:lineRule="auto"/>
            </w:pPr>
            <w:r w:rsidRPr="001B6C5B">
              <w:t>45 (76.3)</w:t>
            </w:r>
          </w:p>
        </w:tc>
        <w:tc>
          <w:tcPr>
            <w:tcW w:w="1559" w:type="dxa"/>
          </w:tcPr>
          <w:p w14:paraId="4B7340AF" w14:textId="77777777" w:rsidR="004A16AD" w:rsidRPr="001B6C5B" w:rsidRDefault="004A16AD" w:rsidP="00CA4637">
            <w:pPr>
              <w:spacing w:line="276" w:lineRule="auto"/>
            </w:pPr>
            <w:r w:rsidRPr="001B6C5B">
              <w:t>51 (83.6)</w:t>
            </w:r>
          </w:p>
        </w:tc>
      </w:tr>
      <w:tr w:rsidR="004A16AD" w:rsidRPr="001B6C5B" w14:paraId="52E89D8E"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Pr>
          <w:p w14:paraId="5C02B6F8" w14:textId="77777777" w:rsidR="004A16AD" w:rsidRPr="001B6C5B" w:rsidRDefault="004A16AD" w:rsidP="00CA4637">
            <w:pPr>
              <w:spacing w:line="276" w:lineRule="auto"/>
            </w:pPr>
            <w:r w:rsidRPr="001B6C5B">
              <w:t>Reported using steroid inhaler regularly</w:t>
            </w:r>
          </w:p>
        </w:tc>
        <w:tc>
          <w:tcPr>
            <w:tcW w:w="1559" w:type="dxa"/>
          </w:tcPr>
          <w:p w14:paraId="6F321E7C" w14:textId="77777777" w:rsidR="004A16AD" w:rsidRPr="001B6C5B" w:rsidRDefault="004A16AD" w:rsidP="00CA4637">
            <w:pPr>
              <w:spacing w:line="276" w:lineRule="auto"/>
            </w:pPr>
            <w:r w:rsidRPr="001B6C5B">
              <w:t>21 (35.6)</w:t>
            </w:r>
          </w:p>
        </w:tc>
        <w:tc>
          <w:tcPr>
            <w:tcW w:w="1559" w:type="dxa"/>
          </w:tcPr>
          <w:p w14:paraId="70C86571" w14:textId="77777777" w:rsidR="004A16AD" w:rsidRPr="001B6C5B" w:rsidRDefault="004A16AD" w:rsidP="00CA4637">
            <w:pPr>
              <w:spacing w:line="276" w:lineRule="auto"/>
            </w:pPr>
            <w:r w:rsidRPr="001B6C5B">
              <w:t>28 (45.9)</w:t>
            </w:r>
          </w:p>
        </w:tc>
      </w:tr>
      <w:tr w:rsidR="004A16AD" w:rsidRPr="001B6C5B" w14:paraId="3E0751AF" w14:textId="77777777" w:rsidTr="00CA4637">
        <w:tc>
          <w:tcPr>
            <w:tcW w:w="4815" w:type="dxa"/>
          </w:tcPr>
          <w:p w14:paraId="40F13404" w14:textId="77777777" w:rsidR="004A16AD" w:rsidRPr="001B6C5B" w:rsidRDefault="004A16AD" w:rsidP="00CA4637">
            <w:pPr>
              <w:spacing w:line="276" w:lineRule="auto"/>
            </w:pPr>
            <w:r w:rsidRPr="001B6C5B">
              <w:t xml:space="preserve">Daily dose </w:t>
            </w:r>
            <w:proofErr w:type="spellStart"/>
            <w:r w:rsidRPr="001B6C5B">
              <w:t>beclometasone</w:t>
            </w:r>
            <w:proofErr w:type="spellEnd"/>
          </w:p>
        </w:tc>
        <w:tc>
          <w:tcPr>
            <w:tcW w:w="1559" w:type="dxa"/>
          </w:tcPr>
          <w:p w14:paraId="006558B8" w14:textId="77777777" w:rsidR="004A16AD" w:rsidRPr="001B6C5B" w:rsidRDefault="004A16AD" w:rsidP="00CA4637">
            <w:pPr>
              <w:spacing w:line="276" w:lineRule="auto"/>
            </w:pPr>
            <w:r w:rsidRPr="001B6C5B">
              <w:t xml:space="preserve">238 </w:t>
            </w:r>
            <w:r w:rsidRPr="001B6C5B">
              <w:rPr>
                <w:rFonts w:cstheme="minorHAnsi"/>
              </w:rPr>
              <w:t>µ</w:t>
            </w:r>
            <w:r w:rsidRPr="001B6C5B">
              <w:t>g (n=21)</w:t>
            </w:r>
          </w:p>
        </w:tc>
        <w:tc>
          <w:tcPr>
            <w:tcW w:w="1559" w:type="dxa"/>
          </w:tcPr>
          <w:p w14:paraId="4B094776" w14:textId="77777777" w:rsidR="004A16AD" w:rsidRPr="001B6C5B" w:rsidRDefault="004A16AD" w:rsidP="00CA4637">
            <w:pPr>
              <w:spacing w:line="276" w:lineRule="auto"/>
            </w:pPr>
            <w:r w:rsidRPr="001B6C5B">
              <w:t xml:space="preserve">273 </w:t>
            </w:r>
            <w:r w:rsidRPr="001B6C5B">
              <w:rPr>
                <w:rFonts w:cstheme="minorHAnsi"/>
              </w:rPr>
              <w:t>µ</w:t>
            </w:r>
            <w:r w:rsidRPr="001B6C5B">
              <w:t>g (n=28)</w:t>
            </w:r>
          </w:p>
        </w:tc>
      </w:tr>
      <w:tr w:rsidR="004A16AD" w:rsidRPr="001B6C5B" w14:paraId="4662E870"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Pr>
          <w:p w14:paraId="39D58A4E" w14:textId="77777777" w:rsidR="004A16AD" w:rsidRPr="001B6C5B" w:rsidRDefault="004A16AD" w:rsidP="00CA4637">
            <w:pPr>
              <w:spacing w:line="276" w:lineRule="auto"/>
            </w:pPr>
            <w:r w:rsidRPr="001B6C5B">
              <w:t>GINA: Well controlled (score* 0)</w:t>
            </w:r>
          </w:p>
        </w:tc>
        <w:tc>
          <w:tcPr>
            <w:tcW w:w="1559" w:type="dxa"/>
          </w:tcPr>
          <w:p w14:paraId="5027A31C" w14:textId="77777777" w:rsidR="004A16AD" w:rsidRPr="001B6C5B" w:rsidRDefault="004A16AD" w:rsidP="00CA4637">
            <w:pPr>
              <w:spacing w:line="276" w:lineRule="auto"/>
            </w:pPr>
            <w:r w:rsidRPr="001B6C5B">
              <w:t>12 (20.3)</w:t>
            </w:r>
          </w:p>
        </w:tc>
        <w:tc>
          <w:tcPr>
            <w:tcW w:w="1559" w:type="dxa"/>
          </w:tcPr>
          <w:p w14:paraId="1BA93BAC" w14:textId="77777777" w:rsidR="004A16AD" w:rsidRPr="001B6C5B" w:rsidRDefault="004A16AD" w:rsidP="00CA4637">
            <w:pPr>
              <w:spacing w:line="276" w:lineRule="auto"/>
            </w:pPr>
            <w:r w:rsidRPr="001B6C5B">
              <w:t>7 (11.5)</w:t>
            </w:r>
          </w:p>
        </w:tc>
      </w:tr>
      <w:tr w:rsidR="004A16AD" w:rsidRPr="001B6C5B" w14:paraId="5E2995F3" w14:textId="77777777" w:rsidTr="00CA4637">
        <w:tc>
          <w:tcPr>
            <w:tcW w:w="4815" w:type="dxa"/>
          </w:tcPr>
          <w:p w14:paraId="5B7BD7F1" w14:textId="77777777" w:rsidR="004A16AD" w:rsidRPr="001B6C5B" w:rsidRDefault="004A16AD" w:rsidP="00CA4637">
            <w:pPr>
              <w:spacing w:line="276" w:lineRule="auto"/>
            </w:pPr>
            <w:r w:rsidRPr="001B6C5B">
              <w:t>GINA: Partly controlled (score* 1-2)</w:t>
            </w:r>
          </w:p>
        </w:tc>
        <w:tc>
          <w:tcPr>
            <w:tcW w:w="1559" w:type="dxa"/>
          </w:tcPr>
          <w:p w14:paraId="39182ECA" w14:textId="77777777" w:rsidR="004A16AD" w:rsidRPr="001B6C5B" w:rsidRDefault="004A16AD" w:rsidP="00CA4637">
            <w:pPr>
              <w:spacing w:line="276" w:lineRule="auto"/>
            </w:pPr>
            <w:r w:rsidRPr="001B6C5B">
              <w:t>20 (33.9)</w:t>
            </w:r>
          </w:p>
        </w:tc>
        <w:tc>
          <w:tcPr>
            <w:tcW w:w="1559" w:type="dxa"/>
          </w:tcPr>
          <w:p w14:paraId="6FC7C6FC" w14:textId="77777777" w:rsidR="004A16AD" w:rsidRPr="001B6C5B" w:rsidRDefault="004A16AD" w:rsidP="00CA4637">
            <w:pPr>
              <w:spacing w:line="276" w:lineRule="auto"/>
            </w:pPr>
            <w:r w:rsidRPr="001B6C5B">
              <w:t>21 (34.4)</w:t>
            </w:r>
          </w:p>
        </w:tc>
      </w:tr>
      <w:tr w:rsidR="004A16AD" w:rsidRPr="001B6C5B" w14:paraId="43D04E4B"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Pr>
          <w:p w14:paraId="7C6A7466" w14:textId="77777777" w:rsidR="004A16AD" w:rsidRPr="001B6C5B" w:rsidRDefault="004A16AD" w:rsidP="00CA4637">
            <w:pPr>
              <w:spacing w:line="276" w:lineRule="auto"/>
            </w:pPr>
            <w:r w:rsidRPr="001B6C5B">
              <w:t>GINA: Uncontrolled (score* 3-4)</w:t>
            </w:r>
          </w:p>
        </w:tc>
        <w:tc>
          <w:tcPr>
            <w:tcW w:w="1559" w:type="dxa"/>
          </w:tcPr>
          <w:p w14:paraId="1B006731" w14:textId="77777777" w:rsidR="004A16AD" w:rsidRPr="001B6C5B" w:rsidRDefault="004A16AD" w:rsidP="00CA4637">
            <w:pPr>
              <w:spacing w:line="276" w:lineRule="auto"/>
            </w:pPr>
            <w:r w:rsidRPr="001B6C5B">
              <w:t>27 (45.8)</w:t>
            </w:r>
          </w:p>
        </w:tc>
        <w:tc>
          <w:tcPr>
            <w:tcW w:w="1559" w:type="dxa"/>
          </w:tcPr>
          <w:p w14:paraId="79837945" w14:textId="77777777" w:rsidR="004A16AD" w:rsidRPr="001B6C5B" w:rsidRDefault="004A16AD" w:rsidP="00CA4637">
            <w:pPr>
              <w:spacing w:line="276" w:lineRule="auto"/>
            </w:pPr>
            <w:r w:rsidRPr="001B6C5B">
              <w:t>33 (54.1)</w:t>
            </w:r>
          </w:p>
        </w:tc>
      </w:tr>
      <w:tr w:rsidR="004A16AD" w:rsidRPr="001B6C5B" w14:paraId="28C1AD66" w14:textId="77777777" w:rsidTr="00CA4637">
        <w:tc>
          <w:tcPr>
            <w:tcW w:w="4815" w:type="dxa"/>
          </w:tcPr>
          <w:p w14:paraId="29586166" w14:textId="77777777" w:rsidR="004A16AD" w:rsidRPr="001B6C5B" w:rsidRDefault="004A16AD" w:rsidP="00CA4637">
            <w:pPr>
              <w:spacing w:line="276" w:lineRule="auto"/>
            </w:pPr>
            <w:proofErr w:type="spellStart"/>
            <w:r w:rsidRPr="001B6C5B">
              <w:t>cACT</w:t>
            </w:r>
            <w:proofErr w:type="spellEnd"/>
            <w:r w:rsidRPr="001B6C5B">
              <w:t>, mean (SD)</w:t>
            </w:r>
          </w:p>
        </w:tc>
        <w:tc>
          <w:tcPr>
            <w:tcW w:w="1559" w:type="dxa"/>
          </w:tcPr>
          <w:p w14:paraId="3E9D4AD7" w14:textId="77777777" w:rsidR="004A16AD" w:rsidRPr="001B6C5B" w:rsidRDefault="004A16AD" w:rsidP="00CA4637">
            <w:pPr>
              <w:spacing w:line="276" w:lineRule="auto"/>
            </w:pPr>
            <w:r w:rsidRPr="001B6C5B">
              <w:t>20.4 (2.9)</w:t>
            </w:r>
          </w:p>
        </w:tc>
        <w:tc>
          <w:tcPr>
            <w:tcW w:w="1559" w:type="dxa"/>
          </w:tcPr>
          <w:p w14:paraId="334CEA34" w14:textId="77777777" w:rsidR="004A16AD" w:rsidRPr="001B6C5B" w:rsidRDefault="004A16AD" w:rsidP="00CA4637">
            <w:pPr>
              <w:spacing w:line="276" w:lineRule="auto"/>
            </w:pPr>
            <w:r w:rsidRPr="001B6C5B">
              <w:t>20.3 (2.3)</w:t>
            </w:r>
          </w:p>
        </w:tc>
      </w:tr>
      <w:tr w:rsidR="004A16AD" w:rsidRPr="001B6C5B" w14:paraId="5B4D8A34" w14:textId="77777777" w:rsidTr="00CA4637">
        <w:trPr>
          <w:cnfStyle w:val="000000100000" w:firstRow="0" w:lastRow="0" w:firstColumn="0" w:lastColumn="0" w:oddVBand="0" w:evenVBand="0" w:oddHBand="1" w:evenHBand="0" w:firstRowFirstColumn="0" w:firstRowLastColumn="0" w:lastRowFirstColumn="0" w:lastRowLastColumn="0"/>
        </w:trPr>
        <w:tc>
          <w:tcPr>
            <w:tcW w:w="4815" w:type="dxa"/>
            <w:tcBorders>
              <w:bottom w:val="single" w:sz="2" w:space="0" w:color="C9C9C9" w:themeColor="accent3" w:themeTint="99"/>
            </w:tcBorders>
          </w:tcPr>
          <w:p w14:paraId="2925FA19" w14:textId="77777777" w:rsidR="004A16AD" w:rsidRPr="001B6C5B" w:rsidRDefault="004A16AD" w:rsidP="00CA4637">
            <w:pPr>
              <w:spacing w:line="276" w:lineRule="auto"/>
            </w:pPr>
            <w:proofErr w:type="spellStart"/>
            <w:r w:rsidRPr="001B6C5B">
              <w:rPr>
                <w:rFonts w:cstheme="minorHAnsi"/>
              </w:rPr>
              <w:t>cACT</w:t>
            </w:r>
            <w:proofErr w:type="spellEnd"/>
            <w:r w:rsidRPr="001B6C5B">
              <w:rPr>
                <w:rFonts w:cstheme="minorHAnsi"/>
              </w:rPr>
              <w:t xml:space="preserve"> ≥</w:t>
            </w:r>
            <w:r w:rsidRPr="001B6C5B">
              <w:t>20 (well controlled)</w:t>
            </w:r>
          </w:p>
        </w:tc>
        <w:tc>
          <w:tcPr>
            <w:tcW w:w="1559" w:type="dxa"/>
            <w:tcBorders>
              <w:bottom w:val="single" w:sz="2" w:space="0" w:color="C9C9C9" w:themeColor="accent3" w:themeTint="99"/>
            </w:tcBorders>
          </w:tcPr>
          <w:p w14:paraId="30F854F8" w14:textId="77777777" w:rsidR="004A16AD" w:rsidRPr="001B6C5B" w:rsidRDefault="004A16AD" w:rsidP="00CA4637">
            <w:pPr>
              <w:spacing w:line="276" w:lineRule="auto"/>
            </w:pPr>
            <w:r w:rsidRPr="001B6C5B">
              <w:t>37 (62.7)</w:t>
            </w:r>
          </w:p>
        </w:tc>
        <w:tc>
          <w:tcPr>
            <w:tcW w:w="1559" w:type="dxa"/>
            <w:tcBorders>
              <w:bottom w:val="single" w:sz="2" w:space="0" w:color="C9C9C9" w:themeColor="accent3" w:themeTint="99"/>
            </w:tcBorders>
          </w:tcPr>
          <w:p w14:paraId="41E0774D" w14:textId="77777777" w:rsidR="004A16AD" w:rsidRPr="001B6C5B" w:rsidRDefault="004A16AD" w:rsidP="00CA4637">
            <w:pPr>
              <w:spacing w:line="276" w:lineRule="auto"/>
            </w:pPr>
            <w:r w:rsidRPr="001B6C5B">
              <w:t>40 (65.6)</w:t>
            </w:r>
          </w:p>
        </w:tc>
      </w:tr>
      <w:tr w:rsidR="004A16AD" w:rsidRPr="001B6C5B" w14:paraId="08D14C1D" w14:textId="77777777" w:rsidTr="00CA4637">
        <w:tc>
          <w:tcPr>
            <w:tcW w:w="4815" w:type="dxa"/>
            <w:tcBorders>
              <w:bottom w:val="single" w:sz="4" w:space="0" w:color="auto"/>
            </w:tcBorders>
          </w:tcPr>
          <w:p w14:paraId="48BBE6CC" w14:textId="77777777" w:rsidR="004A16AD" w:rsidRPr="001B6C5B" w:rsidRDefault="004A16AD" w:rsidP="00CA4637">
            <w:pPr>
              <w:spacing w:line="276" w:lineRule="auto"/>
            </w:pPr>
            <w:proofErr w:type="spellStart"/>
            <w:r w:rsidRPr="001B6C5B">
              <w:rPr>
                <w:rFonts w:cstheme="minorHAnsi"/>
              </w:rPr>
              <w:t>cACT</w:t>
            </w:r>
            <w:proofErr w:type="spellEnd"/>
            <w:r w:rsidRPr="001B6C5B">
              <w:rPr>
                <w:rFonts w:cstheme="minorHAnsi"/>
              </w:rPr>
              <w:t xml:space="preserve"> ≤19 (poor control)</w:t>
            </w:r>
          </w:p>
        </w:tc>
        <w:tc>
          <w:tcPr>
            <w:tcW w:w="1559" w:type="dxa"/>
            <w:tcBorders>
              <w:bottom w:val="single" w:sz="4" w:space="0" w:color="auto"/>
            </w:tcBorders>
          </w:tcPr>
          <w:p w14:paraId="6B920E40" w14:textId="77777777" w:rsidR="004A16AD" w:rsidRPr="001B6C5B" w:rsidRDefault="004A16AD" w:rsidP="00CA4637">
            <w:pPr>
              <w:spacing w:line="276" w:lineRule="auto"/>
            </w:pPr>
            <w:r w:rsidRPr="001B6C5B">
              <w:t>22 (37.3)</w:t>
            </w:r>
          </w:p>
        </w:tc>
        <w:tc>
          <w:tcPr>
            <w:tcW w:w="1559" w:type="dxa"/>
            <w:tcBorders>
              <w:bottom w:val="single" w:sz="4" w:space="0" w:color="auto"/>
            </w:tcBorders>
          </w:tcPr>
          <w:p w14:paraId="5D39ADE7" w14:textId="77777777" w:rsidR="004A16AD" w:rsidRPr="001B6C5B" w:rsidRDefault="004A16AD" w:rsidP="00CA4637">
            <w:pPr>
              <w:spacing w:line="276" w:lineRule="auto"/>
            </w:pPr>
            <w:r w:rsidRPr="001B6C5B">
              <w:t>21 (34.4)</w:t>
            </w:r>
          </w:p>
        </w:tc>
      </w:tr>
    </w:tbl>
    <w:p w14:paraId="6061BC2A" w14:textId="77777777" w:rsidR="004A16AD" w:rsidRDefault="004A16AD" w:rsidP="00CA4637">
      <w:pPr>
        <w:spacing w:line="240" w:lineRule="auto"/>
      </w:pPr>
      <w:r w:rsidRPr="001B6C5B">
        <w:t>* Score 1 for each positive response to: In the past 4-weeks, has the patient had: a) Daytime asthma symptoms more than twice/week? b) Any night waking due to asthma? c) Reliever needed for symptoms more than twice/week? d) Any activity limitation due to asthma?</w:t>
      </w:r>
      <w:r>
        <w:t xml:space="preserve"> </w:t>
      </w:r>
    </w:p>
    <w:p w14:paraId="207C89FA" w14:textId="77777777" w:rsidR="004A16AD" w:rsidRPr="001B6C5B" w:rsidRDefault="004A16AD" w:rsidP="00CA4637">
      <w:pPr>
        <w:spacing w:line="240" w:lineRule="auto"/>
      </w:pPr>
    </w:p>
    <w:p w14:paraId="64C5F2D1" w14:textId="77777777" w:rsidR="004A16AD" w:rsidRPr="001B6C5B" w:rsidRDefault="004A16AD" w:rsidP="00CA4637">
      <w:pPr>
        <w:spacing w:line="480" w:lineRule="auto"/>
        <w:rPr>
          <w:sz w:val="24"/>
        </w:rPr>
      </w:pPr>
      <w:r w:rsidRPr="001B6C5B">
        <w:rPr>
          <w:sz w:val="24"/>
        </w:rPr>
        <w:t>Most children (106/120, 88.3%) reported wheezing in the past year; overall 68.3% (82/120) experienced ISAAC-defined severe asthma symptoms, with at least one of;</w:t>
      </w:r>
      <w:r w:rsidRPr="001B6C5B">
        <w:rPr>
          <w:rFonts w:cstheme="minorHAnsi"/>
          <w:sz w:val="24"/>
        </w:rPr>
        <w:t xml:space="preserve"> ≥</w:t>
      </w:r>
      <w:r w:rsidRPr="001B6C5B">
        <w:rPr>
          <w:sz w:val="24"/>
        </w:rPr>
        <w:t xml:space="preserve">4 attacks (64/106, 60.4%), wheeze-related sleep disturbance more than once per week (34/106, 32.1%), or wheeze affecting speech (38/106, 35.8%), in the past year. By GINA criteria, </w:t>
      </w:r>
      <w:r w:rsidRPr="001B6C5B">
        <w:rPr>
          <w:sz w:val="24"/>
        </w:rPr>
        <w:lastRenderedPageBreak/>
        <w:t xml:space="preserve">asthma symptoms were well controlled in 19 (15.8%), partly controlled in one third (41/120) and uncontrolled in half (60/120) of participants. The baseline mean (SD) </w:t>
      </w:r>
      <w:proofErr w:type="spellStart"/>
      <w:r w:rsidRPr="001B6C5B">
        <w:rPr>
          <w:sz w:val="24"/>
        </w:rPr>
        <w:t>cACT</w:t>
      </w:r>
      <w:proofErr w:type="spellEnd"/>
      <w:r w:rsidRPr="001B6C5B">
        <w:rPr>
          <w:sz w:val="24"/>
        </w:rPr>
        <w:t xml:space="preserve"> score was 20.3 (2.6), with 43 (35.8%) participants stratified as having poor control (cACT</w:t>
      </w:r>
      <w:r w:rsidRPr="001B6C5B">
        <w:rPr>
          <w:rFonts w:cstheme="minorHAnsi"/>
          <w:sz w:val="24"/>
        </w:rPr>
        <w:t>≤</w:t>
      </w:r>
      <w:r w:rsidRPr="001B6C5B">
        <w:rPr>
          <w:sz w:val="24"/>
        </w:rPr>
        <w:t>19) and 77 (64.2%) with good control (cACT</w:t>
      </w:r>
      <w:r w:rsidRPr="001B6C5B">
        <w:rPr>
          <w:rFonts w:cstheme="minorHAnsi"/>
          <w:sz w:val="24"/>
        </w:rPr>
        <w:t>≥</w:t>
      </w:r>
      <w:r w:rsidRPr="001B6C5B">
        <w:rPr>
          <w:sz w:val="24"/>
        </w:rPr>
        <w:t>20)</w:t>
      </w:r>
      <w:r>
        <w:rPr>
          <w:sz w:val="24"/>
        </w:rPr>
        <w:t xml:space="preserve"> (online supplementary t</w:t>
      </w:r>
      <w:r w:rsidRPr="00AC0314">
        <w:rPr>
          <w:sz w:val="24"/>
        </w:rPr>
        <w:t>able S</w:t>
      </w:r>
      <w:r>
        <w:rPr>
          <w:sz w:val="24"/>
        </w:rPr>
        <w:t>3)</w:t>
      </w:r>
      <w:r w:rsidRPr="00AC0314">
        <w:rPr>
          <w:sz w:val="24"/>
        </w:rPr>
        <w:t>.</w:t>
      </w:r>
    </w:p>
    <w:p w14:paraId="19012235" w14:textId="77777777" w:rsidR="004A16AD" w:rsidRPr="001B6C5B" w:rsidRDefault="004A16AD" w:rsidP="00CA4637">
      <w:pPr>
        <w:spacing w:line="480" w:lineRule="auto"/>
        <w:rPr>
          <w:sz w:val="24"/>
        </w:rPr>
      </w:pPr>
      <w:r w:rsidRPr="001B6C5B">
        <w:rPr>
          <w:sz w:val="24"/>
        </w:rPr>
        <w:t xml:space="preserve">At enrolment 96/120 (80.0%) participants reported using a salbutamol inhaler, with 67/96 (69.8%) using a spacer; 41/120 (34.1%) participants reported using a </w:t>
      </w:r>
      <w:proofErr w:type="spellStart"/>
      <w:r w:rsidRPr="001B6C5B">
        <w:rPr>
          <w:sz w:val="24"/>
        </w:rPr>
        <w:t>beclometasone</w:t>
      </w:r>
      <w:proofErr w:type="spellEnd"/>
      <w:r w:rsidRPr="001B6C5B">
        <w:rPr>
          <w:sz w:val="24"/>
        </w:rPr>
        <w:t xml:space="preserve"> inhaler (</w:t>
      </w:r>
      <w:r>
        <w:rPr>
          <w:sz w:val="24"/>
        </w:rPr>
        <w:t>plus</w:t>
      </w:r>
      <w:r w:rsidRPr="001B6C5B">
        <w:rPr>
          <w:sz w:val="24"/>
        </w:rPr>
        <w:t xml:space="preserve"> spacer) regularly, with a mean daily dose of 258</w:t>
      </w:r>
      <w:r w:rsidRPr="001B6C5B">
        <w:rPr>
          <w:rFonts w:cstheme="minorHAnsi"/>
          <w:sz w:val="24"/>
        </w:rPr>
        <w:t>µ</w:t>
      </w:r>
      <w:r w:rsidRPr="001B6C5B">
        <w:rPr>
          <w:sz w:val="24"/>
        </w:rPr>
        <w:t>g and self-reported adherence of 89.6%.</w:t>
      </w:r>
    </w:p>
    <w:p w14:paraId="5B89FC68" w14:textId="77777777" w:rsidR="004A16AD" w:rsidRPr="001B6C5B" w:rsidRDefault="004A16AD" w:rsidP="00CA4637">
      <w:pPr>
        <w:spacing w:line="480" w:lineRule="auto"/>
        <w:rPr>
          <w:sz w:val="24"/>
        </w:rPr>
      </w:pPr>
      <w:r w:rsidRPr="001B6C5B">
        <w:rPr>
          <w:sz w:val="24"/>
        </w:rPr>
        <w:t>None of the participants had been previously treated for tuberculosis. Of 105</w:t>
      </w:r>
      <w:r>
        <w:rPr>
          <w:sz w:val="24"/>
        </w:rPr>
        <w:t>/120</w:t>
      </w:r>
      <w:r w:rsidRPr="001B6C5B">
        <w:rPr>
          <w:sz w:val="24"/>
        </w:rPr>
        <w:t xml:space="preserve"> participants who had been tested for HIV, all were HIV-negative. Half of participants (62/120, 51.7%) reported a family history of asthma, including 47/120 (39.2%) with asthma in a first-degree relative. The majority of participants experienced wheezing in early childhood; 52/120 (43.3%) reported wheeze onset before age 3 years, 41/120 (34.2%) aged 3-6 years, and 27/120 (22.5%) after age 6 years. Atopic symptoms were common; with self-reported rhinitis, hay fever, and eczema in 72/120 (60.0%), 37/120 (30.8%) and 31/120 (25.8%), respectively.</w:t>
      </w:r>
    </w:p>
    <w:p w14:paraId="57A5019D" w14:textId="77777777" w:rsidR="004A16AD" w:rsidRPr="001B6C5B" w:rsidRDefault="004A16AD" w:rsidP="00CA4637">
      <w:pPr>
        <w:spacing w:line="480" w:lineRule="auto"/>
        <w:rPr>
          <w:sz w:val="24"/>
        </w:rPr>
      </w:pPr>
      <w:r w:rsidRPr="001B6C5B">
        <w:rPr>
          <w:sz w:val="24"/>
        </w:rPr>
        <w:t xml:space="preserve">At 3-months, children in the intervention arm had a mean (SD) </w:t>
      </w:r>
      <w:proofErr w:type="spellStart"/>
      <w:r w:rsidRPr="001B6C5B">
        <w:rPr>
          <w:sz w:val="24"/>
        </w:rPr>
        <w:t>cACT</w:t>
      </w:r>
      <w:proofErr w:type="spellEnd"/>
      <w:r w:rsidRPr="001B6C5B">
        <w:rPr>
          <w:sz w:val="24"/>
        </w:rPr>
        <w:t xml:space="preserve"> of 22.9 (2.3), compared to 20.8 (3.0) in standard care (p&lt;0.001). Children receiving the intervention had a greater mean (SD) change in </w:t>
      </w:r>
      <w:proofErr w:type="spellStart"/>
      <w:r w:rsidRPr="001B6C5B">
        <w:rPr>
          <w:sz w:val="24"/>
        </w:rPr>
        <w:t>cACT</w:t>
      </w:r>
      <w:proofErr w:type="spellEnd"/>
      <w:r w:rsidRPr="001B6C5B">
        <w:rPr>
          <w:sz w:val="24"/>
        </w:rPr>
        <w:t xml:space="preserve"> score from baseline; 2.7 (2.8), compared to 0.6 (2.8) for standard care participants, a difference of 2.1 points (95% CI: 1.1-3.1</w:t>
      </w:r>
      <w:r>
        <w:rPr>
          <w:sz w:val="24"/>
        </w:rPr>
        <w:t xml:space="preserve">, </w:t>
      </w:r>
      <w:r w:rsidRPr="001B6C5B">
        <w:rPr>
          <w:sz w:val="24"/>
        </w:rPr>
        <w:t xml:space="preserve">p&lt;0.001) </w:t>
      </w:r>
      <w:r>
        <w:rPr>
          <w:sz w:val="24"/>
        </w:rPr>
        <w:t>(Table 3)</w:t>
      </w:r>
      <w:r w:rsidRPr="001B6C5B">
        <w:rPr>
          <w:sz w:val="24"/>
        </w:rPr>
        <w:t xml:space="preserve">. </w:t>
      </w:r>
      <w:r w:rsidRPr="003E4742">
        <w:rPr>
          <w:sz w:val="24"/>
        </w:rPr>
        <w:t>On stratified analysis, overall those with baseline ACT</w:t>
      </w:r>
      <w:r w:rsidRPr="003E4742">
        <w:rPr>
          <w:rFonts w:cstheme="minorHAnsi"/>
          <w:sz w:val="24"/>
        </w:rPr>
        <w:t>≤</w:t>
      </w:r>
      <w:r w:rsidRPr="003E4742">
        <w:rPr>
          <w:sz w:val="24"/>
        </w:rPr>
        <w:t xml:space="preserve">19 showed greater change in mean (SD) </w:t>
      </w:r>
      <w:proofErr w:type="spellStart"/>
      <w:r w:rsidRPr="003E4742">
        <w:rPr>
          <w:sz w:val="24"/>
        </w:rPr>
        <w:t>cACT</w:t>
      </w:r>
      <w:proofErr w:type="spellEnd"/>
      <w:r w:rsidRPr="003E4742">
        <w:rPr>
          <w:sz w:val="24"/>
        </w:rPr>
        <w:t xml:space="preserve"> than those with baseline ACT</w:t>
      </w:r>
      <w:r w:rsidRPr="003E4742">
        <w:rPr>
          <w:rFonts w:cstheme="minorHAnsi"/>
          <w:sz w:val="24"/>
        </w:rPr>
        <w:t>≥</w:t>
      </w:r>
      <w:r w:rsidRPr="003E4742">
        <w:rPr>
          <w:sz w:val="24"/>
        </w:rPr>
        <w:t>20 (2.9 (3.3) vs. 0.9 (2.5), p&lt;0.001): this was true for both intervention and standard care groups (Table 3).</w:t>
      </w:r>
      <w:r>
        <w:rPr>
          <w:sz w:val="24"/>
        </w:rPr>
        <w:t xml:space="preserve"> </w:t>
      </w:r>
      <w:r w:rsidRPr="001B6C5B">
        <w:rPr>
          <w:sz w:val="24"/>
        </w:rPr>
        <w:t xml:space="preserve">Participants receiving </w:t>
      </w:r>
      <w:r>
        <w:rPr>
          <w:sz w:val="24"/>
        </w:rPr>
        <w:t>the intervention</w:t>
      </w:r>
      <w:r w:rsidRPr="001B6C5B">
        <w:rPr>
          <w:sz w:val="24"/>
        </w:rPr>
        <w:t xml:space="preserve"> </w:t>
      </w:r>
      <w:r w:rsidRPr="001B6C5B">
        <w:rPr>
          <w:sz w:val="24"/>
        </w:rPr>
        <w:lastRenderedPageBreak/>
        <w:t xml:space="preserve">reported improvement in symptoms and GINA score, with little change for those receiving standard care </w:t>
      </w:r>
      <w:r>
        <w:rPr>
          <w:sz w:val="24"/>
        </w:rPr>
        <w:t>(Figure 2</w:t>
      </w:r>
      <w:r w:rsidRPr="001B6C5B">
        <w:rPr>
          <w:sz w:val="24"/>
        </w:rPr>
        <w:t>).</w:t>
      </w:r>
    </w:p>
    <w:p w14:paraId="703BCA16" w14:textId="77777777" w:rsidR="004A16AD" w:rsidRPr="001B6C5B" w:rsidRDefault="004A16AD" w:rsidP="00CA4637">
      <w:pPr>
        <w:spacing w:line="480" w:lineRule="auto"/>
        <w:rPr>
          <w:sz w:val="24"/>
        </w:rPr>
      </w:pPr>
      <w:r w:rsidRPr="001B6C5B">
        <w:rPr>
          <w:sz w:val="24"/>
        </w:rPr>
        <w:t xml:space="preserve">Hospital admission and health facility attendance fell in both arms, compared to baseline. Compared with standard care, the </w:t>
      </w:r>
      <w:r>
        <w:rPr>
          <w:sz w:val="24"/>
        </w:rPr>
        <w:t>intervention</w:t>
      </w:r>
      <w:r w:rsidRPr="001B6C5B">
        <w:rPr>
          <w:sz w:val="24"/>
        </w:rPr>
        <w:t xml:space="preserve"> arm reported lower rates of admission (3.6% vs 10.2%, p=0.32), overall emergency health facility attendance (7.3% vs 25.4%, p=0.02), and school absence (20.0% vs 62.7%, p&lt;0.001) (</w:t>
      </w:r>
      <w:r>
        <w:rPr>
          <w:sz w:val="24"/>
        </w:rPr>
        <w:t>Table 3</w:t>
      </w:r>
      <w:r w:rsidRPr="001B6C5B">
        <w:rPr>
          <w:sz w:val="24"/>
        </w:rPr>
        <w:t>). Oral prednisolone was given during 8/30 (26.7%) exacerbations requiring emergency health care use.</w:t>
      </w:r>
    </w:p>
    <w:p w14:paraId="40C496F8" w14:textId="77777777" w:rsidR="004A16AD" w:rsidRDefault="004A16AD" w:rsidP="00CA4637">
      <w:pPr>
        <w:spacing w:line="480" w:lineRule="auto"/>
        <w:rPr>
          <w:sz w:val="24"/>
        </w:rPr>
      </w:pPr>
      <w:proofErr w:type="spellStart"/>
      <w:r w:rsidRPr="001B6C5B">
        <w:rPr>
          <w:sz w:val="24"/>
        </w:rPr>
        <w:t>FeNO</w:t>
      </w:r>
      <w:proofErr w:type="spellEnd"/>
      <w:r w:rsidRPr="001B6C5B">
        <w:rPr>
          <w:sz w:val="24"/>
        </w:rPr>
        <w:t xml:space="preserve"> levels and spirometry results were similar for both study arms at 3-months (</w:t>
      </w:r>
      <w:r>
        <w:rPr>
          <w:sz w:val="24"/>
        </w:rPr>
        <w:t>Table 3</w:t>
      </w:r>
      <w:r w:rsidRPr="001B6C5B">
        <w:rPr>
          <w:sz w:val="24"/>
        </w:rPr>
        <w:t xml:space="preserve">). There were no significant differences in age, sex, study arm and baseline </w:t>
      </w:r>
      <w:proofErr w:type="spellStart"/>
      <w:r w:rsidRPr="001B6C5B">
        <w:rPr>
          <w:sz w:val="24"/>
        </w:rPr>
        <w:t>cACT</w:t>
      </w:r>
      <w:proofErr w:type="spellEnd"/>
      <w:r w:rsidRPr="001B6C5B">
        <w:rPr>
          <w:sz w:val="24"/>
        </w:rPr>
        <w:t xml:space="preserve"> between those with and without spirometry results (</w:t>
      </w:r>
      <w:r>
        <w:rPr>
          <w:sz w:val="24"/>
        </w:rPr>
        <w:t>online supplementary table S4</w:t>
      </w:r>
      <w:r w:rsidRPr="001B6C5B">
        <w:rPr>
          <w:sz w:val="24"/>
        </w:rPr>
        <w:t xml:space="preserve">). </w:t>
      </w:r>
      <w:bookmarkStart w:id="14" w:name="_Ref38635304"/>
      <w:bookmarkStart w:id="15" w:name="_Ref39312130"/>
      <w:bookmarkStart w:id="16" w:name="_Toc39916968"/>
    </w:p>
    <w:p w14:paraId="50E06E00" w14:textId="77777777" w:rsidR="004A16AD" w:rsidRDefault="004A16AD">
      <w:pPr>
        <w:rPr>
          <w:rFonts w:cstheme="minorHAnsi"/>
          <w:b/>
          <w:color w:val="000000" w:themeColor="text1"/>
          <w:szCs w:val="18"/>
        </w:rPr>
      </w:pPr>
      <w:r>
        <w:rPr>
          <w:rFonts w:cstheme="minorHAnsi"/>
          <w:b/>
          <w:color w:val="000000" w:themeColor="text1"/>
          <w:szCs w:val="18"/>
        </w:rPr>
        <w:br w:type="page"/>
      </w:r>
    </w:p>
    <w:p w14:paraId="4CE8E1E5" w14:textId="77777777" w:rsidR="004A16AD" w:rsidRPr="000D0BD7" w:rsidRDefault="004A16AD" w:rsidP="00CA4637">
      <w:pPr>
        <w:spacing w:line="360" w:lineRule="auto"/>
        <w:rPr>
          <w:rFonts w:cstheme="minorHAnsi"/>
          <w:sz w:val="24"/>
        </w:rPr>
      </w:pPr>
      <w:r w:rsidRPr="001A70E9">
        <w:rPr>
          <w:rFonts w:cstheme="minorHAnsi"/>
          <w:b/>
          <w:color w:val="000000" w:themeColor="text1"/>
          <w:szCs w:val="18"/>
        </w:rPr>
        <w:lastRenderedPageBreak/>
        <w:t>Table</w:t>
      </w:r>
      <w:bookmarkEnd w:id="14"/>
      <w:r w:rsidRPr="001A70E9">
        <w:rPr>
          <w:rFonts w:cstheme="minorHAnsi"/>
          <w:b/>
          <w:color w:val="000000" w:themeColor="text1"/>
          <w:szCs w:val="18"/>
        </w:rPr>
        <w:t xml:space="preserve"> 3</w:t>
      </w:r>
      <w:r w:rsidRPr="001A70E9">
        <w:rPr>
          <w:rFonts w:cstheme="minorHAnsi"/>
          <w:b/>
          <w:noProof/>
          <w:color w:val="000000" w:themeColor="text1"/>
          <w:szCs w:val="18"/>
        </w:rPr>
        <w:t>.</w:t>
      </w:r>
      <w:r w:rsidRPr="001A70E9">
        <w:rPr>
          <w:rFonts w:cstheme="minorHAnsi"/>
          <w:b/>
          <w:color w:val="000000" w:themeColor="text1"/>
          <w:szCs w:val="18"/>
        </w:rPr>
        <w:t xml:space="preserve"> </w:t>
      </w:r>
      <w:r w:rsidRPr="001A70E9">
        <w:rPr>
          <w:rFonts w:cstheme="minorHAnsi"/>
          <w:bCs/>
          <w:color w:val="000000" w:themeColor="text1"/>
          <w:szCs w:val="18"/>
        </w:rPr>
        <w:t>Asthma outcomes at 3-months for 114 participants.</w:t>
      </w:r>
      <w:bookmarkEnd w:id="15"/>
      <w:bookmarkEnd w:id="16"/>
    </w:p>
    <w:tbl>
      <w:tblPr>
        <w:tblStyle w:val="PlainTable1"/>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828"/>
        <w:gridCol w:w="1417"/>
        <w:gridCol w:w="1418"/>
        <w:gridCol w:w="1412"/>
      </w:tblGrid>
      <w:tr w:rsidR="004A16AD" w:rsidRPr="001B6C5B" w14:paraId="056E5D84" w14:textId="77777777" w:rsidTr="00CA4637">
        <w:trPr>
          <w:cnfStyle w:val="100000000000" w:firstRow="1" w:lastRow="0" w:firstColumn="0" w:lastColumn="0" w:oddVBand="0" w:evenVBand="0" w:oddHBand="0" w:evenHBand="0" w:firstRowFirstColumn="0" w:firstRowLastColumn="0" w:lastRowFirstColumn="0" w:lastRowLastColumn="0"/>
        </w:trPr>
        <w:tc>
          <w:tcPr>
            <w:tcW w:w="3828" w:type="dxa"/>
            <w:tcBorders>
              <w:top w:val="single" w:sz="4" w:space="0" w:color="auto"/>
              <w:bottom w:val="single" w:sz="4" w:space="0" w:color="auto"/>
            </w:tcBorders>
          </w:tcPr>
          <w:p w14:paraId="1D2EFD9D" w14:textId="77777777" w:rsidR="004A16AD" w:rsidRPr="001B6C5B" w:rsidRDefault="004A16AD" w:rsidP="00CA4637">
            <w:pPr>
              <w:spacing w:line="276" w:lineRule="auto"/>
            </w:pPr>
          </w:p>
        </w:tc>
        <w:tc>
          <w:tcPr>
            <w:tcW w:w="1417" w:type="dxa"/>
            <w:tcBorders>
              <w:top w:val="single" w:sz="4" w:space="0" w:color="auto"/>
              <w:bottom w:val="single" w:sz="4" w:space="0" w:color="auto"/>
            </w:tcBorders>
          </w:tcPr>
          <w:p w14:paraId="2EC42755" w14:textId="77777777" w:rsidR="004A16AD" w:rsidRPr="00692E44" w:rsidRDefault="004A16AD" w:rsidP="00CA4637">
            <w:pPr>
              <w:spacing w:line="276" w:lineRule="auto"/>
            </w:pPr>
            <w:r w:rsidRPr="00692E44">
              <w:t>Intervention</w:t>
            </w:r>
          </w:p>
          <w:p w14:paraId="3625C3AB" w14:textId="77777777" w:rsidR="004A16AD" w:rsidRPr="00692E44" w:rsidRDefault="004A16AD" w:rsidP="00CA4637">
            <w:pPr>
              <w:spacing w:line="276" w:lineRule="auto"/>
            </w:pPr>
            <w:r w:rsidRPr="00692E44">
              <w:t>n=55</w:t>
            </w:r>
          </w:p>
        </w:tc>
        <w:tc>
          <w:tcPr>
            <w:tcW w:w="1418" w:type="dxa"/>
            <w:tcBorders>
              <w:top w:val="single" w:sz="4" w:space="0" w:color="auto"/>
              <w:bottom w:val="single" w:sz="4" w:space="0" w:color="auto"/>
            </w:tcBorders>
          </w:tcPr>
          <w:p w14:paraId="61D03E27" w14:textId="77777777" w:rsidR="004A16AD" w:rsidRPr="00692E44" w:rsidRDefault="004A16AD" w:rsidP="00CA4637">
            <w:pPr>
              <w:spacing w:line="276" w:lineRule="auto"/>
            </w:pPr>
            <w:r w:rsidRPr="00692E44">
              <w:t>Standard care</w:t>
            </w:r>
          </w:p>
          <w:p w14:paraId="0CED3F81" w14:textId="77777777" w:rsidR="004A16AD" w:rsidRPr="00692E44" w:rsidRDefault="004A16AD" w:rsidP="00CA4637">
            <w:pPr>
              <w:spacing w:line="276" w:lineRule="auto"/>
            </w:pPr>
            <w:r w:rsidRPr="00692E44">
              <w:t>n=59</w:t>
            </w:r>
          </w:p>
        </w:tc>
        <w:tc>
          <w:tcPr>
            <w:tcW w:w="1412" w:type="dxa"/>
            <w:tcBorders>
              <w:top w:val="single" w:sz="4" w:space="0" w:color="auto"/>
              <w:bottom w:val="single" w:sz="4" w:space="0" w:color="auto"/>
            </w:tcBorders>
          </w:tcPr>
          <w:p w14:paraId="04A9E978" w14:textId="77777777" w:rsidR="004A16AD" w:rsidRPr="00692E44" w:rsidRDefault="004A16AD" w:rsidP="00CA4637">
            <w:pPr>
              <w:spacing w:line="276" w:lineRule="auto"/>
            </w:pPr>
            <w:r w:rsidRPr="00692E44">
              <w:t>Comparison</w:t>
            </w:r>
          </w:p>
        </w:tc>
      </w:tr>
      <w:tr w:rsidR="004A16AD" w:rsidRPr="001B6C5B" w14:paraId="311459C6"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Borders>
              <w:top w:val="single" w:sz="4" w:space="0" w:color="auto"/>
              <w:bottom w:val="single" w:sz="4" w:space="0" w:color="auto"/>
            </w:tcBorders>
          </w:tcPr>
          <w:p w14:paraId="760637EA" w14:textId="77777777" w:rsidR="004A16AD" w:rsidRPr="001B6C5B" w:rsidRDefault="004A16AD" w:rsidP="00CA4637">
            <w:pPr>
              <w:spacing w:line="276" w:lineRule="auto"/>
              <w:rPr>
                <w:b/>
                <w:bCs/>
              </w:rPr>
            </w:pPr>
            <w:r w:rsidRPr="001B6C5B">
              <w:rPr>
                <w:b/>
                <w:bCs/>
              </w:rPr>
              <w:t xml:space="preserve">Primary outcome: </w:t>
            </w:r>
            <w:proofErr w:type="spellStart"/>
            <w:r w:rsidRPr="001B6C5B">
              <w:rPr>
                <w:b/>
                <w:bCs/>
              </w:rPr>
              <w:t>cACT</w:t>
            </w:r>
            <w:proofErr w:type="spellEnd"/>
            <w:r w:rsidRPr="001B6C5B">
              <w:rPr>
                <w:b/>
                <w:bCs/>
              </w:rPr>
              <w:t xml:space="preserve"> score</w:t>
            </w:r>
          </w:p>
        </w:tc>
        <w:tc>
          <w:tcPr>
            <w:tcW w:w="1417" w:type="dxa"/>
            <w:tcBorders>
              <w:top w:val="single" w:sz="4" w:space="0" w:color="auto"/>
              <w:bottom w:val="single" w:sz="4" w:space="0" w:color="auto"/>
            </w:tcBorders>
          </w:tcPr>
          <w:p w14:paraId="679BF73A" w14:textId="77777777" w:rsidR="004A16AD" w:rsidRPr="001B6C5B" w:rsidRDefault="004A16AD" w:rsidP="00CA4637">
            <w:pPr>
              <w:spacing w:line="276" w:lineRule="auto"/>
            </w:pPr>
          </w:p>
        </w:tc>
        <w:tc>
          <w:tcPr>
            <w:tcW w:w="1418" w:type="dxa"/>
            <w:tcBorders>
              <w:top w:val="single" w:sz="4" w:space="0" w:color="auto"/>
              <w:bottom w:val="single" w:sz="4" w:space="0" w:color="auto"/>
            </w:tcBorders>
          </w:tcPr>
          <w:p w14:paraId="65686993" w14:textId="77777777" w:rsidR="004A16AD" w:rsidRPr="001B6C5B" w:rsidRDefault="004A16AD" w:rsidP="00CA4637">
            <w:pPr>
              <w:spacing w:line="276" w:lineRule="auto"/>
            </w:pPr>
          </w:p>
        </w:tc>
        <w:tc>
          <w:tcPr>
            <w:tcW w:w="1412" w:type="dxa"/>
            <w:tcBorders>
              <w:top w:val="single" w:sz="4" w:space="0" w:color="auto"/>
              <w:bottom w:val="single" w:sz="4" w:space="0" w:color="auto"/>
            </w:tcBorders>
          </w:tcPr>
          <w:p w14:paraId="71A70FC1" w14:textId="77777777" w:rsidR="004A16AD" w:rsidRPr="001B6C5B" w:rsidRDefault="004A16AD" w:rsidP="00CA4637">
            <w:pPr>
              <w:spacing w:line="276" w:lineRule="auto"/>
            </w:pPr>
          </w:p>
        </w:tc>
      </w:tr>
      <w:tr w:rsidR="004A16AD" w:rsidRPr="001B6C5B" w14:paraId="36572F49" w14:textId="77777777" w:rsidTr="001A70E9">
        <w:tc>
          <w:tcPr>
            <w:tcW w:w="0" w:type="dxa"/>
            <w:tcBorders>
              <w:top w:val="single" w:sz="4" w:space="0" w:color="auto"/>
              <w:bottom w:val="single" w:sz="4" w:space="0" w:color="auto"/>
            </w:tcBorders>
          </w:tcPr>
          <w:p w14:paraId="74C4C1BD" w14:textId="77777777" w:rsidR="004A16AD" w:rsidRPr="001B6C5B" w:rsidRDefault="004A16AD" w:rsidP="00CA4637">
            <w:pPr>
              <w:spacing w:line="276" w:lineRule="auto"/>
            </w:pPr>
            <w:proofErr w:type="spellStart"/>
            <w:r w:rsidRPr="001B6C5B">
              <w:t>cACT</w:t>
            </w:r>
            <w:proofErr w:type="spellEnd"/>
            <w:r w:rsidRPr="001B6C5B">
              <w:t xml:space="preserve"> score, mean (SD)</w:t>
            </w:r>
          </w:p>
        </w:tc>
        <w:tc>
          <w:tcPr>
            <w:tcW w:w="0" w:type="dxa"/>
            <w:tcBorders>
              <w:top w:val="single" w:sz="4" w:space="0" w:color="auto"/>
              <w:bottom w:val="single" w:sz="4" w:space="0" w:color="auto"/>
            </w:tcBorders>
          </w:tcPr>
          <w:p w14:paraId="3B49746F" w14:textId="77777777" w:rsidR="004A16AD" w:rsidRPr="001B6C5B" w:rsidRDefault="004A16AD" w:rsidP="00CA4637">
            <w:pPr>
              <w:spacing w:line="276" w:lineRule="auto"/>
            </w:pPr>
            <w:r w:rsidRPr="001B6C5B">
              <w:t>22.9 (2.3)</w:t>
            </w:r>
          </w:p>
        </w:tc>
        <w:tc>
          <w:tcPr>
            <w:tcW w:w="0" w:type="dxa"/>
            <w:tcBorders>
              <w:top w:val="single" w:sz="4" w:space="0" w:color="auto"/>
              <w:bottom w:val="single" w:sz="4" w:space="0" w:color="auto"/>
            </w:tcBorders>
          </w:tcPr>
          <w:p w14:paraId="0C049B12" w14:textId="77777777" w:rsidR="004A16AD" w:rsidRPr="001B6C5B" w:rsidRDefault="004A16AD" w:rsidP="00CA4637">
            <w:pPr>
              <w:spacing w:line="276" w:lineRule="auto"/>
            </w:pPr>
            <w:r w:rsidRPr="001B6C5B">
              <w:t>20.8 (3.0)</w:t>
            </w:r>
          </w:p>
        </w:tc>
        <w:tc>
          <w:tcPr>
            <w:tcW w:w="0" w:type="dxa"/>
            <w:tcBorders>
              <w:top w:val="single" w:sz="4" w:space="0" w:color="auto"/>
              <w:bottom w:val="single" w:sz="4" w:space="0" w:color="auto"/>
            </w:tcBorders>
          </w:tcPr>
          <w:p w14:paraId="27BDC5BA" w14:textId="77777777" w:rsidR="004A16AD" w:rsidRPr="001B6C5B" w:rsidRDefault="004A16AD" w:rsidP="00CA4637">
            <w:pPr>
              <w:spacing w:line="276" w:lineRule="auto"/>
            </w:pPr>
            <w:r w:rsidRPr="001B6C5B">
              <w:t>P&lt;0.001</w:t>
            </w:r>
          </w:p>
        </w:tc>
      </w:tr>
      <w:tr w:rsidR="004A16AD" w:rsidRPr="001B6C5B" w14:paraId="22945815" w14:textId="77777777" w:rsidTr="001A70E9">
        <w:trPr>
          <w:cnfStyle w:val="000000100000" w:firstRow="0" w:lastRow="0" w:firstColumn="0" w:lastColumn="0" w:oddVBand="0" w:evenVBand="0" w:oddHBand="1" w:evenHBand="0" w:firstRowFirstColumn="0" w:firstRowLastColumn="0" w:lastRowFirstColumn="0" w:lastRowLastColumn="0"/>
        </w:trPr>
        <w:tc>
          <w:tcPr>
            <w:tcW w:w="0" w:type="dxa"/>
            <w:tcBorders>
              <w:top w:val="single" w:sz="4" w:space="0" w:color="auto"/>
            </w:tcBorders>
          </w:tcPr>
          <w:p w14:paraId="49BDDEA2" w14:textId="77777777" w:rsidR="004A16AD" w:rsidRPr="001B6C5B" w:rsidRDefault="004A16AD" w:rsidP="00CA4637">
            <w:pPr>
              <w:spacing w:line="276" w:lineRule="auto"/>
            </w:pPr>
            <w:r w:rsidRPr="001B6C5B">
              <w:t xml:space="preserve">Change in </w:t>
            </w:r>
            <w:proofErr w:type="spellStart"/>
            <w:r w:rsidRPr="001B6C5B">
              <w:t>cACT</w:t>
            </w:r>
            <w:proofErr w:type="spellEnd"/>
            <w:r w:rsidRPr="001B6C5B">
              <w:t xml:space="preserve"> score from baseline, mean (SD)</w:t>
            </w:r>
          </w:p>
        </w:tc>
        <w:tc>
          <w:tcPr>
            <w:tcW w:w="0" w:type="dxa"/>
            <w:tcBorders>
              <w:top w:val="single" w:sz="4" w:space="0" w:color="auto"/>
            </w:tcBorders>
          </w:tcPr>
          <w:p w14:paraId="1412C1E6" w14:textId="77777777" w:rsidR="004A16AD" w:rsidRPr="001B6C5B" w:rsidRDefault="004A16AD" w:rsidP="00CA4637">
            <w:pPr>
              <w:spacing w:line="276" w:lineRule="auto"/>
            </w:pPr>
            <w:r w:rsidRPr="001B6C5B">
              <w:t>2.7 (2.8)</w:t>
            </w:r>
          </w:p>
        </w:tc>
        <w:tc>
          <w:tcPr>
            <w:tcW w:w="0" w:type="dxa"/>
            <w:tcBorders>
              <w:top w:val="single" w:sz="4" w:space="0" w:color="auto"/>
            </w:tcBorders>
          </w:tcPr>
          <w:p w14:paraId="2EA54E40" w14:textId="77777777" w:rsidR="004A16AD" w:rsidRPr="001B6C5B" w:rsidRDefault="004A16AD" w:rsidP="00CA4637">
            <w:pPr>
              <w:spacing w:line="276" w:lineRule="auto"/>
            </w:pPr>
            <w:r w:rsidRPr="001B6C5B">
              <w:t>0.6 (2.8)</w:t>
            </w:r>
          </w:p>
        </w:tc>
        <w:tc>
          <w:tcPr>
            <w:tcW w:w="0" w:type="dxa"/>
            <w:tcBorders>
              <w:top w:val="single" w:sz="4" w:space="0" w:color="auto"/>
            </w:tcBorders>
          </w:tcPr>
          <w:p w14:paraId="16B7C1D9" w14:textId="77777777" w:rsidR="004A16AD" w:rsidRPr="001B6C5B" w:rsidRDefault="004A16AD" w:rsidP="00CA4637">
            <w:pPr>
              <w:spacing w:line="276" w:lineRule="auto"/>
            </w:pPr>
            <w:r w:rsidRPr="001B6C5B">
              <w:t>P&lt;0.001</w:t>
            </w:r>
          </w:p>
        </w:tc>
      </w:tr>
      <w:tr w:rsidR="004A16AD" w:rsidRPr="001B6C5B" w14:paraId="21AA52AD" w14:textId="77777777" w:rsidTr="001A70E9">
        <w:tc>
          <w:tcPr>
            <w:tcW w:w="0" w:type="dxa"/>
          </w:tcPr>
          <w:p w14:paraId="3003E496" w14:textId="77777777" w:rsidR="004A16AD" w:rsidRPr="00041604" w:rsidRDefault="004A16AD" w:rsidP="001A70E9">
            <w:pPr>
              <w:spacing w:line="276" w:lineRule="auto"/>
              <w:ind w:left="720"/>
            </w:pPr>
            <w:r w:rsidRPr="00041604">
              <w:t xml:space="preserve">Stratified: baseline </w:t>
            </w:r>
            <w:proofErr w:type="spellStart"/>
            <w:r w:rsidRPr="00041604">
              <w:t>cACT</w:t>
            </w:r>
            <w:proofErr w:type="spellEnd"/>
            <w:r w:rsidRPr="00041604">
              <w:t xml:space="preserve"> </w:t>
            </w:r>
            <w:r w:rsidRPr="00041604">
              <w:rPr>
                <w:rFonts w:cstheme="minorHAnsi"/>
              </w:rPr>
              <w:t>≤</w:t>
            </w:r>
            <w:r w:rsidRPr="00041604">
              <w:t>19</w:t>
            </w:r>
          </w:p>
        </w:tc>
        <w:tc>
          <w:tcPr>
            <w:tcW w:w="0" w:type="dxa"/>
          </w:tcPr>
          <w:p w14:paraId="206528DC" w14:textId="77777777" w:rsidR="004A16AD" w:rsidRDefault="004A16AD" w:rsidP="00CA4637">
            <w:pPr>
              <w:spacing w:line="276" w:lineRule="auto"/>
            </w:pPr>
            <w:r>
              <w:t xml:space="preserve">4.7 (2.6) </w:t>
            </w:r>
            <w:r w:rsidRPr="008C678E">
              <w:rPr>
                <w:i/>
                <w:iCs/>
              </w:rPr>
              <w:t>n=2</w:t>
            </w:r>
            <w:r>
              <w:rPr>
                <w:i/>
                <w:iCs/>
              </w:rPr>
              <w:t>1</w:t>
            </w:r>
          </w:p>
        </w:tc>
        <w:tc>
          <w:tcPr>
            <w:tcW w:w="0" w:type="dxa"/>
          </w:tcPr>
          <w:p w14:paraId="63DD35A5" w14:textId="77777777" w:rsidR="004A16AD" w:rsidRDefault="004A16AD" w:rsidP="00CA4637">
            <w:pPr>
              <w:spacing w:line="276" w:lineRule="auto"/>
            </w:pPr>
            <w:r>
              <w:t>1.1 (3.0)</w:t>
            </w:r>
          </w:p>
          <w:p w14:paraId="385FDDD9" w14:textId="77777777" w:rsidR="004A16AD" w:rsidRDefault="004A16AD" w:rsidP="00CA4637">
            <w:pPr>
              <w:spacing w:line="276" w:lineRule="auto"/>
            </w:pPr>
            <w:r w:rsidRPr="008C678E">
              <w:rPr>
                <w:i/>
                <w:iCs/>
              </w:rPr>
              <w:t>n=21</w:t>
            </w:r>
          </w:p>
        </w:tc>
        <w:tc>
          <w:tcPr>
            <w:tcW w:w="0" w:type="dxa"/>
          </w:tcPr>
          <w:p w14:paraId="50CE9EAE" w14:textId="77777777" w:rsidR="004A16AD" w:rsidRDefault="004A16AD" w:rsidP="00CA4637">
            <w:pPr>
              <w:spacing w:line="276" w:lineRule="auto"/>
            </w:pPr>
            <w:r>
              <w:t>P&lt;0.001</w:t>
            </w:r>
          </w:p>
        </w:tc>
      </w:tr>
      <w:tr w:rsidR="004A16AD" w:rsidRPr="001B6C5B" w14:paraId="50BB9FDB"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Borders>
              <w:bottom w:val="single" w:sz="4" w:space="0" w:color="auto"/>
            </w:tcBorders>
          </w:tcPr>
          <w:p w14:paraId="1E328C0B" w14:textId="77777777" w:rsidR="004A16AD" w:rsidRPr="001B6C5B" w:rsidRDefault="004A16AD" w:rsidP="001A70E9">
            <w:pPr>
              <w:spacing w:line="276" w:lineRule="auto"/>
              <w:ind w:left="720"/>
            </w:pPr>
            <w:r>
              <w:t xml:space="preserve">Stratified: baseline </w:t>
            </w:r>
            <w:proofErr w:type="spellStart"/>
            <w:r>
              <w:t>cACT</w:t>
            </w:r>
            <w:proofErr w:type="spellEnd"/>
            <w:r>
              <w:t xml:space="preserve"> </w:t>
            </w:r>
            <w:r>
              <w:rPr>
                <w:rFonts w:cstheme="minorHAnsi"/>
              </w:rPr>
              <w:t>≥</w:t>
            </w:r>
            <w:r>
              <w:t>20</w:t>
            </w:r>
          </w:p>
        </w:tc>
        <w:tc>
          <w:tcPr>
            <w:tcW w:w="1417" w:type="dxa"/>
            <w:tcBorders>
              <w:bottom w:val="single" w:sz="4" w:space="0" w:color="auto"/>
            </w:tcBorders>
          </w:tcPr>
          <w:p w14:paraId="143349A1" w14:textId="77777777" w:rsidR="004A16AD" w:rsidRDefault="004A16AD" w:rsidP="00CA4637">
            <w:pPr>
              <w:spacing w:line="276" w:lineRule="auto"/>
            </w:pPr>
            <w:r>
              <w:t>1.5 (2.2)</w:t>
            </w:r>
          </w:p>
          <w:p w14:paraId="0E9C71D8" w14:textId="77777777" w:rsidR="004A16AD" w:rsidRPr="001B6C5B" w:rsidRDefault="004A16AD" w:rsidP="00CA4637">
            <w:pPr>
              <w:spacing w:line="276" w:lineRule="auto"/>
            </w:pPr>
            <w:r w:rsidRPr="008C678E">
              <w:rPr>
                <w:i/>
                <w:iCs/>
              </w:rPr>
              <w:t>n=34</w:t>
            </w:r>
          </w:p>
        </w:tc>
        <w:tc>
          <w:tcPr>
            <w:tcW w:w="1418" w:type="dxa"/>
            <w:tcBorders>
              <w:bottom w:val="single" w:sz="4" w:space="0" w:color="auto"/>
            </w:tcBorders>
          </w:tcPr>
          <w:p w14:paraId="22C82278" w14:textId="77777777" w:rsidR="004A16AD" w:rsidRDefault="004A16AD" w:rsidP="00CA4637">
            <w:pPr>
              <w:spacing w:line="276" w:lineRule="auto"/>
            </w:pPr>
            <w:r>
              <w:t>0.3 (2.7)</w:t>
            </w:r>
          </w:p>
          <w:p w14:paraId="72DF1581" w14:textId="77777777" w:rsidR="004A16AD" w:rsidRPr="001B6C5B" w:rsidRDefault="004A16AD" w:rsidP="00CA4637">
            <w:pPr>
              <w:spacing w:line="276" w:lineRule="auto"/>
            </w:pPr>
            <w:r w:rsidRPr="008C678E">
              <w:rPr>
                <w:i/>
                <w:iCs/>
              </w:rPr>
              <w:t>n=38</w:t>
            </w:r>
          </w:p>
        </w:tc>
        <w:tc>
          <w:tcPr>
            <w:tcW w:w="1412" w:type="dxa"/>
            <w:tcBorders>
              <w:bottom w:val="single" w:sz="4" w:space="0" w:color="auto"/>
            </w:tcBorders>
          </w:tcPr>
          <w:p w14:paraId="7348F3BD" w14:textId="77777777" w:rsidR="004A16AD" w:rsidRPr="001B6C5B" w:rsidRDefault="004A16AD" w:rsidP="00CA4637">
            <w:pPr>
              <w:spacing w:line="276" w:lineRule="auto"/>
            </w:pPr>
            <w:r>
              <w:t>P=0.046</w:t>
            </w:r>
          </w:p>
        </w:tc>
      </w:tr>
      <w:tr w:rsidR="004A16AD" w:rsidRPr="001B6C5B" w14:paraId="37D3727D" w14:textId="77777777" w:rsidTr="00CA4637">
        <w:tc>
          <w:tcPr>
            <w:tcW w:w="3828" w:type="dxa"/>
            <w:tcBorders>
              <w:top w:val="single" w:sz="4" w:space="0" w:color="auto"/>
              <w:bottom w:val="single" w:sz="4" w:space="0" w:color="auto"/>
            </w:tcBorders>
          </w:tcPr>
          <w:p w14:paraId="48F07AB0" w14:textId="77777777" w:rsidR="004A16AD" w:rsidRPr="001B6C5B" w:rsidRDefault="004A16AD" w:rsidP="00CA4637">
            <w:pPr>
              <w:spacing w:line="276" w:lineRule="auto"/>
              <w:rPr>
                <w:b/>
                <w:bCs/>
              </w:rPr>
            </w:pPr>
            <w:r w:rsidRPr="001B6C5B">
              <w:rPr>
                <w:b/>
                <w:bCs/>
              </w:rPr>
              <w:t>Secondary outcomes</w:t>
            </w:r>
          </w:p>
        </w:tc>
        <w:tc>
          <w:tcPr>
            <w:tcW w:w="1417" w:type="dxa"/>
            <w:tcBorders>
              <w:top w:val="single" w:sz="4" w:space="0" w:color="auto"/>
              <w:bottom w:val="single" w:sz="4" w:space="0" w:color="auto"/>
            </w:tcBorders>
          </w:tcPr>
          <w:p w14:paraId="4C9F7B84" w14:textId="77777777" w:rsidR="004A16AD" w:rsidRPr="001B6C5B" w:rsidRDefault="004A16AD" w:rsidP="00CA4637">
            <w:pPr>
              <w:spacing w:line="276" w:lineRule="auto"/>
            </w:pPr>
          </w:p>
        </w:tc>
        <w:tc>
          <w:tcPr>
            <w:tcW w:w="1418" w:type="dxa"/>
            <w:tcBorders>
              <w:top w:val="single" w:sz="4" w:space="0" w:color="auto"/>
              <w:bottom w:val="single" w:sz="4" w:space="0" w:color="auto"/>
            </w:tcBorders>
          </w:tcPr>
          <w:p w14:paraId="1D525F08" w14:textId="77777777" w:rsidR="004A16AD" w:rsidRPr="001B6C5B" w:rsidRDefault="004A16AD" w:rsidP="00CA4637">
            <w:pPr>
              <w:spacing w:line="276" w:lineRule="auto"/>
            </w:pPr>
          </w:p>
        </w:tc>
        <w:tc>
          <w:tcPr>
            <w:tcW w:w="1412" w:type="dxa"/>
            <w:tcBorders>
              <w:top w:val="single" w:sz="4" w:space="0" w:color="auto"/>
              <w:bottom w:val="single" w:sz="4" w:space="0" w:color="auto"/>
            </w:tcBorders>
          </w:tcPr>
          <w:p w14:paraId="7C1474D8" w14:textId="77777777" w:rsidR="004A16AD" w:rsidRPr="001B6C5B" w:rsidRDefault="004A16AD" w:rsidP="00CA4637">
            <w:pPr>
              <w:spacing w:line="276" w:lineRule="auto"/>
            </w:pPr>
          </w:p>
        </w:tc>
      </w:tr>
      <w:tr w:rsidR="004A16AD" w:rsidRPr="001B6C5B" w14:paraId="4D62A1D1"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Borders>
              <w:top w:val="single" w:sz="4" w:space="0" w:color="auto"/>
              <w:bottom w:val="single" w:sz="4" w:space="0" w:color="auto"/>
            </w:tcBorders>
          </w:tcPr>
          <w:p w14:paraId="45DBEE2A" w14:textId="77777777" w:rsidR="004A16AD" w:rsidRPr="001B6C5B" w:rsidRDefault="004A16AD" w:rsidP="00CA4637">
            <w:pPr>
              <w:spacing w:line="276" w:lineRule="auto"/>
              <w:rPr>
                <w:b/>
                <w:bCs/>
                <w:i/>
                <w:iCs/>
              </w:rPr>
            </w:pPr>
            <w:r w:rsidRPr="001B6C5B">
              <w:rPr>
                <w:b/>
                <w:bCs/>
                <w:i/>
                <w:iCs/>
              </w:rPr>
              <w:t>Health care use</w:t>
            </w:r>
          </w:p>
        </w:tc>
        <w:tc>
          <w:tcPr>
            <w:tcW w:w="1417" w:type="dxa"/>
            <w:tcBorders>
              <w:top w:val="single" w:sz="4" w:space="0" w:color="auto"/>
              <w:bottom w:val="single" w:sz="4" w:space="0" w:color="auto"/>
            </w:tcBorders>
          </w:tcPr>
          <w:p w14:paraId="214CA969" w14:textId="77777777" w:rsidR="004A16AD" w:rsidRPr="001B6C5B" w:rsidRDefault="004A16AD" w:rsidP="00CA4637">
            <w:pPr>
              <w:spacing w:line="276" w:lineRule="auto"/>
            </w:pPr>
          </w:p>
        </w:tc>
        <w:tc>
          <w:tcPr>
            <w:tcW w:w="1418" w:type="dxa"/>
            <w:tcBorders>
              <w:top w:val="single" w:sz="4" w:space="0" w:color="auto"/>
              <w:bottom w:val="single" w:sz="4" w:space="0" w:color="auto"/>
            </w:tcBorders>
          </w:tcPr>
          <w:p w14:paraId="150BE70E" w14:textId="77777777" w:rsidR="004A16AD" w:rsidRPr="001B6C5B" w:rsidRDefault="004A16AD" w:rsidP="00CA4637">
            <w:pPr>
              <w:spacing w:line="276" w:lineRule="auto"/>
            </w:pPr>
          </w:p>
        </w:tc>
        <w:tc>
          <w:tcPr>
            <w:tcW w:w="1412" w:type="dxa"/>
            <w:tcBorders>
              <w:top w:val="single" w:sz="4" w:space="0" w:color="auto"/>
              <w:bottom w:val="single" w:sz="4" w:space="0" w:color="auto"/>
            </w:tcBorders>
          </w:tcPr>
          <w:p w14:paraId="04ABC9A0" w14:textId="77777777" w:rsidR="004A16AD" w:rsidRPr="001B6C5B" w:rsidRDefault="004A16AD" w:rsidP="00CA4637">
            <w:pPr>
              <w:spacing w:line="276" w:lineRule="auto"/>
            </w:pPr>
          </w:p>
        </w:tc>
      </w:tr>
      <w:tr w:rsidR="004A16AD" w:rsidRPr="001B6C5B" w14:paraId="2215DA9C" w14:textId="77777777" w:rsidTr="00CA4637">
        <w:tc>
          <w:tcPr>
            <w:tcW w:w="3828" w:type="dxa"/>
            <w:tcBorders>
              <w:top w:val="single" w:sz="4" w:space="0" w:color="auto"/>
            </w:tcBorders>
          </w:tcPr>
          <w:p w14:paraId="5BE6AC96" w14:textId="77777777" w:rsidR="004A16AD" w:rsidRPr="001B6C5B" w:rsidRDefault="004A16AD" w:rsidP="00CA4637">
            <w:pPr>
              <w:spacing w:line="276" w:lineRule="auto"/>
            </w:pPr>
            <w:r w:rsidRPr="001B6C5B">
              <w:t>Exacerbations with hospitalization, no. children (%)</w:t>
            </w:r>
          </w:p>
        </w:tc>
        <w:tc>
          <w:tcPr>
            <w:tcW w:w="1417" w:type="dxa"/>
            <w:tcBorders>
              <w:top w:val="single" w:sz="4" w:space="0" w:color="auto"/>
            </w:tcBorders>
          </w:tcPr>
          <w:p w14:paraId="3B77D248" w14:textId="77777777" w:rsidR="004A16AD" w:rsidRPr="001B6C5B" w:rsidRDefault="004A16AD" w:rsidP="00CA4637">
            <w:pPr>
              <w:spacing w:line="276" w:lineRule="auto"/>
            </w:pPr>
            <w:r w:rsidRPr="001B6C5B">
              <w:t>2 (3.6)</w:t>
            </w:r>
          </w:p>
        </w:tc>
        <w:tc>
          <w:tcPr>
            <w:tcW w:w="1418" w:type="dxa"/>
            <w:tcBorders>
              <w:top w:val="single" w:sz="4" w:space="0" w:color="auto"/>
            </w:tcBorders>
          </w:tcPr>
          <w:p w14:paraId="7ECADB2F" w14:textId="77777777" w:rsidR="004A16AD" w:rsidRPr="001B6C5B" w:rsidRDefault="004A16AD" w:rsidP="00CA4637">
            <w:pPr>
              <w:spacing w:line="276" w:lineRule="auto"/>
            </w:pPr>
            <w:r w:rsidRPr="001B6C5B">
              <w:t>6 (10.2)</w:t>
            </w:r>
          </w:p>
        </w:tc>
        <w:tc>
          <w:tcPr>
            <w:tcW w:w="1412" w:type="dxa"/>
            <w:tcBorders>
              <w:top w:val="single" w:sz="4" w:space="0" w:color="auto"/>
            </w:tcBorders>
          </w:tcPr>
          <w:p w14:paraId="4747A1C5" w14:textId="77777777" w:rsidR="004A16AD" w:rsidRPr="001B6C5B" w:rsidRDefault="004A16AD" w:rsidP="00CA4637">
            <w:pPr>
              <w:spacing w:line="276" w:lineRule="auto"/>
            </w:pPr>
            <w:r w:rsidRPr="001B6C5B">
              <w:t>P=0.32</w:t>
            </w:r>
          </w:p>
        </w:tc>
      </w:tr>
      <w:tr w:rsidR="004A16AD" w:rsidRPr="001B6C5B" w14:paraId="374723C9"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Pr>
          <w:p w14:paraId="3B70568F" w14:textId="77777777" w:rsidR="004A16AD" w:rsidRPr="001B6C5B" w:rsidRDefault="004A16AD" w:rsidP="00CA4637">
            <w:pPr>
              <w:spacing w:line="276" w:lineRule="auto"/>
            </w:pPr>
            <w:r w:rsidRPr="001B6C5B">
              <w:t>Exacerbations with health facility attendance but not admission, no. children (%)</w:t>
            </w:r>
          </w:p>
        </w:tc>
        <w:tc>
          <w:tcPr>
            <w:tcW w:w="1417" w:type="dxa"/>
          </w:tcPr>
          <w:p w14:paraId="5FB57527" w14:textId="77777777" w:rsidR="004A16AD" w:rsidRPr="001B6C5B" w:rsidRDefault="004A16AD" w:rsidP="00CA4637">
            <w:pPr>
              <w:spacing w:line="276" w:lineRule="auto"/>
            </w:pPr>
            <w:r w:rsidRPr="001B6C5B">
              <w:t>3 (5.5)</w:t>
            </w:r>
          </w:p>
          <w:p w14:paraId="4F5C44C4" w14:textId="77777777" w:rsidR="004A16AD" w:rsidRPr="001B6C5B" w:rsidRDefault="004A16AD" w:rsidP="00CA4637">
            <w:pPr>
              <w:spacing w:line="276" w:lineRule="auto"/>
            </w:pPr>
          </w:p>
        </w:tc>
        <w:tc>
          <w:tcPr>
            <w:tcW w:w="1418" w:type="dxa"/>
          </w:tcPr>
          <w:p w14:paraId="21C6E6C0" w14:textId="77777777" w:rsidR="004A16AD" w:rsidRPr="001B6C5B" w:rsidRDefault="004A16AD" w:rsidP="00CA4637">
            <w:pPr>
              <w:spacing w:line="276" w:lineRule="auto"/>
            </w:pPr>
            <w:r w:rsidRPr="001B6C5B">
              <w:t>11 (18.6)</w:t>
            </w:r>
          </w:p>
          <w:p w14:paraId="668F1B87" w14:textId="77777777" w:rsidR="004A16AD" w:rsidRPr="001B6C5B" w:rsidRDefault="004A16AD" w:rsidP="00CA4637">
            <w:pPr>
              <w:spacing w:line="276" w:lineRule="auto"/>
            </w:pPr>
          </w:p>
        </w:tc>
        <w:tc>
          <w:tcPr>
            <w:tcW w:w="1412" w:type="dxa"/>
          </w:tcPr>
          <w:p w14:paraId="1B200AB3" w14:textId="77777777" w:rsidR="004A16AD" w:rsidRPr="001B6C5B" w:rsidRDefault="004A16AD" w:rsidP="00CA4637">
            <w:pPr>
              <w:spacing w:line="276" w:lineRule="auto"/>
            </w:pPr>
            <w:r w:rsidRPr="001B6C5B">
              <w:t>P=0.06</w:t>
            </w:r>
          </w:p>
        </w:tc>
      </w:tr>
      <w:tr w:rsidR="004A16AD" w:rsidRPr="001B6C5B" w14:paraId="437EB953" w14:textId="77777777" w:rsidTr="00CA4637">
        <w:tc>
          <w:tcPr>
            <w:tcW w:w="3828" w:type="dxa"/>
            <w:tcBorders>
              <w:bottom w:val="single" w:sz="4" w:space="0" w:color="auto"/>
            </w:tcBorders>
          </w:tcPr>
          <w:p w14:paraId="3F3496AF" w14:textId="77777777" w:rsidR="004A16AD" w:rsidRPr="001B6C5B" w:rsidRDefault="004A16AD" w:rsidP="00CA4637">
            <w:pPr>
              <w:spacing w:line="276" w:lineRule="auto"/>
            </w:pPr>
            <w:r w:rsidRPr="001B6C5B">
              <w:t>Exacerbations with any emergency health care use, no. children (%)</w:t>
            </w:r>
          </w:p>
        </w:tc>
        <w:tc>
          <w:tcPr>
            <w:tcW w:w="1417" w:type="dxa"/>
            <w:tcBorders>
              <w:bottom w:val="single" w:sz="4" w:space="0" w:color="auto"/>
            </w:tcBorders>
          </w:tcPr>
          <w:p w14:paraId="5F85880C" w14:textId="77777777" w:rsidR="004A16AD" w:rsidRPr="001B6C5B" w:rsidRDefault="004A16AD" w:rsidP="00CA4637">
            <w:pPr>
              <w:spacing w:line="276" w:lineRule="auto"/>
            </w:pPr>
            <w:r w:rsidRPr="001B6C5B">
              <w:t>4 (7.3)</w:t>
            </w:r>
          </w:p>
        </w:tc>
        <w:tc>
          <w:tcPr>
            <w:tcW w:w="1418" w:type="dxa"/>
            <w:tcBorders>
              <w:bottom w:val="single" w:sz="4" w:space="0" w:color="auto"/>
            </w:tcBorders>
          </w:tcPr>
          <w:p w14:paraId="20C11159" w14:textId="77777777" w:rsidR="004A16AD" w:rsidRPr="001B6C5B" w:rsidRDefault="004A16AD" w:rsidP="00CA4637">
            <w:pPr>
              <w:spacing w:line="276" w:lineRule="auto"/>
            </w:pPr>
            <w:r w:rsidRPr="001B6C5B">
              <w:t>15 (25.4)</w:t>
            </w:r>
          </w:p>
        </w:tc>
        <w:tc>
          <w:tcPr>
            <w:tcW w:w="1412" w:type="dxa"/>
            <w:tcBorders>
              <w:bottom w:val="single" w:sz="4" w:space="0" w:color="auto"/>
            </w:tcBorders>
          </w:tcPr>
          <w:p w14:paraId="29C346C5" w14:textId="77777777" w:rsidR="004A16AD" w:rsidRPr="001B6C5B" w:rsidRDefault="004A16AD" w:rsidP="00CA4637">
            <w:pPr>
              <w:spacing w:line="276" w:lineRule="auto"/>
            </w:pPr>
            <w:r w:rsidRPr="001B6C5B">
              <w:t>P=0.019</w:t>
            </w:r>
          </w:p>
        </w:tc>
      </w:tr>
      <w:tr w:rsidR="004A16AD" w:rsidRPr="001B6C5B" w14:paraId="2080DD41"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Borders>
              <w:top w:val="single" w:sz="4" w:space="0" w:color="auto"/>
              <w:bottom w:val="single" w:sz="4" w:space="0" w:color="auto"/>
            </w:tcBorders>
          </w:tcPr>
          <w:p w14:paraId="6F98831C" w14:textId="77777777" w:rsidR="004A16AD" w:rsidRPr="001B6C5B" w:rsidRDefault="004A16AD" w:rsidP="00CA4637">
            <w:pPr>
              <w:spacing w:line="276" w:lineRule="auto"/>
              <w:rPr>
                <w:b/>
                <w:bCs/>
                <w:i/>
                <w:iCs/>
              </w:rPr>
            </w:pPr>
            <w:r w:rsidRPr="001B6C5B">
              <w:rPr>
                <w:b/>
                <w:bCs/>
                <w:i/>
                <w:iCs/>
              </w:rPr>
              <w:t>School absence</w:t>
            </w:r>
          </w:p>
        </w:tc>
        <w:tc>
          <w:tcPr>
            <w:tcW w:w="1417" w:type="dxa"/>
            <w:tcBorders>
              <w:top w:val="single" w:sz="4" w:space="0" w:color="auto"/>
              <w:bottom w:val="single" w:sz="4" w:space="0" w:color="auto"/>
            </w:tcBorders>
          </w:tcPr>
          <w:p w14:paraId="48EAC0D5" w14:textId="77777777" w:rsidR="004A16AD" w:rsidRPr="001B6C5B" w:rsidRDefault="004A16AD" w:rsidP="00CA4637">
            <w:pPr>
              <w:spacing w:line="276" w:lineRule="auto"/>
            </w:pPr>
          </w:p>
        </w:tc>
        <w:tc>
          <w:tcPr>
            <w:tcW w:w="1418" w:type="dxa"/>
            <w:tcBorders>
              <w:top w:val="single" w:sz="4" w:space="0" w:color="auto"/>
              <w:bottom w:val="single" w:sz="4" w:space="0" w:color="auto"/>
            </w:tcBorders>
          </w:tcPr>
          <w:p w14:paraId="70F4885D" w14:textId="77777777" w:rsidR="004A16AD" w:rsidRPr="001B6C5B" w:rsidRDefault="004A16AD" w:rsidP="00CA4637">
            <w:pPr>
              <w:spacing w:line="276" w:lineRule="auto"/>
            </w:pPr>
          </w:p>
        </w:tc>
        <w:tc>
          <w:tcPr>
            <w:tcW w:w="1412" w:type="dxa"/>
            <w:tcBorders>
              <w:top w:val="single" w:sz="4" w:space="0" w:color="auto"/>
              <w:bottom w:val="single" w:sz="4" w:space="0" w:color="auto"/>
            </w:tcBorders>
          </w:tcPr>
          <w:p w14:paraId="70204195" w14:textId="77777777" w:rsidR="004A16AD" w:rsidRPr="001B6C5B" w:rsidRDefault="004A16AD" w:rsidP="00CA4637">
            <w:pPr>
              <w:spacing w:line="276" w:lineRule="auto"/>
            </w:pPr>
          </w:p>
        </w:tc>
      </w:tr>
      <w:tr w:rsidR="004A16AD" w:rsidRPr="001B6C5B" w14:paraId="7E4E9923" w14:textId="77777777" w:rsidTr="00CA4637">
        <w:tc>
          <w:tcPr>
            <w:tcW w:w="3828" w:type="dxa"/>
            <w:tcBorders>
              <w:top w:val="single" w:sz="4" w:space="0" w:color="auto"/>
              <w:bottom w:val="single" w:sz="4" w:space="0" w:color="auto"/>
            </w:tcBorders>
          </w:tcPr>
          <w:p w14:paraId="0AB4BE4A" w14:textId="77777777" w:rsidR="004A16AD" w:rsidRPr="001B6C5B" w:rsidRDefault="004A16AD" w:rsidP="00CA4637">
            <w:pPr>
              <w:spacing w:line="276" w:lineRule="auto"/>
            </w:pPr>
            <w:r w:rsidRPr="001B6C5B">
              <w:t>School absence, no. children (%)</w:t>
            </w:r>
          </w:p>
        </w:tc>
        <w:tc>
          <w:tcPr>
            <w:tcW w:w="1417" w:type="dxa"/>
            <w:tcBorders>
              <w:top w:val="single" w:sz="4" w:space="0" w:color="auto"/>
              <w:bottom w:val="single" w:sz="4" w:space="0" w:color="auto"/>
            </w:tcBorders>
          </w:tcPr>
          <w:p w14:paraId="52F4CEC9" w14:textId="77777777" w:rsidR="004A16AD" w:rsidRPr="001B6C5B" w:rsidRDefault="004A16AD" w:rsidP="00CA4637">
            <w:pPr>
              <w:spacing w:line="276" w:lineRule="auto"/>
            </w:pPr>
            <w:r w:rsidRPr="001B6C5B">
              <w:t>11 (20.0)</w:t>
            </w:r>
          </w:p>
        </w:tc>
        <w:tc>
          <w:tcPr>
            <w:tcW w:w="1418" w:type="dxa"/>
            <w:tcBorders>
              <w:top w:val="single" w:sz="4" w:space="0" w:color="auto"/>
              <w:bottom w:val="single" w:sz="4" w:space="0" w:color="auto"/>
            </w:tcBorders>
          </w:tcPr>
          <w:p w14:paraId="14ADCDD0" w14:textId="77777777" w:rsidR="004A16AD" w:rsidRPr="001B6C5B" w:rsidRDefault="004A16AD" w:rsidP="00CA4637">
            <w:pPr>
              <w:spacing w:line="276" w:lineRule="auto"/>
            </w:pPr>
            <w:r w:rsidRPr="001B6C5B">
              <w:t>37 (62.7)</w:t>
            </w:r>
          </w:p>
        </w:tc>
        <w:tc>
          <w:tcPr>
            <w:tcW w:w="1412" w:type="dxa"/>
            <w:tcBorders>
              <w:top w:val="single" w:sz="4" w:space="0" w:color="auto"/>
              <w:bottom w:val="single" w:sz="4" w:space="0" w:color="auto"/>
            </w:tcBorders>
          </w:tcPr>
          <w:p w14:paraId="6ABD6167" w14:textId="77777777" w:rsidR="004A16AD" w:rsidRPr="001B6C5B" w:rsidRDefault="004A16AD" w:rsidP="00CA4637">
            <w:pPr>
              <w:spacing w:line="276" w:lineRule="auto"/>
            </w:pPr>
            <w:r w:rsidRPr="001B6C5B">
              <w:t>P&lt;0.001</w:t>
            </w:r>
          </w:p>
        </w:tc>
      </w:tr>
      <w:tr w:rsidR="004A16AD" w:rsidRPr="001B6C5B" w14:paraId="44CAF4AD"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Borders>
              <w:top w:val="single" w:sz="4" w:space="0" w:color="auto"/>
              <w:bottom w:val="single" w:sz="4" w:space="0" w:color="auto"/>
            </w:tcBorders>
          </w:tcPr>
          <w:p w14:paraId="2855C30F" w14:textId="77777777" w:rsidR="004A16AD" w:rsidRPr="001B6C5B" w:rsidRDefault="004A16AD" w:rsidP="00CA4637">
            <w:pPr>
              <w:spacing w:line="276" w:lineRule="auto"/>
              <w:rPr>
                <w:b/>
                <w:bCs/>
                <w:i/>
                <w:iCs/>
              </w:rPr>
            </w:pPr>
            <w:r w:rsidRPr="001B6C5B">
              <w:rPr>
                <w:b/>
                <w:bCs/>
                <w:i/>
                <w:iCs/>
              </w:rPr>
              <w:t>Pre-bronchodilator lung function</w:t>
            </w:r>
          </w:p>
        </w:tc>
        <w:tc>
          <w:tcPr>
            <w:tcW w:w="1417" w:type="dxa"/>
            <w:tcBorders>
              <w:top w:val="single" w:sz="4" w:space="0" w:color="auto"/>
              <w:bottom w:val="single" w:sz="4" w:space="0" w:color="auto"/>
            </w:tcBorders>
          </w:tcPr>
          <w:p w14:paraId="7D28ED4A" w14:textId="77777777" w:rsidR="004A16AD" w:rsidRPr="001B6C5B" w:rsidRDefault="004A16AD" w:rsidP="00CA4637">
            <w:pPr>
              <w:spacing w:line="276" w:lineRule="auto"/>
            </w:pPr>
          </w:p>
        </w:tc>
        <w:tc>
          <w:tcPr>
            <w:tcW w:w="1418" w:type="dxa"/>
            <w:tcBorders>
              <w:top w:val="single" w:sz="4" w:space="0" w:color="auto"/>
              <w:bottom w:val="single" w:sz="4" w:space="0" w:color="auto"/>
            </w:tcBorders>
          </w:tcPr>
          <w:p w14:paraId="26241DBB" w14:textId="77777777" w:rsidR="004A16AD" w:rsidRPr="001B6C5B" w:rsidRDefault="004A16AD" w:rsidP="00CA4637">
            <w:pPr>
              <w:spacing w:line="276" w:lineRule="auto"/>
            </w:pPr>
          </w:p>
        </w:tc>
        <w:tc>
          <w:tcPr>
            <w:tcW w:w="1412" w:type="dxa"/>
            <w:tcBorders>
              <w:top w:val="single" w:sz="4" w:space="0" w:color="auto"/>
              <w:bottom w:val="single" w:sz="4" w:space="0" w:color="auto"/>
            </w:tcBorders>
          </w:tcPr>
          <w:p w14:paraId="52954D7F" w14:textId="77777777" w:rsidR="004A16AD" w:rsidRPr="001B6C5B" w:rsidRDefault="004A16AD" w:rsidP="00CA4637">
            <w:pPr>
              <w:spacing w:line="276" w:lineRule="auto"/>
            </w:pPr>
          </w:p>
        </w:tc>
      </w:tr>
      <w:tr w:rsidR="004A16AD" w:rsidRPr="001B6C5B" w14:paraId="56E7EB5C" w14:textId="77777777" w:rsidTr="00CA4637">
        <w:tc>
          <w:tcPr>
            <w:tcW w:w="3828" w:type="dxa"/>
            <w:tcBorders>
              <w:top w:val="single" w:sz="4" w:space="0" w:color="auto"/>
            </w:tcBorders>
          </w:tcPr>
          <w:p w14:paraId="39196E22" w14:textId="77777777" w:rsidR="004A16AD" w:rsidRPr="001B6C5B" w:rsidRDefault="004A16AD" w:rsidP="00CA4637">
            <w:pPr>
              <w:spacing w:line="276" w:lineRule="auto"/>
            </w:pPr>
            <w:r w:rsidRPr="001B6C5B">
              <w:t>Mean (SD) % predicted FEV</w:t>
            </w:r>
            <w:r w:rsidRPr="001B6C5B">
              <w:rPr>
                <w:vertAlign w:val="subscript"/>
              </w:rPr>
              <w:t xml:space="preserve">1 </w:t>
            </w:r>
            <w:r w:rsidRPr="001B6C5B">
              <w:rPr>
                <w:rFonts w:cstheme="minorHAnsi"/>
                <w:vertAlign w:val="superscript"/>
              </w:rPr>
              <w:t>†</w:t>
            </w:r>
          </w:p>
        </w:tc>
        <w:tc>
          <w:tcPr>
            <w:tcW w:w="1417" w:type="dxa"/>
            <w:tcBorders>
              <w:top w:val="single" w:sz="4" w:space="0" w:color="auto"/>
            </w:tcBorders>
          </w:tcPr>
          <w:p w14:paraId="1FA2EDAA" w14:textId="77777777" w:rsidR="004A16AD" w:rsidRPr="001B6C5B" w:rsidRDefault="004A16AD" w:rsidP="00CA4637">
            <w:pPr>
              <w:spacing w:line="276" w:lineRule="auto"/>
            </w:pPr>
            <w:r w:rsidRPr="001B6C5B">
              <w:t>86.9 (18.0)</w:t>
            </w:r>
          </w:p>
        </w:tc>
        <w:tc>
          <w:tcPr>
            <w:tcW w:w="1418" w:type="dxa"/>
            <w:tcBorders>
              <w:top w:val="single" w:sz="4" w:space="0" w:color="auto"/>
            </w:tcBorders>
          </w:tcPr>
          <w:p w14:paraId="48844808" w14:textId="77777777" w:rsidR="004A16AD" w:rsidRPr="001B6C5B" w:rsidRDefault="004A16AD" w:rsidP="00CA4637">
            <w:pPr>
              <w:spacing w:line="276" w:lineRule="auto"/>
            </w:pPr>
            <w:r w:rsidRPr="001B6C5B">
              <w:t>92.0 (17.5)</w:t>
            </w:r>
          </w:p>
        </w:tc>
        <w:tc>
          <w:tcPr>
            <w:tcW w:w="1412" w:type="dxa"/>
            <w:tcBorders>
              <w:top w:val="single" w:sz="4" w:space="0" w:color="auto"/>
            </w:tcBorders>
          </w:tcPr>
          <w:p w14:paraId="15CC3A5E" w14:textId="77777777" w:rsidR="004A16AD" w:rsidRPr="001B6C5B" w:rsidRDefault="004A16AD" w:rsidP="00CA4637">
            <w:pPr>
              <w:spacing w:line="276" w:lineRule="auto"/>
            </w:pPr>
            <w:r w:rsidRPr="001B6C5B">
              <w:t>P=0.15</w:t>
            </w:r>
          </w:p>
        </w:tc>
      </w:tr>
      <w:tr w:rsidR="004A16AD" w:rsidRPr="001B6C5B" w14:paraId="61EEAA7B"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Pr>
          <w:p w14:paraId="1A3CFFA4" w14:textId="77777777" w:rsidR="004A16AD" w:rsidRPr="001B6C5B" w:rsidRDefault="004A16AD" w:rsidP="00CA4637">
            <w:pPr>
              <w:spacing w:line="276" w:lineRule="auto"/>
            </w:pPr>
            <w:r w:rsidRPr="001B6C5B">
              <w:t>Mean (SD) % predicted FEV</w:t>
            </w:r>
            <w:r w:rsidRPr="001B6C5B">
              <w:rPr>
                <w:vertAlign w:val="subscript"/>
              </w:rPr>
              <w:t>1</w:t>
            </w:r>
            <w:r w:rsidRPr="001B6C5B">
              <w:t>/FVC ratio</w:t>
            </w:r>
            <w:r w:rsidRPr="001B6C5B">
              <w:rPr>
                <w:rFonts w:cstheme="minorHAnsi"/>
                <w:vertAlign w:val="superscript"/>
              </w:rPr>
              <w:t>‡</w:t>
            </w:r>
          </w:p>
        </w:tc>
        <w:tc>
          <w:tcPr>
            <w:tcW w:w="1417" w:type="dxa"/>
          </w:tcPr>
          <w:p w14:paraId="3127FA8A" w14:textId="77777777" w:rsidR="004A16AD" w:rsidRPr="001B6C5B" w:rsidRDefault="004A16AD" w:rsidP="00CA4637">
            <w:pPr>
              <w:spacing w:line="276" w:lineRule="auto"/>
            </w:pPr>
            <w:r w:rsidRPr="001B6C5B">
              <w:t>90.9 (12.5)</w:t>
            </w:r>
          </w:p>
        </w:tc>
        <w:tc>
          <w:tcPr>
            <w:tcW w:w="1418" w:type="dxa"/>
          </w:tcPr>
          <w:p w14:paraId="65C3504E" w14:textId="77777777" w:rsidR="004A16AD" w:rsidRPr="001B6C5B" w:rsidRDefault="004A16AD" w:rsidP="00CA4637">
            <w:pPr>
              <w:spacing w:line="276" w:lineRule="auto"/>
            </w:pPr>
            <w:r w:rsidRPr="001B6C5B">
              <w:t>92.8 (10.3)</w:t>
            </w:r>
          </w:p>
        </w:tc>
        <w:tc>
          <w:tcPr>
            <w:tcW w:w="1412" w:type="dxa"/>
          </w:tcPr>
          <w:p w14:paraId="10ECA7D1" w14:textId="77777777" w:rsidR="004A16AD" w:rsidRPr="001B6C5B" w:rsidRDefault="004A16AD" w:rsidP="00CA4637">
            <w:pPr>
              <w:spacing w:line="276" w:lineRule="auto"/>
            </w:pPr>
            <w:r w:rsidRPr="001B6C5B">
              <w:t>P=0.42</w:t>
            </w:r>
          </w:p>
        </w:tc>
      </w:tr>
      <w:tr w:rsidR="004A16AD" w:rsidRPr="001B6C5B" w14:paraId="065442C1" w14:textId="77777777" w:rsidTr="00CA4637">
        <w:tc>
          <w:tcPr>
            <w:tcW w:w="3828" w:type="dxa"/>
            <w:tcBorders>
              <w:bottom w:val="single" w:sz="4" w:space="0" w:color="auto"/>
            </w:tcBorders>
          </w:tcPr>
          <w:p w14:paraId="1C0F1B4F" w14:textId="77777777" w:rsidR="004A16AD" w:rsidRPr="001B6C5B" w:rsidRDefault="004A16AD" w:rsidP="00CA4637">
            <w:pPr>
              <w:spacing w:line="276" w:lineRule="auto"/>
            </w:pPr>
            <w:r w:rsidRPr="001B6C5B">
              <w:t>FEV</w:t>
            </w:r>
            <w:r w:rsidRPr="001B6C5B">
              <w:rPr>
                <w:vertAlign w:val="subscript"/>
              </w:rPr>
              <w:t>1</w:t>
            </w:r>
            <w:r w:rsidRPr="001B6C5B">
              <w:t>/FVC ratio below LLN, no. children (%)</w:t>
            </w:r>
            <w:r w:rsidRPr="001B6C5B">
              <w:rPr>
                <w:rFonts w:cstheme="minorHAnsi"/>
                <w:vertAlign w:val="superscript"/>
              </w:rPr>
              <w:t>‡</w:t>
            </w:r>
          </w:p>
        </w:tc>
        <w:tc>
          <w:tcPr>
            <w:tcW w:w="1417" w:type="dxa"/>
            <w:tcBorders>
              <w:bottom w:val="single" w:sz="4" w:space="0" w:color="auto"/>
            </w:tcBorders>
          </w:tcPr>
          <w:p w14:paraId="0A976B63" w14:textId="77777777" w:rsidR="004A16AD" w:rsidRPr="001B6C5B" w:rsidRDefault="004A16AD" w:rsidP="00CA4637">
            <w:pPr>
              <w:spacing w:line="276" w:lineRule="auto"/>
            </w:pPr>
            <w:r w:rsidRPr="001B6C5B">
              <w:t>15/47 (31.9)</w:t>
            </w:r>
          </w:p>
        </w:tc>
        <w:tc>
          <w:tcPr>
            <w:tcW w:w="1418" w:type="dxa"/>
            <w:tcBorders>
              <w:bottom w:val="single" w:sz="4" w:space="0" w:color="auto"/>
            </w:tcBorders>
          </w:tcPr>
          <w:p w14:paraId="6DFF6597" w14:textId="77777777" w:rsidR="004A16AD" w:rsidRPr="001B6C5B" w:rsidRDefault="004A16AD" w:rsidP="00CA4637">
            <w:pPr>
              <w:spacing w:line="276" w:lineRule="auto"/>
            </w:pPr>
            <w:r w:rsidRPr="001B6C5B">
              <w:t>13/45 (28.9)</w:t>
            </w:r>
          </w:p>
        </w:tc>
        <w:tc>
          <w:tcPr>
            <w:tcW w:w="1412" w:type="dxa"/>
            <w:tcBorders>
              <w:bottom w:val="single" w:sz="4" w:space="0" w:color="auto"/>
            </w:tcBorders>
          </w:tcPr>
          <w:p w14:paraId="79E94DA2" w14:textId="77777777" w:rsidR="004A16AD" w:rsidRPr="001B6C5B" w:rsidRDefault="004A16AD" w:rsidP="00CA4637">
            <w:pPr>
              <w:spacing w:line="276" w:lineRule="auto"/>
            </w:pPr>
            <w:r w:rsidRPr="001B6C5B">
              <w:t>P=0.93</w:t>
            </w:r>
          </w:p>
        </w:tc>
      </w:tr>
      <w:tr w:rsidR="004A16AD" w:rsidRPr="001B6C5B" w14:paraId="13A0F1CE" w14:textId="77777777" w:rsidTr="00CA4637">
        <w:trPr>
          <w:cnfStyle w:val="000000100000" w:firstRow="0" w:lastRow="0" w:firstColumn="0" w:lastColumn="0" w:oddVBand="0" w:evenVBand="0" w:oddHBand="1" w:evenHBand="0" w:firstRowFirstColumn="0" w:firstRowLastColumn="0" w:lastRowFirstColumn="0" w:lastRowLastColumn="0"/>
        </w:trPr>
        <w:tc>
          <w:tcPr>
            <w:tcW w:w="8075" w:type="dxa"/>
            <w:gridSpan w:val="4"/>
            <w:tcBorders>
              <w:top w:val="single" w:sz="4" w:space="0" w:color="auto"/>
              <w:bottom w:val="single" w:sz="4" w:space="0" w:color="auto"/>
            </w:tcBorders>
          </w:tcPr>
          <w:p w14:paraId="6991A62D" w14:textId="77777777" w:rsidR="004A16AD" w:rsidRPr="001B6C5B" w:rsidRDefault="004A16AD" w:rsidP="00CA4637">
            <w:pPr>
              <w:spacing w:line="276" w:lineRule="auto"/>
              <w:rPr>
                <w:i/>
                <w:iCs/>
              </w:rPr>
            </w:pPr>
            <w:r w:rsidRPr="001B6C5B">
              <w:rPr>
                <w:b/>
                <w:bCs/>
                <w:i/>
                <w:iCs/>
              </w:rPr>
              <w:t>Fractional concentration of exhaled nitric oxide (</w:t>
            </w:r>
            <w:proofErr w:type="spellStart"/>
            <w:r w:rsidRPr="001B6C5B">
              <w:rPr>
                <w:b/>
                <w:bCs/>
                <w:i/>
                <w:iCs/>
              </w:rPr>
              <w:t>FeNO</w:t>
            </w:r>
            <w:proofErr w:type="spellEnd"/>
            <w:r w:rsidRPr="001B6C5B">
              <w:rPr>
                <w:b/>
                <w:bCs/>
                <w:i/>
                <w:iCs/>
              </w:rPr>
              <w:t>)</w:t>
            </w:r>
          </w:p>
        </w:tc>
      </w:tr>
      <w:tr w:rsidR="004A16AD" w:rsidRPr="001B6C5B" w14:paraId="5AF5E2A0" w14:textId="77777777" w:rsidTr="00CA4637">
        <w:tc>
          <w:tcPr>
            <w:tcW w:w="3828" w:type="dxa"/>
            <w:tcBorders>
              <w:top w:val="single" w:sz="4" w:space="0" w:color="auto"/>
            </w:tcBorders>
          </w:tcPr>
          <w:p w14:paraId="20691D11" w14:textId="77777777" w:rsidR="004A16AD" w:rsidRPr="001B6C5B" w:rsidRDefault="004A16AD" w:rsidP="00CA4637">
            <w:pPr>
              <w:spacing w:line="276" w:lineRule="auto"/>
            </w:pPr>
            <w:r w:rsidRPr="001B6C5B">
              <w:t xml:space="preserve">Median (IQR) </w:t>
            </w:r>
            <w:proofErr w:type="spellStart"/>
            <w:r w:rsidRPr="001B6C5B">
              <w:t>FeNO</w:t>
            </w:r>
            <w:proofErr w:type="spellEnd"/>
            <w:r w:rsidRPr="001B6C5B">
              <w:t>, ppb *</w:t>
            </w:r>
          </w:p>
        </w:tc>
        <w:tc>
          <w:tcPr>
            <w:tcW w:w="1417" w:type="dxa"/>
            <w:tcBorders>
              <w:top w:val="single" w:sz="4" w:space="0" w:color="auto"/>
            </w:tcBorders>
          </w:tcPr>
          <w:p w14:paraId="7B8CD59C" w14:textId="77777777" w:rsidR="004A16AD" w:rsidRPr="001B6C5B" w:rsidRDefault="004A16AD" w:rsidP="00CA4637">
            <w:pPr>
              <w:spacing w:line="276" w:lineRule="auto"/>
            </w:pPr>
            <w:r w:rsidRPr="001B6C5B">
              <w:t xml:space="preserve">41.8 </w:t>
            </w:r>
          </w:p>
          <w:p w14:paraId="64EBC9F7" w14:textId="77777777" w:rsidR="004A16AD" w:rsidRPr="001B6C5B" w:rsidRDefault="004A16AD" w:rsidP="00CA4637">
            <w:pPr>
              <w:spacing w:line="276" w:lineRule="auto"/>
            </w:pPr>
            <w:r w:rsidRPr="001B6C5B">
              <w:t>(23.4-68.0)</w:t>
            </w:r>
          </w:p>
        </w:tc>
        <w:tc>
          <w:tcPr>
            <w:tcW w:w="1418" w:type="dxa"/>
            <w:tcBorders>
              <w:top w:val="single" w:sz="4" w:space="0" w:color="auto"/>
            </w:tcBorders>
          </w:tcPr>
          <w:p w14:paraId="44AFF228" w14:textId="77777777" w:rsidR="004A16AD" w:rsidRPr="001B6C5B" w:rsidRDefault="004A16AD" w:rsidP="00CA4637">
            <w:pPr>
              <w:spacing w:line="276" w:lineRule="auto"/>
            </w:pPr>
            <w:r w:rsidRPr="001B6C5B">
              <w:t xml:space="preserve">39.8 </w:t>
            </w:r>
          </w:p>
          <w:p w14:paraId="2CE9B1D0" w14:textId="77777777" w:rsidR="004A16AD" w:rsidRPr="001B6C5B" w:rsidRDefault="004A16AD" w:rsidP="00CA4637">
            <w:pPr>
              <w:spacing w:line="276" w:lineRule="auto"/>
            </w:pPr>
            <w:r w:rsidRPr="001B6C5B">
              <w:t>(22.9-57.9)</w:t>
            </w:r>
          </w:p>
        </w:tc>
        <w:tc>
          <w:tcPr>
            <w:tcW w:w="1412" w:type="dxa"/>
            <w:tcBorders>
              <w:top w:val="single" w:sz="4" w:space="0" w:color="auto"/>
            </w:tcBorders>
          </w:tcPr>
          <w:p w14:paraId="1C5744C4" w14:textId="77777777" w:rsidR="004A16AD" w:rsidRPr="001B6C5B" w:rsidRDefault="004A16AD" w:rsidP="00CA4637">
            <w:pPr>
              <w:spacing w:line="276" w:lineRule="auto"/>
            </w:pPr>
            <w:r w:rsidRPr="001B6C5B">
              <w:t>P=0.64</w:t>
            </w:r>
          </w:p>
        </w:tc>
      </w:tr>
      <w:tr w:rsidR="004A16AD" w:rsidRPr="001B6C5B" w14:paraId="46103F32"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Pr>
          <w:p w14:paraId="260402A5" w14:textId="77777777" w:rsidR="004A16AD" w:rsidRPr="001B6C5B" w:rsidRDefault="004A16AD" w:rsidP="00CA4637">
            <w:pPr>
              <w:spacing w:line="276" w:lineRule="auto"/>
            </w:pPr>
            <w:r w:rsidRPr="001B6C5B">
              <w:t>High (&gt;35 ppb), no. children (%)</w:t>
            </w:r>
          </w:p>
        </w:tc>
        <w:tc>
          <w:tcPr>
            <w:tcW w:w="1417" w:type="dxa"/>
          </w:tcPr>
          <w:p w14:paraId="02E64AB6" w14:textId="77777777" w:rsidR="004A16AD" w:rsidRPr="001B6C5B" w:rsidRDefault="004A16AD" w:rsidP="00CA4637">
            <w:pPr>
              <w:spacing w:line="276" w:lineRule="auto"/>
            </w:pPr>
            <w:r w:rsidRPr="001B6C5B">
              <w:t>33 (58.9)</w:t>
            </w:r>
          </w:p>
        </w:tc>
        <w:tc>
          <w:tcPr>
            <w:tcW w:w="1418" w:type="dxa"/>
          </w:tcPr>
          <w:p w14:paraId="57CCE8A1" w14:textId="77777777" w:rsidR="004A16AD" w:rsidRPr="001B6C5B" w:rsidRDefault="004A16AD" w:rsidP="00CA4637">
            <w:pPr>
              <w:spacing w:line="276" w:lineRule="auto"/>
            </w:pPr>
            <w:r w:rsidRPr="001B6C5B">
              <w:t>31 (55.4)</w:t>
            </w:r>
          </w:p>
        </w:tc>
        <w:tc>
          <w:tcPr>
            <w:tcW w:w="1412" w:type="dxa"/>
          </w:tcPr>
          <w:p w14:paraId="6B055163" w14:textId="77777777" w:rsidR="004A16AD" w:rsidRPr="001B6C5B" w:rsidRDefault="004A16AD" w:rsidP="00CA4637">
            <w:pPr>
              <w:spacing w:line="276" w:lineRule="auto"/>
            </w:pPr>
            <w:r w:rsidRPr="001B6C5B">
              <w:t>P=0.85</w:t>
            </w:r>
          </w:p>
        </w:tc>
      </w:tr>
      <w:tr w:rsidR="004A16AD" w:rsidRPr="001B6C5B" w14:paraId="2A9D403D" w14:textId="77777777" w:rsidTr="00CA4637">
        <w:tc>
          <w:tcPr>
            <w:tcW w:w="3828" w:type="dxa"/>
          </w:tcPr>
          <w:p w14:paraId="7855414B" w14:textId="77777777" w:rsidR="004A16AD" w:rsidRPr="001B6C5B" w:rsidRDefault="004A16AD" w:rsidP="00CA4637">
            <w:pPr>
              <w:spacing w:line="276" w:lineRule="auto"/>
            </w:pPr>
            <w:r w:rsidRPr="001B6C5B">
              <w:t>Intermediate (20-35 ppb), no. children (%)</w:t>
            </w:r>
          </w:p>
        </w:tc>
        <w:tc>
          <w:tcPr>
            <w:tcW w:w="1417" w:type="dxa"/>
          </w:tcPr>
          <w:p w14:paraId="79B6DC2B" w14:textId="77777777" w:rsidR="004A16AD" w:rsidRPr="001B6C5B" w:rsidRDefault="004A16AD" w:rsidP="00CA4637">
            <w:pPr>
              <w:spacing w:line="276" w:lineRule="auto"/>
            </w:pPr>
            <w:r w:rsidRPr="001B6C5B">
              <w:t>11 (19.6)</w:t>
            </w:r>
          </w:p>
        </w:tc>
        <w:tc>
          <w:tcPr>
            <w:tcW w:w="1418" w:type="dxa"/>
          </w:tcPr>
          <w:p w14:paraId="77295C9F" w14:textId="77777777" w:rsidR="004A16AD" w:rsidRPr="001B6C5B" w:rsidRDefault="004A16AD" w:rsidP="00CA4637">
            <w:pPr>
              <w:spacing w:line="276" w:lineRule="auto"/>
            </w:pPr>
            <w:r w:rsidRPr="001B6C5B">
              <w:t>15 (26.8)</w:t>
            </w:r>
          </w:p>
        </w:tc>
        <w:tc>
          <w:tcPr>
            <w:tcW w:w="1412" w:type="dxa"/>
          </w:tcPr>
          <w:p w14:paraId="08D33B79" w14:textId="77777777" w:rsidR="004A16AD" w:rsidRPr="001B6C5B" w:rsidRDefault="004A16AD" w:rsidP="00CA4637">
            <w:pPr>
              <w:spacing w:line="276" w:lineRule="auto"/>
            </w:pPr>
            <w:r w:rsidRPr="001B6C5B">
              <w:t>P=0.50</w:t>
            </w:r>
          </w:p>
        </w:tc>
      </w:tr>
      <w:tr w:rsidR="004A16AD" w:rsidRPr="001B6C5B" w14:paraId="198FA670" w14:textId="77777777" w:rsidTr="00CA4637">
        <w:trPr>
          <w:cnfStyle w:val="000000100000" w:firstRow="0" w:lastRow="0" w:firstColumn="0" w:lastColumn="0" w:oddVBand="0" w:evenVBand="0" w:oddHBand="1" w:evenHBand="0" w:firstRowFirstColumn="0" w:firstRowLastColumn="0" w:lastRowFirstColumn="0" w:lastRowLastColumn="0"/>
        </w:trPr>
        <w:tc>
          <w:tcPr>
            <w:tcW w:w="3828" w:type="dxa"/>
            <w:tcBorders>
              <w:bottom w:val="single" w:sz="4" w:space="0" w:color="auto"/>
            </w:tcBorders>
          </w:tcPr>
          <w:p w14:paraId="6DB62F3C" w14:textId="77777777" w:rsidR="004A16AD" w:rsidRPr="001B6C5B" w:rsidRDefault="004A16AD" w:rsidP="00CA4637">
            <w:pPr>
              <w:spacing w:line="276" w:lineRule="auto"/>
            </w:pPr>
            <w:r w:rsidRPr="001B6C5B">
              <w:t>Low (&lt;20 ppb), no. children (%)</w:t>
            </w:r>
          </w:p>
        </w:tc>
        <w:tc>
          <w:tcPr>
            <w:tcW w:w="1417" w:type="dxa"/>
            <w:tcBorders>
              <w:bottom w:val="single" w:sz="4" w:space="0" w:color="auto"/>
            </w:tcBorders>
          </w:tcPr>
          <w:p w14:paraId="013F1127" w14:textId="77777777" w:rsidR="004A16AD" w:rsidRPr="001B6C5B" w:rsidRDefault="004A16AD" w:rsidP="00CA4637">
            <w:pPr>
              <w:spacing w:line="276" w:lineRule="auto"/>
            </w:pPr>
            <w:r w:rsidRPr="001B6C5B">
              <w:t>12 (21.4)</w:t>
            </w:r>
          </w:p>
        </w:tc>
        <w:tc>
          <w:tcPr>
            <w:tcW w:w="1418" w:type="dxa"/>
            <w:tcBorders>
              <w:bottom w:val="single" w:sz="4" w:space="0" w:color="auto"/>
            </w:tcBorders>
          </w:tcPr>
          <w:p w14:paraId="6B81BE7C" w14:textId="77777777" w:rsidR="004A16AD" w:rsidRPr="001B6C5B" w:rsidRDefault="004A16AD" w:rsidP="00CA4637">
            <w:pPr>
              <w:spacing w:line="276" w:lineRule="auto"/>
            </w:pPr>
            <w:r w:rsidRPr="001B6C5B">
              <w:t>10 (17.9)</w:t>
            </w:r>
          </w:p>
        </w:tc>
        <w:tc>
          <w:tcPr>
            <w:tcW w:w="1412" w:type="dxa"/>
            <w:tcBorders>
              <w:bottom w:val="single" w:sz="4" w:space="0" w:color="auto"/>
            </w:tcBorders>
          </w:tcPr>
          <w:p w14:paraId="6B759986" w14:textId="77777777" w:rsidR="004A16AD" w:rsidRPr="001B6C5B" w:rsidRDefault="004A16AD" w:rsidP="00CA4637">
            <w:pPr>
              <w:spacing w:line="276" w:lineRule="auto"/>
            </w:pPr>
            <w:r w:rsidRPr="001B6C5B">
              <w:t>P=0.81</w:t>
            </w:r>
          </w:p>
        </w:tc>
      </w:tr>
    </w:tbl>
    <w:p w14:paraId="36F0DACC" w14:textId="77777777" w:rsidR="004A16AD" w:rsidRPr="001B6C5B" w:rsidRDefault="004A16AD" w:rsidP="00CA4637">
      <w:pPr>
        <w:spacing w:after="0" w:line="276" w:lineRule="auto"/>
      </w:pPr>
      <w:r w:rsidRPr="001B6C5B">
        <w:rPr>
          <w:rFonts w:cstheme="minorHAnsi"/>
          <w:vertAlign w:val="superscript"/>
        </w:rPr>
        <w:t>†</w:t>
      </w:r>
      <w:r w:rsidRPr="001B6C5B">
        <w:t>Technically acceptable FEV</w:t>
      </w:r>
      <w:r w:rsidRPr="001B6C5B">
        <w:rPr>
          <w:vertAlign w:val="subscript"/>
        </w:rPr>
        <w:t>1</w:t>
      </w:r>
      <w:r w:rsidRPr="001B6C5B">
        <w:t xml:space="preserve"> data available for 99 participants </w:t>
      </w:r>
    </w:p>
    <w:p w14:paraId="5106A238" w14:textId="77777777" w:rsidR="004A16AD" w:rsidRPr="001B6C5B" w:rsidRDefault="004A16AD" w:rsidP="00CA4637">
      <w:pPr>
        <w:spacing w:after="0" w:line="276" w:lineRule="auto"/>
        <w:rPr>
          <w:rFonts w:cstheme="minorHAnsi"/>
        </w:rPr>
      </w:pPr>
      <w:r w:rsidRPr="001B6C5B">
        <w:rPr>
          <w:rFonts w:cstheme="minorHAnsi"/>
          <w:vertAlign w:val="superscript"/>
        </w:rPr>
        <w:t>‡</w:t>
      </w:r>
      <w:r w:rsidRPr="001B6C5B">
        <w:rPr>
          <w:rFonts w:cstheme="minorHAnsi"/>
        </w:rPr>
        <w:t>Technically acceptable FEV</w:t>
      </w:r>
      <w:r w:rsidRPr="001B6C5B">
        <w:rPr>
          <w:rFonts w:cstheme="minorHAnsi"/>
          <w:vertAlign w:val="subscript"/>
        </w:rPr>
        <w:t>1</w:t>
      </w:r>
      <w:r w:rsidRPr="001B6C5B">
        <w:rPr>
          <w:rFonts w:cstheme="minorHAnsi"/>
        </w:rPr>
        <w:t>/FVC data available for 92 participants</w:t>
      </w:r>
    </w:p>
    <w:p w14:paraId="068A1D95" w14:textId="77777777" w:rsidR="004A16AD" w:rsidRDefault="004A16AD" w:rsidP="00CA4637">
      <w:pPr>
        <w:spacing w:line="276" w:lineRule="auto"/>
      </w:pPr>
      <w:r w:rsidRPr="001B6C5B">
        <w:t xml:space="preserve">* </w:t>
      </w:r>
      <w:proofErr w:type="spellStart"/>
      <w:r w:rsidRPr="001B6C5B">
        <w:t>FeNO</w:t>
      </w:r>
      <w:proofErr w:type="spellEnd"/>
      <w:r w:rsidRPr="001B6C5B">
        <w:t xml:space="preserve"> data available for 112 participants</w:t>
      </w:r>
    </w:p>
    <w:p w14:paraId="7B9D8B6E" w14:textId="77777777" w:rsidR="004A16AD" w:rsidRPr="001B6C5B" w:rsidRDefault="004A16AD" w:rsidP="00CA4637">
      <w:pPr>
        <w:spacing w:line="276" w:lineRule="auto"/>
      </w:pPr>
    </w:p>
    <w:p w14:paraId="65FB04E7" w14:textId="77777777" w:rsidR="004A16AD" w:rsidRDefault="004A16AD" w:rsidP="00CA4637">
      <w:pPr>
        <w:spacing w:line="480" w:lineRule="auto"/>
      </w:pPr>
      <w:r w:rsidRPr="001B6C5B">
        <w:rPr>
          <w:sz w:val="24"/>
        </w:rPr>
        <w:t xml:space="preserve">At 3-months, 98.1% (54/55) children in </w:t>
      </w:r>
      <w:r>
        <w:rPr>
          <w:sz w:val="24"/>
        </w:rPr>
        <w:t>the intervention group</w:t>
      </w:r>
      <w:r w:rsidRPr="001B6C5B">
        <w:rPr>
          <w:sz w:val="24"/>
        </w:rPr>
        <w:t xml:space="preserve"> were using a salbutamol inhaler with a spacer compared to 83.1% (49/59) </w:t>
      </w:r>
      <w:r>
        <w:rPr>
          <w:sz w:val="24"/>
        </w:rPr>
        <w:t>receiving</w:t>
      </w:r>
      <w:r w:rsidRPr="001B6C5B">
        <w:rPr>
          <w:sz w:val="24"/>
        </w:rPr>
        <w:t xml:space="preserve"> standard care</w:t>
      </w:r>
      <w:r>
        <w:rPr>
          <w:sz w:val="24"/>
        </w:rPr>
        <w:t xml:space="preserve"> (p=0.02)</w:t>
      </w:r>
      <w:r w:rsidRPr="001B6C5B">
        <w:rPr>
          <w:sz w:val="24"/>
        </w:rPr>
        <w:t xml:space="preserve">. Daily ICS </w:t>
      </w:r>
      <w:r w:rsidRPr="001B6C5B">
        <w:rPr>
          <w:sz w:val="24"/>
        </w:rPr>
        <w:lastRenderedPageBreak/>
        <w:t xml:space="preserve">use was more common in </w:t>
      </w:r>
      <w:r>
        <w:rPr>
          <w:sz w:val="24"/>
        </w:rPr>
        <w:t>the intervention group</w:t>
      </w:r>
      <w:r w:rsidRPr="001B6C5B">
        <w:rPr>
          <w:sz w:val="24"/>
        </w:rPr>
        <w:t xml:space="preserve"> (47/55, 85.5% participants) compared to standard care (41/59, 69.5% participants)</w:t>
      </w:r>
      <w:r>
        <w:rPr>
          <w:sz w:val="24"/>
        </w:rPr>
        <w:t xml:space="preserve"> (p=0.07)</w:t>
      </w:r>
      <w:r w:rsidRPr="001B6C5B">
        <w:rPr>
          <w:sz w:val="24"/>
        </w:rPr>
        <w:t xml:space="preserve">, with </w:t>
      </w:r>
      <w:r>
        <w:rPr>
          <w:sz w:val="24"/>
        </w:rPr>
        <w:t>intervention</w:t>
      </w:r>
      <w:r w:rsidRPr="001B6C5B">
        <w:rPr>
          <w:sz w:val="24"/>
        </w:rPr>
        <w:t xml:space="preserve"> participants prescribed a higher mean (SD) daily </w:t>
      </w:r>
      <w:proofErr w:type="spellStart"/>
      <w:r w:rsidRPr="001B6C5B">
        <w:rPr>
          <w:sz w:val="24"/>
        </w:rPr>
        <w:t>beclometasone</w:t>
      </w:r>
      <w:proofErr w:type="spellEnd"/>
      <w:r w:rsidRPr="001B6C5B">
        <w:rPr>
          <w:sz w:val="24"/>
        </w:rPr>
        <w:t xml:space="preserve"> dose: 331</w:t>
      </w:r>
      <w:r w:rsidRPr="001B6C5B">
        <w:rPr>
          <w:rFonts w:cstheme="minorHAnsi"/>
          <w:sz w:val="24"/>
        </w:rPr>
        <w:t>µ</w:t>
      </w:r>
      <w:r w:rsidRPr="001B6C5B">
        <w:rPr>
          <w:sz w:val="24"/>
        </w:rPr>
        <w:t>g (121) vs 266</w:t>
      </w:r>
      <w:r w:rsidRPr="001B6C5B">
        <w:rPr>
          <w:rFonts w:cstheme="minorHAnsi"/>
          <w:sz w:val="24"/>
        </w:rPr>
        <w:t xml:space="preserve"> µ</w:t>
      </w:r>
      <w:r w:rsidRPr="001B6C5B">
        <w:rPr>
          <w:sz w:val="24"/>
        </w:rPr>
        <w:t>g (99)</w:t>
      </w:r>
      <w:r>
        <w:rPr>
          <w:sz w:val="24"/>
        </w:rPr>
        <w:t xml:space="preserve"> (p=0.007)</w:t>
      </w:r>
      <w:r w:rsidRPr="001B6C5B">
        <w:rPr>
          <w:sz w:val="24"/>
        </w:rPr>
        <w:t xml:space="preserve">. Self-reported adherence was 85.4% and 85.5% among </w:t>
      </w:r>
      <w:r>
        <w:rPr>
          <w:sz w:val="24"/>
        </w:rPr>
        <w:t>intervention</w:t>
      </w:r>
      <w:r w:rsidRPr="001B6C5B">
        <w:rPr>
          <w:sz w:val="24"/>
        </w:rPr>
        <w:t xml:space="preserve"> and standard care participants, respectively. Four carers (3 from </w:t>
      </w:r>
      <w:r>
        <w:rPr>
          <w:sz w:val="24"/>
        </w:rPr>
        <w:t>intervention</w:t>
      </w:r>
      <w:r w:rsidRPr="001B6C5B">
        <w:rPr>
          <w:sz w:val="24"/>
        </w:rPr>
        <w:t>, 1 from standard care) reported non-availability of inhalers at QECH during the trial period.</w:t>
      </w:r>
      <w:r w:rsidRPr="00C01FC6">
        <w:t xml:space="preserve"> </w:t>
      </w:r>
    </w:p>
    <w:p w14:paraId="69F7FB31" w14:textId="77777777" w:rsidR="004A16AD" w:rsidRPr="001815EC" w:rsidRDefault="004A16AD" w:rsidP="00CA4637">
      <w:pPr>
        <w:spacing w:line="480" w:lineRule="auto"/>
        <w:rPr>
          <w:sz w:val="24"/>
          <w:szCs w:val="24"/>
        </w:rPr>
      </w:pPr>
      <w:r w:rsidRPr="001815EC">
        <w:rPr>
          <w:sz w:val="24"/>
          <w:szCs w:val="24"/>
        </w:rPr>
        <w:t>Overall mean percentage predicted (SD) FEV</w:t>
      </w:r>
      <w:r w:rsidRPr="001815EC">
        <w:rPr>
          <w:sz w:val="24"/>
          <w:szCs w:val="24"/>
          <w:vertAlign w:val="subscript"/>
        </w:rPr>
        <w:t>1</w:t>
      </w:r>
      <w:r w:rsidRPr="001815EC">
        <w:rPr>
          <w:sz w:val="24"/>
          <w:szCs w:val="24"/>
        </w:rPr>
        <w:t xml:space="preserve"> was 89.4 (17.8) and mean percentage predicted FEV</w:t>
      </w:r>
      <w:r w:rsidRPr="001815EC">
        <w:rPr>
          <w:sz w:val="24"/>
          <w:szCs w:val="24"/>
          <w:vertAlign w:val="subscript"/>
        </w:rPr>
        <w:t>1</w:t>
      </w:r>
      <w:r w:rsidRPr="001815EC">
        <w:rPr>
          <w:sz w:val="24"/>
          <w:szCs w:val="24"/>
        </w:rPr>
        <w:t>/FVC ratio 91.9 (11.5), with one-third (28/92, 30.4%) of participants having a FEV</w:t>
      </w:r>
      <w:r w:rsidRPr="001815EC">
        <w:rPr>
          <w:sz w:val="24"/>
          <w:szCs w:val="24"/>
          <w:vertAlign w:val="subscript"/>
        </w:rPr>
        <w:t>1</w:t>
      </w:r>
      <w:r w:rsidRPr="001815EC">
        <w:rPr>
          <w:sz w:val="24"/>
          <w:szCs w:val="24"/>
        </w:rPr>
        <w:t xml:space="preserve">/FVC ratio below the lower limit of normal </w:t>
      </w:r>
      <w:r>
        <w:rPr>
          <w:sz w:val="24"/>
          <w:szCs w:val="24"/>
        </w:rPr>
        <w:t>(F</w:t>
      </w:r>
      <w:r w:rsidRPr="001815EC">
        <w:rPr>
          <w:sz w:val="24"/>
          <w:szCs w:val="24"/>
        </w:rPr>
        <w:t>igure</w:t>
      </w:r>
      <w:r>
        <w:rPr>
          <w:sz w:val="24"/>
          <w:szCs w:val="24"/>
        </w:rPr>
        <w:t xml:space="preserve"> 3)</w:t>
      </w:r>
      <w:r w:rsidRPr="001815EC">
        <w:rPr>
          <w:sz w:val="24"/>
          <w:szCs w:val="24"/>
        </w:rPr>
        <w:t>.</w:t>
      </w:r>
      <w:r>
        <w:rPr>
          <w:sz w:val="24"/>
          <w:szCs w:val="24"/>
        </w:rPr>
        <w:t xml:space="preserve"> Ten participants had a FEV</w:t>
      </w:r>
      <w:r w:rsidRPr="0008770F">
        <w:rPr>
          <w:sz w:val="24"/>
          <w:szCs w:val="24"/>
          <w:vertAlign w:val="subscript"/>
        </w:rPr>
        <w:t>1</w:t>
      </w:r>
      <w:r>
        <w:rPr>
          <w:sz w:val="24"/>
          <w:szCs w:val="24"/>
        </w:rPr>
        <w:t>/FVC ratio below 0.7; of these, seven reported “good control” with a cACT</w:t>
      </w:r>
      <w:r>
        <w:rPr>
          <w:rFonts w:cstheme="minorHAnsi"/>
          <w:sz w:val="24"/>
          <w:szCs w:val="24"/>
        </w:rPr>
        <w:t>≥</w:t>
      </w:r>
      <w:r>
        <w:rPr>
          <w:sz w:val="24"/>
          <w:szCs w:val="24"/>
        </w:rPr>
        <w:t>20.</w:t>
      </w:r>
      <w:r w:rsidRPr="001815EC">
        <w:rPr>
          <w:sz w:val="24"/>
          <w:szCs w:val="24"/>
        </w:rPr>
        <w:t xml:space="preserve"> </w:t>
      </w:r>
    </w:p>
    <w:p w14:paraId="696C6881" w14:textId="77777777" w:rsidR="004A16AD" w:rsidRPr="00787395" w:rsidRDefault="004A16AD" w:rsidP="00CA4637">
      <w:pPr>
        <w:spacing w:line="480" w:lineRule="auto"/>
        <w:rPr>
          <w:sz w:val="24"/>
          <w:szCs w:val="24"/>
        </w:rPr>
      </w:pPr>
      <w:proofErr w:type="spellStart"/>
      <w:r w:rsidRPr="00F11539">
        <w:rPr>
          <w:sz w:val="24"/>
          <w:szCs w:val="24"/>
        </w:rPr>
        <w:t>FeNO</w:t>
      </w:r>
      <w:proofErr w:type="spellEnd"/>
      <w:r w:rsidRPr="00F11539">
        <w:rPr>
          <w:sz w:val="24"/>
          <w:szCs w:val="24"/>
        </w:rPr>
        <w:t xml:space="preserve"> levels were </w:t>
      </w:r>
      <w:r>
        <w:rPr>
          <w:sz w:val="24"/>
          <w:szCs w:val="24"/>
        </w:rPr>
        <w:t xml:space="preserve">generally </w:t>
      </w:r>
      <w:r w:rsidRPr="00F11539">
        <w:rPr>
          <w:sz w:val="24"/>
          <w:szCs w:val="24"/>
        </w:rPr>
        <w:t xml:space="preserve">high with </w:t>
      </w:r>
      <w:r>
        <w:rPr>
          <w:sz w:val="24"/>
          <w:szCs w:val="24"/>
        </w:rPr>
        <w:t xml:space="preserve">a </w:t>
      </w:r>
      <w:r w:rsidRPr="00F11539">
        <w:rPr>
          <w:sz w:val="24"/>
          <w:szCs w:val="24"/>
        </w:rPr>
        <w:t xml:space="preserve">median (IQR) </w:t>
      </w:r>
      <w:r>
        <w:rPr>
          <w:sz w:val="24"/>
          <w:szCs w:val="24"/>
        </w:rPr>
        <w:t xml:space="preserve">value </w:t>
      </w:r>
      <w:r w:rsidRPr="00F11539">
        <w:rPr>
          <w:sz w:val="24"/>
          <w:szCs w:val="24"/>
        </w:rPr>
        <w:t xml:space="preserve">of 41.5 (23.0-66.3) ppb and over half of participants (64/112, 57.1%) </w:t>
      </w:r>
      <w:r>
        <w:rPr>
          <w:sz w:val="24"/>
          <w:szCs w:val="24"/>
        </w:rPr>
        <w:t>recording</w:t>
      </w:r>
      <w:r w:rsidRPr="00F11539">
        <w:rPr>
          <w:sz w:val="24"/>
          <w:szCs w:val="24"/>
        </w:rPr>
        <w:t xml:space="preserve"> a </w:t>
      </w:r>
      <w:proofErr w:type="spellStart"/>
      <w:r w:rsidRPr="00F11539">
        <w:rPr>
          <w:sz w:val="24"/>
          <w:szCs w:val="24"/>
        </w:rPr>
        <w:t>FeN</w:t>
      </w:r>
      <w:r>
        <w:rPr>
          <w:sz w:val="24"/>
          <w:szCs w:val="24"/>
        </w:rPr>
        <w:t>O</w:t>
      </w:r>
      <w:proofErr w:type="spellEnd"/>
      <w:r>
        <w:rPr>
          <w:sz w:val="24"/>
          <w:szCs w:val="24"/>
        </w:rPr>
        <w:t xml:space="preserve"> level</w:t>
      </w:r>
      <w:r w:rsidRPr="00F11539">
        <w:rPr>
          <w:sz w:val="24"/>
          <w:szCs w:val="24"/>
        </w:rPr>
        <w:t xml:space="preserve"> </w:t>
      </w:r>
      <w:r>
        <w:rPr>
          <w:sz w:val="24"/>
          <w:szCs w:val="24"/>
        </w:rPr>
        <w:t xml:space="preserve">greater than </w:t>
      </w:r>
      <w:r w:rsidRPr="00F11539">
        <w:rPr>
          <w:sz w:val="24"/>
          <w:szCs w:val="24"/>
        </w:rPr>
        <w:t xml:space="preserve">35 ppb </w:t>
      </w:r>
      <w:r>
        <w:rPr>
          <w:sz w:val="24"/>
          <w:szCs w:val="24"/>
        </w:rPr>
        <w:t>(</w:t>
      </w:r>
      <w:r w:rsidRPr="00F11539">
        <w:rPr>
          <w:sz w:val="24"/>
          <w:szCs w:val="24"/>
        </w:rPr>
        <w:t xml:space="preserve">Figure </w:t>
      </w:r>
      <w:r>
        <w:rPr>
          <w:sz w:val="24"/>
          <w:szCs w:val="24"/>
        </w:rPr>
        <w:t>4)</w:t>
      </w:r>
      <w:r w:rsidRPr="00F11539">
        <w:rPr>
          <w:sz w:val="24"/>
          <w:szCs w:val="24"/>
        </w:rPr>
        <w:t xml:space="preserve">. </w:t>
      </w:r>
    </w:p>
    <w:p w14:paraId="7EF217AB" w14:textId="77777777" w:rsidR="004A16AD" w:rsidRDefault="004A16AD" w:rsidP="00CA4637">
      <w:pPr>
        <w:spacing w:line="480" w:lineRule="auto"/>
        <w:rPr>
          <w:sz w:val="24"/>
        </w:rPr>
      </w:pPr>
      <w:r>
        <w:rPr>
          <w:sz w:val="24"/>
        </w:rPr>
        <w:t>N</w:t>
      </w:r>
      <w:r w:rsidRPr="001B6C5B">
        <w:rPr>
          <w:sz w:val="24"/>
        </w:rPr>
        <w:t>o adverse events</w:t>
      </w:r>
      <w:r>
        <w:rPr>
          <w:sz w:val="24"/>
        </w:rPr>
        <w:t xml:space="preserve"> were reported except for asthma-related hospital admissions, which were not attributed to study procedures</w:t>
      </w:r>
      <w:r w:rsidRPr="001B6C5B">
        <w:rPr>
          <w:sz w:val="24"/>
        </w:rPr>
        <w:t>.</w:t>
      </w:r>
    </w:p>
    <w:p w14:paraId="2882F029" w14:textId="77777777" w:rsidR="004A16AD" w:rsidRDefault="004A16AD" w:rsidP="00CA4637">
      <w:pPr>
        <w:spacing w:line="480" w:lineRule="auto"/>
        <w:rPr>
          <w:sz w:val="24"/>
        </w:rPr>
      </w:pPr>
      <w:r>
        <w:rPr>
          <w:sz w:val="24"/>
        </w:rPr>
        <w:t xml:space="preserve">After RCT completion, 58 children in standard care received the intervention; 48 were reviewed again after 3-months (the remaining reviews were cancelled due to COVID-19). </w:t>
      </w:r>
      <w:proofErr w:type="spellStart"/>
      <w:r>
        <w:rPr>
          <w:sz w:val="24"/>
        </w:rPr>
        <w:t>FeNO</w:t>
      </w:r>
      <w:proofErr w:type="spellEnd"/>
      <w:r>
        <w:rPr>
          <w:sz w:val="24"/>
        </w:rPr>
        <w:t xml:space="preserve"> levels and lung function were similar, before and after the intervention (Table 4).  </w:t>
      </w:r>
    </w:p>
    <w:p w14:paraId="4244243E" w14:textId="77777777" w:rsidR="004A16AD" w:rsidRDefault="004A16AD">
      <w:pPr>
        <w:rPr>
          <w:rFonts w:ascii="Calibri" w:eastAsia="Times New Roman" w:hAnsi="Calibri" w:cs="Calibri"/>
          <w:lang w:eastAsia="en-GB"/>
        </w:rPr>
      </w:pPr>
      <w:r>
        <w:rPr>
          <w:rFonts w:ascii="Calibri" w:eastAsia="Times New Roman" w:hAnsi="Calibri" w:cs="Calibri"/>
          <w:lang w:eastAsia="en-GB"/>
        </w:rPr>
        <w:br w:type="page"/>
      </w:r>
    </w:p>
    <w:p w14:paraId="4B2F4613" w14:textId="77777777" w:rsidR="004A16AD" w:rsidRPr="001A70E9" w:rsidRDefault="004A16AD" w:rsidP="00CA4637">
      <w:pPr>
        <w:spacing w:after="0" w:line="240" w:lineRule="auto"/>
        <w:rPr>
          <w:rFonts w:ascii="Calibri" w:eastAsia="Times New Roman" w:hAnsi="Calibri" w:cs="Calibri"/>
          <w:lang w:eastAsia="en-GB"/>
        </w:rPr>
      </w:pPr>
      <w:r w:rsidRPr="001A70E9">
        <w:rPr>
          <w:rFonts w:ascii="Calibri" w:eastAsia="Times New Roman" w:hAnsi="Calibri" w:cs="Calibri"/>
          <w:b/>
          <w:bCs/>
          <w:lang w:eastAsia="en-GB"/>
        </w:rPr>
        <w:lastRenderedPageBreak/>
        <w:t>Table 4.</w:t>
      </w:r>
      <w:r w:rsidRPr="001A70E9">
        <w:rPr>
          <w:rFonts w:ascii="Calibri" w:eastAsia="Times New Roman" w:hAnsi="Calibri" w:cs="Calibri"/>
          <w:lang w:eastAsia="en-GB"/>
        </w:rPr>
        <w:t xml:space="preserve"> Pre- and post-intervention </w:t>
      </w:r>
      <w:proofErr w:type="spellStart"/>
      <w:r w:rsidRPr="001A70E9">
        <w:rPr>
          <w:rFonts w:ascii="Calibri" w:eastAsia="Times New Roman" w:hAnsi="Calibri" w:cs="Calibri"/>
          <w:lang w:eastAsia="en-GB"/>
        </w:rPr>
        <w:t>FeNO</w:t>
      </w:r>
      <w:proofErr w:type="spellEnd"/>
      <w:r w:rsidRPr="001A70E9">
        <w:rPr>
          <w:rFonts w:ascii="Calibri" w:eastAsia="Times New Roman" w:hAnsi="Calibri" w:cs="Calibri"/>
          <w:lang w:eastAsia="en-GB"/>
        </w:rPr>
        <w:t xml:space="preserve"> levels and lung function, split by initial allocation groups</w:t>
      </w:r>
      <w:r w:rsidRPr="00295483">
        <w:rPr>
          <w:rFonts w:ascii="Calibri" w:eastAsia="Times New Roman" w:hAnsi="Calibri" w:cs="Calibri"/>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4A16AD" w:rsidRPr="00295483" w14:paraId="52CA22DA" w14:textId="77777777" w:rsidTr="00CA4637">
        <w:tc>
          <w:tcPr>
            <w:tcW w:w="2254" w:type="dxa"/>
            <w:tcBorders>
              <w:top w:val="single" w:sz="4" w:space="0" w:color="auto"/>
              <w:bottom w:val="single" w:sz="4" w:space="0" w:color="auto"/>
            </w:tcBorders>
          </w:tcPr>
          <w:p w14:paraId="6FA021CA" w14:textId="77777777" w:rsidR="004A16AD" w:rsidRPr="001A70E9" w:rsidRDefault="004A16AD" w:rsidP="00CA4637">
            <w:pPr>
              <w:rPr>
                <w:rFonts w:ascii="Calibri" w:eastAsia="Times New Roman" w:hAnsi="Calibri" w:cs="Calibri"/>
                <w:b/>
                <w:bCs/>
                <w:lang w:eastAsia="en-GB"/>
              </w:rPr>
            </w:pPr>
            <w:r w:rsidRPr="001A70E9">
              <w:rPr>
                <w:rFonts w:ascii="Calibri" w:eastAsia="Times New Roman" w:hAnsi="Calibri" w:cs="Calibri"/>
                <w:b/>
                <w:bCs/>
                <w:lang w:eastAsia="en-GB"/>
              </w:rPr>
              <w:t>Initial allocation</w:t>
            </w:r>
          </w:p>
        </w:tc>
        <w:tc>
          <w:tcPr>
            <w:tcW w:w="2254" w:type="dxa"/>
            <w:tcBorders>
              <w:top w:val="single" w:sz="4" w:space="0" w:color="auto"/>
              <w:bottom w:val="single" w:sz="4" w:space="0" w:color="auto"/>
            </w:tcBorders>
          </w:tcPr>
          <w:p w14:paraId="6D3D28E2" w14:textId="77777777" w:rsidR="004A16AD" w:rsidRPr="001A70E9" w:rsidRDefault="004A16AD" w:rsidP="00CA4637">
            <w:pPr>
              <w:rPr>
                <w:rFonts w:ascii="Calibri" w:eastAsia="Times New Roman" w:hAnsi="Calibri" w:cs="Calibri"/>
                <w:b/>
                <w:bCs/>
                <w:lang w:eastAsia="en-GB"/>
              </w:rPr>
            </w:pPr>
            <w:r w:rsidRPr="001A70E9">
              <w:rPr>
                <w:rFonts w:ascii="Calibri" w:eastAsia="Times New Roman" w:hAnsi="Calibri" w:cs="Calibri"/>
                <w:b/>
                <w:bCs/>
                <w:lang w:eastAsia="en-GB"/>
              </w:rPr>
              <w:t>Pre-intervention</w:t>
            </w:r>
          </w:p>
        </w:tc>
        <w:tc>
          <w:tcPr>
            <w:tcW w:w="2254" w:type="dxa"/>
            <w:tcBorders>
              <w:top w:val="single" w:sz="4" w:space="0" w:color="auto"/>
              <w:bottom w:val="single" w:sz="4" w:space="0" w:color="auto"/>
            </w:tcBorders>
          </w:tcPr>
          <w:p w14:paraId="5E565285" w14:textId="77777777" w:rsidR="004A16AD" w:rsidRPr="001A70E9" w:rsidRDefault="004A16AD" w:rsidP="00CA4637">
            <w:pPr>
              <w:rPr>
                <w:rFonts w:ascii="Calibri" w:eastAsia="Times New Roman" w:hAnsi="Calibri" w:cs="Calibri"/>
                <w:b/>
                <w:bCs/>
                <w:lang w:eastAsia="en-GB"/>
              </w:rPr>
            </w:pPr>
            <w:r w:rsidRPr="001A70E9">
              <w:rPr>
                <w:rFonts w:ascii="Calibri" w:eastAsia="Times New Roman" w:hAnsi="Calibri" w:cs="Calibri"/>
                <w:b/>
                <w:bCs/>
                <w:lang w:eastAsia="en-GB"/>
              </w:rPr>
              <w:t>Post-intervention</w:t>
            </w:r>
          </w:p>
        </w:tc>
        <w:tc>
          <w:tcPr>
            <w:tcW w:w="2254" w:type="dxa"/>
            <w:tcBorders>
              <w:top w:val="single" w:sz="4" w:space="0" w:color="auto"/>
              <w:bottom w:val="single" w:sz="4" w:space="0" w:color="auto"/>
            </w:tcBorders>
          </w:tcPr>
          <w:p w14:paraId="30A8B23A" w14:textId="15773883" w:rsidR="004A16AD" w:rsidRPr="001A70E9" w:rsidRDefault="004A16AD" w:rsidP="00CA4637">
            <w:pPr>
              <w:rPr>
                <w:rFonts w:ascii="Calibri" w:eastAsia="Times New Roman" w:hAnsi="Calibri" w:cs="Calibri"/>
                <w:b/>
                <w:bCs/>
                <w:lang w:eastAsia="en-GB"/>
              </w:rPr>
            </w:pPr>
            <w:r w:rsidRPr="005D70A3">
              <w:rPr>
                <w:rFonts w:ascii="Calibri" w:eastAsia="Times New Roman" w:hAnsi="Calibri" w:cs="Calibri"/>
                <w:b/>
                <w:bCs/>
                <w:lang w:eastAsia="en-GB"/>
              </w:rPr>
              <w:t>Pre-post comparison</w:t>
            </w:r>
            <w:r w:rsidR="005D70A3" w:rsidRPr="00137178">
              <w:rPr>
                <w:rFonts w:ascii="Calibri" w:eastAsia="Times New Roman" w:hAnsi="Calibri" w:cs="Calibri"/>
                <w:b/>
                <w:bCs/>
                <w:vertAlign w:val="superscript"/>
                <w:lang w:eastAsia="en-GB"/>
              </w:rPr>
              <w:t>†</w:t>
            </w:r>
          </w:p>
        </w:tc>
      </w:tr>
      <w:tr w:rsidR="004A16AD" w:rsidRPr="00295483" w14:paraId="5AA9CB48" w14:textId="77777777" w:rsidTr="00CA4637">
        <w:tc>
          <w:tcPr>
            <w:tcW w:w="2254" w:type="dxa"/>
            <w:tcBorders>
              <w:top w:val="single" w:sz="4" w:space="0" w:color="auto"/>
              <w:bottom w:val="single" w:sz="4" w:space="0" w:color="auto"/>
            </w:tcBorders>
            <w:shd w:val="clear" w:color="auto" w:fill="D9D9D9" w:themeFill="background1" w:themeFillShade="D9"/>
          </w:tcPr>
          <w:p w14:paraId="2FA7DF7C" w14:textId="77777777" w:rsidR="004A16AD" w:rsidRPr="00295483" w:rsidRDefault="004A16AD" w:rsidP="00CA4637">
            <w:pPr>
              <w:rPr>
                <w:rFonts w:ascii="Calibri" w:eastAsia="Times New Roman" w:hAnsi="Calibri" w:cs="Calibri"/>
                <w:lang w:eastAsia="en-GB"/>
              </w:rPr>
            </w:pPr>
          </w:p>
        </w:tc>
        <w:tc>
          <w:tcPr>
            <w:tcW w:w="6762" w:type="dxa"/>
            <w:gridSpan w:val="3"/>
            <w:tcBorders>
              <w:top w:val="single" w:sz="4" w:space="0" w:color="auto"/>
              <w:bottom w:val="single" w:sz="4" w:space="0" w:color="auto"/>
            </w:tcBorders>
            <w:shd w:val="clear" w:color="auto" w:fill="D9D9D9" w:themeFill="background1" w:themeFillShade="D9"/>
          </w:tcPr>
          <w:p w14:paraId="56356D2A" w14:textId="77777777" w:rsidR="004A16AD" w:rsidRPr="00295483" w:rsidRDefault="004A16AD" w:rsidP="00CA4637">
            <w:pPr>
              <w:rPr>
                <w:rFonts w:ascii="Calibri" w:eastAsia="Times New Roman" w:hAnsi="Calibri" w:cs="Calibri"/>
                <w:b/>
                <w:bCs/>
                <w:lang w:eastAsia="en-GB"/>
              </w:rPr>
            </w:pPr>
            <w:r w:rsidRPr="00295483">
              <w:rPr>
                <w:rFonts w:ascii="Calibri" w:eastAsia="Times New Roman" w:hAnsi="Calibri" w:cs="Calibri"/>
                <w:b/>
                <w:bCs/>
                <w:lang w:eastAsia="en-GB"/>
              </w:rPr>
              <w:t xml:space="preserve">Median (IQR) </w:t>
            </w:r>
            <w:proofErr w:type="spellStart"/>
            <w:r w:rsidRPr="00295483">
              <w:rPr>
                <w:rFonts w:ascii="Calibri" w:eastAsia="Times New Roman" w:hAnsi="Calibri" w:cs="Calibri"/>
                <w:b/>
                <w:bCs/>
                <w:lang w:eastAsia="en-GB"/>
              </w:rPr>
              <w:t>FeNO</w:t>
            </w:r>
            <w:proofErr w:type="spellEnd"/>
            <w:r w:rsidRPr="00295483">
              <w:rPr>
                <w:rFonts w:ascii="Calibri" w:eastAsia="Times New Roman" w:hAnsi="Calibri" w:cs="Calibri"/>
                <w:b/>
                <w:bCs/>
                <w:lang w:eastAsia="en-GB"/>
              </w:rPr>
              <w:t>, ppb</w:t>
            </w:r>
          </w:p>
        </w:tc>
      </w:tr>
      <w:tr w:rsidR="004A16AD" w:rsidRPr="00295483" w14:paraId="53CD5EEC" w14:textId="77777777" w:rsidTr="00CA4637">
        <w:tc>
          <w:tcPr>
            <w:tcW w:w="2254" w:type="dxa"/>
            <w:tcBorders>
              <w:top w:val="single" w:sz="4" w:space="0" w:color="auto"/>
            </w:tcBorders>
          </w:tcPr>
          <w:p w14:paraId="3EE87FF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Enhanced care</w:t>
            </w:r>
          </w:p>
        </w:tc>
        <w:tc>
          <w:tcPr>
            <w:tcW w:w="2254" w:type="dxa"/>
            <w:tcBorders>
              <w:top w:val="single" w:sz="4" w:space="0" w:color="auto"/>
            </w:tcBorders>
          </w:tcPr>
          <w:p w14:paraId="78831042"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44.5 (27.5-66.5)</w:t>
            </w:r>
          </w:p>
          <w:p w14:paraId="57139DC6"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n=57</w:t>
            </w:r>
          </w:p>
        </w:tc>
        <w:tc>
          <w:tcPr>
            <w:tcW w:w="2254" w:type="dxa"/>
            <w:tcBorders>
              <w:top w:val="single" w:sz="4" w:space="0" w:color="auto"/>
            </w:tcBorders>
          </w:tcPr>
          <w:p w14:paraId="2698A10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41.8 (23.4-68.0)</w:t>
            </w:r>
          </w:p>
          <w:p w14:paraId="48674DAF"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n=56</w:t>
            </w:r>
          </w:p>
        </w:tc>
        <w:tc>
          <w:tcPr>
            <w:tcW w:w="2254" w:type="dxa"/>
            <w:tcBorders>
              <w:top w:val="single" w:sz="4" w:space="0" w:color="auto"/>
            </w:tcBorders>
          </w:tcPr>
          <w:p w14:paraId="3E1C03DF" w14:textId="554FA788"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P=0.9</w:t>
            </w:r>
            <w:r w:rsidR="00D25D80">
              <w:rPr>
                <w:rFonts w:ascii="Calibri" w:eastAsia="Times New Roman" w:hAnsi="Calibri" w:cs="Calibri"/>
                <w:lang w:eastAsia="en-GB"/>
              </w:rPr>
              <w:t>8</w:t>
            </w:r>
          </w:p>
        </w:tc>
      </w:tr>
      <w:tr w:rsidR="004A16AD" w:rsidRPr="00295483" w14:paraId="75A3AE22" w14:textId="77777777" w:rsidTr="00CA4637">
        <w:tc>
          <w:tcPr>
            <w:tcW w:w="2254" w:type="dxa"/>
            <w:tcBorders>
              <w:bottom w:val="single" w:sz="4" w:space="0" w:color="auto"/>
            </w:tcBorders>
            <w:shd w:val="clear" w:color="auto" w:fill="F2F2F2" w:themeFill="background1" w:themeFillShade="F2"/>
          </w:tcPr>
          <w:p w14:paraId="08BF6692"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Standard care</w:t>
            </w:r>
          </w:p>
        </w:tc>
        <w:tc>
          <w:tcPr>
            <w:tcW w:w="2254" w:type="dxa"/>
            <w:tcBorders>
              <w:bottom w:val="single" w:sz="4" w:space="0" w:color="auto"/>
            </w:tcBorders>
            <w:shd w:val="clear" w:color="auto" w:fill="F2F2F2" w:themeFill="background1" w:themeFillShade="F2"/>
          </w:tcPr>
          <w:p w14:paraId="31CE928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39.8 (22.9-57.9)</w:t>
            </w:r>
          </w:p>
          <w:p w14:paraId="5CD92F2C"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n=56</w:t>
            </w:r>
          </w:p>
        </w:tc>
        <w:tc>
          <w:tcPr>
            <w:tcW w:w="2254" w:type="dxa"/>
            <w:tcBorders>
              <w:bottom w:val="single" w:sz="4" w:space="0" w:color="auto"/>
            </w:tcBorders>
            <w:shd w:val="clear" w:color="auto" w:fill="F2F2F2" w:themeFill="background1" w:themeFillShade="F2"/>
          </w:tcPr>
          <w:p w14:paraId="12F37FC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35.0 (22.8-58.4)</w:t>
            </w:r>
          </w:p>
          <w:p w14:paraId="227ACCFE"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n=48</w:t>
            </w:r>
          </w:p>
        </w:tc>
        <w:tc>
          <w:tcPr>
            <w:tcW w:w="2254" w:type="dxa"/>
            <w:tcBorders>
              <w:bottom w:val="single" w:sz="4" w:space="0" w:color="auto"/>
            </w:tcBorders>
            <w:shd w:val="clear" w:color="auto" w:fill="F2F2F2" w:themeFill="background1" w:themeFillShade="F2"/>
          </w:tcPr>
          <w:p w14:paraId="5C16E6DE" w14:textId="6BDAEDE3"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P=0.</w:t>
            </w:r>
            <w:r w:rsidR="00D25D80">
              <w:rPr>
                <w:rFonts w:ascii="Calibri" w:eastAsia="Times New Roman" w:hAnsi="Calibri" w:cs="Calibri"/>
                <w:lang w:eastAsia="en-GB"/>
              </w:rPr>
              <w:t>11</w:t>
            </w:r>
          </w:p>
        </w:tc>
      </w:tr>
      <w:tr w:rsidR="004A16AD" w:rsidRPr="00295483" w14:paraId="50B72680" w14:textId="77777777" w:rsidTr="00CA4637">
        <w:tc>
          <w:tcPr>
            <w:tcW w:w="2254" w:type="dxa"/>
            <w:tcBorders>
              <w:top w:val="single" w:sz="4" w:space="0" w:color="auto"/>
              <w:bottom w:val="single" w:sz="4" w:space="0" w:color="auto"/>
            </w:tcBorders>
            <w:shd w:val="clear" w:color="auto" w:fill="D9D9D9" w:themeFill="background1" w:themeFillShade="D9"/>
          </w:tcPr>
          <w:p w14:paraId="235C463D" w14:textId="77777777" w:rsidR="004A16AD" w:rsidRPr="00295483" w:rsidRDefault="004A16AD" w:rsidP="00CA4637">
            <w:pPr>
              <w:rPr>
                <w:rFonts w:ascii="Calibri" w:eastAsia="Times New Roman" w:hAnsi="Calibri" w:cs="Calibri"/>
                <w:lang w:eastAsia="en-GB"/>
              </w:rPr>
            </w:pPr>
          </w:p>
        </w:tc>
        <w:tc>
          <w:tcPr>
            <w:tcW w:w="6762" w:type="dxa"/>
            <w:gridSpan w:val="3"/>
            <w:tcBorders>
              <w:top w:val="single" w:sz="4" w:space="0" w:color="auto"/>
              <w:bottom w:val="single" w:sz="4" w:space="0" w:color="auto"/>
            </w:tcBorders>
            <w:shd w:val="clear" w:color="auto" w:fill="D9D9D9" w:themeFill="background1" w:themeFillShade="D9"/>
          </w:tcPr>
          <w:p w14:paraId="25FF5D9D" w14:textId="77777777" w:rsidR="004A16AD" w:rsidRPr="00295483" w:rsidRDefault="004A16AD" w:rsidP="00CA4637">
            <w:pPr>
              <w:rPr>
                <w:rFonts w:ascii="Calibri" w:eastAsia="Times New Roman" w:hAnsi="Calibri" w:cs="Calibri"/>
                <w:b/>
                <w:bCs/>
                <w:lang w:eastAsia="en-GB"/>
              </w:rPr>
            </w:pPr>
            <w:r w:rsidRPr="00295483">
              <w:rPr>
                <w:rFonts w:ascii="Calibri" w:eastAsia="Times New Roman" w:hAnsi="Calibri" w:cs="Calibri"/>
                <w:b/>
                <w:bCs/>
                <w:lang w:eastAsia="en-GB"/>
              </w:rPr>
              <w:t>Mean (SD) % predicted FEV</w:t>
            </w:r>
            <w:r w:rsidRPr="00295483">
              <w:rPr>
                <w:rFonts w:ascii="Calibri" w:eastAsia="Times New Roman" w:hAnsi="Calibri" w:cs="Calibri"/>
                <w:b/>
                <w:bCs/>
                <w:vertAlign w:val="subscript"/>
                <w:lang w:eastAsia="en-GB"/>
              </w:rPr>
              <w:t>1</w:t>
            </w:r>
          </w:p>
        </w:tc>
      </w:tr>
      <w:tr w:rsidR="004A16AD" w:rsidRPr="00295483" w14:paraId="79AE2B05" w14:textId="77777777" w:rsidTr="00CA4637">
        <w:tc>
          <w:tcPr>
            <w:tcW w:w="2254" w:type="dxa"/>
            <w:tcBorders>
              <w:top w:val="single" w:sz="4" w:space="0" w:color="auto"/>
            </w:tcBorders>
          </w:tcPr>
          <w:p w14:paraId="1D4CEDD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Enhanced care</w:t>
            </w:r>
          </w:p>
        </w:tc>
        <w:tc>
          <w:tcPr>
            <w:tcW w:w="2254" w:type="dxa"/>
            <w:tcBorders>
              <w:top w:val="single" w:sz="4" w:space="0" w:color="auto"/>
            </w:tcBorders>
          </w:tcPr>
          <w:p w14:paraId="2B4E30AC"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88.5 (17.8)</w:t>
            </w:r>
          </w:p>
          <w:p w14:paraId="71ADF3D9"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n=48</w:t>
            </w:r>
          </w:p>
        </w:tc>
        <w:tc>
          <w:tcPr>
            <w:tcW w:w="2254" w:type="dxa"/>
            <w:tcBorders>
              <w:top w:val="single" w:sz="4" w:space="0" w:color="auto"/>
            </w:tcBorders>
          </w:tcPr>
          <w:p w14:paraId="3970C2F8"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86.9 (18.0)</w:t>
            </w:r>
          </w:p>
          <w:p w14:paraId="35F476BE"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n=50</w:t>
            </w:r>
          </w:p>
        </w:tc>
        <w:tc>
          <w:tcPr>
            <w:tcW w:w="2254" w:type="dxa"/>
            <w:tcBorders>
              <w:top w:val="single" w:sz="4" w:space="0" w:color="auto"/>
            </w:tcBorders>
          </w:tcPr>
          <w:p w14:paraId="7E7C17E8" w14:textId="48E5035E"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P=0.</w:t>
            </w:r>
            <w:r w:rsidR="005D70A3">
              <w:rPr>
                <w:rFonts w:ascii="Calibri" w:eastAsia="Times New Roman" w:hAnsi="Calibri" w:cs="Calibri"/>
                <w:lang w:eastAsia="en-GB"/>
              </w:rPr>
              <w:t>47</w:t>
            </w:r>
          </w:p>
        </w:tc>
      </w:tr>
      <w:tr w:rsidR="004A16AD" w:rsidRPr="00295483" w14:paraId="041F79B1" w14:textId="77777777" w:rsidTr="00CA4637">
        <w:tc>
          <w:tcPr>
            <w:tcW w:w="2254" w:type="dxa"/>
            <w:tcBorders>
              <w:bottom w:val="single" w:sz="4" w:space="0" w:color="auto"/>
            </w:tcBorders>
            <w:shd w:val="clear" w:color="auto" w:fill="F2F2F2" w:themeFill="background1" w:themeFillShade="F2"/>
          </w:tcPr>
          <w:p w14:paraId="29B555E1"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Standard care</w:t>
            </w:r>
          </w:p>
        </w:tc>
        <w:tc>
          <w:tcPr>
            <w:tcW w:w="2254" w:type="dxa"/>
            <w:tcBorders>
              <w:bottom w:val="single" w:sz="4" w:space="0" w:color="auto"/>
            </w:tcBorders>
            <w:shd w:val="clear" w:color="auto" w:fill="F2F2F2" w:themeFill="background1" w:themeFillShade="F2"/>
          </w:tcPr>
          <w:p w14:paraId="2CAC6458"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92.0 (17.5)</w:t>
            </w:r>
          </w:p>
          <w:p w14:paraId="6C924202"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n=49</w:t>
            </w:r>
          </w:p>
        </w:tc>
        <w:tc>
          <w:tcPr>
            <w:tcW w:w="2254" w:type="dxa"/>
            <w:tcBorders>
              <w:bottom w:val="single" w:sz="4" w:space="0" w:color="auto"/>
            </w:tcBorders>
            <w:shd w:val="clear" w:color="auto" w:fill="F2F2F2" w:themeFill="background1" w:themeFillShade="F2"/>
          </w:tcPr>
          <w:p w14:paraId="41FB2FDA"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88.1 (14.3)</w:t>
            </w:r>
          </w:p>
          <w:p w14:paraId="5C67920A"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n=44</w:t>
            </w:r>
          </w:p>
        </w:tc>
        <w:tc>
          <w:tcPr>
            <w:tcW w:w="2254" w:type="dxa"/>
            <w:tcBorders>
              <w:bottom w:val="single" w:sz="4" w:space="0" w:color="auto"/>
            </w:tcBorders>
            <w:shd w:val="clear" w:color="auto" w:fill="F2F2F2" w:themeFill="background1" w:themeFillShade="F2"/>
          </w:tcPr>
          <w:p w14:paraId="0C5A6D4A" w14:textId="14BF0830"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P=0.</w:t>
            </w:r>
            <w:r w:rsidR="005D70A3">
              <w:rPr>
                <w:rFonts w:ascii="Calibri" w:eastAsia="Times New Roman" w:hAnsi="Calibri" w:cs="Calibri"/>
                <w:lang w:eastAsia="en-GB"/>
              </w:rPr>
              <w:t>12</w:t>
            </w:r>
          </w:p>
        </w:tc>
      </w:tr>
      <w:tr w:rsidR="004A16AD" w:rsidRPr="00295483" w14:paraId="7C1368D1" w14:textId="77777777" w:rsidTr="00CA4637">
        <w:tc>
          <w:tcPr>
            <w:tcW w:w="2254" w:type="dxa"/>
            <w:tcBorders>
              <w:top w:val="single" w:sz="4" w:space="0" w:color="auto"/>
              <w:bottom w:val="single" w:sz="4" w:space="0" w:color="auto"/>
            </w:tcBorders>
            <w:shd w:val="clear" w:color="auto" w:fill="D9D9D9" w:themeFill="background1" w:themeFillShade="D9"/>
          </w:tcPr>
          <w:p w14:paraId="468C2B8E" w14:textId="77777777" w:rsidR="004A16AD" w:rsidRPr="00295483" w:rsidRDefault="004A16AD" w:rsidP="00CA4637">
            <w:pPr>
              <w:rPr>
                <w:rFonts w:ascii="Calibri" w:eastAsia="Times New Roman" w:hAnsi="Calibri" w:cs="Calibri"/>
                <w:lang w:eastAsia="en-GB"/>
              </w:rPr>
            </w:pPr>
          </w:p>
        </w:tc>
        <w:tc>
          <w:tcPr>
            <w:tcW w:w="6762" w:type="dxa"/>
            <w:gridSpan w:val="3"/>
            <w:tcBorders>
              <w:top w:val="single" w:sz="4" w:space="0" w:color="auto"/>
              <w:bottom w:val="single" w:sz="4" w:space="0" w:color="auto"/>
            </w:tcBorders>
            <w:shd w:val="clear" w:color="auto" w:fill="D9D9D9" w:themeFill="background1" w:themeFillShade="D9"/>
          </w:tcPr>
          <w:p w14:paraId="0A6FBF88" w14:textId="77777777" w:rsidR="004A16AD" w:rsidRPr="00295483" w:rsidRDefault="004A16AD" w:rsidP="00CA4637">
            <w:pPr>
              <w:rPr>
                <w:rFonts w:ascii="Calibri" w:eastAsia="Times New Roman" w:hAnsi="Calibri" w:cs="Calibri"/>
                <w:b/>
                <w:bCs/>
                <w:lang w:eastAsia="en-GB"/>
              </w:rPr>
            </w:pPr>
            <w:r w:rsidRPr="00295483">
              <w:rPr>
                <w:rFonts w:ascii="Calibri" w:eastAsia="Times New Roman" w:hAnsi="Calibri" w:cs="Calibri"/>
                <w:b/>
                <w:bCs/>
                <w:lang w:eastAsia="en-GB"/>
              </w:rPr>
              <w:t>Mean (SD) % predicted FEV</w:t>
            </w:r>
            <w:r w:rsidRPr="00295483">
              <w:rPr>
                <w:rFonts w:ascii="Calibri" w:eastAsia="Times New Roman" w:hAnsi="Calibri" w:cs="Calibri"/>
                <w:b/>
                <w:bCs/>
                <w:vertAlign w:val="subscript"/>
                <w:lang w:eastAsia="en-GB"/>
              </w:rPr>
              <w:t>1</w:t>
            </w:r>
            <w:r w:rsidRPr="00295483">
              <w:rPr>
                <w:rFonts w:ascii="Calibri" w:eastAsia="Times New Roman" w:hAnsi="Calibri" w:cs="Calibri"/>
                <w:b/>
                <w:bCs/>
                <w:lang w:eastAsia="en-GB"/>
              </w:rPr>
              <w:t>/FVC ratio</w:t>
            </w:r>
          </w:p>
        </w:tc>
      </w:tr>
      <w:tr w:rsidR="004A16AD" w:rsidRPr="00295483" w14:paraId="059F3E50" w14:textId="77777777" w:rsidTr="00CA4637">
        <w:tc>
          <w:tcPr>
            <w:tcW w:w="2254" w:type="dxa"/>
            <w:tcBorders>
              <w:top w:val="single" w:sz="4" w:space="0" w:color="auto"/>
            </w:tcBorders>
          </w:tcPr>
          <w:p w14:paraId="0FA924C5"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Enhanced care</w:t>
            </w:r>
          </w:p>
        </w:tc>
        <w:tc>
          <w:tcPr>
            <w:tcW w:w="2254" w:type="dxa"/>
            <w:tcBorders>
              <w:top w:val="single" w:sz="4" w:space="0" w:color="auto"/>
            </w:tcBorders>
          </w:tcPr>
          <w:p w14:paraId="66F4635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88.9 (9.8)</w:t>
            </w:r>
          </w:p>
          <w:p w14:paraId="48950A21"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n=43</w:t>
            </w:r>
          </w:p>
        </w:tc>
        <w:tc>
          <w:tcPr>
            <w:tcW w:w="2254" w:type="dxa"/>
            <w:tcBorders>
              <w:top w:val="single" w:sz="4" w:space="0" w:color="auto"/>
            </w:tcBorders>
          </w:tcPr>
          <w:p w14:paraId="18B26CEE"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90.9 (12.5)</w:t>
            </w:r>
          </w:p>
          <w:p w14:paraId="1009B13E"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n=47</w:t>
            </w:r>
          </w:p>
        </w:tc>
        <w:tc>
          <w:tcPr>
            <w:tcW w:w="2254" w:type="dxa"/>
            <w:tcBorders>
              <w:top w:val="single" w:sz="4" w:space="0" w:color="auto"/>
            </w:tcBorders>
          </w:tcPr>
          <w:p w14:paraId="5EE155A3" w14:textId="7FA9E782"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P=0.</w:t>
            </w:r>
            <w:r w:rsidR="005D70A3">
              <w:rPr>
                <w:rFonts w:ascii="Calibri" w:eastAsia="Times New Roman" w:hAnsi="Calibri" w:cs="Calibri"/>
                <w:lang w:eastAsia="en-GB"/>
              </w:rPr>
              <w:t>29</w:t>
            </w:r>
          </w:p>
        </w:tc>
      </w:tr>
      <w:tr w:rsidR="004A16AD" w:rsidRPr="00295483" w14:paraId="478A66B7" w14:textId="77777777" w:rsidTr="00CA4637">
        <w:tc>
          <w:tcPr>
            <w:tcW w:w="2254" w:type="dxa"/>
            <w:tcBorders>
              <w:bottom w:val="single" w:sz="4" w:space="0" w:color="auto"/>
            </w:tcBorders>
            <w:shd w:val="clear" w:color="auto" w:fill="F2F2F2" w:themeFill="background1" w:themeFillShade="F2"/>
          </w:tcPr>
          <w:p w14:paraId="49262C59"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Standard care</w:t>
            </w:r>
          </w:p>
        </w:tc>
        <w:tc>
          <w:tcPr>
            <w:tcW w:w="2254" w:type="dxa"/>
            <w:tcBorders>
              <w:bottom w:val="single" w:sz="4" w:space="0" w:color="auto"/>
            </w:tcBorders>
            <w:shd w:val="clear" w:color="auto" w:fill="F2F2F2" w:themeFill="background1" w:themeFillShade="F2"/>
          </w:tcPr>
          <w:p w14:paraId="58802F64"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92.8 (10.3)</w:t>
            </w:r>
          </w:p>
          <w:p w14:paraId="48A70018"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n=45</w:t>
            </w:r>
          </w:p>
        </w:tc>
        <w:tc>
          <w:tcPr>
            <w:tcW w:w="2254" w:type="dxa"/>
            <w:tcBorders>
              <w:bottom w:val="single" w:sz="4" w:space="0" w:color="auto"/>
            </w:tcBorders>
            <w:shd w:val="clear" w:color="auto" w:fill="F2F2F2" w:themeFill="background1" w:themeFillShade="F2"/>
          </w:tcPr>
          <w:p w14:paraId="49BB80B8" w14:textId="77777777"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89.9 (9.1)</w:t>
            </w:r>
          </w:p>
          <w:p w14:paraId="3945F12E" w14:textId="77777777" w:rsidR="004A16AD" w:rsidRPr="00295483" w:rsidRDefault="004A16AD" w:rsidP="00CA4637">
            <w:pPr>
              <w:rPr>
                <w:rFonts w:ascii="Calibri" w:eastAsia="Times New Roman" w:hAnsi="Calibri" w:cs="Calibri"/>
                <w:i/>
                <w:iCs/>
                <w:lang w:eastAsia="en-GB"/>
              </w:rPr>
            </w:pPr>
            <w:r w:rsidRPr="00295483">
              <w:rPr>
                <w:rFonts w:ascii="Calibri" w:eastAsia="Times New Roman" w:hAnsi="Calibri" w:cs="Calibri"/>
                <w:i/>
                <w:iCs/>
                <w:lang w:eastAsia="en-GB"/>
              </w:rPr>
              <w:t>n=39</w:t>
            </w:r>
          </w:p>
        </w:tc>
        <w:tc>
          <w:tcPr>
            <w:tcW w:w="2254" w:type="dxa"/>
            <w:tcBorders>
              <w:bottom w:val="single" w:sz="4" w:space="0" w:color="auto"/>
            </w:tcBorders>
            <w:shd w:val="clear" w:color="auto" w:fill="F2F2F2" w:themeFill="background1" w:themeFillShade="F2"/>
          </w:tcPr>
          <w:p w14:paraId="4B423F7C" w14:textId="342370C5" w:rsidR="004A16AD" w:rsidRPr="00295483" w:rsidRDefault="004A16AD" w:rsidP="00CA4637">
            <w:pPr>
              <w:rPr>
                <w:rFonts w:ascii="Calibri" w:eastAsia="Times New Roman" w:hAnsi="Calibri" w:cs="Calibri"/>
                <w:lang w:eastAsia="en-GB"/>
              </w:rPr>
            </w:pPr>
            <w:r w:rsidRPr="00295483">
              <w:rPr>
                <w:rFonts w:ascii="Calibri" w:eastAsia="Times New Roman" w:hAnsi="Calibri" w:cs="Calibri"/>
                <w:lang w:eastAsia="en-GB"/>
              </w:rPr>
              <w:t>P=0.</w:t>
            </w:r>
            <w:r w:rsidR="005D70A3">
              <w:rPr>
                <w:rFonts w:ascii="Calibri" w:eastAsia="Times New Roman" w:hAnsi="Calibri" w:cs="Calibri"/>
                <w:lang w:eastAsia="en-GB"/>
              </w:rPr>
              <w:t>30</w:t>
            </w:r>
          </w:p>
        </w:tc>
      </w:tr>
    </w:tbl>
    <w:p w14:paraId="23935F30" w14:textId="77777777" w:rsidR="004A16AD" w:rsidRPr="00715657" w:rsidRDefault="004A16AD" w:rsidP="00CA4637">
      <w:pPr>
        <w:spacing w:after="0" w:line="240" w:lineRule="auto"/>
        <w:rPr>
          <w:rFonts w:ascii="Calibri" w:eastAsia="Times New Roman" w:hAnsi="Calibri" w:cs="Calibri"/>
          <w:lang w:eastAsia="en-GB"/>
        </w:rPr>
      </w:pPr>
    </w:p>
    <w:p w14:paraId="67B76CB5" w14:textId="2AAD64EC" w:rsidR="004A16AD" w:rsidRDefault="004A16AD" w:rsidP="00CA4637">
      <w:pPr>
        <w:spacing w:after="0" w:line="240" w:lineRule="auto"/>
        <w:rPr>
          <w:rFonts w:ascii="Calibri" w:hAnsi="Calibri" w:cs="Calibri"/>
          <w:lang w:eastAsia="en-GB"/>
        </w:rPr>
      </w:pPr>
      <w:r>
        <w:rPr>
          <w:rFonts w:ascii="Calibri" w:hAnsi="Calibri" w:cs="Calibri"/>
          <w:lang w:eastAsia="en-GB"/>
        </w:rPr>
        <w:t>*</w:t>
      </w:r>
      <w:r w:rsidRPr="00715657">
        <w:rPr>
          <w:rFonts w:ascii="Calibri" w:hAnsi="Calibri" w:cs="Calibri"/>
          <w:lang w:eastAsia="en-GB"/>
        </w:rPr>
        <w:t>A total of 117 children received the intervention (initial allocations: 59 enhanced care, 58 standard care)</w:t>
      </w:r>
      <w:r>
        <w:rPr>
          <w:rFonts w:ascii="Calibri" w:hAnsi="Calibri" w:cs="Calibri"/>
          <w:lang w:eastAsia="en-GB"/>
        </w:rPr>
        <w:t xml:space="preserve">, with </w:t>
      </w:r>
      <w:r w:rsidRPr="00715657">
        <w:rPr>
          <w:rFonts w:ascii="Calibri" w:hAnsi="Calibri" w:cs="Calibri"/>
          <w:lang w:eastAsia="en-GB"/>
        </w:rPr>
        <w:t>104 children reviewed 3-months post-intervention (56 enhanced, 48 standard)</w:t>
      </w:r>
      <w:r>
        <w:rPr>
          <w:rFonts w:ascii="Calibri" w:hAnsi="Calibri" w:cs="Calibri"/>
          <w:lang w:eastAsia="en-GB"/>
        </w:rPr>
        <w:t>.</w:t>
      </w:r>
    </w:p>
    <w:p w14:paraId="59056CED" w14:textId="2BEC1A3A" w:rsidR="00D25D80" w:rsidRPr="00715657" w:rsidRDefault="005D70A3" w:rsidP="00CA4637">
      <w:pPr>
        <w:spacing w:after="0" w:line="240" w:lineRule="auto"/>
        <w:rPr>
          <w:rFonts w:ascii="Calibri" w:hAnsi="Calibri" w:cs="Calibri"/>
          <w:lang w:eastAsia="en-GB"/>
        </w:rPr>
      </w:pPr>
      <w:r w:rsidRPr="00137178">
        <w:rPr>
          <w:rFonts w:ascii="Calibri" w:hAnsi="Calibri" w:cs="Calibri"/>
          <w:vertAlign w:val="superscript"/>
          <w:lang w:eastAsia="en-GB"/>
        </w:rPr>
        <w:t>†</w:t>
      </w:r>
      <w:r w:rsidR="00D25D80">
        <w:rPr>
          <w:rFonts w:ascii="Calibri" w:hAnsi="Calibri" w:cs="Calibri"/>
          <w:lang w:eastAsia="en-GB"/>
        </w:rPr>
        <w:t>Pre</w:t>
      </w:r>
      <w:r>
        <w:rPr>
          <w:rFonts w:ascii="Calibri" w:hAnsi="Calibri" w:cs="Calibri"/>
          <w:lang w:eastAsia="en-GB"/>
        </w:rPr>
        <w:t>-</w:t>
      </w:r>
      <w:r w:rsidR="00D25D80">
        <w:rPr>
          <w:rFonts w:ascii="Calibri" w:hAnsi="Calibri" w:cs="Calibri"/>
          <w:lang w:eastAsia="en-GB"/>
        </w:rPr>
        <w:t xml:space="preserve"> and post</w:t>
      </w:r>
      <w:r>
        <w:rPr>
          <w:rFonts w:ascii="Calibri" w:hAnsi="Calibri" w:cs="Calibri"/>
          <w:lang w:eastAsia="en-GB"/>
        </w:rPr>
        <w:t>-intervention</w:t>
      </w:r>
      <w:r w:rsidR="00D25D80">
        <w:rPr>
          <w:rFonts w:ascii="Calibri" w:hAnsi="Calibri" w:cs="Calibri"/>
          <w:lang w:eastAsia="en-GB"/>
        </w:rPr>
        <w:t xml:space="preserve"> results compared using Wilcoxon-signe</w:t>
      </w:r>
      <w:r>
        <w:rPr>
          <w:rFonts w:ascii="Calibri" w:hAnsi="Calibri" w:cs="Calibri"/>
          <w:lang w:eastAsia="en-GB"/>
        </w:rPr>
        <w:t>d</w:t>
      </w:r>
      <w:r w:rsidR="00D25D80">
        <w:rPr>
          <w:rFonts w:ascii="Calibri" w:hAnsi="Calibri" w:cs="Calibri"/>
          <w:lang w:eastAsia="en-GB"/>
        </w:rPr>
        <w:t xml:space="preserve"> rank test</w:t>
      </w:r>
      <w:r w:rsidR="003E4742">
        <w:rPr>
          <w:rFonts w:ascii="Calibri" w:hAnsi="Calibri" w:cs="Calibri"/>
          <w:lang w:eastAsia="en-GB"/>
        </w:rPr>
        <w:t>s</w:t>
      </w:r>
      <w:r w:rsidR="00D25D80">
        <w:rPr>
          <w:rFonts w:ascii="Calibri" w:hAnsi="Calibri" w:cs="Calibri"/>
          <w:lang w:eastAsia="en-GB"/>
        </w:rPr>
        <w:t xml:space="preserve"> for paired data (for </w:t>
      </w:r>
      <w:proofErr w:type="spellStart"/>
      <w:r w:rsidR="00D25D80">
        <w:rPr>
          <w:rFonts w:ascii="Calibri" w:hAnsi="Calibri" w:cs="Calibri"/>
          <w:lang w:eastAsia="en-GB"/>
        </w:rPr>
        <w:t>FeNO</w:t>
      </w:r>
      <w:proofErr w:type="spellEnd"/>
      <w:r w:rsidR="00D25D80">
        <w:rPr>
          <w:rFonts w:ascii="Calibri" w:hAnsi="Calibri" w:cs="Calibri"/>
          <w:lang w:eastAsia="en-GB"/>
        </w:rPr>
        <w:t>) and paired t-test</w:t>
      </w:r>
      <w:r>
        <w:rPr>
          <w:rFonts w:ascii="Calibri" w:hAnsi="Calibri" w:cs="Calibri"/>
          <w:lang w:eastAsia="en-GB"/>
        </w:rPr>
        <w:t>s</w:t>
      </w:r>
      <w:r w:rsidR="00D25D80">
        <w:rPr>
          <w:rFonts w:ascii="Calibri" w:hAnsi="Calibri" w:cs="Calibri"/>
          <w:lang w:eastAsia="en-GB"/>
        </w:rPr>
        <w:t xml:space="preserve"> (for spirometry)</w:t>
      </w:r>
      <w:r>
        <w:rPr>
          <w:rFonts w:ascii="Calibri" w:hAnsi="Calibri" w:cs="Calibri"/>
          <w:lang w:eastAsia="en-GB"/>
        </w:rPr>
        <w:t>.</w:t>
      </w:r>
    </w:p>
    <w:p w14:paraId="02D24568" w14:textId="77777777" w:rsidR="004A16AD" w:rsidRPr="001B6C5B" w:rsidRDefault="004A16AD" w:rsidP="00CA4637">
      <w:pPr>
        <w:spacing w:line="480" w:lineRule="auto"/>
        <w:rPr>
          <w:sz w:val="24"/>
        </w:rPr>
      </w:pPr>
    </w:p>
    <w:p w14:paraId="57BD5E9A" w14:textId="77777777" w:rsidR="004A16AD" w:rsidRPr="001B6C5B" w:rsidRDefault="004A16AD" w:rsidP="00CA4637">
      <w:pPr>
        <w:pStyle w:val="ThoraxHead1"/>
        <w:spacing w:line="480" w:lineRule="auto"/>
        <w:rPr>
          <w:rFonts w:eastAsia="Arial Unicode MS"/>
          <w:lang w:val="en-US"/>
        </w:rPr>
      </w:pPr>
      <w:bookmarkStart w:id="17" w:name="_Ref39398234"/>
      <w:bookmarkStart w:id="18" w:name="_Toc39997768"/>
      <w:r w:rsidRPr="001B6C5B">
        <w:rPr>
          <w:rFonts w:eastAsia="Arial Unicode MS"/>
          <w:lang w:val="en-US"/>
        </w:rPr>
        <w:t>D</w:t>
      </w:r>
      <w:bookmarkEnd w:id="17"/>
      <w:bookmarkEnd w:id="18"/>
      <w:r>
        <w:rPr>
          <w:rFonts w:eastAsia="Arial Unicode MS"/>
          <w:lang w:val="en-US"/>
        </w:rPr>
        <w:t>ISCUSSION</w:t>
      </w:r>
    </w:p>
    <w:p w14:paraId="16E32027" w14:textId="77777777" w:rsidR="004A16AD" w:rsidRPr="001B6C5B"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 xml:space="preserve">To our knowledge, this is the first </w:t>
      </w:r>
      <w:r>
        <w:rPr>
          <w:rFonts w:eastAsia="Arial Unicode MS" w:cstheme="minorHAnsi"/>
          <w:color w:val="000000" w:themeColor="text1"/>
          <w:sz w:val="24"/>
          <w:lang w:val="en-US"/>
        </w:rPr>
        <w:t>RCT</w:t>
      </w:r>
      <w:r w:rsidRPr="001B6C5B">
        <w:rPr>
          <w:rFonts w:eastAsia="Arial Unicode MS" w:cstheme="minorHAnsi"/>
          <w:color w:val="000000" w:themeColor="text1"/>
          <w:sz w:val="24"/>
          <w:lang w:val="en-US"/>
        </w:rPr>
        <w:t xml:space="preserve"> of a task-shifting intervention using </w:t>
      </w:r>
      <w:r>
        <w:rPr>
          <w:rFonts w:eastAsia="Arial Unicode MS" w:cstheme="minorHAnsi"/>
          <w:color w:val="000000" w:themeColor="text1"/>
          <w:sz w:val="24"/>
          <w:lang w:val="en-US"/>
        </w:rPr>
        <w:t>nurses and lay</w:t>
      </w:r>
      <w:r w:rsidR="00CA4637">
        <w:rPr>
          <w:rFonts w:eastAsia="Arial Unicode MS" w:cstheme="minorHAnsi"/>
          <w:color w:val="000000" w:themeColor="text1"/>
          <w:sz w:val="24"/>
          <w:lang w:val="en-US"/>
        </w:rPr>
        <w:t xml:space="preserve"> </w:t>
      </w:r>
      <w:r>
        <w:rPr>
          <w:rFonts w:eastAsia="Arial Unicode MS" w:cstheme="minorHAnsi"/>
          <w:color w:val="000000" w:themeColor="text1"/>
          <w:sz w:val="24"/>
          <w:lang w:val="en-US"/>
        </w:rPr>
        <w:t>educators to deliver asthma management</w:t>
      </w:r>
      <w:r w:rsidRPr="001B6C5B">
        <w:rPr>
          <w:rFonts w:eastAsia="Arial Unicode MS" w:cstheme="minorHAnsi"/>
          <w:color w:val="000000" w:themeColor="text1"/>
          <w:sz w:val="24"/>
          <w:lang w:val="en-US"/>
        </w:rPr>
        <w:t xml:space="preserve"> in </w:t>
      </w:r>
      <w:proofErr w:type="spellStart"/>
      <w:r w:rsidRPr="001B6C5B">
        <w:rPr>
          <w:rFonts w:eastAsia="Arial Unicode MS" w:cstheme="minorHAnsi"/>
          <w:color w:val="000000" w:themeColor="text1"/>
          <w:sz w:val="24"/>
          <w:lang w:val="en-US"/>
        </w:rPr>
        <w:t>sSA</w:t>
      </w:r>
      <w:proofErr w:type="spellEnd"/>
      <w:r w:rsidRPr="001B6C5B">
        <w:rPr>
          <w:rFonts w:eastAsia="Arial Unicode MS" w:cstheme="minorHAnsi"/>
          <w:color w:val="000000" w:themeColor="text1"/>
          <w:sz w:val="24"/>
          <w:lang w:val="en-US"/>
        </w:rPr>
        <w:t>. The key finding was a clinically and statistically significant improvement in asthma control in the intervention vs standard care group</w:t>
      </w:r>
      <w:r>
        <w:rPr>
          <w:rFonts w:eastAsia="Arial Unicode MS" w:cstheme="minorHAnsi"/>
          <w:color w:val="000000" w:themeColor="text1"/>
          <w:sz w:val="24"/>
          <w:lang w:val="en-US"/>
        </w:rPr>
        <w:t xml:space="preserve">, with a difference in mean </w:t>
      </w:r>
      <w:proofErr w:type="spellStart"/>
      <w:r>
        <w:rPr>
          <w:rFonts w:eastAsia="Arial Unicode MS" w:cstheme="minorHAnsi"/>
          <w:color w:val="000000" w:themeColor="text1"/>
          <w:sz w:val="24"/>
          <w:lang w:val="en-US"/>
        </w:rPr>
        <w:t>cACT</w:t>
      </w:r>
      <w:proofErr w:type="spellEnd"/>
      <w:r>
        <w:rPr>
          <w:rFonts w:eastAsia="Arial Unicode MS" w:cstheme="minorHAnsi"/>
          <w:color w:val="000000" w:themeColor="text1"/>
          <w:sz w:val="24"/>
          <w:lang w:val="en-US"/>
        </w:rPr>
        <w:t xml:space="preserve"> chang</w:t>
      </w:r>
      <w:r w:rsidRPr="001B6C5B">
        <w:rPr>
          <w:rFonts w:eastAsia="Arial Unicode MS" w:cstheme="minorHAnsi"/>
          <w:color w:val="000000" w:themeColor="text1"/>
          <w:sz w:val="24"/>
          <w:lang w:val="en-US"/>
        </w:rPr>
        <w:t>e</w:t>
      </w:r>
      <w:r>
        <w:rPr>
          <w:rFonts w:eastAsia="Arial Unicode MS" w:cstheme="minorHAnsi"/>
          <w:color w:val="000000" w:themeColor="text1"/>
          <w:sz w:val="24"/>
          <w:lang w:val="en-US"/>
        </w:rPr>
        <w:t xml:space="preserve"> from baseline</w:t>
      </w:r>
      <w:r w:rsidRPr="001B6C5B">
        <w:rPr>
          <w:rFonts w:eastAsia="Arial Unicode MS" w:cstheme="minorHAnsi"/>
          <w:color w:val="000000" w:themeColor="text1"/>
          <w:sz w:val="24"/>
          <w:lang w:val="en-US"/>
        </w:rPr>
        <w:t xml:space="preserve"> </w:t>
      </w:r>
      <w:r>
        <w:rPr>
          <w:rFonts w:eastAsia="Arial Unicode MS" w:cstheme="minorHAnsi"/>
          <w:color w:val="000000" w:themeColor="text1"/>
          <w:sz w:val="24"/>
          <w:lang w:val="en-US"/>
        </w:rPr>
        <w:t xml:space="preserve">of </w:t>
      </w:r>
      <w:r w:rsidRPr="001B6C5B">
        <w:rPr>
          <w:sz w:val="24"/>
        </w:rPr>
        <w:t>2.1 points (95% CI: 1.1-3.1)</w:t>
      </w:r>
      <w:r>
        <w:rPr>
          <w:sz w:val="24"/>
        </w:rPr>
        <w:t xml:space="preserve"> between groups</w:t>
      </w:r>
      <w:r w:rsidRPr="001B6C5B">
        <w:rPr>
          <w:rFonts w:eastAsia="Arial Unicode MS" w:cstheme="minorHAnsi"/>
          <w:color w:val="000000" w:themeColor="text1"/>
          <w:sz w:val="24"/>
          <w:lang w:val="en-US"/>
        </w:rPr>
        <w:t>.</w:t>
      </w:r>
      <w:r>
        <w:rPr>
          <w:rFonts w:eastAsia="Arial Unicode MS" w:cstheme="minorHAnsi"/>
          <w:color w:val="000000" w:themeColor="text1"/>
          <w:sz w:val="24"/>
          <w:lang w:val="en-US"/>
        </w:rPr>
        <w:t xml:space="preserve"> Greatest benefit was seen in those with poorer asthma control at baseline.</w:t>
      </w:r>
    </w:p>
    <w:p w14:paraId="2255395C" w14:textId="77777777" w:rsidR="004A16AD" w:rsidRPr="001B6C5B"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 xml:space="preserve">We found a high burden of symptoms among asthmatic children attending an outpatient clinic at baseline; in the preceding 3-months, one-quarter of participants had been admitted to hospital, a further one-third had attended a health facility, without overnight admission, and two-thirds had missed school due to acute asthma symptoms. The overall mean (SD) </w:t>
      </w:r>
      <w:proofErr w:type="spellStart"/>
      <w:r w:rsidRPr="001B6C5B">
        <w:rPr>
          <w:rFonts w:eastAsia="Arial Unicode MS" w:cstheme="minorHAnsi"/>
          <w:color w:val="000000" w:themeColor="text1"/>
          <w:sz w:val="24"/>
          <w:lang w:val="en-US"/>
        </w:rPr>
        <w:t>cACT</w:t>
      </w:r>
      <w:proofErr w:type="spellEnd"/>
      <w:r w:rsidRPr="001B6C5B">
        <w:rPr>
          <w:rFonts w:eastAsia="Arial Unicode MS" w:cstheme="minorHAnsi"/>
          <w:color w:val="000000" w:themeColor="text1"/>
          <w:sz w:val="24"/>
          <w:lang w:val="en-US"/>
        </w:rPr>
        <w:t xml:space="preserve"> was 20.3 (2.6), with 85% of participants reporting sub optimal asthma control, by GINA criteria. Despite a high burden of symptoms and previous engagement with the health care </w:t>
      </w:r>
      <w:r w:rsidRPr="001B6C5B">
        <w:rPr>
          <w:rFonts w:eastAsia="Arial Unicode MS" w:cstheme="minorHAnsi"/>
          <w:color w:val="000000" w:themeColor="text1"/>
          <w:sz w:val="24"/>
          <w:lang w:val="en-US"/>
        </w:rPr>
        <w:lastRenderedPageBreak/>
        <w:t>system, one</w:t>
      </w:r>
      <w:r>
        <w:rPr>
          <w:rFonts w:eastAsia="Arial Unicode MS" w:cstheme="minorHAnsi"/>
          <w:color w:val="000000" w:themeColor="text1"/>
          <w:sz w:val="24"/>
          <w:lang w:val="en-US"/>
        </w:rPr>
        <w:t>-</w:t>
      </w:r>
      <w:r w:rsidRPr="001B6C5B">
        <w:rPr>
          <w:rFonts w:eastAsia="Arial Unicode MS" w:cstheme="minorHAnsi"/>
          <w:color w:val="000000" w:themeColor="text1"/>
          <w:sz w:val="24"/>
          <w:lang w:val="en-US"/>
        </w:rPr>
        <w:t>fifth had no salbutamol inhaler, and less than half had received ICS treatment, with relatively low daily doses.</w:t>
      </w:r>
    </w:p>
    <w:p w14:paraId="3A8632F3" w14:textId="77777777" w:rsidR="004A16AD" w:rsidRPr="001B6C5B"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 xml:space="preserve">In addition to improved asthma control, </w:t>
      </w:r>
      <w:bookmarkStart w:id="19" w:name="_Hlk35255633"/>
      <w:r>
        <w:rPr>
          <w:rFonts w:eastAsia="Arial Unicode MS" w:cstheme="minorHAnsi"/>
          <w:color w:val="000000" w:themeColor="text1"/>
          <w:sz w:val="24"/>
          <w:lang w:val="en-US"/>
        </w:rPr>
        <w:t xml:space="preserve">significantly </w:t>
      </w:r>
      <w:r w:rsidRPr="001B6C5B">
        <w:rPr>
          <w:rFonts w:eastAsia="Arial Unicode MS" w:cstheme="minorHAnsi"/>
          <w:color w:val="000000" w:themeColor="text1"/>
          <w:sz w:val="24"/>
          <w:lang w:val="en-US"/>
        </w:rPr>
        <w:t xml:space="preserve">fewer children in the </w:t>
      </w:r>
      <w:r>
        <w:rPr>
          <w:rFonts w:eastAsia="Arial Unicode MS" w:cstheme="minorHAnsi"/>
          <w:color w:val="000000" w:themeColor="text1"/>
          <w:sz w:val="24"/>
          <w:lang w:val="en-US"/>
        </w:rPr>
        <w:t>intervention</w:t>
      </w:r>
      <w:r w:rsidRPr="001B6C5B">
        <w:rPr>
          <w:rFonts w:eastAsia="Arial Unicode MS" w:cstheme="minorHAnsi"/>
          <w:color w:val="000000" w:themeColor="text1"/>
          <w:sz w:val="24"/>
          <w:lang w:val="en-US"/>
        </w:rPr>
        <w:t xml:space="preserve"> group experienced asthma exacerbations requiring emergency health facility attendance and school absence. </w:t>
      </w:r>
      <w:bookmarkEnd w:id="19"/>
    </w:p>
    <w:p w14:paraId="495D546A" w14:textId="77777777" w:rsidR="004A16AD"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 xml:space="preserve">Participants demonstrated raised </w:t>
      </w:r>
      <w:proofErr w:type="spellStart"/>
      <w:r w:rsidRPr="001B6C5B">
        <w:rPr>
          <w:rFonts w:eastAsia="Arial Unicode MS" w:cstheme="minorHAnsi"/>
          <w:color w:val="000000" w:themeColor="text1"/>
          <w:sz w:val="24"/>
          <w:lang w:val="en-US"/>
        </w:rPr>
        <w:t>FeNO</w:t>
      </w:r>
      <w:proofErr w:type="spellEnd"/>
      <w:r w:rsidRPr="001B6C5B">
        <w:rPr>
          <w:rFonts w:eastAsia="Arial Unicode MS" w:cstheme="minorHAnsi"/>
          <w:color w:val="000000" w:themeColor="text1"/>
          <w:sz w:val="24"/>
          <w:lang w:val="en-US"/>
        </w:rPr>
        <w:t xml:space="preserve"> levels, confirming that ICS treatment is highly appropriate in this population. Self-reported ICS use was greater in the </w:t>
      </w:r>
      <w:r>
        <w:rPr>
          <w:rFonts w:eastAsia="Arial Unicode MS" w:cstheme="minorHAnsi"/>
          <w:color w:val="000000" w:themeColor="text1"/>
          <w:sz w:val="24"/>
          <w:lang w:val="en-US"/>
        </w:rPr>
        <w:t xml:space="preserve">intervention </w:t>
      </w:r>
      <w:r w:rsidRPr="001B6C5B">
        <w:rPr>
          <w:rFonts w:eastAsia="Arial Unicode MS" w:cstheme="minorHAnsi"/>
          <w:color w:val="000000" w:themeColor="text1"/>
          <w:sz w:val="24"/>
          <w:lang w:val="en-US"/>
        </w:rPr>
        <w:t xml:space="preserve">group, with more children taking daily </w:t>
      </w:r>
      <w:proofErr w:type="spellStart"/>
      <w:r w:rsidRPr="001B6C5B">
        <w:rPr>
          <w:rFonts w:eastAsia="Arial Unicode MS" w:cstheme="minorHAnsi"/>
          <w:color w:val="000000" w:themeColor="text1"/>
          <w:sz w:val="24"/>
          <w:lang w:val="en-US"/>
        </w:rPr>
        <w:t>beclometasone</w:t>
      </w:r>
      <w:proofErr w:type="spellEnd"/>
      <w:r w:rsidRPr="001B6C5B">
        <w:rPr>
          <w:rFonts w:eastAsia="Arial Unicode MS" w:cstheme="minorHAnsi"/>
          <w:color w:val="000000" w:themeColor="text1"/>
          <w:sz w:val="24"/>
          <w:lang w:val="en-US"/>
        </w:rPr>
        <w:t xml:space="preserve">, and participants prescribed a significantly higher daily dose.  </w:t>
      </w:r>
      <w:r>
        <w:rPr>
          <w:rFonts w:eastAsia="Arial Unicode MS" w:cstheme="minorHAnsi"/>
          <w:color w:val="000000" w:themeColor="text1"/>
          <w:sz w:val="24"/>
          <w:lang w:val="en-US"/>
        </w:rPr>
        <w:t xml:space="preserve">However, pre- and post-intervention </w:t>
      </w:r>
      <w:proofErr w:type="spellStart"/>
      <w:r>
        <w:rPr>
          <w:rFonts w:eastAsia="Arial Unicode MS" w:cstheme="minorHAnsi"/>
          <w:color w:val="000000" w:themeColor="text1"/>
          <w:sz w:val="24"/>
          <w:lang w:val="en-US"/>
        </w:rPr>
        <w:t>FeNO</w:t>
      </w:r>
      <w:proofErr w:type="spellEnd"/>
      <w:r>
        <w:rPr>
          <w:rFonts w:eastAsia="Arial Unicode MS" w:cstheme="minorHAnsi"/>
          <w:color w:val="000000" w:themeColor="text1"/>
          <w:sz w:val="24"/>
          <w:lang w:val="en-US"/>
        </w:rPr>
        <w:t xml:space="preserve"> levels were similar, suggesting </w:t>
      </w:r>
      <w:r w:rsidRPr="001B6C5B">
        <w:rPr>
          <w:rFonts w:eastAsia="Arial Unicode MS" w:cstheme="minorHAnsi"/>
          <w:color w:val="000000" w:themeColor="text1"/>
          <w:sz w:val="24"/>
          <w:lang w:val="en-US"/>
        </w:rPr>
        <w:t xml:space="preserve"> unchanged levels of airway inflammation</w:t>
      </w:r>
      <w:r>
        <w:rPr>
          <w:rFonts w:eastAsia="Arial Unicode MS" w:cstheme="minorHAnsi"/>
          <w:color w:val="000000" w:themeColor="text1"/>
          <w:sz w:val="24"/>
          <w:lang w:val="en-US"/>
        </w:rPr>
        <w:t>, possibly due to non-compliance with ICS treatment or lack of response in this population</w:t>
      </w:r>
      <w:r w:rsidRPr="001B6C5B">
        <w:rPr>
          <w:rFonts w:eastAsia="Arial Unicode MS" w:cstheme="minorHAnsi"/>
          <w:color w:val="000000" w:themeColor="text1"/>
          <w:sz w:val="24"/>
          <w:lang w:val="en-US"/>
        </w:rPr>
        <w:t>. Self-reported adherence rates were high (&gt;85%), however</w:t>
      </w:r>
      <w:r>
        <w:rPr>
          <w:rFonts w:eastAsia="Arial Unicode MS" w:cstheme="minorHAnsi"/>
          <w:color w:val="000000" w:themeColor="text1"/>
          <w:sz w:val="24"/>
          <w:lang w:val="en-US"/>
        </w:rPr>
        <w:t xml:space="preserve"> there are often discrepancies when objective measures of adherence are compared to self-reports.</w:t>
      </w:r>
      <w:r w:rsidRPr="00784288">
        <w:rPr>
          <w:rFonts w:eastAsia="Arial Unicode MS" w:cstheme="minorHAnsi"/>
          <w:noProof/>
          <w:color w:val="000000" w:themeColor="text1"/>
          <w:sz w:val="24"/>
          <w:vertAlign w:val="superscript"/>
          <w:lang w:val="en-US"/>
        </w:rPr>
        <w:t>20</w:t>
      </w:r>
      <w:r w:rsidRPr="001B6C5B">
        <w:rPr>
          <w:rFonts w:eastAsia="Arial Unicode MS" w:cstheme="minorHAnsi"/>
          <w:color w:val="000000" w:themeColor="text1"/>
          <w:sz w:val="24"/>
          <w:lang w:val="en-US"/>
        </w:rPr>
        <w:t xml:space="preserve"> Improved outcomes maybe due to increased confidence to intervene early in an attack, with self-management of symptoms at home, </w:t>
      </w:r>
      <w:r>
        <w:rPr>
          <w:rFonts w:eastAsia="Arial Unicode MS" w:cstheme="minorHAnsi"/>
          <w:color w:val="000000" w:themeColor="text1"/>
          <w:sz w:val="24"/>
          <w:lang w:val="en-US"/>
        </w:rPr>
        <w:t xml:space="preserve">through effective </w:t>
      </w:r>
      <w:r w:rsidRPr="001B6C5B">
        <w:rPr>
          <w:rFonts w:eastAsia="Arial Unicode MS" w:cstheme="minorHAnsi"/>
          <w:color w:val="000000" w:themeColor="text1"/>
          <w:sz w:val="24"/>
          <w:lang w:val="en-US"/>
        </w:rPr>
        <w:t>us</w:t>
      </w:r>
      <w:r>
        <w:rPr>
          <w:rFonts w:eastAsia="Arial Unicode MS" w:cstheme="minorHAnsi"/>
          <w:color w:val="000000" w:themeColor="text1"/>
          <w:sz w:val="24"/>
          <w:lang w:val="en-US"/>
        </w:rPr>
        <w:t>e of</w:t>
      </w:r>
      <w:r w:rsidRPr="001B6C5B">
        <w:rPr>
          <w:rFonts w:eastAsia="Arial Unicode MS" w:cstheme="minorHAnsi"/>
          <w:color w:val="000000" w:themeColor="text1"/>
          <w:sz w:val="24"/>
          <w:lang w:val="en-US"/>
        </w:rPr>
        <w:t xml:space="preserve"> inhaled </w:t>
      </w:r>
      <w:r>
        <w:rPr>
          <w:rFonts w:eastAsia="Arial Unicode MS" w:cstheme="minorHAnsi"/>
          <w:color w:val="000000" w:themeColor="text1"/>
          <w:sz w:val="24"/>
          <w:lang w:val="en-US"/>
        </w:rPr>
        <w:t>s</w:t>
      </w:r>
      <w:r w:rsidRPr="001B6C5B">
        <w:rPr>
          <w:rFonts w:eastAsia="Arial Unicode MS" w:cstheme="minorHAnsi"/>
          <w:color w:val="000000" w:themeColor="text1"/>
          <w:sz w:val="24"/>
          <w:lang w:val="en-US"/>
        </w:rPr>
        <w:t xml:space="preserve">albutamol. </w:t>
      </w:r>
    </w:p>
    <w:p w14:paraId="1C7C52EE" w14:textId="77777777" w:rsidR="004A16AD" w:rsidRPr="00784288" w:rsidRDefault="004A16AD" w:rsidP="00CA4637">
      <w:pPr>
        <w:spacing w:after="0" w:line="480" w:lineRule="auto"/>
        <w:rPr>
          <w:rFonts w:eastAsia="Arial Unicode MS" w:cstheme="minorHAnsi"/>
          <w:color w:val="000000" w:themeColor="text1"/>
          <w:sz w:val="24"/>
        </w:rPr>
      </w:pPr>
      <w:r w:rsidRPr="001A70E9">
        <w:rPr>
          <w:rFonts w:eastAsia="Arial Unicode MS" w:cstheme="minorHAnsi"/>
          <w:color w:val="000000" w:themeColor="text1"/>
          <w:sz w:val="24"/>
        </w:rPr>
        <w:t xml:space="preserve">Current GINA guidance (for </w:t>
      </w:r>
      <w:r>
        <w:rPr>
          <w:rFonts w:eastAsia="Arial Unicode MS" w:cstheme="minorHAnsi"/>
          <w:color w:val="000000" w:themeColor="text1"/>
          <w:sz w:val="24"/>
        </w:rPr>
        <w:t>those</w:t>
      </w:r>
      <w:r w:rsidRPr="001A70E9">
        <w:rPr>
          <w:rFonts w:eastAsia="Arial Unicode MS" w:cstheme="minorHAnsi"/>
          <w:color w:val="000000" w:themeColor="text1"/>
          <w:sz w:val="24"/>
        </w:rPr>
        <w:t xml:space="preserve"> </w:t>
      </w:r>
      <w:r w:rsidRPr="001A70E9">
        <w:rPr>
          <w:rFonts w:eastAsia="Arial Unicode MS" w:cstheme="minorHAnsi" w:hint="eastAsia"/>
          <w:color w:val="000000" w:themeColor="text1"/>
          <w:sz w:val="24"/>
        </w:rPr>
        <w:t>≥</w:t>
      </w:r>
      <w:r w:rsidRPr="001A70E9">
        <w:rPr>
          <w:rFonts w:eastAsia="Arial Unicode MS" w:cstheme="minorHAnsi"/>
          <w:color w:val="000000" w:themeColor="text1"/>
          <w:sz w:val="24"/>
        </w:rPr>
        <w:t xml:space="preserve">12 years) advises against salbutamol </w:t>
      </w:r>
      <w:r>
        <w:rPr>
          <w:rFonts w:eastAsia="Arial Unicode MS" w:cstheme="minorHAnsi"/>
          <w:color w:val="000000" w:themeColor="text1"/>
          <w:sz w:val="24"/>
        </w:rPr>
        <w:t>monotherapy</w:t>
      </w:r>
      <w:r w:rsidRPr="001A70E9">
        <w:rPr>
          <w:rFonts w:eastAsia="Arial Unicode MS" w:cstheme="minorHAnsi"/>
          <w:color w:val="000000" w:themeColor="text1"/>
          <w:sz w:val="24"/>
        </w:rPr>
        <w:t xml:space="preserve">, recommending </w:t>
      </w:r>
      <w:r>
        <w:rPr>
          <w:rFonts w:eastAsia="Arial Unicode MS" w:cstheme="minorHAnsi"/>
          <w:color w:val="000000" w:themeColor="text1"/>
          <w:sz w:val="24"/>
        </w:rPr>
        <w:t xml:space="preserve">using ICS </w:t>
      </w:r>
      <w:r w:rsidRPr="001A70E9">
        <w:rPr>
          <w:rFonts w:eastAsia="Arial Unicode MS" w:cstheme="minorHAnsi"/>
          <w:color w:val="000000" w:themeColor="text1"/>
          <w:sz w:val="24"/>
        </w:rPr>
        <w:t>either regular</w:t>
      </w:r>
      <w:r>
        <w:rPr>
          <w:rFonts w:eastAsia="Arial Unicode MS" w:cstheme="minorHAnsi"/>
          <w:color w:val="000000" w:themeColor="text1"/>
          <w:sz w:val="24"/>
        </w:rPr>
        <w:t>ly</w:t>
      </w:r>
      <w:r w:rsidRPr="001A70E9">
        <w:rPr>
          <w:rFonts w:eastAsia="Arial Unicode MS" w:cstheme="minorHAnsi"/>
          <w:color w:val="000000" w:themeColor="text1"/>
          <w:sz w:val="24"/>
        </w:rPr>
        <w:t xml:space="preserve"> or whenever salbutamol is taken.</w:t>
      </w:r>
      <w:r w:rsidRPr="001A70E9">
        <w:rPr>
          <w:rFonts w:eastAsia="Arial Unicode MS" w:cstheme="minorHAnsi"/>
          <w:noProof/>
          <w:color w:val="000000" w:themeColor="text1"/>
          <w:sz w:val="24"/>
          <w:vertAlign w:val="superscript"/>
        </w:rPr>
        <w:t>7</w:t>
      </w:r>
      <w:r w:rsidRPr="001A70E9">
        <w:rPr>
          <w:rFonts w:eastAsia="Arial Unicode MS" w:cstheme="minorHAnsi"/>
          <w:color w:val="000000" w:themeColor="text1"/>
          <w:sz w:val="24"/>
        </w:rPr>
        <w:t xml:space="preserve"> Compliance with daily ICS is a challenge in countries across the world</w:t>
      </w:r>
      <w:r>
        <w:rPr>
          <w:rFonts w:eastAsia="Arial Unicode MS" w:cstheme="minorHAnsi"/>
          <w:color w:val="000000" w:themeColor="text1"/>
          <w:sz w:val="24"/>
        </w:rPr>
        <w:t xml:space="preserve">; </w:t>
      </w:r>
      <w:r w:rsidRPr="001A70E9">
        <w:rPr>
          <w:rFonts w:eastAsia="Arial Unicode MS" w:cstheme="minorHAnsi"/>
          <w:color w:val="000000" w:themeColor="text1"/>
          <w:sz w:val="24"/>
        </w:rPr>
        <w:t>further research is required in LMIC</w:t>
      </w:r>
      <w:r>
        <w:rPr>
          <w:rFonts w:eastAsia="Arial Unicode MS" w:cstheme="minorHAnsi"/>
          <w:color w:val="000000" w:themeColor="text1"/>
          <w:sz w:val="24"/>
        </w:rPr>
        <w:t>s</w:t>
      </w:r>
      <w:r w:rsidRPr="001A70E9">
        <w:rPr>
          <w:rFonts w:eastAsia="Arial Unicode MS" w:cstheme="minorHAnsi"/>
          <w:color w:val="000000" w:themeColor="text1"/>
          <w:sz w:val="24"/>
        </w:rPr>
        <w:t xml:space="preserve"> to explore the clinical and cost-effectiveness of combination inhalers, which are becoming widely used in HIC</w:t>
      </w:r>
      <w:r>
        <w:rPr>
          <w:rFonts w:eastAsia="Arial Unicode MS" w:cstheme="minorHAnsi"/>
          <w:color w:val="000000" w:themeColor="text1"/>
          <w:sz w:val="24"/>
        </w:rPr>
        <w:t>s</w:t>
      </w:r>
      <w:r w:rsidRPr="001A70E9">
        <w:rPr>
          <w:rFonts w:eastAsia="Arial Unicode MS" w:cstheme="minorHAnsi"/>
          <w:color w:val="000000" w:themeColor="text1"/>
          <w:sz w:val="24"/>
        </w:rPr>
        <w:t>.</w:t>
      </w:r>
      <w:r w:rsidR="004D6F1F" w:rsidRPr="004D6F1F">
        <w:rPr>
          <w:rFonts w:eastAsia="Arial Unicode MS" w:cstheme="minorHAnsi"/>
          <w:color w:val="000000" w:themeColor="text1"/>
          <w:sz w:val="24"/>
          <w:vertAlign w:val="superscript"/>
        </w:rPr>
        <w:t>7</w:t>
      </w:r>
      <w:r w:rsidRPr="001A70E9">
        <w:rPr>
          <w:rFonts w:eastAsia="Arial Unicode MS" w:cstheme="minorHAnsi"/>
          <w:color w:val="000000" w:themeColor="text1"/>
          <w:sz w:val="24"/>
        </w:rPr>
        <w:t xml:space="preserve"> This is particu</w:t>
      </w:r>
      <w:r w:rsidRPr="007D4EB9">
        <w:rPr>
          <w:rFonts w:eastAsia="Arial Unicode MS" w:cstheme="minorHAnsi"/>
          <w:color w:val="000000" w:themeColor="text1"/>
          <w:sz w:val="24"/>
        </w:rPr>
        <w:t xml:space="preserve">larly </w:t>
      </w:r>
      <w:r w:rsidRPr="00EA3753">
        <w:rPr>
          <w:rFonts w:eastAsia="Arial Unicode MS" w:cstheme="minorHAnsi"/>
          <w:color w:val="000000" w:themeColor="text1"/>
          <w:sz w:val="24"/>
        </w:rPr>
        <w:t xml:space="preserve">important in </w:t>
      </w:r>
      <w:r>
        <w:rPr>
          <w:rFonts w:eastAsia="Arial Unicode MS" w:cstheme="minorHAnsi"/>
          <w:color w:val="000000" w:themeColor="text1"/>
          <w:sz w:val="24"/>
        </w:rPr>
        <w:t>children</w:t>
      </w:r>
      <w:r w:rsidRPr="00EA3753">
        <w:rPr>
          <w:rFonts w:eastAsia="Arial Unicode MS" w:cstheme="minorHAnsi"/>
          <w:color w:val="000000" w:themeColor="text1"/>
          <w:sz w:val="24"/>
        </w:rPr>
        <w:t>, where detrimental effects of a</w:t>
      </w:r>
      <w:r w:rsidRPr="00D95D9A">
        <w:rPr>
          <w:rFonts w:eastAsia="Arial Unicode MS" w:cstheme="minorHAnsi"/>
          <w:color w:val="000000" w:themeColor="text1"/>
          <w:sz w:val="24"/>
        </w:rPr>
        <w:t>irway inflammation during lung growth and development may ha</w:t>
      </w:r>
      <w:r>
        <w:rPr>
          <w:rFonts w:eastAsia="Arial Unicode MS" w:cstheme="minorHAnsi"/>
          <w:color w:val="000000" w:themeColor="text1"/>
          <w:sz w:val="24"/>
        </w:rPr>
        <w:t>ve</w:t>
      </w:r>
      <w:r w:rsidRPr="00D95D9A">
        <w:rPr>
          <w:rFonts w:eastAsia="Arial Unicode MS" w:cstheme="minorHAnsi"/>
          <w:color w:val="000000" w:themeColor="text1"/>
          <w:sz w:val="24"/>
        </w:rPr>
        <w:t xml:space="preserve"> long</w:t>
      </w:r>
      <w:r>
        <w:rPr>
          <w:rFonts w:eastAsia="Arial Unicode MS" w:cstheme="minorHAnsi"/>
          <w:color w:val="000000" w:themeColor="text1"/>
          <w:sz w:val="24"/>
        </w:rPr>
        <w:t>er</w:t>
      </w:r>
      <w:r w:rsidRPr="00D95D9A">
        <w:rPr>
          <w:rFonts w:eastAsia="Arial Unicode MS" w:cstheme="minorHAnsi"/>
          <w:color w:val="000000" w:themeColor="text1"/>
          <w:sz w:val="24"/>
        </w:rPr>
        <w:t>-term impa</w:t>
      </w:r>
      <w:r w:rsidRPr="00784288">
        <w:rPr>
          <w:rFonts w:eastAsia="Arial Unicode MS" w:cstheme="minorHAnsi"/>
          <w:color w:val="000000" w:themeColor="text1"/>
          <w:sz w:val="24"/>
        </w:rPr>
        <w:t>ct.</w:t>
      </w:r>
    </w:p>
    <w:p w14:paraId="688647EE" w14:textId="77777777" w:rsidR="004A16AD" w:rsidRPr="001B6C5B" w:rsidRDefault="004A16AD" w:rsidP="00CA4637">
      <w:pPr>
        <w:spacing w:after="0" w:line="480" w:lineRule="auto"/>
        <w:rPr>
          <w:rFonts w:eastAsia="Arial Unicode MS" w:cstheme="minorHAnsi"/>
          <w:color w:val="000000" w:themeColor="text1"/>
          <w:sz w:val="24"/>
          <w:lang w:val="en-US"/>
        </w:rPr>
      </w:pPr>
      <w:r w:rsidRPr="00B123F1">
        <w:rPr>
          <w:rFonts w:eastAsia="Arial Unicode MS" w:cstheme="minorHAnsi"/>
          <w:color w:val="000000" w:themeColor="text1"/>
          <w:sz w:val="24"/>
          <w:lang w:val="en-US"/>
        </w:rPr>
        <w:t xml:space="preserve">Participants were generally able to collect inhalers, free of charge, from </w:t>
      </w:r>
      <w:r w:rsidRPr="001A70E9">
        <w:rPr>
          <w:rFonts w:eastAsia="Arial Unicode MS" w:cstheme="minorHAnsi"/>
          <w:color w:val="000000" w:themeColor="text1"/>
          <w:sz w:val="24"/>
          <w:lang w:val="en-US"/>
        </w:rPr>
        <w:t>our</w:t>
      </w:r>
      <w:r w:rsidRPr="00B123F1">
        <w:rPr>
          <w:rFonts w:eastAsia="Arial Unicode MS" w:cstheme="minorHAnsi"/>
          <w:color w:val="000000" w:themeColor="text1"/>
          <w:sz w:val="24"/>
          <w:lang w:val="en-US"/>
        </w:rPr>
        <w:t xml:space="preserve"> </w:t>
      </w:r>
      <w:r w:rsidRPr="001A70E9">
        <w:rPr>
          <w:rFonts w:eastAsia="Arial Unicode MS" w:cstheme="minorHAnsi"/>
          <w:color w:val="000000" w:themeColor="text1"/>
          <w:sz w:val="24"/>
          <w:lang w:val="en-US"/>
        </w:rPr>
        <w:t xml:space="preserve">tertiary-level </w:t>
      </w:r>
      <w:r w:rsidRPr="00B123F1">
        <w:rPr>
          <w:rFonts w:eastAsia="Arial Unicode MS" w:cstheme="minorHAnsi"/>
          <w:color w:val="000000" w:themeColor="text1"/>
          <w:sz w:val="24"/>
          <w:lang w:val="en-US"/>
        </w:rPr>
        <w:t>hospital pharmacy, however</w:t>
      </w:r>
      <w:r w:rsidRPr="001A70E9">
        <w:rPr>
          <w:rFonts w:eastAsia="Arial Unicode MS" w:cstheme="minorHAnsi"/>
          <w:color w:val="000000" w:themeColor="text1"/>
          <w:sz w:val="24"/>
          <w:lang w:val="en-US"/>
        </w:rPr>
        <w:t xml:space="preserve"> this does not reflect</w:t>
      </w:r>
      <w:r w:rsidRPr="00B123F1">
        <w:rPr>
          <w:rFonts w:eastAsia="Arial Unicode MS" w:cstheme="minorHAnsi"/>
          <w:color w:val="000000" w:themeColor="text1"/>
          <w:sz w:val="24"/>
          <w:lang w:val="en-US"/>
        </w:rPr>
        <w:t xml:space="preserve"> availability</w:t>
      </w:r>
      <w:r w:rsidRPr="001A70E9">
        <w:rPr>
          <w:rFonts w:eastAsia="Arial Unicode MS" w:cstheme="minorHAnsi"/>
          <w:color w:val="000000" w:themeColor="text1"/>
          <w:sz w:val="24"/>
          <w:lang w:val="en-US"/>
        </w:rPr>
        <w:t xml:space="preserve"> of inhalers more widely</w:t>
      </w:r>
      <w:r w:rsidRPr="00B123F1">
        <w:rPr>
          <w:rFonts w:eastAsia="Arial Unicode MS" w:cstheme="minorHAnsi"/>
          <w:color w:val="000000" w:themeColor="text1"/>
          <w:sz w:val="24"/>
          <w:lang w:val="en-US"/>
        </w:rPr>
        <w:t xml:space="preserve"> in </w:t>
      </w:r>
      <w:r w:rsidRPr="00B123F1">
        <w:rPr>
          <w:rFonts w:eastAsia="Arial Unicode MS" w:cstheme="minorHAnsi"/>
          <w:color w:val="000000" w:themeColor="text1"/>
          <w:sz w:val="24"/>
          <w:lang w:val="en-US"/>
        </w:rPr>
        <w:lastRenderedPageBreak/>
        <w:t>Malawi: a recent surve</w:t>
      </w:r>
      <w:r w:rsidRPr="001A70E9">
        <w:rPr>
          <w:rFonts w:eastAsia="Arial Unicode MS" w:cstheme="minorHAnsi"/>
          <w:color w:val="000000" w:themeColor="text1"/>
          <w:sz w:val="24"/>
          <w:lang w:val="en-US"/>
        </w:rPr>
        <w:t>y reported &lt;5% of health facilities, including district hospitals, have resources to treat chronic asthma</w:t>
      </w:r>
      <w:r w:rsidRPr="00B123F1">
        <w:rPr>
          <w:rFonts w:eastAsia="Arial Unicode MS" w:cstheme="minorHAnsi"/>
          <w:color w:val="000000" w:themeColor="text1"/>
          <w:sz w:val="24"/>
          <w:lang w:val="en-US"/>
        </w:rPr>
        <w:t>.</w:t>
      </w:r>
      <w:r w:rsidRPr="001A70E9">
        <w:rPr>
          <w:rFonts w:eastAsia="Arial Unicode MS" w:cstheme="minorHAnsi"/>
          <w:noProof/>
          <w:color w:val="000000" w:themeColor="text1"/>
          <w:sz w:val="24"/>
          <w:vertAlign w:val="superscript"/>
          <w:lang w:val="en-US"/>
        </w:rPr>
        <w:t>21</w:t>
      </w:r>
      <w:r w:rsidRPr="00B123F1">
        <w:rPr>
          <w:sz w:val="24"/>
        </w:rPr>
        <w:t xml:space="preserve"> </w:t>
      </w:r>
      <w:r w:rsidRPr="001A70E9">
        <w:rPr>
          <w:rFonts w:eastAsia="Arial Unicode MS" w:cstheme="minorHAnsi"/>
          <w:color w:val="000000" w:themeColor="text1"/>
          <w:sz w:val="24"/>
        </w:rPr>
        <w:t xml:space="preserve">The reliable and affordable supply of inhaled medication, across all levels of health facilities, is a major </w:t>
      </w:r>
      <w:r>
        <w:rPr>
          <w:rFonts w:eastAsia="Arial Unicode MS" w:cstheme="minorHAnsi"/>
          <w:color w:val="000000" w:themeColor="text1"/>
          <w:sz w:val="24"/>
        </w:rPr>
        <w:t>challenge</w:t>
      </w:r>
      <w:r w:rsidRPr="001A70E9">
        <w:rPr>
          <w:rFonts w:eastAsia="Arial Unicode MS" w:cstheme="minorHAnsi"/>
          <w:color w:val="000000" w:themeColor="text1"/>
          <w:sz w:val="24"/>
        </w:rPr>
        <w:t xml:space="preserve"> which must be addressed in many LICs.</w:t>
      </w:r>
      <w:r w:rsidRPr="001A70E9">
        <w:rPr>
          <w:rFonts w:eastAsia="Arial Unicode MS" w:cstheme="minorHAnsi"/>
          <w:color w:val="000000" w:themeColor="text1"/>
          <w:sz w:val="24"/>
          <w:vertAlign w:val="superscript"/>
        </w:rPr>
        <w:t>2</w:t>
      </w:r>
    </w:p>
    <w:p w14:paraId="02825CA4" w14:textId="77777777" w:rsidR="004A16AD" w:rsidRPr="001B6C5B"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We found relatively high levels of reported asthma control (64.2%), defined by cACT≥</w:t>
      </w:r>
      <w:r>
        <w:rPr>
          <w:rFonts w:eastAsia="Arial Unicode MS" w:cstheme="minorHAnsi"/>
          <w:color w:val="000000" w:themeColor="text1"/>
          <w:sz w:val="24"/>
          <w:lang w:val="en-US"/>
        </w:rPr>
        <w:t>20</w:t>
      </w:r>
      <w:r w:rsidRPr="001B6C5B">
        <w:rPr>
          <w:rFonts w:eastAsia="Arial Unicode MS" w:cstheme="minorHAnsi"/>
          <w:color w:val="000000" w:themeColor="text1"/>
          <w:sz w:val="24"/>
          <w:lang w:val="en-US"/>
        </w:rPr>
        <w:t xml:space="preserve">, compared to other studies in </w:t>
      </w:r>
      <w:proofErr w:type="spellStart"/>
      <w:r w:rsidRPr="001B6C5B">
        <w:rPr>
          <w:rFonts w:eastAsia="Arial Unicode MS" w:cstheme="minorHAnsi"/>
          <w:color w:val="000000" w:themeColor="text1"/>
          <w:sz w:val="24"/>
          <w:lang w:val="en-US"/>
        </w:rPr>
        <w:t>sSA</w:t>
      </w:r>
      <w:proofErr w:type="spellEnd"/>
      <w:r w:rsidRPr="001B6C5B">
        <w:rPr>
          <w:rFonts w:eastAsia="Arial Unicode MS" w:cstheme="minorHAnsi"/>
          <w:color w:val="000000" w:themeColor="text1"/>
          <w:sz w:val="24"/>
          <w:lang w:val="en-US"/>
        </w:rPr>
        <w:t xml:space="preserve">, although most published data relate to adult patients. </w:t>
      </w:r>
      <w:r w:rsidRPr="00945E73">
        <w:rPr>
          <w:rFonts w:eastAsia="Arial Unicode MS" w:cstheme="minorHAnsi"/>
          <w:noProof/>
          <w:color w:val="000000" w:themeColor="text1"/>
          <w:sz w:val="24"/>
          <w:vertAlign w:val="superscript"/>
          <w:lang w:val="en-US"/>
        </w:rPr>
        <w:t>3</w:t>
      </w:r>
      <w:r w:rsidRPr="00945E73">
        <w:rPr>
          <w:rFonts w:eastAsia="Arial Unicode MS" w:cstheme="minorHAnsi"/>
          <w:color w:val="000000" w:themeColor="text1"/>
          <w:sz w:val="24"/>
          <w:lang w:val="en-US"/>
        </w:rPr>
        <w:t xml:space="preserve"> </w:t>
      </w:r>
      <w:r w:rsidRPr="001A70E9">
        <w:rPr>
          <w:rFonts w:eastAsia="Arial Unicode MS" w:cstheme="minorHAnsi"/>
          <w:noProof/>
          <w:color w:val="000000" w:themeColor="text1"/>
          <w:sz w:val="24"/>
          <w:vertAlign w:val="superscript"/>
          <w:lang w:val="en-US"/>
        </w:rPr>
        <w:t>4</w:t>
      </w:r>
      <w:r w:rsidRPr="00945E73">
        <w:rPr>
          <w:rFonts w:eastAsia="Arial Unicode MS" w:cstheme="minorHAnsi"/>
          <w:color w:val="000000" w:themeColor="text1"/>
          <w:sz w:val="24"/>
          <w:lang w:val="en-US"/>
        </w:rPr>
        <w:t xml:space="preserve"> Among </w:t>
      </w:r>
      <w:proofErr w:type="spellStart"/>
      <w:r w:rsidRPr="00945E73">
        <w:rPr>
          <w:rFonts w:eastAsia="Arial Unicode MS" w:cstheme="minorHAnsi"/>
          <w:color w:val="000000" w:themeColor="text1"/>
          <w:sz w:val="24"/>
          <w:lang w:val="en-US"/>
        </w:rPr>
        <w:t>paediatric</w:t>
      </w:r>
      <w:proofErr w:type="spellEnd"/>
      <w:r w:rsidRPr="00945E73">
        <w:rPr>
          <w:rFonts w:eastAsia="Arial Unicode MS" w:cstheme="minorHAnsi"/>
          <w:color w:val="000000" w:themeColor="text1"/>
          <w:sz w:val="24"/>
          <w:lang w:val="en-US"/>
        </w:rPr>
        <w:t xml:space="preserve"> patients attending a tertiary clinic in South Africa, 55.7% had controlled asthma (ACT/</w:t>
      </w:r>
      <w:proofErr w:type="spellStart"/>
      <w:r w:rsidRPr="00945E73">
        <w:rPr>
          <w:rFonts w:eastAsia="Arial Unicode MS" w:cstheme="minorHAnsi"/>
          <w:color w:val="000000" w:themeColor="text1"/>
          <w:sz w:val="24"/>
          <w:lang w:val="en-US"/>
        </w:rPr>
        <w:t>cACT</w:t>
      </w:r>
      <w:proofErr w:type="spellEnd"/>
      <w:r w:rsidRPr="00945E73">
        <w:rPr>
          <w:rFonts w:eastAsia="Arial Unicode MS" w:cstheme="minorHAnsi"/>
          <w:color w:val="000000" w:themeColor="text1"/>
          <w:sz w:val="24"/>
          <w:lang w:val="en-US"/>
        </w:rPr>
        <w:t xml:space="preserve"> &gt;19)</w:t>
      </w:r>
      <w:r w:rsidRPr="001A70E9">
        <w:rPr>
          <w:rFonts w:eastAsia="Arial Unicode MS" w:cstheme="minorHAnsi"/>
          <w:color w:val="000000" w:themeColor="text1"/>
          <w:sz w:val="24"/>
          <w:lang w:val="en-US"/>
        </w:rPr>
        <w:t xml:space="preserve"> with mean (SD) </w:t>
      </w:r>
      <w:proofErr w:type="spellStart"/>
      <w:r w:rsidRPr="001A70E9">
        <w:rPr>
          <w:rFonts w:eastAsia="Arial Unicode MS" w:cstheme="minorHAnsi"/>
          <w:color w:val="000000" w:themeColor="text1"/>
          <w:sz w:val="24"/>
          <w:lang w:val="en-US"/>
        </w:rPr>
        <w:t>cACT</w:t>
      </w:r>
      <w:proofErr w:type="spellEnd"/>
      <w:r w:rsidRPr="001A70E9">
        <w:rPr>
          <w:rFonts w:eastAsia="Arial Unicode MS" w:cstheme="minorHAnsi"/>
          <w:color w:val="000000" w:themeColor="text1"/>
          <w:sz w:val="24"/>
          <w:lang w:val="en-US"/>
        </w:rPr>
        <w:t xml:space="preserve"> score 19.9 (5.5)</w:t>
      </w:r>
      <w:r w:rsidRPr="00945E73">
        <w:rPr>
          <w:rFonts w:eastAsia="Arial Unicode MS" w:cstheme="minorHAnsi"/>
          <w:color w:val="000000" w:themeColor="text1"/>
          <w:sz w:val="24"/>
          <w:lang w:val="en-US"/>
        </w:rPr>
        <w:t>.</w:t>
      </w:r>
      <w:r w:rsidRPr="005A1C24">
        <w:rPr>
          <w:rFonts w:eastAsia="Arial Unicode MS" w:cstheme="minorHAnsi"/>
          <w:noProof/>
          <w:color w:val="000000" w:themeColor="text1"/>
          <w:sz w:val="24"/>
          <w:vertAlign w:val="superscript"/>
          <w:lang w:val="en-US"/>
        </w:rPr>
        <w:t>22</w:t>
      </w:r>
      <w:r w:rsidRPr="001B6C5B">
        <w:rPr>
          <w:rFonts w:eastAsia="Arial Unicode MS" w:cstheme="minorHAnsi"/>
          <w:color w:val="000000" w:themeColor="text1"/>
          <w:sz w:val="24"/>
          <w:lang w:val="en-US"/>
        </w:rPr>
        <w:t xml:space="preserve"> However, despite the baseline </w:t>
      </w:r>
      <w:proofErr w:type="spellStart"/>
      <w:r w:rsidRPr="001B6C5B">
        <w:rPr>
          <w:rFonts w:eastAsia="Arial Unicode MS" w:cstheme="minorHAnsi"/>
          <w:color w:val="000000" w:themeColor="text1"/>
          <w:sz w:val="24"/>
          <w:lang w:val="en-US"/>
        </w:rPr>
        <w:t>cACT</w:t>
      </w:r>
      <w:proofErr w:type="spellEnd"/>
      <w:r w:rsidRPr="001B6C5B">
        <w:rPr>
          <w:rFonts w:eastAsia="Arial Unicode MS" w:cstheme="minorHAnsi"/>
          <w:color w:val="000000" w:themeColor="text1"/>
          <w:sz w:val="24"/>
          <w:lang w:val="en-US"/>
        </w:rPr>
        <w:t xml:space="preserve"> for our participants suggesting reasonable </w:t>
      </w:r>
      <w:r>
        <w:rPr>
          <w:rFonts w:eastAsia="Arial Unicode MS" w:cstheme="minorHAnsi"/>
          <w:color w:val="000000" w:themeColor="text1"/>
          <w:sz w:val="24"/>
          <w:lang w:val="en-US"/>
        </w:rPr>
        <w:t xml:space="preserve">symptom </w:t>
      </w:r>
      <w:r w:rsidRPr="001B6C5B">
        <w:rPr>
          <w:rFonts w:eastAsia="Arial Unicode MS" w:cstheme="minorHAnsi"/>
          <w:color w:val="000000" w:themeColor="text1"/>
          <w:sz w:val="24"/>
          <w:lang w:val="en-US"/>
        </w:rPr>
        <w:t>control, the burden of exacerbations requiring health facility attendance and school absence was high.</w:t>
      </w:r>
    </w:p>
    <w:p w14:paraId="5E28B79F" w14:textId="77777777" w:rsidR="004A16AD" w:rsidRDefault="004A16AD" w:rsidP="00CA4637">
      <w:pPr>
        <w:spacing w:after="0" w:line="480" w:lineRule="auto"/>
        <w:rPr>
          <w:rFonts w:eastAsia="Arial Unicode MS" w:cstheme="minorHAnsi"/>
          <w:color w:val="000000" w:themeColor="text1"/>
          <w:sz w:val="24"/>
          <w:lang w:val="en-US"/>
        </w:rPr>
      </w:pPr>
      <w:r>
        <w:rPr>
          <w:rFonts w:eastAsia="Arial Unicode MS" w:cstheme="minorHAnsi"/>
          <w:color w:val="000000" w:themeColor="text1"/>
          <w:sz w:val="24"/>
          <w:lang w:val="en-US"/>
        </w:rPr>
        <w:t>Without</w:t>
      </w:r>
      <w:r w:rsidRPr="001B6C5B">
        <w:rPr>
          <w:rFonts w:eastAsia="Arial Unicode MS" w:cstheme="minorHAnsi"/>
          <w:color w:val="000000" w:themeColor="text1"/>
          <w:sz w:val="24"/>
          <w:lang w:val="en-US"/>
        </w:rPr>
        <w:t xml:space="preserve"> a locally validated assessment tool, the choice of outcome measurement for this study was challenging</w:t>
      </w:r>
      <w:r>
        <w:rPr>
          <w:rFonts w:eastAsia="Arial Unicode MS" w:cstheme="minorHAnsi"/>
          <w:color w:val="000000" w:themeColor="text1"/>
          <w:sz w:val="24"/>
          <w:lang w:val="en-US"/>
        </w:rPr>
        <w:t xml:space="preserve">; neither ACT nor </w:t>
      </w:r>
      <w:proofErr w:type="spellStart"/>
      <w:r>
        <w:rPr>
          <w:rFonts w:eastAsia="Arial Unicode MS" w:cstheme="minorHAnsi"/>
          <w:color w:val="000000" w:themeColor="text1"/>
          <w:sz w:val="24"/>
          <w:lang w:val="en-US"/>
        </w:rPr>
        <w:t>cACT</w:t>
      </w:r>
      <w:proofErr w:type="spellEnd"/>
      <w:r>
        <w:rPr>
          <w:rFonts w:eastAsia="Arial Unicode MS" w:cstheme="minorHAnsi"/>
          <w:color w:val="000000" w:themeColor="text1"/>
          <w:sz w:val="24"/>
          <w:lang w:val="en-US"/>
        </w:rPr>
        <w:t xml:space="preserve"> have been validated within </w:t>
      </w:r>
      <w:proofErr w:type="spellStart"/>
      <w:r>
        <w:rPr>
          <w:rFonts w:eastAsia="Arial Unicode MS" w:cstheme="minorHAnsi"/>
          <w:color w:val="000000" w:themeColor="text1"/>
          <w:sz w:val="24"/>
          <w:lang w:val="en-US"/>
        </w:rPr>
        <w:t>sSA</w:t>
      </w:r>
      <w:proofErr w:type="spellEnd"/>
      <w:r w:rsidRPr="001B6C5B">
        <w:rPr>
          <w:rFonts w:eastAsia="Arial Unicode MS" w:cstheme="minorHAnsi"/>
          <w:color w:val="000000" w:themeColor="text1"/>
          <w:sz w:val="24"/>
          <w:lang w:val="en-US"/>
        </w:rPr>
        <w:t xml:space="preserve">. The </w:t>
      </w:r>
      <w:proofErr w:type="spellStart"/>
      <w:r w:rsidRPr="001B6C5B">
        <w:rPr>
          <w:rFonts w:eastAsia="Arial Unicode MS" w:cstheme="minorHAnsi"/>
          <w:color w:val="000000" w:themeColor="text1"/>
          <w:sz w:val="24"/>
          <w:lang w:val="en-US"/>
        </w:rPr>
        <w:t>cACT</w:t>
      </w:r>
      <w:proofErr w:type="spellEnd"/>
      <w:r w:rsidRPr="001B6C5B">
        <w:rPr>
          <w:rFonts w:eastAsia="Arial Unicode MS" w:cstheme="minorHAnsi"/>
          <w:color w:val="000000" w:themeColor="text1"/>
          <w:sz w:val="24"/>
          <w:lang w:val="en-US"/>
        </w:rPr>
        <w:t xml:space="preserve"> is </w:t>
      </w:r>
      <w:r>
        <w:rPr>
          <w:rFonts w:eastAsia="Arial Unicode MS" w:cstheme="minorHAnsi"/>
          <w:color w:val="000000" w:themeColor="text1"/>
          <w:sz w:val="24"/>
          <w:lang w:val="en-US"/>
        </w:rPr>
        <w:t xml:space="preserve">designed </w:t>
      </w:r>
      <w:r w:rsidRPr="001B6C5B">
        <w:rPr>
          <w:rFonts w:eastAsia="Arial Unicode MS" w:cstheme="minorHAnsi"/>
          <w:color w:val="000000" w:themeColor="text1"/>
          <w:sz w:val="24"/>
          <w:lang w:val="en-US"/>
        </w:rPr>
        <w:t>for children aged 4-11 years with four questions</w:t>
      </w:r>
      <w:r>
        <w:rPr>
          <w:rFonts w:eastAsia="Arial Unicode MS" w:cstheme="minorHAnsi"/>
          <w:color w:val="000000" w:themeColor="text1"/>
          <w:sz w:val="24"/>
          <w:lang w:val="en-US"/>
        </w:rPr>
        <w:t xml:space="preserve"> </w:t>
      </w:r>
      <w:r w:rsidRPr="001B6C5B">
        <w:rPr>
          <w:rFonts w:eastAsia="Arial Unicode MS" w:cstheme="minorHAnsi"/>
          <w:color w:val="000000" w:themeColor="text1"/>
          <w:sz w:val="24"/>
          <w:lang w:val="en-US"/>
        </w:rPr>
        <w:t>for the child</w:t>
      </w:r>
      <w:r>
        <w:rPr>
          <w:rFonts w:eastAsia="Arial Unicode MS" w:cstheme="minorHAnsi"/>
          <w:color w:val="000000" w:themeColor="text1"/>
          <w:sz w:val="24"/>
          <w:lang w:val="en-US"/>
        </w:rPr>
        <w:t>, using a pictorial scale of Western children’s faces to rate symptoms,</w:t>
      </w:r>
      <w:r w:rsidRPr="001B6C5B">
        <w:rPr>
          <w:rFonts w:eastAsia="Arial Unicode MS" w:cstheme="minorHAnsi"/>
          <w:color w:val="000000" w:themeColor="text1"/>
          <w:sz w:val="24"/>
          <w:lang w:val="en-US"/>
        </w:rPr>
        <w:t xml:space="preserve"> and three </w:t>
      </w:r>
      <w:r>
        <w:rPr>
          <w:rFonts w:eastAsia="Arial Unicode MS" w:cstheme="minorHAnsi"/>
          <w:color w:val="000000" w:themeColor="text1"/>
          <w:sz w:val="24"/>
          <w:lang w:val="en-US"/>
        </w:rPr>
        <w:t xml:space="preserve">questions </w:t>
      </w:r>
      <w:r w:rsidRPr="001B6C5B">
        <w:rPr>
          <w:rFonts w:eastAsia="Arial Unicode MS" w:cstheme="minorHAnsi"/>
          <w:color w:val="000000" w:themeColor="text1"/>
          <w:sz w:val="24"/>
          <w:lang w:val="en-US"/>
        </w:rPr>
        <w:t>for their accompanying adult</w:t>
      </w:r>
      <w:r>
        <w:rPr>
          <w:rFonts w:eastAsia="Arial Unicode MS" w:cstheme="minorHAnsi"/>
          <w:color w:val="000000" w:themeColor="text1"/>
          <w:sz w:val="24"/>
          <w:lang w:val="en-US"/>
        </w:rPr>
        <w:t xml:space="preserve"> (total score: 0-27)</w:t>
      </w:r>
      <w:r w:rsidRPr="001B6C5B">
        <w:rPr>
          <w:rFonts w:eastAsia="Arial Unicode MS" w:cstheme="minorHAnsi"/>
          <w:color w:val="000000" w:themeColor="text1"/>
          <w:sz w:val="24"/>
          <w:lang w:val="en-US"/>
        </w:rPr>
        <w:t>.</w:t>
      </w:r>
      <w:r w:rsidRPr="00784288">
        <w:rPr>
          <w:rFonts w:eastAsia="Arial Unicode MS" w:cstheme="minorHAnsi"/>
          <w:noProof/>
          <w:color w:val="000000" w:themeColor="text1"/>
          <w:sz w:val="24"/>
          <w:vertAlign w:val="superscript"/>
          <w:lang w:val="en-US"/>
        </w:rPr>
        <w:t>15</w:t>
      </w:r>
      <w:r w:rsidRPr="001B6C5B">
        <w:rPr>
          <w:rFonts w:eastAsia="Arial Unicode MS" w:cstheme="minorHAnsi"/>
          <w:color w:val="000000" w:themeColor="text1"/>
          <w:sz w:val="24"/>
          <w:lang w:val="en-US"/>
        </w:rPr>
        <w:t xml:space="preserve"> </w:t>
      </w:r>
      <w:r w:rsidRPr="00784288">
        <w:rPr>
          <w:rFonts w:eastAsia="Arial Unicode MS" w:cstheme="minorHAnsi"/>
          <w:noProof/>
          <w:color w:val="000000" w:themeColor="text1"/>
          <w:sz w:val="24"/>
          <w:vertAlign w:val="superscript"/>
          <w:lang w:val="en-US"/>
        </w:rPr>
        <w:t>23</w:t>
      </w:r>
      <w:r w:rsidR="006829CE">
        <w:rPr>
          <w:rFonts w:eastAsia="Arial Unicode MS" w:cstheme="minorHAnsi"/>
          <w:noProof/>
          <w:color w:val="000000" w:themeColor="text1"/>
          <w:sz w:val="24"/>
          <w:vertAlign w:val="superscript"/>
          <w:lang w:val="en-US"/>
        </w:rPr>
        <w:t xml:space="preserve"> </w:t>
      </w:r>
      <w:r>
        <w:rPr>
          <w:rFonts w:eastAsia="Arial Unicode MS" w:cstheme="minorHAnsi"/>
          <w:color w:val="000000" w:themeColor="text1"/>
          <w:sz w:val="24"/>
          <w:lang w:val="en-US"/>
        </w:rPr>
        <w:t>The ACT is for those aged ≥12 years, with five questions (total score: 5-25).</w:t>
      </w:r>
      <w:r w:rsidRPr="005A1C24">
        <w:rPr>
          <w:rFonts w:eastAsia="Arial Unicode MS" w:cstheme="minorHAnsi"/>
          <w:noProof/>
          <w:color w:val="000000" w:themeColor="text1"/>
          <w:sz w:val="24"/>
          <w:vertAlign w:val="superscript"/>
          <w:lang w:val="en-US"/>
        </w:rPr>
        <w:t>23</w:t>
      </w:r>
      <w:r>
        <w:rPr>
          <w:rFonts w:eastAsia="Arial Unicode MS" w:cstheme="minorHAnsi"/>
          <w:color w:val="000000" w:themeColor="text1"/>
          <w:sz w:val="24"/>
          <w:lang w:val="en-US"/>
        </w:rPr>
        <w:t xml:space="preserve"> </w:t>
      </w:r>
      <w:r w:rsidRPr="001B6C5B">
        <w:rPr>
          <w:rFonts w:eastAsia="Arial Unicode MS" w:cstheme="minorHAnsi"/>
          <w:color w:val="000000" w:themeColor="text1"/>
          <w:sz w:val="24"/>
          <w:lang w:val="en-US"/>
        </w:rPr>
        <w:t xml:space="preserve">We chose to use the </w:t>
      </w:r>
      <w:proofErr w:type="spellStart"/>
      <w:r w:rsidRPr="001B6C5B">
        <w:rPr>
          <w:rFonts w:eastAsia="Arial Unicode MS" w:cstheme="minorHAnsi"/>
          <w:color w:val="000000" w:themeColor="text1"/>
          <w:sz w:val="24"/>
          <w:lang w:val="en-US"/>
        </w:rPr>
        <w:t>cACT</w:t>
      </w:r>
      <w:proofErr w:type="spellEnd"/>
      <w:r w:rsidRPr="001B6C5B">
        <w:rPr>
          <w:rFonts w:eastAsia="Arial Unicode MS" w:cstheme="minorHAnsi"/>
          <w:color w:val="000000" w:themeColor="text1"/>
          <w:sz w:val="24"/>
          <w:lang w:val="en-US"/>
        </w:rPr>
        <w:t xml:space="preserve"> for all participants,</w:t>
      </w:r>
      <w:r>
        <w:rPr>
          <w:rFonts w:eastAsia="Arial Unicode MS" w:cstheme="minorHAnsi"/>
          <w:color w:val="000000" w:themeColor="text1"/>
          <w:sz w:val="24"/>
          <w:lang w:val="en-US"/>
        </w:rPr>
        <w:t xml:space="preserve"> given the younger ages of most children attending clinic,</w:t>
      </w:r>
      <w:r w:rsidRPr="001B6C5B">
        <w:rPr>
          <w:rFonts w:eastAsia="Arial Unicode MS" w:cstheme="minorHAnsi"/>
          <w:color w:val="000000" w:themeColor="text1"/>
          <w:sz w:val="24"/>
          <w:lang w:val="en-US"/>
        </w:rPr>
        <w:t xml:space="preserve"> rather than </w:t>
      </w:r>
      <w:r>
        <w:rPr>
          <w:rFonts w:eastAsia="Arial Unicode MS" w:cstheme="minorHAnsi"/>
          <w:color w:val="000000" w:themeColor="text1"/>
          <w:sz w:val="24"/>
          <w:lang w:val="en-US"/>
        </w:rPr>
        <w:t xml:space="preserve">two </w:t>
      </w:r>
      <w:r w:rsidRPr="001B6C5B">
        <w:rPr>
          <w:rFonts w:eastAsia="Arial Unicode MS" w:cstheme="minorHAnsi"/>
          <w:color w:val="000000" w:themeColor="text1"/>
          <w:sz w:val="24"/>
          <w:lang w:val="en-US"/>
        </w:rPr>
        <w:t xml:space="preserve">separate tools, </w:t>
      </w:r>
      <w:r>
        <w:rPr>
          <w:rFonts w:eastAsia="Arial Unicode MS" w:cstheme="minorHAnsi"/>
          <w:color w:val="000000" w:themeColor="text1"/>
          <w:sz w:val="24"/>
          <w:lang w:val="en-US"/>
        </w:rPr>
        <w:t>to avoid confusion for the study team and to avoid combining different scoring systems</w:t>
      </w:r>
      <w:r w:rsidRPr="001B6C5B">
        <w:rPr>
          <w:rFonts w:eastAsia="Arial Unicode MS" w:cstheme="minorHAnsi"/>
          <w:color w:val="000000" w:themeColor="text1"/>
          <w:sz w:val="24"/>
          <w:lang w:val="en-US"/>
        </w:rPr>
        <w:t>. However, obtaining responses which truly reflect the child’s clinical condition</w:t>
      </w:r>
      <w:r>
        <w:rPr>
          <w:rFonts w:eastAsia="Arial Unicode MS" w:cstheme="minorHAnsi"/>
          <w:color w:val="000000" w:themeColor="text1"/>
          <w:sz w:val="24"/>
          <w:lang w:val="en-US"/>
        </w:rPr>
        <w:t xml:space="preserve"> is difficult</w:t>
      </w:r>
      <w:r w:rsidRPr="001B6C5B">
        <w:rPr>
          <w:rFonts w:eastAsia="Arial Unicode MS" w:cstheme="minorHAnsi"/>
          <w:color w:val="000000" w:themeColor="text1"/>
          <w:sz w:val="24"/>
          <w:lang w:val="en-US"/>
        </w:rPr>
        <w:t xml:space="preserve">; younger children may </w:t>
      </w:r>
      <w:r w:rsidR="006829CE">
        <w:rPr>
          <w:rFonts w:eastAsia="Arial Unicode MS" w:cstheme="minorHAnsi"/>
          <w:color w:val="000000" w:themeColor="text1"/>
          <w:sz w:val="24"/>
          <w:lang w:val="en-US"/>
        </w:rPr>
        <w:t>struggle to</w:t>
      </w:r>
      <w:r w:rsidRPr="001B6C5B">
        <w:rPr>
          <w:rFonts w:eastAsia="Arial Unicode MS" w:cstheme="minorHAnsi"/>
          <w:color w:val="000000" w:themeColor="text1"/>
          <w:sz w:val="24"/>
          <w:lang w:val="en-US"/>
        </w:rPr>
        <w:t xml:space="preserve"> </w:t>
      </w:r>
      <w:proofErr w:type="spellStart"/>
      <w:r w:rsidRPr="001B6C5B">
        <w:rPr>
          <w:rFonts w:eastAsia="Arial Unicode MS" w:cstheme="minorHAnsi"/>
          <w:color w:val="000000" w:themeColor="text1"/>
          <w:sz w:val="24"/>
          <w:lang w:val="en-US"/>
        </w:rPr>
        <w:t>recognis</w:t>
      </w:r>
      <w:r w:rsidR="006829CE">
        <w:rPr>
          <w:rFonts w:eastAsia="Arial Unicode MS" w:cstheme="minorHAnsi"/>
          <w:color w:val="000000" w:themeColor="text1"/>
          <w:sz w:val="24"/>
          <w:lang w:val="en-US"/>
        </w:rPr>
        <w:t>e</w:t>
      </w:r>
      <w:proofErr w:type="spellEnd"/>
      <w:r w:rsidRPr="001B6C5B">
        <w:rPr>
          <w:rFonts w:eastAsia="Arial Unicode MS" w:cstheme="minorHAnsi"/>
          <w:color w:val="000000" w:themeColor="text1"/>
          <w:sz w:val="24"/>
          <w:lang w:val="en-US"/>
        </w:rPr>
        <w:t xml:space="preserve"> and articulat</w:t>
      </w:r>
      <w:r w:rsidR="006829CE">
        <w:rPr>
          <w:rFonts w:eastAsia="Arial Unicode MS" w:cstheme="minorHAnsi"/>
          <w:color w:val="000000" w:themeColor="text1"/>
          <w:sz w:val="24"/>
          <w:lang w:val="en-US"/>
        </w:rPr>
        <w:t>e</w:t>
      </w:r>
      <w:r w:rsidRPr="001B6C5B">
        <w:rPr>
          <w:rFonts w:eastAsia="Arial Unicode MS" w:cstheme="minorHAnsi"/>
          <w:color w:val="000000" w:themeColor="text1"/>
          <w:sz w:val="24"/>
          <w:lang w:val="en-US"/>
        </w:rPr>
        <w:t xml:space="preserve"> symptoms and have a poor perception of time, and children may be reluctant to answer, deferring to their elders in a culture which promotes hierarchical respect. Changing caregivers, meant that adults were sometimes unsure of the child’s symptoms over the preceding month, particularly at night or during the </w:t>
      </w:r>
      <w:r w:rsidRPr="001B6C5B">
        <w:rPr>
          <w:rFonts w:eastAsia="Arial Unicode MS" w:cstheme="minorHAnsi"/>
          <w:color w:val="000000" w:themeColor="text1"/>
          <w:sz w:val="24"/>
          <w:lang w:val="en-US"/>
        </w:rPr>
        <w:lastRenderedPageBreak/>
        <w:t xml:space="preserve">school day. To date, a clinically meaningful difference in </w:t>
      </w:r>
      <w:proofErr w:type="spellStart"/>
      <w:r w:rsidRPr="001B6C5B">
        <w:rPr>
          <w:rFonts w:eastAsia="Arial Unicode MS" w:cstheme="minorHAnsi"/>
          <w:color w:val="000000" w:themeColor="text1"/>
          <w:sz w:val="24"/>
          <w:lang w:val="en-US"/>
        </w:rPr>
        <w:t>cACT</w:t>
      </w:r>
      <w:proofErr w:type="spellEnd"/>
      <w:r w:rsidRPr="001B6C5B">
        <w:rPr>
          <w:rFonts w:eastAsia="Arial Unicode MS" w:cstheme="minorHAnsi"/>
          <w:color w:val="000000" w:themeColor="text1"/>
          <w:sz w:val="24"/>
          <w:lang w:val="en-US"/>
        </w:rPr>
        <w:t xml:space="preserve"> has not been established; in adults the minimally important difference in ACT is 3 points.</w:t>
      </w:r>
      <w:r w:rsidRPr="005A1C24">
        <w:rPr>
          <w:rFonts w:eastAsia="Arial Unicode MS" w:cstheme="minorHAnsi"/>
          <w:noProof/>
          <w:color w:val="000000" w:themeColor="text1"/>
          <w:sz w:val="24"/>
          <w:vertAlign w:val="superscript"/>
          <w:lang w:val="en-US"/>
        </w:rPr>
        <w:t>23</w:t>
      </w:r>
    </w:p>
    <w:p w14:paraId="5B1949DF" w14:textId="77777777" w:rsidR="004A16AD" w:rsidRPr="001B6C5B"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 xml:space="preserve">We identified several children with severe airway obstruction but normal </w:t>
      </w:r>
      <w:proofErr w:type="spellStart"/>
      <w:r w:rsidRPr="001B6C5B">
        <w:rPr>
          <w:rFonts w:eastAsia="Arial Unicode MS" w:cstheme="minorHAnsi"/>
          <w:color w:val="000000" w:themeColor="text1"/>
          <w:sz w:val="24"/>
          <w:lang w:val="en-US"/>
        </w:rPr>
        <w:t>cACT</w:t>
      </w:r>
      <w:proofErr w:type="spellEnd"/>
      <w:r w:rsidRPr="001B6C5B">
        <w:rPr>
          <w:rFonts w:eastAsia="Arial Unicode MS" w:cstheme="minorHAnsi"/>
          <w:color w:val="000000" w:themeColor="text1"/>
          <w:sz w:val="24"/>
          <w:lang w:val="en-US"/>
        </w:rPr>
        <w:t xml:space="preserve"> scores; symptom perception may be impaired in children with chronic airflow obstruction and the poor correlation between self-reported symptoms and spirometry is well-recognised.</w:t>
      </w:r>
      <w:r w:rsidRPr="005A1C24">
        <w:rPr>
          <w:rFonts w:eastAsia="Arial Unicode MS" w:cstheme="minorHAnsi"/>
          <w:noProof/>
          <w:color w:val="000000" w:themeColor="text1"/>
          <w:sz w:val="24"/>
          <w:vertAlign w:val="superscript"/>
          <w:lang w:val="en-US"/>
        </w:rPr>
        <w:t>24</w:t>
      </w:r>
      <w:r>
        <w:rPr>
          <w:rFonts w:eastAsia="Arial Unicode MS" w:cstheme="minorHAnsi"/>
          <w:color w:val="000000" w:themeColor="text1"/>
          <w:sz w:val="24"/>
          <w:lang w:val="en-US"/>
        </w:rPr>
        <w:t xml:space="preserve"> Additionally, we </w:t>
      </w:r>
      <w:proofErr w:type="spellStart"/>
      <w:r>
        <w:rPr>
          <w:rFonts w:eastAsia="Arial Unicode MS" w:cstheme="minorHAnsi"/>
          <w:color w:val="000000" w:themeColor="text1"/>
          <w:sz w:val="24"/>
          <w:lang w:val="en-US"/>
        </w:rPr>
        <w:t>recognise</w:t>
      </w:r>
      <w:proofErr w:type="spellEnd"/>
      <w:r>
        <w:rPr>
          <w:rFonts w:eastAsia="Arial Unicode MS" w:cstheme="minorHAnsi"/>
          <w:color w:val="000000" w:themeColor="text1"/>
          <w:sz w:val="24"/>
          <w:lang w:val="en-US"/>
        </w:rPr>
        <w:t xml:space="preserve"> a cultural tendency among Malawians to underreport symptoms.</w:t>
      </w:r>
      <w:r w:rsidRPr="001B6C5B">
        <w:rPr>
          <w:rFonts w:eastAsia="Arial Unicode MS" w:cstheme="minorHAnsi"/>
          <w:color w:val="000000" w:themeColor="text1"/>
          <w:sz w:val="24"/>
          <w:lang w:val="en-US"/>
        </w:rPr>
        <w:t xml:space="preserve"> Spirometry </w:t>
      </w:r>
      <w:r>
        <w:rPr>
          <w:rFonts w:eastAsia="Arial Unicode MS" w:cstheme="minorHAnsi"/>
          <w:color w:val="000000" w:themeColor="text1"/>
          <w:sz w:val="24"/>
          <w:lang w:val="en-US"/>
        </w:rPr>
        <w:t>has limited</w:t>
      </w:r>
      <w:r w:rsidRPr="001B6C5B">
        <w:rPr>
          <w:rFonts w:eastAsia="Arial Unicode MS" w:cstheme="minorHAnsi"/>
          <w:color w:val="000000" w:themeColor="text1"/>
          <w:sz w:val="24"/>
          <w:lang w:val="en-US"/>
        </w:rPr>
        <w:t xml:space="preserve"> availab</w:t>
      </w:r>
      <w:r>
        <w:rPr>
          <w:rFonts w:eastAsia="Arial Unicode MS" w:cstheme="minorHAnsi"/>
          <w:color w:val="000000" w:themeColor="text1"/>
          <w:sz w:val="24"/>
          <w:lang w:val="en-US"/>
        </w:rPr>
        <w:t>ility</w:t>
      </w:r>
      <w:r w:rsidRPr="001B6C5B">
        <w:rPr>
          <w:rFonts w:eastAsia="Arial Unicode MS" w:cstheme="minorHAnsi"/>
          <w:color w:val="000000" w:themeColor="text1"/>
          <w:sz w:val="24"/>
          <w:lang w:val="en-US"/>
        </w:rPr>
        <w:t xml:space="preserve"> outside of the research setting in most LIC</w:t>
      </w:r>
      <w:r>
        <w:rPr>
          <w:rFonts w:eastAsia="Arial Unicode MS" w:cstheme="minorHAnsi"/>
          <w:color w:val="000000" w:themeColor="text1"/>
          <w:sz w:val="24"/>
          <w:lang w:val="en-US"/>
        </w:rPr>
        <w:t>s</w:t>
      </w:r>
      <w:r w:rsidRPr="001B6C5B">
        <w:rPr>
          <w:rFonts w:eastAsia="Arial Unicode MS" w:cstheme="minorHAnsi"/>
          <w:color w:val="000000" w:themeColor="text1"/>
          <w:sz w:val="24"/>
          <w:lang w:val="en-US"/>
        </w:rPr>
        <w:t>, but peak flow meters can provide a useful alternative and may be a more appropriate component of future interventions</w:t>
      </w:r>
      <w:r>
        <w:rPr>
          <w:rFonts w:eastAsia="Arial Unicode MS" w:cstheme="minorHAnsi"/>
          <w:color w:val="000000" w:themeColor="text1"/>
          <w:sz w:val="24"/>
          <w:lang w:val="en-US"/>
        </w:rPr>
        <w:t>, to provide an objective assessment of airway obstruction</w:t>
      </w:r>
      <w:r w:rsidRPr="001B6C5B">
        <w:rPr>
          <w:rFonts w:eastAsia="Arial Unicode MS" w:cstheme="minorHAnsi"/>
          <w:color w:val="000000" w:themeColor="text1"/>
          <w:sz w:val="24"/>
          <w:lang w:val="en-US"/>
        </w:rPr>
        <w:t>.</w:t>
      </w:r>
      <w:r w:rsidRPr="00784288">
        <w:rPr>
          <w:rFonts w:eastAsia="Arial Unicode MS" w:cstheme="minorHAnsi"/>
          <w:noProof/>
          <w:color w:val="000000" w:themeColor="text1"/>
          <w:sz w:val="24"/>
          <w:vertAlign w:val="superscript"/>
          <w:lang w:val="en-US"/>
        </w:rPr>
        <w:t>7</w:t>
      </w:r>
    </w:p>
    <w:p w14:paraId="7433CB32" w14:textId="77777777" w:rsidR="004A16AD" w:rsidRPr="001B6C5B" w:rsidRDefault="004A16AD" w:rsidP="00CA4637">
      <w:pPr>
        <w:spacing w:after="0" w:line="480" w:lineRule="auto"/>
        <w:rPr>
          <w:rFonts w:eastAsia="Arial Unicode MS" w:cstheme="minorHAnsi"/>
          <w:color w:val="000000" w:themeColor="text1"/>
          <w:sz w:val="24"/>
          <w:lang w:val="en-US"/>
        </w:rPr>
      </w:pPr>
    </w:p>
    <w:p w14:paraId="02073F8B" w14:textId="77777777" w:rsidR="004A16AD" w:rsidRPr="001B6C5B"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Given the lack of other studies using non-</w:t>
      </w:r>
      <w:r>
        <w:rPr>
          <w:rFonts w:eastAsia="Arial Unicode MS" w:cstheme="minorHAnsi"/>
          <w:color w:val="000000" w:themeColor="text1"/>
          <w:sz w:val="24"/>
          <w:lang w:val="en-US"/>
        </w:rPr>
        <w:t>clin</w:t>
      </w:r>
      <w:r w:rsidRPr="001B6C5B">
        <w:rPr>
          <w:rFonts w:eastAsia="Arial Unicode MS" w:cstheme="minorHAnsi"/>
          <w:color w:val="000000" w:themeColor="text1"/>
          <w:sz w:val="24"/>
          <w:lang w:val="en-US"/>
        </w:rPr>
        <w:t xml:space="preserve">ical staff for task-shifting, we deliberately set a short follow-up period for this study, to </w:t>
      </w:r>
      <w:proofErr w:type="spellStart"/>
      <w:r w:rsidRPr="001B6C5B">
        <w:rPr>
          <w:rFonts w:eastAsia="Arial Unicode MS" w:cstheme="minorHAnsi"/>
          <w:color w:val="000000" w:themeColor="text1"/>
          <w:sz w:val="24"/>
          <w:lang w:val="en-US"/>
        </w:rPr>
        <w:t>minimise</w:t>
      </w:r>
      <w:proofErr w:type="spellEnd"/>
      <w:r w:rsidRPr="001B6C5B">
        <w:rPr>
          <w:rFonts w:eastAsia="Arial Unicode MS" w:cstheme="minorHAnsi"/>
          <w:color w:val="000000" w:themeColor="text1"/>
          <w:sz w:val="24"/>
          <w:lang w:val="en-US"/>
        </w:rPr>
        <w:t xml:space="preserve"> loss to follow up and </w:t>
      </w:r>
      <w:proofErr w:type="spellStart"/>
      <w:r w:rsidRPr="001B6C5B">
        <w:rPr>
          <w:rFonts w:eastAsia="Arial Unicode MS" w:cstheme="minorHAnsi"/>
          <w:color w:val="000000" w:themeColor="text1"/>
          <w:sz w:val="24"/>
          <w:lang w:val="en-US"/>
        </w:rPr>
        <w:t>maximise</w:t>
      </w:r>
      <w:proofErr w:type="spellEnd"/>
      <w:r w:rsidRPr="001B6C5B">
        <w:rPr>
          <w:rFonts w:eastAsia="Arial Unicode MS" w:cstheme="minorHAnsi"/>
          <w:color w:val="000000" w:themeColor="text1"/>
          <w:sz w:val="24"/>
          <w:lang w:val="en-US"/>
        </w:rPr>
        <w:t xml:space="preserve"> the chances of identifying a benefit or harm from this novel approach. Overall completeness of data collection was good, including acceptable and repeatable spirometry data for over </w:t>
      </w:r>
      <w:r>
        <w:rPr>
          <w:rFonts w:eastAsia="Arial Unicode MS" w:cstheme="minorHAnsi"/>
          <w:color w:val="000000" w:themeColor="text1"/>
          <w:sz w:val="24"/>
          <w:lang w:val="en-US"/>
        </w:rPr>
        <w:t>80</w:t>
      </w:r>
      <w:r w:rsidRPr="001B6C5B">
        <w:rPr>
          <w:rFonts w:eastAsia="Arial Unicode MS" w:cstheme="minorHAnsi"/>
          <w:color w:val="000000" w:themeColor="text1"/>
          <w:sz w:val="24"/>
          <w:lang w:val="en-US"/>
        </w:rPr>
        <w:t xml:space="preserve">% of participants. </w:t>
      </w:r>
    </w:p>
    <w:p w14:paraId="6B1D6D11" w14:textId="77777777" w:rsidR="004A16AD" w:rsidRPr="001B6C5B" w:rsidRDefault="004A16AD" w:rsidP="00CA4637">
      <w:pPr>
        <w:spacing w:after="0" w:line="480" w:lineRule="auto"/>
        <w:rPr>
          <w:rFonts w:eastAsia="Arial Unicode MS" w:cstheme="minorHAnsi"/>
          <w:color w:val="000000" w:themeColor="text1"/>
          <w:sz w:val="24"/>
          <w:lang w:val="en-US"/>
        </w:rPr>
      </w:pPr>
      <w:r w:rsidRPr="001B6C5B">
        <w:rPr>
          <w:rFonts w:eastAsia="Arial Unicode MS" w:cstheme="minorHAnsi"/>
          <w:color w:val="000000" w:themeColor="text1"/>
          <w:sz w:val="24"/>
          <w:lang w:val="en-US"/>
        </w:rPr>
        <w:t>We relied upon self-report of symptoms, exacerbations and inhaler use: recall bias is a potential limitation. We tried to quantify medication use by weighing inhalers but abandoned this</w:t>
      </w:r>
      <w:r>
        <w:rPr>
          <w:rFonts w:eastAsia="Arial Unicode MS" w:cstheme="minorHAnsi"/>
          <w:color w:val="000000" w:themeColor="text1"/>
          <w:sz w:val="24"/>
          <w:lang w:val="en-US"/>
        </w:rPr>
        <w:t xml:space="preserve"> </w:t>
      </w:r>
      <w:r w:rsidRPr="001B6C5B">
        <w:rPr>
          <w:rFonts w:eastAsia="Arial Unicode MS" w:cstheme="minorHAnsi"/>
          <w:color w:val="000000" w:themeColor="text1"/>
          <w:sz w:val="24"/>
          <w:lang w:val="en-US"/>
        </w:rPr>
        <w:t>as very few participants brought their inhaler cannisters despite reminders. Our study recruited patients attending outpatient follow</w:t>
      </w:r>
      <w:r>
        <w:rPr>
          <w:rFonts w:eastAsia="Arial Unicode MS" w:cstheme="minorHAnsi"/>
          <w:color w:val="000000" w:themeColor="text1"/>
          <w:sz w:val="24"/>
          <w:lang w:val="en-US"/>
        </w:rPr>
        <w:t>-</w:t>
      </w:r>
      <w:r w:rsidRPr="001B6C5B">
        <w:rPr>
          <w:rFonts w:eastAsia="Arial Unicode MS" w:cstheme="minorHAnsi"/>
          <w:color w:val="000000" w:themeColor="text1"/>
          <w:sz w:val="24"/>
          <w:lang w:val="en-US"/>
        </w:rPr>
        <w:t xml:space="preserve">up at a tertiary hospital – we would expect a high rate of previous hospital admissions and attendances, since many patients are referred to this clinic from </w:t>
      </w:r>
      <w:proofErr w:type="spellStart"/>
      <w:r w:rsidRPr="001B6C5B">
        <w:rPr>
          <w:rFonts w:eastAsia="Arial Unicode MS" w:cstheme="minorHAnsi"/>
          <w:color w:val="000000" w:themeColor="text1"/>
          <w:sz w:val="24"/>
          <w:lang w:val="en-US"/>
        </w:rPr>
        <w:t>paediatric</w:t>
      </w:r>
      <w:proofErr w:type="spellEnd"/>
      <w:r w:rsidRPr="001B6C5B">
        <w:rPr>
          <w:rFonts w:eastAsia="Arial Unicode MS" w:cstheme="minorHAnsi"/>
          <w:color w:val="000000" w:themeColor="text1"/>
          <w:sz w:val="24"/>
          <w:lang w:val="en-US"/>
        </w:rPr>
        <w:t xml:space="preserve"> wards and the emergency department</w:t>
      </w:r>
      <w:r>
        <w:rPr>
          <w:rFonts w:eastAsia="Arial Unicode MS" w:cstheme="minorHAnsi"/>
          <w:color w:val="000000" w:themeColor="text1"/>
          <w:sz w:val="24"/>
          <w:lang w:val="en-US"/>
        </w:rPr>
        <w:t>: this may explain why both groups to showed clinical improvement during the study</w:t>
      </w:r>
      <w:r w:rsidRPr="001B6C5B">
        <w:rPr>
          <w:rFonts w:eastAsia="Arial Unicode MS" w:cstheme="minorHAnsi"/>
          <w:color w:val="000000" w:themeColor="text1"/>
          <w:sz w:val="24"/>
          <w:lang w:val="en-US"/>
        </w:rPr>
        <w:t xml:space="preserve"> and </w:t>
      </w:r>
      <w:r>
        <w:rPr>
          <w:rFonts w:eastAsia="Arial Unicode MS" w:cstheme="minorHAnsi"/>
          <w:color w:val="000000" w:themeColor="text1"/>
          <w:sz w:val="24"/>
          <w:lang w:val="en-US"/>
        </w:rPr>
        <w:t xml:space="preserve">means </w:t>
      </w:r>
      <w:r w:rsidRPr="001B6C5B">
        <w:rPr>
          <w:rFonts w:eastAsia="Arial Unicode MS" w:cstheme="minorHAnsi"/>
          <w:color w:val="000000" w:themeColor="text1"/>
          <w:sz w:val="24"/>
          <w:lang w:val="en-US"/>
        </w:rPr>
        <w:t xml:space="preserve">our findings represent </w:t>
      </w:r>
      <w:r>
        <w:rPr>
          <w:rFonts w:eastAsia="Arial Unicode MS" w:cstheme="minorHAnsi"/>
          <w:color w:val="000000" w:themeColor="text1"/>
          <w:sz w:val="24"/>
          <w:lang w:val="en-US"/>
        </w:rPr>
        <w:t xml:space="preserve">more severely affected </w:t>
      </w:r>
      <w:r w:rsidRPr="001B6C5B">
        <w:rPr>
          <w:rFonts w:eastAsia="Arial Unicode MS" w:cstheme="minorHAnsi"/>
          <w:color w:val="000000" w:themeColor="text1"/>
          <w:sz w:val="24"/>
          <w:lang w:val="en-US"/>
        </w:rPr>
        <w:t xml:space="preserve">asthmatic children in Malawi. Despite these limitations, our findings suggest that </w:t>
      </w:r>
      <w:proofErr w:type="spellStart"/>
      <w:r w:rsidRPr="001B6C5B">
        <w:rPr>
          <w:rFonts w:eastAsia="Arial Unicode MS" w:cstheme="minorHAnsi"/>
          <w:color w:val="000000" w:themeColor="text1"/>
          <w:sz w:val="24"/>
          <w:lang w:val="en-US"/>
        </w:rPr>
        <w:t>optimisation</w:t>
      </w:r>
      <w:proofErr w:type="spellEnd"/>
      <w:r w:rsidRPr="001B6C5B">
        <w:rPr>
          <w:rFonts w:eastAsia="Arial Unicode MS" w:cstheme="minorHAnsi"/>
          <w:color w:val="000000" w:themeColor="text1"/>
          <w:sz w:val="24"/>
          <w:lang w:val="en-US"/>
        </w:rPr>
        <w:t xml:space="preserve"> of inhaled treatment, supported by </w:t>
      </w:r>
      <w:r w:rsidRPr="001B6C5B">
        <w:rPr>
          <w:rFonts w:eastAsia="Arial Unicode MS" w:cstheme="minorHAnsi"/>
          <w:color w:val="000000" w:themeColor="text1"/>
          <w:sz w:val="24"/>
          <w:lang w:val="en-US"/>
        </w:rPr>
        <w:lastRenderedPageBreak/>
        <w:t>asthma education delivered by non-</w:t>
      </w:r>
      <w:r>
        <w:rPr>
          <w:rFonts w:eastAsia="Arial Unicode MS" w:cstheme="minorHAnsi"/>
          <w:color w:val="000000" w:themeColor="text1"/>
          <w:sz w:val="24"/>
          <w:lang w:val="en-US"/>
        </w:rPr>
        <w:t>physicians</w:t>
      </w:r>
      <w:r w:rsidRPr="001B6C5B">
        <w:rPr>
          <w:rFonts w:eastAsia="Arial Unicode MS" w:cstheme="minorHAnsi"/>
          <w:color w:val="000000" w:themeColor="text1"/>
          <w:sz w:val="24"/>
          <w:lang w:val="en-US"/>
        </w:rPr>
        <w:t>, can have a beneficial effect on asthma outcomes.</w:t>
      </w:r>
    </w:p>
    <w:p w14:paraId="62EE2082" w14:textId="77777777" w:rsidR="004A16AD" w:rsidRPr="001B6C5B" w:rsidRDefault="004A16AD" w:rsidP="00CA4637">
      <w:pPr>
        <w:spacing w:after="0" w:line="480" w:lineRule="auto"/>
        <w:rPr>
          <w:sz w:val="24"/>
        </w:rPr>
      </w:pPr>
      <w:r w:rsidRPr="001B6C5B">
        <w:rPr>
          <w:sz w:val="24"/>
        </w:rPr>
        <w:t>Malawi suffers from a shortage of trained medical staff with 2 physicians and 28 nurses per 100,000 population, well below the WHO “critical shortage” threshold of 2.5 health professionals (including doctors, nurses and midwives) per 1000 population.</w:t>
      </w:r>
      <w:r w:rsidRPr="00784288">
        <w:rPr>
          <w:noProof/>
          <w:sz w:val="24"/>
          <w:vertAlign w:val="superscript"/>
        </w:rPr>
        <w:t>25</w:t>
      </w:r>
      <w:r w:rsidRPr="001B6C5B">
        <w:rPr>
          <w:sz w:val="24"/>
        </w:rPr>
        <w:t xml:space="preserve"> This huge deficit in workforce requires an alternative approach to health care delivery: task</w:t>
      </w:r>
      <w:r w:rsidR="004D6F1F">
        <w:rPr>
          <w:sz w:val="24"/>
        </w:rPr>
        <w:t>-</w:t>
      </w:r>
      <w:r w:rsidRPr="001B6C5B">
        <w:rPr>
          <w:sz w:val="24"/>
        </w:rPr>
        <w:t xml:space="preserve">shifting has been successfully employed in the community case management of childhood illnesses and to improve access to HIV </w:t>
      </w:r>
      <w:r>
        <w:rPr>
          <w:sz w:val="24"/>
        </w:rPr>
        <w:t>services</w:t>
      </w:r>
      <w:r w:rsidRPr="001B6C5B">
        <w:rPr>
          <w:sz w:val="24"/>
        </w:rPr>
        <w:t xml:space="preserve"> in Malawi.</w:t>
      </w:r>
      <w:r w:rsidRPr="00784288">
        <w:rPr>
          <w:noProof/>
          <w:sz w:val="24"/>
          <w:vertAlign w:val="superscript"/>
        </w:rPr>
        <w:t>26 27</w:t>
      </w:r>
      <w:r w:rsidRPr="001B6C5B">
        <w:rPr>
          <w:sz w:val="24"/>
        </w:rPr>
        <w:t xml:space="preserve"> Considering asthma management specifically, a study from Cameroon reported decreased asthma attacks </w:t>
      </w:r>
      <w:r>
        <w:rPr>
          <w:sz w:val="24"/>
        </w:rPr>
        <w:t xml:space="preserve">among </w:t>
      </w:r>
      <w:r w:rsidRPr="001B6C5B">
        <w:rPr>
          <w:sz w:val="24"/>
        </w:rPr>
        <w:t>mostly adult patients attending a nurse-led asthma clinic, although los</w:t>
      </w:r>
      <w:r>
        <w:rPr>
          <w:sz w:val="24"/>
        </w:rPr>
        <w:t>s</w:t>
      </w:r>
      <w:r w:rsidRPr="001B6C5B">
        <w:rPr>
          <w:sz w:val="24"/>
        </w:rPr>
        <w:t xml:space="preserve"> to follow</w:t>
      </w:r>
      <w:r>
        <w:rPr>
          <w:sz w:val="24"/>
        </w:rPr>
        <w:t>-</w:t>
      </w:r>
      <w:r w:rsidRPr="001B6C5B">
        <w:rPr>
          <w:sz w:val="24"/>
        </w:rPr>
        <w:t>up</w:t>
      </w:r>
      <w:r>
        <w:rPr>
          <w:sz w:val="24"/>
        </w:rPr>
        <w:t xml:space="preserve"> was high</w:t>
      </w:r>
      <w:r w:rsidRPr="001B6C5B">
        <w:rPr>
          <w:sz w:val="24"/>
        </w:rPr>
        <w:t>.</w:t>
      </w:r>
      <w:r w:rsidRPr="00784288">
        <w:rPr>
          <w:noProof/>
          <w:sz w:val="24"/>
          <w:vertAlign w:val="superscript"/>
        </w:rPr>
        <w:t>14</w:t>
      </w:r>
      <w:r w:rsidRPr="001B6C5B">
        <w:rPr>
          <w:sz w:val="24"/>
        </w:rPr>
        <w:t xml:space="preserve"> Task-shifting asthma education to non-medical cadres has been explored in high-income settings</w:t>
      </w:r>
      <w:r>
        <w:rPr>
          <w:sz w:val="24"/>
        </w:rPr>
        <w:t>, with</w:t>
      </w:r>
      <w:r w:rsidRPr="001B6C5B">
        <w:rPr>
          <w:sz w:val="24"/>
        </w:rPr>
        <w:t xml:space="preserve"> </w:t>
      </w:r>
      <w:r>
        <w:rPr>
          <w:sz w:val="24"/>
        </w:rPr>
        <w:t>c</w:t>
      </w:r>
      <w:r w:rsidRPr="001B6C5B">
        <w:rPr>
          <w:sz w:val="24"/>
        </w:rPr>
        <w:t>omparable outcomes reported for asthma education delivered by lay people and nurses to adult patients.</w:t>
      </w:r>
      <w:r w:rsidRPr="00784288">
        <w:rPr>
          <w:noProof/>
          <w:sz w:val="24"/>
          <w:vertAlign w:val="superscript"/>
        </w:rPr>
        <w:t>28</w:t>
      </w:r>
      <w:r w:rsidRPr="001B6C5B">
        <w:rPr>
          <w:sz w:val="24"/>
        </w:rPr>
        <w:t xml:space="preserve"> The use of lay educators has not previously been evaluated in LMIC</w:t>
      </w:r>
      <w:r>
        <w:rPr>
          <w:sz w:val="24"/>
        </w:rPr>
        <w:t>s</w:t>
      </w:r>
      <w:r w:rsidRPr="001B6C5B">
        <w:rPr>
          <w:sz w:val="24"/>
        </w:rPr>
        <w:t>: we propose that the potential impact may be greater than in HIC</w:t>
      </w:r>
      <w:r>
        <w:rPr>
          <w:sz w:val="24"/>
        </w:rPr>
        <w:t>s</w:t>
      </w:r>
      <w:r w:rsidRPr="001B6C5B">
        <w:rPr>
          <w:sz w:val="24"/>
        </w:rPr>
        <w:t>, due to lower baseline education and health literacy levels among poorer populations.</w:t>
      </w:r>
    </w:p>
    <w:p w14:paraId="64620B64" w14:textId="77777777" w:rsidR="004A16AD" w:rsidRPr="001B6C5B" w:rsidRDefault="004A16AD" w:rsidP="00CA4637">
      <w:pPr>
        <w:spacing w:after="0" w:line="480" w:lineRule="auto"/>
        <w:rPr>
          <w:sz w:val="24"/>
        </w:rPr>
      </w:pPr>
    </w:p>
    <w:p w14:paraId="205BF850" w14:textId="77777777" w:rsidR="004A16AD" w:rsidRDefault="004A16AD" w:rsidP="00CA4637">
      <w:pPr>
        <w:spacing w:after="0" w:line="480" w:lineRule="auto"/>
        <w:rPr>
          <w:sz w:val="24"/>
        </w:rPr>
      </w:pPr>
      <w:r w:rsidRPr="001B6C5B">
        <w:rPr>
          <w:sz w:val="24"/>
        </w:rPr>
        <w:t>These promising data require further exploration of task-shifting in low-income settings</w:t>
      </w:r>
      <w:r>
        <w:rPr>
          <w:sz w:val="24"/>
        </w:rPr>
        <w:t>. Scale-up of similar interventions across a wider range of health care settings, including</w:t>
      </w:r>
      <w:r w:rsidRPr="001B6C5B">
        <w:rPr>
          <w:sz w:val="24"/>
        </w:rPr>
        <w:t xml:space="preserve"> </w:t>
      </w:r>
      <w:r>
        <w:rPr>
          <w:sz w:val="24"/>
        </w:rPr>
        <w:t xml:space="preserve">both </w:t>
      </w:r>
      <w:r w:rsidRPr="001B6C5B">
        <w:rPr>
          <w:sz w:val="24"/>
        </w:rPr>
        <w:t>children and adults</w:t>
      </w:r>
      <w:r>
        <w:rPr>
          <w:sz w:val="24"/>
        </w:rPr>
        <w:t>,</w:t>
      </w:r>
      <w:r w:rsidRPr="001B6C5B">
        <w:rPr>
          <w:sz w:val="24"/>
        </w:rPr>
        <w:t xml:space="preserve"> </w:t>
      </w:r>
      <w:r>
        <w:rPr>
          <w:sz w:val="24"/>
        </w:rPr>
        <w:t xml:space="preserve">could present substantial benefits to asthmatic patients and their families; assessment of health economic and longer-term clinical outcomes are required. </w:t>
      </w:r>
    </w:p>
    <w:p w14:paraId="0351C7A5" w14:textId="77777777" w:rsidR="004A16AD" w:rsidRPr="001B6C5B" w:rsidRDefault="004A16AD" w:rsidP="00CA4637">
      <w:pPr>
        <w:spacing w:after="0" w:line="480" w:lineRule="auto"/>
        <w:rPr>
          <w:sz w:val="24"/>
        </w:rPr>
      </w:pPr>
      <w:r>
        <w:rPr>
          <w:sz w:val="24"/>
        </w:rPr>
        <w:t xml:space="preserve">Together we can, and must, do better: building networks of clinicians and researchers from across </w:t>
      </w:r>
      <w:proofErr w:type="spellStart"/>
      <w:r>
        <w:rPr>
          <w:sz w:val="24"/>
        </w:rPr>
        <w:t>sSA</w:t>
      </w:r>
      <w:proofErr w:type="spellEnd"/>
      <w:r>
        <w:rPr>
          <w:sz w:val="24"/>
        </w:rPr>
        <w:t xml:space="preserve"> is essential to raise asthma awareness among local communities, health care providers and policy makers, to deliver LMIC-relevant research to inform clinical guidelines, </w:t>
      </w:r>
      <w:r>
        <w:rPr>
          <w:sz w:val="24"/>
        </w:rPr>
        <w:lastRenderedPageBreak/>
        <w:t>and address the deplorable global disparities in access to inhaled medication.</w:t>
      </w:r>
      <w:r w:rsidRPr="00784288">
        <w:rPr>
          <w:noProof/>
          <w:sz w:val="24"/>
          <w:vertAlign w:val="superscript"/>
        </w:rPr>
        <w:t>29</w:t>
      </w:r>
      <w:r>
        <w:rPr>
          <w:sz w:val="24"/>
        </w:rPr>
        <w:t xml:space="preserve"> Effective asthma treatment should be available to all who need it, regardless of where they live.</w:t>
      </w:r>
      <w:r w:rsidRPr="00784288">
        <w:rPr>
          <w:noProof/>
          <w:sz w:val="24"/>
          <w:vertAlign w:val="superscript"/>
        </w:rPr>
        <w:t>30</w:t>
      </w:r>
      <w:r>
        <w:rPr>
          <w:sz w:val="24"/>
        </w:rPr>
        <w:t xml:space="preserve"> </w:t>
      </w:r>
    </w:p>
    <w:p w14:paraId="7364A95B" w14:textId="77777777" w:rsidR="004A16AD" w:rsidRDefault="004A16AD">
      <w:pPr>
        <w:rPr>
          <w:highlight w:val="yellow"/>
        </w:rPr>
      </w:pPr>
    </w:p>
    <w:p w14:paraId="77C1EC89" w14:textId="77777777" w:rsidR="004A16AD" w:rsidRDefault="004A16AD" w:rsidP="00CA4637">
      <w:pPr>
        <w:spacing w:after="0" w:line="240" w:lineRule="auto"/>
        <w:rPr>
          <w:rFonts w:cs="Arial"/>
          <w:color w:val="222222"/>
          <w:spacing w:val="3"/>
          <w:sz w:val="24"/>
          <w:szCs w:val="24"/>
          <w:shd w:val="clear" w:color="auto" w:fill="FFFFFF"/>
        </w:rPr>
      </w:pPr>
    </w:p>
    <w:p w14:paraId="659C4ADD" w14:textId="77777777" w:rsidR="004A16AD" w:rsidRPr="00A20DA8" w:rsidRDefault="004A16AD" w:rsidP="00CA4637">
      <w:pPr>
        <w:spacing w:after="0" w:line="480" w:lineRule="auto"/>
        <w:rPr>
          <w:rFonts w:cs="Arial"/>
          <w:b/>
          <w:bCs/>
          <w:color w:val="222222"/>
          <w:spacing w:val="3"/>
          <w:sz w:val="24"/>
          <w:szCs w:val="24"/>
          <w:shd w:val="clear" w:color="auto" w:fill="FFFFFF"/>
        </w:rPr>
      </w:pPr>
      <w:r w:rsidRPr="00A20DA8">
        <w:rPr>
          <w:rFonts w:cs="Arial"/>
          <w:b/>
          <w:bCs/>
          <w:color w:val="222222"/>
          <w:spacing w:val="3"/>
          <w:sz w:val="24"/>
          <w:szCs w:val="24"/>
          <w:shd w:val="clear" w:color="auto" w:fill="FFFFFF"/>
        </w:rPr>
        <w:t>A</w:t>
      </w:r>
      <w:r>
        <w:rPr>
          <w:rFonts w:cs="Arial"/>
          <w:b/>
          <w:bCs/>
          <w:color w:val="222222"/>
          <w:spacing w:val="3"/>
          <w:sz w:val="24"/>
          <w:szCs w:val="24"/>
          <w:shd w:val="clear" w:color="auto" w:fill="FFFFFF"/>
        </w:rPr>
        <w:t>CKNOWLEDGEMENTS</w:t>
      </w:r>
    </w:p>
    <w:p w14:paraId="37F0ED4E" w14:textId="77777777" w:rsidR="004A16AD" w:rsidRDefault="004A16AD" w:rsidP="00CA4637">
      <w:pPr>
        <w:spacing w:after="0" w:line="480" w:lineRule="auto"/>
        <w:rPr>
          <w:rFonts w:eastAsia="Times New Roman" w:cs="Arial"/>
          <w:bCs/>
          <w:sz w:val="24"/>
          <w:szCs w:val="24"/>
        </w:rPr>
      </w:pPr>
      <w:r w:rsidRPr="00A20DA8">
        <w:rPr>
          <w:rFonts w:eastAsia="Times New Roman" w:cs="Arial"/>
          <w:bCs/>
          <w:sz w:val="24"/>
          <w:szCs w:val="24"/>
        </w:rPr>
        <w:t xml:space="preserve">We would like to thank all the study participants and their families, the study team </w:t>
      </w:r>
      <w:r>
        <w:rPr>
          <w:rFonts w:eastAsia="Times New Roman" w:cs="Arial"/>
          <w:bCs/>
          <w:sz w:val="24"/>
          <w:szCs w:val="24"/>
        </w:rPr>
        <w:t>at Malawi-Liverpool-</w:t>
      </w:r>
      <w:proofErr w:type="spellStart"/>
      <w:r>
        <w:rPr>
          <w:rFonts w:eastAsia="Times New Roman" w:cs="Arial"/>
          <w:bCs/>
          <w:sz w:val="24"/>
          <w:szCs w:val="24"/>
        </w:rPr>
        <w:t>Wellcome</w:t>
      </w:r>
      <w:proofErr w:type="spellEnd"/>
      <w:r>
        <w:rPr>
          <w:rFonts w:eastAsia="Times New Roman" w:cs="Arial"/>
          <w:bCs/>
          <w:sz w:val="24"/>
          <w:szCs w:val="24"/>
        </w:rPr>
        <w:t xml:space="preserve"> Trust Clinical Research Programme, and members of the Data Safety and Monitoring Board.</w:t>
      </w:r>
    </w:p>
    <w:p w14:paraId="30CCAE31" w14:textId="77777777" w:rsidR="004A16AD" w:rsidRDefault="004A16AD" w:rsidP="00CA4637">
      <w:pPr>
        <w:spacing w:after="0" w:line="480" w:lineRule="auto"/>
        <w:rPr>
          <w:rFonts w:eastAsia="Times New Roman" w:cs="Arial"/>
          <w:bCs/>
          <w:sz w:val="24"/>
          <w:szCs w:val="24"/>
        </w:rPr>
      </w:pPr>
    </w:p>
    <w:p w14:paraId="37435402" w14:textId="77777777" w:rsidR="004A16AD" w:rsidRPr="002678EC" w:rsidRDefault="004A16AD" w:rsidP="00CA4637">
      <w:pPr>
        <w:spacing w:after="0" w:line="480" w:lineRule="auto"/>
        <w:rPr>
          <w:rFonts w:eastAsia="Times New Roman" w:cs="Arial"/>
          <w:b/>
          <w:sz w:val="24"/>
          <w:szCs w:val="24"/>
        </w:rPr>
      </w:pPr>
      <w:r w:rsidRPr="002678EC">
        <w:rPr>
          <w:rFonts w:eastAsia="Times New Roman" w:cs="Arial"/>
          <w:b/>
          <w:sz w:val="24"/>
          <w:szCs w:val="24"/>
        </w:rPr>
        <w:t>C</w:t>
      </w:r>
      <w:r>
        <w:rPr>
          <w:rFonts w:eastAsia="Times New Roman" w:cs="Arial"/>
          <w:b/>
          <w:sz w:val="24"/>
          <w:szCs w:val="24"/>
        </w:rPr>
        <w:t>OMPETING INTERESTS</w:t>
      </w:r>
    </w:p>
    <w:p w14:paraId="2CFAB223" w14:textId="77777777" w:rsidR="004A16AD" w:rsidRDefault="004A16AD" w:rsidP="00CA4637">
      <w:pPr>
        <w:spacing w:after="0" w:line="480" w:lineRule="auto"/>
        <w:rPr>
          <w:rFonts w:eastAsia="Times New Roman" w:cs="Arial"/>
          <w:bCs/>
          <w:sz w:val="24"/>
          <w:szCs w:val="24"/>
        </w:rPr>
      </w:pPr>
      <w:r>
        <w:rPr>
          <w:rFonts w:eastAsia="Times New Roman" w:cs="Arial"/>
          <w:bCs/>
          <w:sz w:val="24"/>
          <w:szCs w:val="24"/>
        </w:rPr>
        <w:t>None declared</w:t>
      </w:r>
    </w:p>
    <w:p w14:paraId="2890A14A" w14:textId="77777777" w:rsidR="004A16AD" w:rsidRPr="00A20DA8" w:rsidRDefault="004A16AD" w:rsidP="00CA4637">
      <w:pPr>
        <w:spacing w:after="0" w:line="480" w:lineRule="auto"/>
        <w:rPr>
          <w:rFonts w:eastAsia="Times New Roman" w:cs="Arial"/>
          <w:bCs/>
          <w:sz w:val="24"/>
          <w:szCs w:val="24"/>
        </w:rPr>
      </w:pPr>
    </w:p>
    <w:p w14:paraId="4F884CAE" w14:textId="77777777" w:rsidR="004A16AD" w:rsidRDefault="004A16AD" w:rsidP="00CA4637">
      <w:pPr>
        <w:spacing w:after="0" w:line="480" w:lineRule="auto"/>
        <w:rPr>
          <w:rFonts w:eastAsia="Arial Unicode MS" w:cs="Arial"/>
          <w:b/>
          <w:bCs/>
          <w:color w:val="000000" w:themeColor="text1"/>
          <w:sz w:val="24"/>
          <w:szCs w:val="24"/>
          <w:lang w:val="en-US"/>
        </w:rPr>
      </w:pPr>
      <w:r>
        <w:rPr>
          <w:rFonts w:eastAsia="Arial Unicode MS" w:cs="Arial"/>
          <w:b/>
          <w:bCs/>
          <w:color w:val="000000" w:themeColor="text1"/>
          <w:sz w:val="24"/>
          <w:szCs w:val="24"/>
          <w:lang w:val="en-US"/>
        </w:rPr>
        <w:t>FUNDING</w:t>
      </w:r>
    </w:p>
    <w:p w14:paraId="3AF27CEA" w14:textId="77777777" w:rsidR="004A16AD" w:rsidRDefault="004A16AD" w:rsidP="00CA4637">
      <w:pPr>
        <w:spacing w:after="0" w:line="480" w:lineRule="auto"/>
        <w:rPr>
          <w:rFonts w:cs="Arial"/>
          <w:color w:val="222222"/>
          <w:spacing w:val="3"/>
          <w:sz w:val="24"/>
          <w:szCs w:val="24"/>
          <w:shd w:val="clear" w:color="auto" w:fill="FFFFFF"/>
        </w:rPr>
      </w:pPr>
      <w:r w:rsidRPr="00584A83">
        <w:rPr>
          <w:rFonts w:eastAsia="Times New Roman" w:cs="Arial"/>
          <w:color w:val="000000" w:themeColor="text1"/>
          <w:sz w:val="24"/>
          <w:szCs w:val="24"/>
        </w:rPr>
        <w:t>This work was funded by the Medical Research Council Doctoral Training Programme at the Liverpool School of Tropical Medicine and University of Lancaster (Ref:</w:t>
      </w:r>
      <w:r w:rsidRPr="00584A83">
        <w:rPr>
          <w:rFonts w:eastAsia="Calibri" w:cs="Arial"/>
          <w:sz w:val="24"/>
          <w:szCs w:val="24"/>
        </w:rPr>
        <w:t xml:space="preserve"> MR/N013514/1</w:t>
      </w:r>
      <w:r w:rsidRPr="00584A83">
        <w:rPr>
          <w:rFonts w:eastAsia="Times New Roman" w:cs="Arial"/>
          <w:color w:val="000000" w:themeColor="text1"/>
          <w:sz w:val="24"/>
          <w:szCs w:val="24"/>
        </w:rPr>
        <w:t>)</w:t>
      </w:r>
      <w:r>
        <w:rPr>
          <w:rFonts w:eastAsia="Times New Roman" w:cs="Arial"/>
          <w:color w:val="000000" w:themeColor="text1"/>
          <w:sz w:val="24"/>
          <w:szCs w:val="24"/>
        </w:rPr>
        <w:t>, with additional</w:t>
      </w:r>
      <w:r>
        <w:rPr>
          <w:rFonts w:eastAsia="Times New Roman" w:cs="Arial"/>
          <w:b/>
          <w:sz w:val="24"/>
          <w:szCs w:val="24"/>
        </w:rPr>
        <w:t xml:space="preserve"> </w:t>
      </w:r>
      <w:r w:rsidRPr="00584A83">
        <w:rPr>
          <w:rFonts w:cs="Arial"/>
          <w:color w:val="000000" w:themeColor="text1"/>
          <w:sz w:val="24"/>
          <w:szCs w:val="24"/>
        </w:rPr>
        <w:t xml:space="preserve">support provided by </w:t>
      </w:r>
      <w:r w:rsidRPr="00584A83">
        <w:rPr>
          <w:rFonts w:cs="Arial"/>
          <w:color w:val="222222"/>
          <w:spacing w:val="3"/>
          <w:sz w:val="24"/>
          <w:szCs w:val="24"/>
          <w:shd w:val="clear" w:color="auto" w:fill="FFFFFF"/>
        </w:rPr>
        <w:t>the NIHR Global Health Research Unit on Lung Health and TB in Africa at LSTM - “IMPALA”. In relation to IMPALA (grant number 16/136/35) specifically: IMPALA was commissioned by the National Institute of Health Research using Official Development Assistance (ODA) funding. The views expressed in this publication are those of the author(s) and not necessarily those of the National Institute for Health Research or the Department of Health.</w:t>
      </w:r>
    </w:p>
    <w:p w14:paraId="03AEDE59" w14:textId="77777777" w:rsidR="004A16AD" w:rsidRDefault="004A16AD" w:rsidP="00CA4637">
      <w:pPr>
        <w:spacing w:after="0" w:line="240" w:lineRule="auto"/>
        <w:rPr>
          <w:rFonts w:cs="Arial"/>
          <w:color w:val="222222"/>
          <w:spacing w:val="3"/>
          <w:sz w:val="24"/>
          <w:szCs w:val="24"/>
          <w:shd w:val="clear" w:color="auto" w:fill="FFFFFF"/>
        </w:rPr>
      </w:pPr>
    </w:p>
    <w:p w14:paraId="6694BECB" w14:textId="77777777" w:rsidR="004A16AD" w:rsidRDefault="004A16AD">
      <w:pPr>
        <w:rPr>
          <w:rFonts w:cs="Arial"/>
          <w:b/>
          <w:bCs/>
          <w:color w:val="222222"/>
          <w:spacing w:val="3"/>
          <w:sz w:val="24"/>
          <w:szCs w:val="24"/>
          <w:shd w:val="clear" w:color="auto" w:fill="FFFFFF"/>
        </w:rPr>
      </w:pPr>
      <w:r>
        <w:rPr>
          <w:rFonts w:cs="Arial"/>
          <w:b/>
          <w:bCs/>
          <w:color w:val="222222"/>
          <w:spacing w:val="3"/>
          <w:sz w:val="24"/>
          <w:szCs w:val="24"/>
          <w:shd w:val="clear" w:color="auto" w:fill="FFFFFF"/>
        </w:rPr>
        <w:br w:type="page"/>
      </w:r>
    </w:p>
    <w:p w14:paraId="73685001" w14:textId="77777777" w:rsidR="004A16AD" w:rsidRPr="003A6454" w:rsidRDefault="004A16AD" w:rsidP="00CA4637">
      <w:pPr>
        <w:spacing w:after="0" w:line="240" w:lineRule="auto"/>
        <w:rPr>
          <w:rFonts w:cs="Arial"/>
          <w:b/>
          <w:bCs/>
          <w:color w:val="222222"/>
          <w:spacing w:val="3"/>
          <w:sz w:val="24"/>
          <w:szCs w:val="24"/>
          <w:shd w:val="clear" w:color="auto" w:fill="FFFFFF"/>
        </w:rPr>
      </w:pPr>
      <w:r w:rsidRPr="003A6454">
        <w:rPr>
          <w:rFonts w:cs="Arial"/>
          <w:b/>
          <w:bCs/>
          <w:color w:val="222222"/>
          <w:spacing w:val="3"/>
          <w:sz w:val="24"/>
          <w:szCs w:val="24"/>
          <w:shd w:val="clear" w:color="auto" w:fill="FFFFFF"/>
        </w:rPr>
        <w:lastRenderedPageBreak/>
        <w:t>FIGURE LEGENDS</w:t>
      </w:r>
    </w:p>
    <w:p w14:paraId="03D2238A" w14:textId="77777777" w:rsidR="004A16AD" w:rsidRDefault="004A16AD" w:rsidP="00CA4637">
      <w:pPr>
        <w:spacing w:after="80" w:line="240" w:lineRule="auto"/>
        <w:rPr>
          <w:rFonts w:cstheme="minorHAnsi"/>
          <w:color w:val="000000" w:themeColor="text1"/>
          <w:sz w:val="24"/>
          <w:szCs w:val="24"/>
        </w:rPr>
      </w:pPr>
      <w:r w:rsidRPr="00CE379F">
        <w:rPr>
          <w:rFonts w:cstheme="minorHAnsi"/>
          <w:b/>
          <w:bCs/>
          <w:color w:val="222222"/>
          <w:spacing w:val="3"/>
          <w:sz w:val="24"/>
          <w:szCs w:val="24"/>
          <w:shd w:val="clear" w:color="auto" w:fill="FFFFFF"/>
        </w:rPr>
        <w:t>Figure 1.</w:t>
      </w:r>
      <w:r w:rsidRPr="00CE379F">
        <w:rPr>
          <w:rFonts w:cstheme="minorHAnsi"/>
          <w:color w:val="222222"/>
          <w:spacing w:val="3"/>
          <w:sz w:val="24"/>
          <w:szCs w:val="24"/>
          <w:shd w:val="clear" w:color="auto" w:fill="FFFFFF"/>
        </w:rPr>
        <w:t xml:space="preserve"> </w:t>
      </w:r>
      <w:r w:rsidRPr="00CE379F">
        <w:rPr>
          <w:rFonts w:cstheme="minorHAnsi"/>
          <w:color w:val="000000" w:themeColor="text1"/>
          <w:sz w:val="24"/>
          <w:szCs w:val="24"/>
        </w:rPr>
        <w:t>CONSORT flow diagram</w:t>
      </w:r>
    </w:p>
    <w:p w14:paraId="2FAA0B46" w14:textId="77777777" w:rsidR="004A16AD" w:rsidRDefault="004A16AD" w:rsidP="00CA4637">
      <w:pPr>
        <w:spacing w:after="80" w:line="240" w:lineRule="auto"/>
        <w:rPr>
          <w:rFonts w:cstheme="minorHAnsi"/>
          <w:color w:val="000000" w:themeColor="text1"/>
          <w:sz w:val="24"/>
          <w:szCs w:val="24"/>
        </w:rPr>
      </w:pPr>
    </w:p>
    <w:p w14:paraId="297F415E" w14:textId="77777777" w:rsidR="004A16AD" w:rsidRPr="00CE379F" w:rsidRDefault="004A16AD" w:rsidP="00CA4637">
      <w:pPr>
        <w:spacing w:after="80" w:line="240" w:lineRule="auto"/>
        <w:rPr>
          <w:rFonts w:cstheme="minorHAnsi"/>
          <w:color w:val="000000" w:themeColor="text1"/>
          <w:sz w:val="24"/>
          <w:szCs w:val="24"/>
        </w:rPr>
      </w:pPr>
      <w:r w:rsidRPr="00CE379F">
        <w:rPr>
          <w:rFonts w:cstheme="minorHAnsi"/>
          <w:b/>
          <w:bCs/>
          <w:color w:val="000000" w:themeColor="text1"/>
          <w:sz w:val="24"/>
          <w:szCs w:val="24"/>
        </w:rPr>
        <w:t>Figure 2.</w:t>
      </w:r>
      <w:r w:rsidRPr="00CE379F">
        <w:rPr>
          <w:rFonts w:cstheme="minorHAnsi"/>
          <w:color w:val="000000" w:themeColor="text1"/>
          <w:sz w:val="24"/>
          <w:szCs w:val="24"/>
        </w:rPr>
        <w:t xml:space="preserve"> Comparison of GINA categories at baseline (n=120) </w:t>
      </w:r>
      <w:r w:rsidRPr="00787395">
        <w:rPr>
          <w:rFonts w:cstheme="minorHAnsi"/>
          <w:i/>
          <w:iCs/>
          <w:color w:val="000000" w:themeColor="text1"/>
          <w:sz w:val="24"/>
          <w:szCs w:val="24"/>
        </w:rPr>
        <w:t>(left)</w:t>
      </w:r>
      <w:r w:rsidRPr="00CE379F">
        <w:rPr>
          <w:rFonts w:cstheme="minorHAnsi"/>
          <w:color w:val="000000" w:themeColor="text1"/>
          <w:sz w:val="24"/>
          <w:szCs w:val="24"/>
        </w:rPr>
        <w:t xml:space="preserve"> and at 3-month follow-up (n=114) </w:t>
      </w:r>
      <w:r w:rsidRPr="00787395">
        <w:rPr>
          <w:rFonts w:cstheme="minorHAnsi"/>
          <w:i/>
          <w:iCs/>
          <w:color w:val="000000" w:themeColor="text1"/>
          <w:sz w:val="24"/>
          <w:szCs w:val="24"/>
        </w:rPr>
        <w:t>(right)</w:t>
      </w:r>
    </w:p>
    <w:p w14:paraId="11FB6AD3" w14:textId="77777777" w:rsidR="004A16AD" w:rsidRPr="00CE379F" w:rsidRDefault="004A16AD" w:rsidP="00CA4637">
      <w:pPr>
        <w:spacing w:line="360" w:lineRule="auto"/>
        <w:rPr>
          <w:rFonts w:cstheme="minorHAnsi"/>
          <w:sz w:val="24"/>
          <w:szCs w:val="24"/>
        </w:rPr>
      </w:pPr>
      <w:r w:rsidRPr="00CE379F">
        <w:rPr>
          <w:rFonts w:cstheme="minorHAnsi"/>
          <w:sz w:val="24"/>
          <w:szCs w:val="24"/>
        </w:rPr>
        <w:t>Standard care is shown in dark grey and intervention in light grey.</w:t>
      </w:r>
    </w:p>
    <w:p w14:paraId="753DD28D" w14:textId="77777777" w:rsidR="004A16AD" w:rsidRPr="00CE379F" w:rsidRDefault="004A16AD" w:rsidP="00CA4637">
      <w:pPr>
        <w:spacing w:line="360" w:lineRule="auto"/>
        <w:rPr>
          <w:rFonts w:cstheme="minorHAnsi"/>
          <w:sz w:val="24"/>
          <w:szCs w:val="24"/>
        </w:rPr>
      </w:pPr>
      <w:r w:rsidRPr="00CE379F">
        <w:rPr>
          <w:rFonts w:cstheme="minorHAnsi"/>
          <w:b/>
          <w:bCs/>
          <w:sz w:val="24"/>
          <w:szCs w:val="24"/>
        </w:rPr>
        <w:t>Figure 3.</w:t>
      </w:r>
      <w:r w:rsidRPr="00CE379F">
        <w:rPr>
          <w:rFonts w:cstheme="minorHAnsi"/>
          <w:sz w:val="24"/>
          <w:szCs w:val="24"/>
        </w:rPr>
        <w:t xml:space="preserve"> Distribution of percentage predicted FEV</w:t>
      </w:r>
      <w:r w:rsidRPr="00CE379F">
        <w:rPr>
          <w:rFonts w:cstheme="minorHAnsi"/>
          <w:sz w:val="24"/>
          <w:szCs w:val="24"/>
          <w:vertAlign w:val="subscript"/>
        </w:rPr>
        <w:t>1</w:t>
      </w:r>
      <w:r w:rsidRPr="00CE379F">
        <w:rPr>
          <w:rFonts w:cstheme="minorHAnsi"/>
          <w:sz w:val="24"/>
          <w:szCs w:val="24"/>
        </w:rPr>
        <w:t xml:space="preserve"> measurements at 3-months (n=99)</w:t>
      </w:r>
    </w:p>
    <w:p w14:paraId="5FC36A60" w14:textId="77777777" w:rsidR="004A16AD" w:rsidRPr="00CE379F" w:rsidRDefault="004A16AD" w:rsidP="00CA4637">
      <w:pPr>
        <w:spacing w:after="80" w:line="240" w:lineRule="auto"/>
        <w:rPr>
          <w:rFonts w:cstheme="minorHAnsi"/>
          <w:color w:val="000000" w:themeColor="text1"/>
          <w:sz w:val="24"/>
          <w:szCs w:val="24"/>
        </w:rPr>
      </w:pPr>
      <w:r w:rsidRPr="00CE379F">
        <w:rPr>
          <w:rFonts w:cstheme="minorHAnsi"/>
          <w:b/>
          <w:bCs/>
          <w:color w:val="000000" w:themeColor="text1"/>
          <w:sz w:val="24"/>
          <w:szCs w:val="24"/>
        </w:rPr>
        <w:t>Figure 4.</w:t>
      </w:r>
      <w:r w:rsidRPr="00CE379F">
        <w:rPr>
          <w:rFonts w:cstheme="minorHAnsi"/>
          <w:color w:val="000000" w:themeColor="text1"/>
          <w:sz w:val="24"/>
          <w:szCs w:val="24"/>
        </w:rPr>
        <w:t xml:space="preserve"> Distribution of </w:t>
      </w:r>
      <w:proofErr w:type="spellStart"/>
      <w:r w:rsidRPr="00CE379F">
        <w:rPr>
          <w:rFonts w:cstheme="minorHAnsi"/>
          <w:color w:val="000000" w:themeColor="text1"/>
          <w:sz w:val="24"/>
          <w:szCs w:val="24"/>
        </w:rPr>
        <w:t>FeNO</w:t>
      </w:r>
      <w:proofErr w:type="spellEnd"/>
      <w:r w:rsidRPr="00CE379F">
        <w:rPr>
          <w:rFonts w:cstheme="minorHAnsi"/>
          <w:color w:val="000000" w:themeColor="text1"/>
          <w:sz w:val="24"/>
          <w:szCs w:val="24"/>
        </w:rPr>
        <w:t xml:space="preserve"> levels measured at 3-months (n=112)</w:t>
      </w:r>
    </w:p>
    <w:p w14:paraId="66D4C827" w14:textId="77777777" w:rsidR="004A16AD" w:rsidRPr="00CE379F" w:rsidRDefault="004A16AD" w:rsidP="00CA4637">
      <w:pPr>
        <w:spacing w:line="360" w:lineRule="auto"/>
        <w:rPr>
          <w:rFonts w:cstheme="minorHAnsi"/>
          <w:sz w:val="24"/>
          <w:szCs w:val="24"/>
        </w:rPr>
      </w:pPr>
      <w:r w:rsidRPr="00CE379F">
        <w:rPr>
          <w:rFonts w:cstheme="minorHAnsi"/>
          <w:sz w:val="24"/>
          <w:szCs w:val="24"/>
        </w:rPr>
        <w:t xml:space="preserve">Dashed line shows threshold for high </w:t>
      </w:r>
      <w:proofErr w:type="spellStart"/>
      <w:r w:rsidRPr="00CE379F">
        <w:rPr>
          <w:rFonts w:cstheme="minorHAnsi"/>
          <w:sz w:val="24"/>
          <w:szCs w:val="24"/>
        </w:rPr>
        <w:t>FeNO</w:t>
      </w:r>
      <w:proofErr w:type="spellEnd"/>
      <w:r w:rsidRPr="00CE379F">
        <w:rPr>
          <w:rFonts w:cstheme="minorHAnsi"/>
          <w:sz w:val="24"/>
          <w:szCs w:val="24"/>
        </w:rPr>
        <w:t xml:space="preserve"> (&gt;35ppb) </w:t>
      </w:r>
    </w:p>
    <w:p w14:paraId="0C0F73DC" w14:textId="77777777" w:rsidR="004A16AD" w:rsidRPr="001B6C5B" w:rsidRDefault="004A16AD" w:rsidP="00CA4637">
      <w:pPr>
        <w:spacing w:line="360" w:lineRule="auto"/>
      </w:pPr>
    </w:p>
    <w:p w14:paraId="47DC83C8" w14:textId="77777777" w:rsidR="004A16AD" w:rsidRDefault="004A16AD" w:rsidP="00CA4637">
      <w:pPr>
        <w:spacing w:after="0" w:line="240" w:lineRule="auto"/>
        <w:rPr>
          <w:rFonts w:cs="Arial"/>
          <w:color w:val="222222"/>
          <w:spacing w:val="3"/>
          <w:sz w:val="24"/>
          <w:szCs w:val="24"/>
          <w:shd w:val="clear" w:color="auto" w:fill="FFFFFF"/>
        </w:rPr>
      </w:pPr>
    </w:p>
    <w:p w14:paraId="71B866B8" w14:textId="77777777" w:rsidR="004A16AD" w:rsidRDefault="004A16AD" w:rsidP="00CA4637">
      <w:pPr>
        <w:spacing w:after="0" w:line="240" w:lineRule="auto"/>
        <w:rPr>
          <w:rFonts w:cs="Arial"/>
          <w:color w:val="222222"/>
          <w:spacing w:val="3"/>
          <w:sz w:val="24"/>
          <w:szCs w:val="24"/>
          <w:shd w:val="clear" w:color="auto" w:fill="FFFFFF"/>
        </w:rPr>
      </w:pPr>
    </w:p>
    <w:p w14:paraId="4A49A398" w14:textId="77777777" w:rsidR="004A16AD" w:rsidRPr="003A6454" w:rsidRDefault="004A16AD">
      <w:pPr>
        <w:rPr>
          <w:b/>
          <w:bCs/>
        </w:rPr>
      </w:pPr>
      <w:r w:rsidRPr="003A6454">
        <w:rPr>
          <w:b/>
          <w:bCs/>
        </w:rPr>
        <w:t>ONLINE SUPPLEMENTARY MATERIALS</w:t>
      </w:r>
    </w:p>
    <w:p w14:paraId="0615D6B7" w14:textId="77777777" w:rsidR="004A16AD" w:rsidRPr="00C24821" w:rsidRDefault="004A16AD" w:rsidP="00CA4637">
      <w:pPr>
        <w:spacing w:line="360" w:lineRule="auto"/>
        <w:rPr>
          <w:rFonts w:cstheme="minorHAnsi"/>
          <w:bCs/>
          <w:sz w:val="24"/>
          <w:szCs w:val="24"/>
        </w:rPr>
      </w:pPr>
      <w:r>
        <w:rPr>
          <w:rFonts w:cstheme="minorHAnsi"/>
          <w:b/>
          <w:bCs/>
          <w:sz w:val="24"/>
          <w:szCs w:val="24"/>
        </w:rPr>
        <w:t xml:space="preserve">Text S1. </w:t>
      </w:r>
      <w:r w:rsidRPr="00C24821">
        <w:rPr>
          <w:bCs/>
          <w:iCs/>
          <w:sz w:val="24"/>
          <w:szCs w:val="24"/>
        </w:rPr>
        <w:t>Asthma education intervention</w:t>
      </w:r>
    </w:p>
    <w:p w14:paraId="0EDACB74" w14:textId="77777777" w:rsidR="004A16AD" w:rsidRPr="00D07752" w:rsidRDefault="004A16AD" w:rsidP="00CA4637">
      <w:pPr>
        <w:spacing w:line="360" w:lineRule="auto"/>
        <w:rPr>
          <w:rFonts w:cstheme="minorHAnsi"/>
          <w:sz w:val="24"/>
          <w:szCs w:val="24"/>
        </w:rPr>
      </w:pPr>
      <w:r w:rsidRPr="00D07752">
        <w:rPr>
          <w:rFonts w:cstheme="minorHAnsi"/>
          <w:b/>
          <w:bCs/>
          <w:sz w:val="24"/>
          <w:szCs w:val="24"/>
        </w:rPr>
        <w:t>Table S1.</w:t>
      </w:r>
      <w:r w:rsidRPr="00D07752">
        <w:rPr>
          <w:rFonts w:cstheme="minorHAnsi"/>
          <w:sz w:val="24"/>
          <w:szCs w:val="24"/>
        </w:rPr>
        <w:t xml:space="preserve"> Pre-study asthma training for lay educators</w:t>
      </w:r>
    </w:p>
    <w:p w14:paraId="7ABBD19E" w14:textId="77777777" w:rsidR="004A16AD" w:rsidRPr="00D07752" w:rsidRDefault="004A16AD" w:rsidP="00CA4637">
      <w:pPr>
        <w:spacing w:line="360" w:lineRule="auto"/>
        <w:rPr>
          <w:rFonts w:cstheme="minorHAnsi"/>
          <w:sz w:val="24"/>
          <w:szCs w:val="24"/>
        </w:rPr>
      </w:pPr>
      <w:r w:rsidRPr="00D07752">
        <w:rPr>
          <w:rFonts w:cstheme="minorHAnsi"/>
          <w:b/>
          <w:bCs/>
          <w:sz w:val="24"/>
          <w:szCs w:val="24"/>
        </w:rPr>
        <w:t>Table S2.</w:t>
      </w:r>
      <w:r w:rsidRPr="00D07752">
        <w:rPr>
          <w:rFonts w:cstheme="minorHAnsi"/>
          <w:sz w:val="24"/>
          <w:szCs w:val="24"/>
        </w:rPr>
        <w:t xml:space="preserve"> Asthma education checklist</w:t>
      </w:r>
    </w:p>
    <w:p w14:paraId="1265883F" w14:textId="77777777" w:rsidR="004A16AD" w:rsidRPr="00D07752" w:rsidRDefault="004A16AD" w:rsidP="00CA4637">
      <w:pPr>
        <w:spacing w:line="360" w:lineRule="auto"/>
        <w:rPr>
          <w:rFonts w:cstheme="minorHAnsi"/>
          <w:sz w:val="24"/>
          <w:szCs w:val="24"/>
        </w:rPr>
      </w:pPr>
      <w:r w:rsidRPr="00D07752">
        <w:rPr>
          <w:rFonts w:cstheme="minorHAnsi"/>
          <w:b/>
          <w:bCs/>
          <w:sz w:val="24"/>
          <w:szCs w:val="24"/>
        </w:rPr>
        <w:t>Table S3.</w:t>
      </w:r>
      <w:r w:rsidRPr="00D07752">
        <w:rPr>
          <w:rFonts w:cstheme="minorHAnsi"/>
          <w:sz w:val="24"/>
          <w:szCs w:val="24"/>
        </w:rPr>
        <w:t xml:space="preserve"> Baseline responses to </w:t>
      </w:r>
      <w:proofErr w:type="spellStart"/>
      <w:r w:rsidRPr="00D07752">
        <w:rPr>
          <w:rFonts w:cstheme="minorHAnsi"/>
          <w:sz w:val="24"/>
          <w:szCs w:val="24"/>
        </w:rPr>
        <w:t>cACT</w:t>
      </w:r>
      <w:proofErr w:type="spellEnd"/>
      <w:r w:rsidRPr="00D07752">
        <w:rPr>
          <w:rFonts w:cstheme="minorHAnsi"/>
          <w:sz w:val="24"/>
          <w:szCs w:val="24"/>
        </w:rPr>
        <w:t xml:space="preserve"> questionnaire from participants and carers.</w:t>
      </w:r>
    </w:p>
    <w:p w14:paraId="5C289773" w14:textId="77777777" w:rsidR="004A16AD" w:rsidRPr="00D07752" w:rsidRDefault="004A16AD" w:rsidP="00CA4637">
      <w:pPr>
        <w:spacing w:after="80" w:line="240" w:lineRule="auto"/>
        <w:rPr>
          <w:rFonts w:eastAsia="Arial Unicode MS" w:cstheme="minorHAnsi"/>
          <w:color w:val="000000" w:themeColor="text1"/>
          <w:sz w:val="24"/>
          <w:szCs w:val="24"/>
          <w:lang w:val="en-US"/>
        </w:rPr>
      </w:pPr>
      <w:r w:rsidRPr="00D07752">
        <w:rPr>
          <w:rFonts w:cstheme="minorHAnsi"/>
          <w:b/>
          <w:bCs/>
          <w:color w:val="000000" w:themeColor="text1"/>
          <w:sz w:val="24"/>
          <w:szCs w:val="24"/>
        </w:rPr>
        <w:t>Table S4.</w:t>
      </w:r>
      <w:r w:rsidRPr="00D07752">
        <w:rPr>
          <w:rFonts w:cstheme="minorHAnsi"/>
          <w:color w:val="000000" w:themeColor="text1"/>
          <w:sz w:val="24"/>
          <w:szCs w:val="24"/>
        </w:rPr>
        <w:t xml:space="preserve"> </w:t>
      </w:r>
      <w:r w:rsidRPr="00D07752">
        <w:rPr>
          <w:rFonts w:eastAsia="Arial Unicode MS" w:cstheme="minorHAnsi"/>
          <w:color w:val="000000" w:themeColor="text1"/>
          <w:sz w:val="24"/>
          <w:szCs w:val="24"/>
          <w:lang w:val="en-US"/>
        </w:rPr>
        <w:t>Comparison of those with and without spirometry data at 3-month follow-up</w:t>
      </w:r>
    </w:p>
    <w:p w14:paraId="1C470A52" w14:textId="77777777" w:rsidR="004A16AD" w:rsidRPr="004429F5" w:rsidRDefault="004A16AD" w:rsidP="00CA4637">
      <w:pPr>
        <w:spacing w:line="360" w:lineRule="auto"/>
        <w:rPr>
          <w:rFonts w:asciiTheme="majorHAnsi" w:hAnsiTheme="majorHAnsi"/>
          <w:b/>
          <w:bCs/>
        </w:rPr>
      </w:pPr>
    </w:p>
    <w:p w14:paraId="6C63A2B6" w14:textId="77777777" w:rsidR="004A16AD" w:rsidRPr="004429F5" w:rsidRDefault="004A16AD" w:rsidP="00CA4637">
      <w:pPr>
        <w:spacing w:line="360" w:lineRule="auto"/>
        <w:rPr>
          <w:rFonts w:asciiTheme="majorHAnsi" w:hAnsiTheme="majorHAnsi"/>
          <w:b/>
          <w:bCs/>
        </w:rPr>
      </w:pPr>
    </w:p>
    <w:p w14:paraId="4565FF6D" w14:textId="77777777" w:rsidR="004A16AD" w:rsidRDefault="004A16AD">
      <w:r>
        <w:br w:type="page"/>
      </w:r>
    </w:p>
    <w:p w14:paraId="7504D43B" w14:textId="77777777" w:rsidR="004A16AD" w:rsidRPr="004429F5" w:rsidRDefault="004A16AD" w:rsidP="00CA4637">
      <w:pPr>
        <w:pStyle w:val="ThoraxHead1"/>
      </w:pPr>
      <w:r w:rsidRPr="004429F5">
        <w:lastRenderedPageBreak/>
        <w:t>R</w:t>
      </w:r>
      <w:r>
        <w:t>EFERENCES</w:t>
      </w:r>
    </w:p>
    <w:p w14:paraId="554EE141" w14:textId="77777777" w:rsidR="004A16AD" w:rsidRPr="005A1C24" w:rsidRDefault="004A16AD" w:rsidP="00CA4637">
      <w:pPr>
        <w:pStyle w:val="EndNoteBibliography"/>
        <w:spacing w:after="0"/>
        <w:ind w:left="720" w:hanging="720"/>
      </w:pPr>
      <w:bookmarkStart w:id="20" w:name="_Hlk55208364"/>
      <w:r w:rsidRPr="005A1C24">
        <w:t xml:space="preserve">1. Asher I, Pearce N. Global burden of asthma among children. </w:t>
      </w:r>
      <w:r w:rsidRPr="005A1C24">
        <w:rPr>
          <w:i/>
        </w:rPr>
        <w:t>Int J Tuberc Lung Dis</w:t>
      </w:r>
      <w:r w:rsidRPr="005A1C24">
        <w:t xml:space="preserve"> 2014;18(11):1269-78. doi: 10.5588/ijtld.14.0170</w:t>
      </w:r>
    </w:p>
    <w:p w14:paraId="4E246456" w14:textId="77777777" w:rsidR="004A16AD" w:rsidRPr="005A1C24" w:rsidRDefault="004A16AD" w:rsidP="00CA4637">
      <w:pPr>
        <w:pStyle w:val="EndNoteBibliography"/>
        <w:spacing w:after="0"/>
        <w:ind w:left="720" w:hanging="720"/>
      </w:pPr>
      <w:r w:rsidRPr="005A1C24">
        <w:t>2. Global Asthma Network. The Global Asthma Report 2018. Auckland, New Zealand., 2018.</w:t>
      </w:r>
    </w:p>
    <w:p w14:paraId="652A1C65" w14:textId="77777777" w:rsidR="004A16AD" w:rsidRPr="005A1C24" w:rsidRDefault="004A16AD" w:rsidP="00CA4637">
      <w:pPr>
        <w:pStyle w:val="EndNoteBibliography"/>
        <w:spacing w:after="0"/>
        <w:ind w:left="720" w:hanging="720"/>
      </w:pPr>
      <w:r w:rsidRPr="005A1C24">
        <w:t xml:space="preserve">3. Kirenga BJ, de Jong C, Mugenyi L, et al. Rates of asthma exacerbations and mortality and associated factors in Uganda: a 2-year prospective cohort study. </w:t>
      </w:r>
      <w:r w:rsidRPr="005A1C24">
        <w:rPr>
          <w:i/>
        </w:rPr>
        <w:t>Thorax</w:t>
      </w:r>
      <w:r w:rsidRPr="005A1C24">
        <w:t xml:space="preserve"> 2018;73(10):983-85. doi: 10.1136/thoraxjnl-2017-211157 [published Online First: 2018/05/13]</w:t>
      </w:r>
    </w:p>
    <w:p w14:paraId="1B9030C6" w14:textId="77777777" w:rsidR="004A16AD" w:rsidRPr="005A1C24" w:rsidRDefault="004A16AD" w:rsidP="00CA4637">
      <w:pPr>
        <w:pStyle w:val="EndNoteBibliography"/>
        <w:spacing w:after="0"/>
        <w:ind w:left="720" w:hanging="720"/>
      </w:pPr>
      <w:r w:rsidRPr="005A1C24">
        <w:t xml:space="preserve">4. Ozoh OB, Okubadejo NU, Chukwu CC, et al. The ACT and the ATAQ are useful surrogates for asthma control in resource-poor countries with inadequate spirometric facilities. </w:t>
      </w:r>
      <w:r w:rsidRPr="005A1C24">
        <w:rPr>
          <w:i/>
        </w:rPr>
        <w:t>J Asthma</w:t>
      </w:r>
      <w:r w:rsidRPr="005A1C24">
        <w:t xml:space="preserve"> 2012;49(10):1086-91. doi: 10.3109/02770903.2012.729632</w:t>
      </w:r>
    </w:p>
    <w:p w14:paraId="05ABECDB" w14:textId="77777777" w:rsidR="004A16AD" w:rsidRPr="005A1C24" w:rsidRDefault="004A16AD" w:rsidP="00CA4637">
      <w:pPr>
        <w:pStyle w:val="EndNoteBibliography"/>
        <w:spacing w:after="0"/>
        <w:ind w:left="720" w:hanging="720"/>
      </w:pPr>
      <w:r w:rsidRPr="005A1C24">
        <w:t xml:space="preserve">5. Lai CK, Beasley R, Crane J, et al. Global variation in the prevalence and severity of asthma symptoms: phase three of the International Study of Asthma and Allergies in Childhood (ISAAC). </w:t>
      </w:r>
      <w:r w:rsidRPr="005A1C24">
        <w:rPr>
          <w:i/>
        </w:rPr>
        <w:t>Thorax</w:t>
      </w:r>
      <w:r w:rsidRPr="005A1C24">
        <w:t xml:space="preserve"> 2009;64(6):476-83. doi: 10.1136/thx.2008.106609</w:t>
      </w:r>
    </w:p>
    <w:p w14:paraId="2FAA47A1" w14:textId="77777777" w:rsidR="004A16AD" w:rsidRPr="005A1C24" w:rsidRDefault="004A16AD" w:rsidP="00CA4637">
      <w:pPr>
        <w:pStyle w:val="EndNoteBibliography"/>
        <w:spacing w:after="0"/>
        <w:ind w:left="720" w:hanging="720"/>
      </w:pPr>
      <w:r w:rsidRPr="005A1C24">
        <w:t>6. Ministry of Health. Malawi Standard Treatment Guidelines. Fifth ed, 2015.</w:t>
      </w:r>
      <w:r w:rsidR="000B7A71" w:rsidRPr="000B7A71">
        <w:t xml:space="preserve"> </w:t>
      </w:r>
      <w:hyperlink r:id="rId8" w:history="1">
        <w:r w:rsidR="000B7A71" w:rsidRPr="00394F9E">
          <w:rPr>
            <w:rStyle w:val="Hyperlink"/>
            <w:color w:val="auto"/>
            <w:u w:val="none"/>
          </w:rPr>
          <w:t>https://extranet.who.int/ncdccs/Data/MWI_D1_Malawi-Standard-Treatment-Guidelines-Essential-Medicines-List-2015.pdf</w:t>
        </w:r>
      </w:hyperlink>
    </w:p>
    <w:p w14:paraId="328ABC90" w14:textId="77777777" w:rsidR="004A16AD" w:rsidRPr="005A1C24" w:rsidRDefault="004A16AD" w:rsidP="00CA4637">
      <w:pPr>
        <w:pStyle w:val="EndNoteBibliography"/>
        <w:spacing w:after="0"/>
        <w:ind w:left="720" w:hanging="720"/>
      </w:pPr>
      <w:r w:rsidRPr="005A1C24">
        <w:t>7. Global Initiative for Asthma. Global Strategy for Asthma Management and Prevention, 2020.</w:t>
      </w:r>
      <w:r w:rsidR="000B7A71" w:rsidRPr="000B7A71">
        <w:t xml:space="preserve"> </w:t>
      </w:r>
      <w:hyperlink r:id="rId9" w:history="1">
        <w:r w:rsidR="000B7A71" w:rsidRPr="00394F9E">
          <w:rPr>
            <w:rStyle w:val="Hyperlink"/>
            <w:color w:val="auto"/>
            <w:u w:val="none"/>
          </w:rPr>
          <w:t>https://ginasthma.org/</w:t>
        </w:r>
      </w:hyperlink>
    </w:p>
    <w:p w14:paraId="0F70A852" w14:textId="77777777" w:rsidR="004A16AD" w:rsidRPr="005A1C24" w:rsidRDefault="004A16AD" w:rsidP="00CA4637">
      <w:pPr>
        <w:pStyle w:val="EndNoteBibliography"/>
        <w:spacing w:after="0"/>
        <w:ind w:left="720" w:hanging="720"/>
      </w:pPr>
      <w:r w:rsidRPr="005A1C24">
        <w:t xml:space="preserve">8. Ait-Khaled N, Enarson DA, Bencharif N, et al. Implementation of asthma guidelines in health centres of several developing countries. </w:t>
      </w:r>
      <w:r w:rsidRPr="005A1C24">
        <w:rPr>
          <w:i/>
        </w:rPr>
        <w:t>Int J Tuberc Lung Dis</w:t>
      </w:r>
      <w:r w:rsidRPr="005A1C24">
        <w:t xml:space="preserve"> 2006;10(1):104-9.</w:t>
      </w:r>
    </w:p>
    <w:p w14:paraId="6FF61A9E" w14:textId="77777777" w:rsidR="004A16AD" w:rsidRPr="005A1C24" w:rsidRDefault="004A16AD" w:rsidP="00CA4637">
      <w:pPr>
        <w:pStyle w:val="EndNoteBibliography"/>
        <w:spacing w:after="0"/>
        <w:ind w:left="720" w:hanging="720"/>
      </w:pPr>
      <w:r w:rsidRPr="005A1C24">
        <w:t xml:space="preserve">9. Ait-Khaled N, Enarson DA, Bissell K, et al. Access to inhaled corticosteroids is key to improving quality of care for asthma in developing countries. </w:t>
      </w:r>
      <w:r w:rsidRPr="005A1C24">
        <w:rPr>
          <w:i/>
        </w:rPr>
        <w:t>Allergy</w:t>
      </w:r>
      <w:r w:rsidRPr="005A1C24">
        <w:t xml:space="preserve"> 2007;62(3):230-6. doi: 10.1111/j.1398-9995.2007.01326.x</w:t>
      </w:r>
    </w:p>
    <w:p w14:paraId="4F680E84" w14:textId="77777777" w:rsidR="004A16AD" w:rsidRPr="005A1C24" w:rsidRDefault="004A16AD" w:rsidP="00CA4637">
      <w:pPr>
        <w:pStyle w:val="EndNoteBibliography"/>
        <w:spacing w:after="0"/>
        <w:ind w:left="720" w:hanging="720"/>
      </w:pPr>
      <w:r w:rsidRPr="005A1C24">
        <w:t xml:space="preserve">10. Jumbe Marsden E, Somwe SW, Chabala C, et al. Knowledge and perceptions of asthma in Zambia: a cross-sectional survey. </w:t>
      </w:r>
      <w:r w:rsidRPr="005A1C24">
        <w:rPr>
          <w:i/>
        </w:rPr>
        <w:t>BMC Pulm Med</w:t>
      </w:r>
      <w:r w:rsidRPr="005A1C24">
        <w:t xml:space="preserve"> 2016;16:33. doi: 10.1186/s12890-016-0195-3</w:t>
      </w:r>
    </w:p>
    <w:p w14:paraId="6601C62D" w14:textId="77777777" w:rsidR="004A16AD" w:rsidRPr="005A1C24" w:rsidRDefault="004A16AD" w:rsidP="00CA4637">
      <w:pPr>
        <w:pStyle w:val="EndNoteBibliography"/>
        <w:spacing w:after="0"/>
        <w:ind w:left="720" w:hanging="720"/>
      </w:pPr>
      <w:r w:rsidRPr="005A1C24">
        <w:t xml:space="preserve">11. Boyd M, Lasserson TJ, McKean MC, et al. Interventions for educating children who are at risk of asthma-related emergency department attendance. </w:t>
      </w:r>
      <w:r w:rsidRPr="005A1C24">
        <w:rPr>
          <w:i/>
        </w:rPr>
        <w:t>Cochrane Database Syst Rev</w:t>
      </w:r>
      <w:r w:rsidRPr="005A1C24">
        <w:t xml:space="preserve"> 2009(2):CD001290. doi: 10.1002/14651858.CD001290.pub2 [published Online First: 2009/04/17]</w:t>
      </w:r>
    </w:p>
    <w:p w14:paraId="6D1C9F96" w14:textId="77777777" w:rsidR="004A16AD" w:rsidRPr="005A1C24" w:rsidRDefault="004A16AD" w:rsidP="00CA4637">
      <w:pPr>
        <w:pStyle w:val="EndNoteBibliography"/>
        <w:spacing w:after="0"/>
        <w:ind w:left="720" w:hanging="720"/>
      </w:pPr>
      <w:r w:rsidRPr="005A1C24">
        <w:t xml:space="preserve">12. Gibson PG, Powell H. Written action plans for asthma: an evidence-based review of the key components. </w:t>
      </w:r>
      <w:r w:rsidRPr="005A1C24">
        <w:rPr>
          <w:i/>
        </w:rPr>
        <w:t>Thorax</w:t>
      </w:r>
      <w:r w:rsidRPr="005A1C24">
        <w:t xml:space="preserve"> 2004;59(2):94-9. [published Online First: 2004/02/05]</w:t>
      </w:r>
    </w:p>
    <w:p w14:paraId="7E232544" w14:textId="77777777" w:rsidR="004A16AD" w:rsidRPr="005A1C24" w:rsidRDefault="004A16AD" w:rsidP="00CA4637">
      <w:pPr>
        <w:pStyle w:val="EndNoteBibliography"/>
        <w:spacing w:after="0"/>
        <w:ind w:left="720" w:hanging="720"/>
      </w:pPr>
      <w:r w:rsidRPr="005A1C24">
        <w:t>13. World Health Organization. Task shifting: rational redistribution of tasks among health workforce teams: global recommendations and guidelines. Geneva, Switzerland, 2007.</w:t>
      </w:r>
      <w:r w:rsidR="000B7A71" w:rsidRPr="000B7A71">
        <w:t xml:space="preserve"> </w:t>
      </w:r>
      <w:r w:rsidR="000B7A71" w:rsidRPr="00295483">
        <w:t>https://apps.who.int/iris/handle/10665/43821</w:t>
      </w:r>
    </w:p>
    <w:p w14:paraId="25599193" w14:textId="77777777" w:rsidR="004A16AD" w:rsidRPr="005A1C24" w:rsidRDefault="004A16AD" w:rsidP="00CA4637">
      <w:pPr>
        <w:pStyle w:val="EndNoteBibliography"/>
        <w:spacing w:after="0"/>
        <w:ind w:left="720" w:hanging="720"/>
      </w:pPr>
      <w:r w:rsidRPr="005A1C24">
        <w:t xml:space="preserve">14. Kengne AP, Sobngwi E, Fezeu LL, et al. Nurse-led care for asthma at primary level in rural sub-Saharan Africa: the experience of Bafut in Cameroon. </w:t>
      </w:r>
      <w:r w:rsidRPr="005A1C24">
        <w:rPr>
          <w:i/>
        </w:rPr>
        <w:t>J Asthma</w:t>
      </w:r>
      <w:r w:rsidRPr="005A1C24">
        <w:t xml:space="preserve"> 2008;45(6):437-43. doi: 10.1080/02770900802032933 [published Online First: 2008/07/10]</w:t>
      </w:r>
    </w:p>
    <w:p w14:paraId="78326F38" w14:textId="77777777" w:rsidR="004A16AD" w:rsidRPr="005A1C24" w:rsidRDefault="004A16AD" w:rsidP="00CA4637">
      <w:pPr>
        <w:pStyle w:val="EndNoteBibliography"/>
        <w:spacing w:after="0"/>
        <w:ind w:left="720" w:hanging="720"/>
      </w:pPr>
      <w:r w:rsidRPr="005A1C24">
        <w:t xml:space="preserve">15. Liu AH, Zeiger R, Sorkness C, et al. Development and cross-sectional validation of the Childhood Asthma Control Test. </w:t>
      </w:r>
      <w:r w:rsidRPr="005A1C24">
        <w:rPr>
          <w:i/>
        </w:rPr>
        <w:t>J Allergy Clin Immunol</w:t>
      </w:r>
      <w:r w:rsidRPr="005A1C24">
        <w:t xml:space="preserve"> 2007;119(4):817-25. doi: 10.1016/j.jaci.2006.12.662 [published Online First: 2007/03/14]</w:t>
      </w:r>
    </w:p>
    <w:p w14:paraId="41E1A7BD" w14:textId="77777777" w:rsidR="004A16AD" w:rsidRPr="005A1C24" w:rsidRDefault="004A16AD" w:rsidP="00CA4637">
      <w:pPr>
        <w:pStyle w:val="EndNoteBibliography"/>
        <w:spacing w:after="0"/>
        <w:ind w:left="720" w:hanging="720"/>
      </w:pPr>
      <w:r w:rsidRPr="005A1C24">
        <w:t xml:space="preserve">16. Miller MR, Hankinson J, Brusasco V, et al. Standardisation of spirometry. </w:t>
      </w:r>
      <w:r w:rsidRPr="005A1C24">
        <w:rPr>
          <w:i/>
        </w:rPr>
        <w:t>Eur Respir J</w:t>
      </w:r>
      <w:r w:rsidRPr="005A1C24">
        <w:t xml:space="preserve"> 2005;26(2):319-38. doi: 10.1183/09031936.05.00034805</w:t>
      </w:r>
    </w:p>
    <w:p w14:paraId="08ECC2D3" w14:textId="77777777" w:rsidR="004A16AD" w:rsidRPr="005A1C24" w:rsidRDefault="004A16AD" w:rsidP="00CA4637">
      <w:pPr>
        <w:pStyle w:val="EndNoteBibliography"/>
        <w:spacing w:after="0"/>
        <w:ind w:left="720" w:hanging="720"/>
      </w:pPr>
      <w:r w:rsidRPr="005A1C24">
        <w:t xml:space="preserve">17. Quanjer PH, Stanojevic S, Cole TJ, et al. Multi-ethnic reference values for spirometry for the 3-95-yr age range: the global lung function 2012 equations. </w:t>
      </w:r>
      <w:r w:rsidRPr="005A1C24">
        <w:rPr>
          <w:i/>
        </w:rPr>
        <w:t>Eur Respir J</w:t>
      </w:r>
      <w:r w:rsidRPr="005A1C24">
        <w:t xml:space="preserve"> 2012;40(6):1324-43. doi: 10.1183/09031936.00080312</w:t>
      </w:r>
    </w:p>
    <w:p w14:paraId="7DFABEDD" w14:textId="77777777" w:rsidR="004A16AD" w:rsidRPr="005A1C24" w:rsidRDefault="004A16AD" w:rsidP="00CA4637">
      <w:pPr>
        <w:pStyle w:val="EndNoteBibliography"/>
        <w:spacing w:after="0"/>
        <w:ind w:left="720" w:hanging="720"/>
      </w:pPr>
      <w:r w:rsidRPr="005A1C24">
        <w:t xml:space="preserve">18. American Thoracic Society, European Respiratory Society. ATS/ERS recommendations for standardized procedures for the online and offline measurement of exhaled lower respiratory nitric oxide and nasal nitric oxide, 2005. </w:t>
      </w:r>
      <w:r w:rsidRPr="005A1C24">
        <w:rPr>
          <w:i/>
        </w:rPr>
        <w:t>Am J Respir Crit Care Med</w:t>
      </w:r>
      <w:r w:rsidRPr="005A1C24">
        <w:t xml:space="preserve"> 2005;171(8):912-30. doi: 10.1164/rccm.200406-710ST</w:t>
      </w:r>
    </w:p>
    <w:p w14:paraId="1779168E" w14:textId="77777777" w:rsidR="004A16AD" w:rsidRPr="005A1C24" w:rsidRDefault="004A16AD" w:rsidP="00CA4637">
      <w:pPr>
        <w:pStyle w:val="EndNoteBibliography"/>
        <w:spacing w:after="0"/>
        <w:ind w:left="720" w:hanging="720"/>
      </w:pPr>
      <w:r w:rsidRPr="005A1C24">
        <w:lastRenderedPageBreak/>
        <w:t xml:space="preserve">19. Rylance S, Phiri J, Grigg J, et al. Enhanced versus standard outpatient care of asthmatic children in Malawi: study protocol for a pilot randomised controlled trial. </w:t>
      </w:r>
      <w:r w:rsidRPr="005A1C24">
        <w:rPr>
          <w:i/>
        </w:rPr>
        <w:t>medRxiv</w:t>
      </w:r>
      <w:r w:rsidRPr="005A1C24">
        <w:t xml:space="preserve"> 2020 doi: 10.1101/2020.08.12.20173401</w:t>
      </w:r>
    </w:p>
    <w:p w14:paraId="1B62F937" w14:textId="77777777" w:rsidR="004A16AD" w:rsidRPr="005A1C24" w:rsidRDefault="004A16AD" w:rsidP="00CA4637">
      <w:pPr>
        <w:pStyle w:val="EndNoteBibliography"/>
        <w:spacing w:after="0"/>
        <w:ind w:left="720" w:hanging="720"/>
      </w:pPr>
      <w:r w:rsidRPr="005A1C24">
        <w:t xml:space="preserve">20. Morton RW, Everard ML, Elphick HE. Adherence in childhood asthma: the elephant in the room. </w:t>
      </w:r>
      <w:r w:rsidRPr="005A1C24">
        <w:rPr>
          <w:i/>
        </w:rPr>
        <w:t>Arch Dis Child</w:t>
      </w:r>
      <w:r w:rsidRPr="005A1C24">
        <w:t xml:space="preserve"> 2014;99(10):949-53. doi: 10.1136/archdischild-2014-306243 [published Online First: 2014/05/31]</w:t>
      </w:r>
    </w:p>
    <w:p w14:paraId="3EFF6C3A" w14:textId="77777777" w:rsidR="004A16AD" w:rsidRPr="005A1C24" w:rsidRDefault="004A16AD" w:rsidP="00CA4637">
      <w:pPr>
        <w:pStyle w:val="EndNoteBibliography"/>
        <w:spacing w:after="0"/>
        <w:ind w:left="720" w:hanging="720"/>
      </w:pPr>
      <w:r w:rsidRPr="005A1C24">
        <w:t>21. Republic of Malawi Ministry of Health. The Malawi Noncommunicable Diseases and Injuries Poverty Commission Report, 2018.</w:t>
      </w:r>
      <w:r w:rsidR="000B7A71" w:rsidRPr="000B7A71">
        <w:t xml:space="preserve"> </w:t>
      </w:r>
      <w:r w:rsidR="000B7A71" w:rsidRPr="00201088">
        <w:t>http://www.ncdipoverty.org/malawi-report</w:t>
      </w:r>
    </w:p>
    <w:p w14:paraId="67E7BE37" w14:textId="77777777" w:rsidR="004A16AD" w:rsidRPr="005A1C24" w:rsidRDefault="004A16AD" w:rsidP="00CA4637">
      <w:pPr>
        <w:pStyle w:val="EndNoteBibliography"/>
        <w:spacing w:after="0"/>
        <w:ind w:left="720" w:hanging="720"/>
      </w:pPr>
      <w:r w:rsidRPr="005A1C24">
        <w:t xml:space="preserve">22. Garba B, Ballot D, White D. Home circumstances and asthma control in Johannesburg children. </w:t>
      </w:r>
      <w:r w:rsidRPr="005A1C24">
        <w:rPr>
          <w:i/>
        </w:rPr>
        <w:t>Current Allergy and Clinical Immunology</w:t>
      </w:r>
      <w:r w:rsidRPr="005A1C24">
        <w:t xml:space="preserve"> 2014;27(3):182-89.</w:t>
      </w:r>
    </w:p>
    <w:p w14:paraId="40793952" w14:textId="77777777" w:rsidR="004A16AD" w:rsidRPr="005A1C24" w:rsidRDefault="004A16AD" w:rsidP="00CA4637">
      <w:pPr>
        <w:pStyle w:val="EndNoteBibliography"/>
        <w:spacing w:after="0"/>
        <w:ind w:left="720" w:hanging="720"/>
      </w:pPr>
      <w:r w:rsidRPr="005A1C24">
        <w:t xml:space="preserve">23. Schatz M, Kosinski M, Yarlas AS, et al. The minimally important difference of the Asthma Control Test. </w:t>
      </w:r>
      <w:r w:rsidRPr="005A1C24">
        <w:rPr>
          <w:i/>
        </w:rPr>
        <w:t>J Allergy Clin Immunol</w:t>
      </w:r>
      <w:r w:rsidRPr="005A1C24">
        <w:t xml:space="preserve"> 2009;124(4):719-23 e1. doi: 10.1016/j.jaci.2009.06.053 [published Online First: 2009/09/22]</w:t>
      </w:r>
    </w:p>
    <w:p w14:paraId="0598C381" w14:textId="77777777" w:rsidR="004A16AD" w:rsidRPr="005A1C24" w:rsidRDefault="004A16AD" w:rsidP="00CA4637">
      <w:pPr>
        <w:pStyle w:val="EndNoteBibliography"/>
        <w:spacing w:after="0"/>
        <w:ind w:left="720" w:hanging="720"/>
      </w:pPr>
      <w:r w:rsidRPr="005A1C24">
        <w:t xml:space="preserve">24. Bacharier LB, Strunk RC, Mauger D, et al. Classifying asthma severity in children: mismatch between symptoms, medication use, and lung function. </w:t>
      </w:r>
      <w:r w:rsidRPr="005A1C24">
        <w:rPr>
          <w:i/>
        </w:rPr>
        <w:t>Am J Respir Crit Care Med</w:t>
      </w:r>
      <w:r w:rsidRPr="005A1C24">
        <w:t xml:space="preserve"> 2004;170(4):426-32. doi: 10.1164/rccm.200308-1178OC</w:t>
      </w:r>
    </w:p>
    <w:p w14:paraId="5090CEA1" w14:textId="77777777" w:rsidR="004A16AD" w:rsidRPr="005A1C24" w:rsidRDefault="004A16AD" w:rsidP="00CA4637">
      <w:pPr>
        <w:pStyle w:val="EndNoteBibliography"/>
        <w:spacing w:after="0"/>
        <w:ind w:left="720" w:hanging="720"/>
      </w:pPr>
      <w:r w:rsidRPr="005A1C24">
        <w:t>25. The Global Fund. Global Fund Grants to the Republic of Malawi: Audit Report. Geneva, Switzerland, 2016.</w:t>
      </w:r>
      <w:r w:rsidR="000B7A71" w:rsidRPr="000B7A71">
        <w:t xml:space="preserve"> </w:t>
      </w:r>
      <w:r w:rsidR="000B7A71" w:rsidRPr="00201088">
        <w:t>https://www.theglobalfund.org/media/2665/oig_gf-oig-16-024_report_en.pdf</w:t>
      </w:r>
    </w:p>
    <w:p w14:paraId="5E53DB1E" w14:textId="77777777" w:rsidR="004A16AD" w:rsidRPr="005A1C24" w:rsidRDefault="004A16AD" w:rsidP="00CA4637">
      <w:pPr>
        <w:pStyle w:val="EndNoteBibliography"/>
        <w:spacing w:after="0"/>
        <w:ind w:left="720" w:hanging="720"/>
      </w:pPr>
      <w:r w:rsidRPr="005A1C24">
        <w:t xml:space="preserve">26. Callaghan-Koru JA, Gilroy K, Hyder AA, et al. Health systems supports for community case management of childhood illness: lessons from an assessment of early implementation in Malawi. </w:t>
      </w:r>
      <w:r w:rsidRPr="005A1C24">
        <w:rPr>
          <w:i/>
        </w:rPr>
        <w:t>BMC Health Serv Res</w:t>
      </w:r>
      <w:r w:rsidRPr="005A1C24">
        <w:t xml:space="preserve"> 2013;13:55. doi: 10.1186/1472-6963-13-55 [published Online First: 2013/02/12]</w:t>
      </w:r>
    </w:p>
    <w:p w14:paraId="5209E590" w14:textId="77777777" w:rsidR="004A16AD" w:rsidRPr="005A1C24" w:rsidRDefault="004A16AD" w:rsidP="00CA4637">
      <w:pPr>
        <w:pStyle w:val="EndNoteBibliography"/>
        <w:spacing w:after="0"/>
        <w:ind w:left="720" w:hanging="720"/>
      </w:pPr>
      <w:r w:rsidRPr="005A1C24">
        <w:t xml:space="preserve">27. Bemelmans M, van den Akker T, Ford N, et al. Providing universal access to antiretroviral therapy in Thyolo, Malawi through task shifting and decentralization of HIV/AIDS care. </w:t>
      </w:r>
      <w:r w:rsidRPr="005A1C24">
        <w:rPr>
          <w:i/>
        </w:rPr>
        <w:t>Trop Med Int Health</w:t>
      </w:r>
      <w:r w:rsidRPr="005A1C24">
        <w:t xml:space="preserve"> 2010;15(12):1413-20. doi: 10.1111/j.1365-3156.2010.02649.x [published Online First: 2010/10/21]</w:t>
      </w:r>
    </w:p>
    <w:p w14:paraId="60B8B315" w14:textId="77777777" w:rsidR="004A16AD" w:rsidRPr="005A1C24" w:rsidRDefault="004A16AD" w:rsidP="00CA4637">
      <w:pPr>
        <w:pStyle w:val="EndNoteBibliography"/>
        <w:spacing w:after="0"/>
        <w:ind w:left="720" w:hanging="720"/>
      </w:pPr>
      <w:r w:rsidRPr="005A1C24">
        <w:t xml:space="preserve">28. Partridge MR, Caress AL, Brown C, et al. Can lay people deliver asthma self-management education as effectively as primary care based practice nurses? </w:t>
      </w:r>
      <w:r w:rsidRPr="005A1C24">
        <w:rPr>
          <w:i/>
        </w:rPr>
        <w:t>Thorax</w:t>
      </w:r>
      <w:r w:rsidRPr="005A1C24">
        <w:t xml:space="preserve"> 2008;63(9):778-83. doi: 10.1136/thx.2007.084251 [published Online First: 2008/02/19]</w:t>
      </w:r>
    </w:p>
    <w:p w14:paraId="28BB0A71" w14:textId="77777777" w:rsidR="004A16AD" w:rsidRPr="005A1C24" w:rsidRDefault="004A16AD" w:rsidP="00CA4637">
      <w:pPr>
        <w:pStyle w:val="EndNoteBibliography"/>
        <w:spacing w:after="0"/>
        <w:ind w:left="720" w:hanging="720"/>
      </w:pPr>
      <w:r w:rsidRPr="005A1C24">
        <w:t xml:space="preserve">29. Mosler G, Oyenuga V, Addo-Yobo E, et al. Achieving Control of Asthma in Children in Africa (ACACIA): protocol of an observational study of children's lung health in six sub-Saharan African countries. </w:t>
      </w:r>
      <w:r w:rsidRPr="005A1C24">
        <w:rPr>
          <w:i/>
        </w:rPr>
        <w:t>BMJ Open</w:t>
      </w:r>
      <w:r w:rsidRPr="005A1C24">
        <w:t xml:space="preserve"> 2020;10(3):e035885. doi: 10.1136/bmjopen-2019-035885 [published Online First: 2020/03/21]</w:t>
      </w:r>
    </w:p>
    <w:p w14:paraId="2A8C546A" w14:textId="77777777" w:rsidR="004A16AD" w:rsidRPr="005A1C24" w:rsidRDefault="004A16AD" w:rsidP="00CA4637">
      <w:pPr>
        <w:pStyle w:val="EndNoteBibliography"/>
        <w:ind w:left="720" w:hanging="720"/>
      </w:pPr>
      <w:r w:rsidRPr="005A1C24">
        <w:t xml:space="preserve">30. Szefler SJ, Fitzgerald DA, Adachi Y, et al. A worldwide charter for all children with asthma. </w:t>
      </w:r>
      <w:r w:rsidRPr="005A1C24">
        <w:rPr>
          <w:i/>
        </w:rPr>
        <w:t>Pediatr Pulmonol</w:t>
      </w:r>
      <w:r w:rsidRPr="005A1C24">
        <w:t xml:space="preserve"> 2020;55(5):1282-92. doi: 10.1002/ppul.24713 [published Online First: 2020/03/07]</w:t>
      </w:r>
    </w:p>
    <w:bookmarkEnd w:id="20"/>
    <w:p w14:paraId="648F254C" w14:textId="77777777" w:rsidR="004A16AD" w:rsidRDefault="004A16AD" w:rsidP="000B7A71">
      <w:pPr>
        <w:spacing w:after="80" w:line="240" w:lineRule="auto"/>
      </w:pPr>
      <w:r>
        <w:t xml:space="preserve"> </w:t>
      </w:r>
    </w:p>
    <w:p w14:paraId="6296B6B0" w14:textId="77777777" w:rsidR="004A16AD" w:rsidRDefault="004A16AD"/>
    <w:p w14:paraId="4AEB7539" w14:textId="77777777" w:rsidR="005B6517" w:rsidRDefault="005B6517"/>
    <w:sectPr w:rsidR="005B6517" w:rsidSect="001A70E9">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1B6E7" w14:textId="77777777" w:rsidR="00F555ED" w:rsidRDefault="00F555ED">
      <w:pPr>
        <w:spacing w:after="0" w:line="240" w:lineRule="auto"/>
      </w:pPr>
      <w:r>
        <w:separator/>
      </w:r>
    </w:p>
  </w:endnote>
  <w:endnote w:type="continuationSeparator" w:id="0">
    <w:p w14:paraId="6A92ACFA" w14:textId="77777777" w:rsidR="00F555ED" w:rsidRDefault="00F5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934547"/>
      <w:docPartObj>
        <w:docPartGallery w:val="Page Numbers (Bottom of Page)"/>
        <w:docPartUnique/>
      </w:docPartObj>
    </w:sdtPr>
    <w:sdtEndPr>
      <w:rPr>
        <w:noProof/>
      </w:rPr>
    </w:sdtEndPr>
    <w:sdtContent>
      <w:p w14:paraId="6340583F" w14:textId="77777777" w:rsidR="00CA4637" w:rsidRDefault="00CA46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64221" w14:textId="77777777" w:rsidR="00CA4637" w:rsidRDefault="00CA4637" w:rsidP="00CA4637">
    <w:pPr>
      <w:pStyle w:val="Footer"/>
      <w:tabs>
        <w:tab w:val="clear" w:pos="4513"/>
        <w:tab w:val="clear" w:pos="9026"/>
        <w:tab w:val="left" w:pos="75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19F3" w14:textId="77777777" w:rsidR="00F555ED" w:rsidRDefault="00F555ED">
      <w:pPr>
        <w:spacing w:after="0" w:line="240" w:lineRule="auto"/>
      </w:pPr>
      <w:r>
        <w:separator/>
      </w:r>
    </w:p>
  </w:footnote>
  <w:footnote w:type="continuationSeparator" w:id="0">
    <w:p w14:paraId="588DC5A4" w14:textId="77777777" w:rsidR="00F555ED" w:rsidRDefault="00F55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28D"/>
    <w:multiLevelType w:val="hybridMultilevel"/>
    <w:tmpl w:val="D690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1824"/>
    <w:multiLevelType w:val="hybridMultilevel"/>
    <w:tmpl w:val="910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5DA"/>
    <w:multiLevelType w:val="hybridMultilevel"/>
    <w:tmpl w:val="DB6C74E2"/>
    <w:lvl w:ilvl="0" w:tplc="9FA4FFF2">
      <w:start w:val="1"/>
      <w:numFmt w:val="decimal"/>
      <w:lvlText w:val="%1."/>
      <w:lvlJc w:val="left"/>
      <w:pPr>
        <w:ind w:left="360" w:hanging="360"/>
      </w:pPr>
      <w:rPr>
        <w:rFonts w:asciiTheme="minorHAnsi" w:eastAsiaTheme="minorHAnsi" w:hAnsiTheme="minorHAnsi" w:cstheme="minorBidi"/>
      </w:rPr>
    </w:lvl>
    <w:lvl w:ilvl="1" w:tplc="08090001">
      <w:start w:val="1"/>
      <w:numFmt w:val="bullet"/>
      <w:lvlText w:val=""/>
      <w:lvlJc w:val="left"/>
      <w:pPr>
        <w:ind w:left="1080" w:hanging="360"/>
      </w:pPr>
      <w:rPr>
        <w:rFonts w:ascii="Symbol" w:hAnsi="Symbol" w:hint="default"/>
      </w:rPr>
    </w:lvl>
    <w:lvl w:ilvl="2" w:tplc="5D723AC0">
      <w:start w:val="2"/>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04810"/>
    <w:multiLevelType w:val="hybridMultilevel"/>
    <w:tmpl w:val="058AB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134D"/>
    <w:multiLevelType w:val="hybridMultilevel"/>
    <w:tmpl w:val="A2E2576C"/>
    <w:lvl w:ilvl="0" w:tplc="9C26C2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76606"/>
    <w:multiLevelType w:val="hybridMultilevel"/>
    <w:tmpl w:val="A15A9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87EA5"/>
    <w:multiLevelType w:val="hybridMultilevel"/>
    <w:tmpl w:val="9FE48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827AF"/>
    <w:multiLevelType w:val="hybridMultilevel"/>
    <w:tmpl w:val="AB64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85C4F"/>
    <w:multiLevelType w:val="hybridMultilevel"/>
    <w:tmpl w:val="AA7CFB2A"/>
    <w:lvl w:ilvl="0" w:tplc="7B68CFD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333F5"/>
    <w:multiLevelType w:val="hybridMultilevel"/>
    <w:tmpl w:val="DD3269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D2A68"/>
    <w:multiLevelType w:val="hybridMultilevel"/>
    <w:tmpl w:val="23B42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E58D3"/>
    <w:multiLevelType w:val="hybridMultilevel"/>
    <w:tmpl w:val="132E1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93020"/>
    <w:multiLevelType w:val="hybridMultilevel"/>
    <w:tmpl w:val="691CD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F474C"/>
    <w:multiLevelType w:val="hybridMultilevel"/>
    <w:tmpl w:val="FA0C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029C4"/>
    <w:multiLevelType w:val="hybridMultilevel"/>
    <w:tmpl w:val="1DFCA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D38D0"/>
    <w:multiLevelType w:val="hybridMultilevel"/>
    <w:tmpl w:val="87A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D1F40"/>
    <w:multiLevelType w:val="hybridMultilevel"/>
    <w:tmpl w:val="A3465354"/>
    <w:lvl w:ilvl="0" w:tplc="9E84D09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A43D3"/>
    <w:multiLevelType w:val="hybridMultilevel"/>
    <w:tmpl w:val="CC5C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3324B"/>
    <w:multiLevelType w:val="hybridMultilevel"/>
    <w:tmpl w:val="509275D6"/>
    <w:lvl w:ilvl="0" w:tplc="81D4048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12452"/>
    <w:multiLevelType w:val="hybridMultilevel"/>
    <w:tmpl w:val="265C1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DD4693"/>
    <w:multiLevelType w:val="multilevel"/>
    <w:tmpl w:val="1E22637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ajorHAnsi" w:hAnsiTheme="majorHAnsi" w:cstheme="majorHAnsi" w:hint="default"/>
        <w:b w:val="0"/>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heme="majorHAnsi" w:hAnsiTheme="majorHAnsi" w:cstheme="majorHAnsi" w:hint="default"/>
        <w:b w:val="0"/>
        <w:bCs/>
        <w:i w:val="0"/>
        <w:iCs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DD55BAA"/>
    <w:multiLevelType w:val="hybridMultilevel"/>
    <w:tmpl w:val="4566E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D6876"/>
    <w:multiLevelType w:val="hybridMultilevel"/>
    <w:tmpl w:val="A078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50129"/>
    <w:multiLevelType w:val="hybridMultilevel"/>
    <w:tmpl w:val="4B4A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06AF7"/>
    <w:multiLevelType w:val="hybridMultilevel"/>
    <w:tmpl w:val="1168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94064"/>
    <w:multiLevelType w:val="hybridMultilevel"/>
    <w:tmpl w:val="9BDA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C01459"/>
    <w:multiLevelType w:val="multilevel"/>
    <w:tmpl w:val="7DBE8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C549E6"/>
    <w:multiLevelType w:val="hybridMultilevel"/>
    <w:tmpl w:val="ACF0F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5B41B6"/>
    <w:multiLevelType w:val="hybridMultilevel"/>
    <w:tmpl w:val="4022DF90"/>
    <w:lvl w:ilvl="0" w:tplc="BC605EDA">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8E677B"/>
    <w:multiLevelType w:val="hybridMultilevel"/>
    <w:tmpl w:val="3FBEB3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56939"/>
    <w:multiLevelType w:val="hybridMultilevel"/>
    <w:tmpl w:val="0ADA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5384A"/>
    <w:multiLevelType w:val="hybridMultilevel"/>
    <w:tmpl w:val="3772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844E9"/>
    <w:multiLevelType w:val="hybridMultilevel"/>
    <w:tmpl w:val="3D6CA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A1B77"/>
    <w:multiLevelType w:val="hybridMultilevel"/>
    <w:tmpl w:val="9310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44324"/>
    <w:multiLevelType w:val="hybridMultilevel"/>
    <w:tmpl w:val="7282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7727A"/>
    <w:multiLevelType w:val="multilevel"/>
    <w:tmpl w:val="E9AE3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6F26CC0"/>
    <w:multiLevelType w:val="hybridMultilevel"/>
    <w:tmpl w:val="874E4B20"/>
    <w:lvl w:ilvl="0" w:tplc="BCBADF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90021"/>
    <w:multiLevelType w:val="hybridMultilevel"/>
    <w:tmpl w:val="3A26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10B69"/>
    <w:multiLevelType w:val="hybridMultilevel"/>
    <w:tmpl w:val="2E6C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92D9B"/>
    <w:multiLevelType w:val="hybridMultilevel"/>
    <w:tmpl w:val="D3142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E24F12"/>
    <w:multiLevelType w:val="hybridMultilevel"/>
    <w:tmpl w:val="31C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433EE4"/>
    <w:multiLevelType w:val="multilevel"/>
    <w:tmpl w:val="185E2CD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1"/>
  </w:num>
  <w:num w:numId="2">
    <w:abstractNumId w:val="2"/>
  </w:num>
  <w:num w:numId="3">
    <w:abstractNumId w:val="11"/>
  </w:num>
  <w:num w:numId="4">
    <w:abstractNumId w:val="35"/>
  </w:num>
  <w:num w:numId="5">
    <w:abstractNumId w:val="3"/>
  </w:num>
  <w:num w:numId="6">
    <w:abstractNumId w:val="31"/>
  </w:num>
  <w:num w:numId="7">
    <w:abstractNumId w:val="38"/>
  </w:num>
  <w:num w:numId="8">
    <w:abstractNumId w:val="24"/>
  </w:num>
  <w:num w:numId="9">
    <w:abstractNumId w:val="30"/>
  </w:num>
  <w:num w:numId="10">
    <w:abstractNumId w:val="18"/>
  </w:num>
  <w:num w:numId="11">
    <w:abstractNumId w:val="21"/>
  </w:num>
  <w:num w:numId="12">
    <w:abstractNumId w:val="12"/>
  </w:num>
  <w:num w:numId="13">
    <w:abstractNumId w:val="10"/>
  </w:num>
  <w:num w:numId="14">
    <w:abstractNumId w:val="26"/>
  </w:num>
  <w:num w:numId="15">
    <w:abstractNumId w:val="25"/>
  </w:num>
  <w:num w:numId="16">
    <w:abstractNumId w:val="5"/>
  </w:num>
  <w:num w:numId="17">
    <w:abstractNumId w:val="20"/>
  </w:num>
  <w:num w:numId="18">
    <w:abstractNumId w:val="36"/>
  </w:num>
  <w:num w:numId="19">
    <w:abstractNumId w:val="4"/>
  </w:num>
  <w:num w:numId="20">
    <w:abstractNumId w:val="16"/>
  </w:num>
  <w:num w:numId="21">
    <w:abstractNumId w:val="28"/>
  </w:num>
  <w:num w:numId="22">
    <w:abstractNumId w:val="8"/>
  </w:num>
  <w:num w:numId="23">
    <w:abstractNumId w:val="6"/>
  </w:num>
  <w:num w:numId="24">
    <w:abstractNumId w:val="39"/>
  </w:num>
  <w:num w:numId="25">
    <w:abstractNumId w:val="14"/>
  </w:num>
  <w:num w:numId="26">
    <w:abstractNumId w:val="32"/>
  </w:num>
  <w:num w:numId="27">
    <w:abstractNumId w:val="22"/>
  </w:num>
  <w:num w:numId="28">
    <w:abstractNumId w:val="19"/>
  </w:num>
  <w:num w:numId="29">
    <w:abstractNumId w:val="40"/>
  </w:num>
  <w:num w:numId="30">
    <w:abstractNumId w:val="37"/>
  </w:num>
  <w:num w:numId="31">
    <w:abstractNumId w:val="17"/>
  </w:num>
  <w:num w:numId="32">
    <w:abstractNumId w:val="1"/>
  </w:num>
  <w:num w:numId="33">
    <w:abstractNumId w:val="2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4"/>
  </w:num>
  <w:num w:numId="37">
    <w:abstractNumId w:val="7"/>
  </w:num>
  <w:num w:numId="38">
    <w:abstractNumId w:val="27"/>
  </w:num>
  <w:num w:numId="39">
    <w:abstractNumId w:val="9"/>
  </w:num>
  <w:num w:numId="40">
    <w:abstractNumId w:val="33"/>
  </w:num>
  <w:num w:numId="41">
    <w:abstractNumId w:val="15"/>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A16AD"/>
    <w:rsid w:val="00007B80"/>
    <w:rsid w:val="000A1830"/>
    <w:rsid w:val="000B7A71"/>
    <w:rsid w:val="000E68D3"/>
    <w:rsid w:val="001168A6"/>
    <w:rsid w:val="0013066E"/>
    <w:rsid w:val="00137178"/>
    <w:rsid w:val="00145EB8"/>
    <w:rsid w:val="001A70E9"/>
    <w:rsid w:val="002254BC"/>
    <w:rsid w:val="00275728"/>
    <w:rsid w:val="003E4742"/>
    <w:rsid w:val="004A16AD"/>
    <w:rsid w:val="004B566D"/>
    <w:rsid w:val="004D6F1F"/>
    <w:rsid w:val="005B6517"/>
    <w:rsid w:val="005D70A3"/>
    <w:rsid w:val="006034BA"/>
    <w:rsid w:val="006829CE"/>
    <w:rsid w:val="00686B07"/>
    <w:rsid w:val="006B1A5A"/>
    <w:rsid w:val="007E43F9"/>
    <w:rsid w:val="00816A21"/>
    <w:rsid w:val="00843928"/>
    <w:rsid w:val="008E1A2C"/>
    <w:rsid w:val="00B011CC"/>
    <w:rsid w:val="00B10D51"/>
    <w:rsid w:val="00BC7237"/>
    <w:rsid w:val="00CA4637"/>
    <w:rsid w:val="00CD4D52"/>
    <w:rsid w:val="00D25D80"/>
    <w:rsid w:val="00E3300C"/>
    <w:rsid w:val="00EB07B6"/>
    <w:rsid w:val="00F5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E39A"/>
  <w15:chartTrackingRefBased/>
  <w15:docId w15:val="{92239207-D26B-4C35-8FD0-6525D397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AD"/>
  </w:style>
  <w:style w:type="paragraph" w:styleId="Heading1">
    <w:name w:val="heading 1"/>
    <w:basedOn w:val="Normal"/>
    <w:next w:val="Normal"/>
    <w:link w:val="Heading1Char"/>
    <w:uiPriority w:val="9"/>
    <w:qFormat/>
    <w:rsid w:val="004A16AD"/>
    <w:pPr>
      <w:keepNext/>
      <w:keepLines/>
      <w:numPr>
        <w:numId w:val="17"/>
      </w:numPr>
      <w:spacing w:before="240" w:after="0" w:line="36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16AD"/>
    <w:pPr>
      <w:keepNext/>
      <w:keepLines/>
      <w:numPr>
        <w:ilvl w:val="1"/>
        <w:numId w:val="17"/>
      </w:numPr>
      <w:spacing w:before="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16AD"/>
    <w:pPr>
      <w:keepNext/>
      <w:keepLines/>
      <w:numPr>
        <w:ilvl w:val="2"/>
        <w:numId w:val="17"/>
      </w:numPr>
      <w:spacing w:before="40" w:after="0" w:line="36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16AD"/>
    <w:pPr>
      <w:keepNext/>
      <w:keepLines/>
      <w:numPr>
        <w:ilvl w:val="3"/>
        <w:numId w:val="17"/>
      </w:numPr>
      <w:spacing w:before="40" w:after="0" w:line="360"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4A16AD"/>
    <w:pPr>
      <w:keepNext/>
      <w:keepLines/>
      <w:numPr>
        <w:ilvl w:val="4"/>
        <w:numId w:val="17"/>
      </w:numPr>
      <w:spacing w:before="40" w:after="0" w:line="360" w:lineRule="auto"/>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4A16AD"/>
    <w:pPr>
      <w:keepNext/>
      <w:keepLines/>
      <w:numPr>
        <w:ilvl w:val="5"/>
        <w:numId w:val="17"/>
      </w:numPr>
      <w:spacing w:before="40" w:after="0" w:line="360"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4A16AD"/>
    <w:pPr>
      <w:keepNext/>
      <w:keepLines/>
      <w:numPr>
        <w:ilvl w:val="6"/>
        <w:numId w:val="17"/>
      </w:numPr>
      <w:spacing w:before="40" w:after="0" w:line="360"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4A16AD"/>
    <w:pPr>
      <w:keepNext/>
      <w:keepLines/>
      <w:numPr>
        <w:ilvl w:val="7"/>
        <w:numId w:val="17"/>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16AD"/>
    <w:pPr>
      <w:keepNext/>
      <w:keepLines/>
      <w:numPr>
        <w:ilvl w:val="8"/>
        <w:numId w:val="17"/>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6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16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16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16A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4A16A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4A1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4A16A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A16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16AD"/>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A16AD"/>
  </w:style>
  <w:style w:type="paragraph" w:styleId="Title">
    <w:name w:val="Title"/>
    <w:basedOn w:val="Normal"/>
    <w:next w:val="Normal"/>
    <w:link w:val="TitleChar"/>
    <w:uiPriority w:val="10"/>
    <w:qFormat/>
    <w:rsid w:val="004A16AD"/>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4A16AD"/>
    <w:rPr>
      <w:rFonts w:asciiTheme="majorHAnsi" w:eastAsiaTheme="majorEastAsia" w:hAnsiTheme="majorHAnsi" w:cstheme="majorBidi"/>
      <w:spacing w:val="-10"/>
      <w:kern w:val="28"/>
      <w:sz w:val="44"/>
      <w:szCs w:val="56"/>
    </w:rPr>
  </w:style>
  <w:style w:type="paragraph" w:customStyle="1" w:styleId="EndNoteBibliographyTitle">
    <w:name w:val="EndNote Bibliography Title"/>
    <w:basedOn w:val="Normal"/>
    <w:link w:val="EndNoteBibliographyTitleChar"/>
    <w:rsid w:val="004A16AD"/>
    <w:pPr>
      <w:spacing w:after="0" w:line="360"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16AD"/>
    <w:rPr>
      <w:rFonts w:ascii="Calibri" w:hAnsi="Calibri" w:cs="Calibri"/>
      <w:noProof/>
      <w:lang w:val="en-US"/>
    </w:rPr>
  </w:style>
  <w:style w:type="paragraph" w:customStyle="1" w:styleId="EndNoteBibliography">
    <w:name w:val="EndNote Bibliography"/>
    <w:basedOn w:val="Normal"/>
    <w:link w:val="EndNoteBibliographyChar"/>
    <w:rsid w:val="004A16A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16AD"/>
    <w:rPr>
      <w:rFonts w:ascii="Calibri" w:hAnsi="Calibri" w:cs="Calibri"/>
      <w:noProof/>
      <w:lang w:val="en-US"/>
    </w:rPr>
  </w:style>
  <w:style w:type="table" w:styleId="TableGrid">
    <w:name w:val="Table Grid"/>
    <w:basedOn w:val="TableNormal"/>
    <w:uiPriority w:val="39"/>
    <w:rsid w:val="004A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6AD"/>
    <w:pPr>
      <w:spacing w:line="360" w:lineRule="auto"/>
      <w:ind w:left="720"/>
      <w:contextualSpacing/>
    </w:pPr>
    <w:rPr>
      <w:sz w:val="24"/>
    </w:rPr>
  </w:style>
  <w:style w:type="character" w:styleId="CommentReference">
    <w:name w:val="annotation reference"/>
    <w:basedOn w:val="DefaultParagraphFont"/>
    <w:uiPriority w:val="99"/>
    <w:semiHidden/>
    <w:unhideWhenUsed/>
    <w:rsid w:val="004A16AD"/>
    <w:rPr>
      <w:sz w:val="16"/>
      <w:szCs w:val="16"/>
    </w:rPr>
  </w:style>
  <w:style w:type="paragraph" w:styleId="CommentText">
    <w:name w:val="annotation text"/>
    <w:basedOn w:val="Normal"/>
    <w:link w:val="CommentTextChar"/>
    <w:uiPriority w:val="99"/>
    <w:semiHidden/>
    <w:unhideWhenUsed/>
    <w:rsid w:val="004A16AD"/>
    <w:pPr>
      <w:spacing w:line="240" w:lineRule="auto"/>
    </w:pPr>
    <w:rPr>
      <w:sz w:val="20"/>
      <w:szCs w:val="20"/>
    </w:rPr>
  </w:style>
  <w:style w:type="character" w:customStyle="1" w:styleId="CommentTextChar">
    <w:name w:val="Comment Text Char"/>
    <w:basedOn w:val="DefaultParagraphFont"/>
    <w:link w:val="CommentText"/>
    <w:uiPriority w:val="99"/>
    <w:semiHidden/>
    <w:rsid w:val="004A16AD"/>
    <w:rPr>
      <w:sz w:val="20"/>
      <w:szCs w:val="20"/>
    </w:rPr>
  </w:style>
  <w:style w:type="paragraph" w:styleId="BalloonText">
    <w:name w:val="Balloon Text"/>
    <w:basedOn w:val="Normal"/>
    <w:link w:val="BalloonTextChar"/>
    <w:uiPriority w:val="99"/>
    <w:semiHidden/>
    <w:unhideWhenUsed/>
    <w:rsid w:val="004A1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16AD"/>
    <w:rPr>
      <w:b/>
      <w:bCs/>
    </w:rPr>
  </w:style>
  <w:style w:type="character" w:customStyle="1" w:styleId="CommentSubjectChar">
    <w:name w:val="Comment Subject Char"/>
    <w:basedOn w:val="CommentTextChar"/>
    <w:link w:val="CommentSubject"/>
    <w:uiPriority w:val="99"/>
    <w:semiHidden/>
    <w:rsid w:val="004A16AD"/>
    <w:rPr>
      <w:b/>
      <w:bCs/>
      <w:sz w:val="20"/>
      <w:szCs w:val="20"/>
    </w:rPr>
  </w:style>
  <w:style w:type="paragraph" w:customStyle="1" w:styleId="Body">
    <w:name w:val="Body"/>
    <w:link w:val="BodyChar"/>
    <w:qFormat/>
    <w:rsid w:val="004A16AD"/>
    <w:pPr>
      <w:spacing w:after="0" w:line="240" w:lineRule="auto"/>
    </w:pPr>
    <w:rPr>
      <w:rFonts w:ascii="Helvetica" w:eastAsia="Arial Unicode MS" w:hAnsi="Helvetica" w:cs="Arial Unicode MS"/>
      <w:color w:val="000000"/>
      <w:sz w:val="24"/>
      <w:lang w:val="en-US"/>
    </w:rPr>
  </w:style>
  <w:style w:type="character" w:customStyle="1" w:styleId="InternetLink">
    <w:name w:val="Internet Link"/>
    <w:basedOn w:val="DefaultParagraphFont"/>
    <w:uiPriority w:val="99"/>
    <w:unhideWhenUsed/>
    <w:rsid w:val="004A16AD"/>
    <w:rPr>
      <w:color w:val="0563C1" w:themeColor="hyperlink"/>
      <w:u w:val="single"/>
    </w:rPr>
  </w:style>
  <w:style w:type="paragraph" w:customStyle="1" w:styleId="Default">
    <w:name w:val="Default"/>
    <w:qFormat/>
    <w:rsid w:val="004A16AD"/>
    <w:pPr>
      <w:spacing w:after="0" w:line="240" w:lineRule="auto"/>
      <w:ind w:right="720"/>
      <w:jc w:val="center"/>
    </w:pPr>
    <w:rPr>
      <w:rFonts w:ascii="Helvetica" w:eastAsia="Arial Unicode MS" w:hAnsi="Helvetica" w:cs="Arial Unicode MS"/>
      <w:b/>
      <w:bCs/>
      <w:color w:val="000000"/>
      <w:sz w:val="24"/>
      <w:lang w:val="en-US"/>
    </w:rPr>
  </w:style>
  <w:style w:type="paragraph" w:styleId="Revision">
    <w:name w:val="Revision"/>
    <w:hidden/>
    <w:uiPriority w:val="99"/>
    <w:semiHidden/>
    <w:rsid w:val="004A16AD"/>
    <w:pPr>
      <w:spacing w:after="0" w:line="240" w:lineRule="auto"/>
    </w:pPr>
  </w:style>
  <w:style w:type="paragraph" w:styleId="Footer">
    <w:name w:val="footer"/>
    <w:basedOn w:val="Normal"/>
    <w:link w:val="FooterChar"/>
    <w:uiPriority w:val="99"/>
    <w:unhideWhenUsed/>
    <w:rsid w:val="004A1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6AD"/>
  </w:style>
  <w:style w:type="character" w:styleId="PageNumber">
    <w:name w:val="page number"/>
    <w:basedOn w:val="DefaultParagraphFont"/>
    <w:uiPriority w:val="99"/>
    <w:semiHidden/>
    <w:unhideWhenUsed/>
    <w:rsid w:val="004A16AD"/>
  </w:style>
  <w:style w:type="paragraph" w:styleId="Header">
    <w:name w:val="header"/>
    <w:basedOn w:val="Normal"/>
    <w:link w:val="HeaderChar"/>
    <w:uiPriority w:val="99"/>
    <w:unhideWhenUsed/>
    <w:rsid w:val="004A1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6AD"/>
  </w:style>
  <w:style w:type="paragraph" w:styleId="NormalWeb">
    <w:name w:val="Normal (Web)"/>
    <w:basedOn w:val="Normal"/>
    <w:uiPriority w:val="99"/>
    <w:unhideWhenUsed/>
    <w:rsid w:val="004A16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16AD"/>
    <w:rPr>
      <w:color w:val="0563C1" w:themeColor="hyperlink"/>
      <w:u w:val="single"/>
    </w:rPr>
  </w:style>
  <w:style w:type="character" w:styleId="UnresolvedMention">
    <w:name w:val="Unresolved Mention"/>
    <w:basedOn w:val="DefaultParagraphFont"/>
    <w:uiPriority w:val="99"/>
    <w:semiHidden/>
    <w:unhideWhenUsed/>
    <w:rsid w:val="004A16AD"/>
    <w:rPr>
      <w:color w:val="605E5C"/>
      <w:shd w:val="clear" w:color="auto" w:fill="E1DFDD"/>
    </w:rPr>
  </w:style>
  <w:style w:type="numbering" w:customStyle="1" w:styleId="NoList11">
    <w:name w:val="No List11"/>
    <w:next w:val="NoList"/>
    <w:uiPriority w:val="99"/>
    <w:semiHidden/>
    <w:unhideWhenUsed/>
    <w:rsid w:val="004A16AD"/>
  </w:style>
  <w:style w:type="character" w:styleId="LineNumber">
    <w:name w:val="line number"/>
    <w:basedOn w:val="DefaultParagraphFont"/>
    <w:uiPriority w:val="99"/>
    <w:semiHidden/>
    <w:unhideWhenUsed/>
    <w:rsid w:val="004A16AD"/>
  </w:style>
  <w:style w:type="paragraph" w:styleId="TOCHeading">
    <w:name w:val="TOC Heading"/>
    <w:basedOn w:val="Heading1"/>
    <w:next w:val="Normal"/>
    <w:uiPriority w:val="39"/>
    <w:unhideWhenUsed/>
    <w:qFormat/>
    <w:rsid w:val="004A16AD"/>
    <w:pPr>
      <w:numPr>
        <w:numId w:val="0"/>
      </w:numPr>
      <w:spacing w:line="259" w:lineRule="auto"/>
      <w:outlineLvl w:val="9"/>
    </w:pPr>
    <w:rPr>
      <w:lang w:val="en-US"/>
    </w:rPr>
  </w:style>
  <w:style w:type="paragraph" w:styleId="TOC1">
    <w:name w:val="toc 1"/>
    <w:basedOn w:val="Normal"/>
    <w:next w:val="Normal"/>
    <w:autoRedefine/>
    <w:uiPriority w:val="39"/>
    <w:unhideWhenUsed/>
    <w:rsid w:val="004A16AD"/>
    <w:pPr>
      <w:spacing w:after="100" w:line="360" w:lineRule="auto"/>
    </w:pPr>
    <w:rPr>
      <w:sz w:val="24"/>
    </w:rPr>
  </w:style>
  <w:style w:type="paragraph" w:styleId="TOC2">
    <w:name w:val="toc 2"/>
    <w:basedOn w:val="Normal"/>
    <w:next w:val="Normal"/>
    <w:autoRedefine/>
    <w:uiPriority w:val="39"/>
    <w:unhideWhenUsed/>
    <w:rsid w:val="004A16AD"/>
    <w:pPr>
      <w:spacing w:after="100" w:line="360" w:lineRule="auto"/>
      <w:ind w:left="240"/>
    </w:pPr>
    <w:rPr>
      <w:sz w:val="24"/>
    </w:rPr>
  </w:style>
  <w:style w:type="paragraph" w:styleId="TOC3">
    <w:name w:val="toc 3"/>
    <w:basedOn w:val="Normal"/>
    <w:next w:val="Normal"/>
    <w:autoRedefine/>
    <w:uiPriority w:val="39"/>
    <w:unhideWhenUsed/>
    <w:rsid w:val="004A16AD"/>
    <w:pPr>
      <w:spacing w:after="100" w:line="360" w:lineRule="auto"/>
      <w:ind w:left="480"/>
    </w:pPr>
    <w:rPr>
      <w:sz w:val="24"/>
    </w:rPr>
  </w:style>
  <w:style w:type="paragraph" w:styleId="NoSpacing">
    <w:name w:val="No Spacing"/>
    <w:uiPriority w:val="1"/>
    <w:qFormat/>
    <w:rsid w:val="004A16AD"/>
    <w:pPr>
      <w:spacing w:after="0" w:line="240" w:lineRule="auto"/>
    </w:pPr>
    <w:rPr>
      <w:sz w:val="24"/>
    </w:rPr>
  </w:style>
  <w:style w:type="paragraph" w:customStyle="1" w:styleId="Figure">
    <w:name w:val="Figure"/>
    <w:basedOn w:val="Normal"/>
    <w:link w:val="FigureChar"/>
    <w:qFormat/>
    <w:rsid w:val="004A16AD"/>
    <w:pPr>
      <w:spacing w:line="360" w:lineRule="auto"/>
    </w:pPr>
    <w:rPr>
      <w:sz w:val="24"/>
    </w:rPr>
  </w:style>
  <w:style w:type="paragraph" w:styleId="Caption">
    <w:name w:val="caption"/>
    <w:basedOn w:val="Normal"/>
    <w:next w:val="Normal"/>
    <w:link w:val="CaptionChar"/>
    <w:autoRedefine/>
    <w:uiPriority w:val="35"/>
    <w:unhideWhenUsed/>
    <w:qFormat/>
    <w:rsid w:val="004A16AD"/>
    <w:pPr>
      <w:spacing w:after="80" w:line="240" w:lineRule="auto"/>
    </w:pPr>
    <w:rPr>
      <w:rFonts w:asciiTheme="majorHAnsi" w:hAnsiTheme="majorHAnsi"/>
      <w:b/>
      <w:color w:val="000000" w:themeColor="text1"/>
      <w:szCs w:val="18"/>
    </w:rPr>
  </w:style>
  <w:style w:type="character" w:customStyle="1" w:styleId="FigureChar">
    <w:name w:val="Figure Char"/>
    <w:basedOn w:val="DefaultParagraphFont"/>
    <w:link w:val="Figure"/>
    <w:rsid w:val="004A16AD"/>
    <w:rPr>
      <w:sz w:val="24"/>
    </w:rPr>
  </w:style>
  <w:style w:type="paragraph" w:styleId="TableofFigures">
    <w:name w:val="table of figures"/>
    <w:basedOn w:val="Normal"/>
    <w:next w:val="Normal"/>
    <w:uiPriority w:val="99"/>
    <w:unhideWhenUsed/>
    <w:rsid w:val="004A16AD"/>
    <w:pPr>
      <w:spacing w:after="0" w:line="360" w:lineRule="auto"/>
    </w:pPr>
    <w:rPr>
      <w:sz w:val="24"/>
    </w:rPr>
  </w:style>
  <w:style w:type="character" w:customStyle="1" w:styleId="CaptionChar">
    <w:name w:val="Caption Char"/>
    <w:basedOn w:val="DefaultParagraphFont"/>
    <w:link w:val="Caption"/>
    <w:uiPriority w:val="35"/>
    <w:rsid w:val="004A16AD"/>
    <w:rPr>
      <w:rFonts w:asciiTheme="majorHAnsi" w:hAnsiTheme="majorHAnsi"/>
      <w:b/>
      <w:color w:val="000000" w:themeColor="text1"/>
      <w:szCs w:val="18"/>
    </w:rPr>
  </w:style>
  <w:style w:type="paragraph" w:customStyle="1" w:styleId="Captionsubtitle">
    <w:name w:val="Caption subtitle"/>
    <w:basedOn w:val="Normal"/>
    <w:next w:val="Normal"/>
    <w:link w:val="CaptionsubtitleChar"/>
    <w:autoRedefine/>
    <w:qFormat/>
    <w:rsid w:val="004A16AD"/>
    <w:pPr>
      <w:spacing w:after="0" w:line="240" w:lineRule="auto"/>
    </w:pPr>
    <w:rPr>
      <w:rFonts w:asciiTheme="majorHAnsi" w:hAnsiTheme="majorHAnsi" w:cstheme="minorHAnsi"/>
      <w:iCs/>
      <w:color w:val="000000" w:themeColor="text1"/>
      <w:szCs w:val="18"/>
    </w:rPr>
  </w:style>
  <w:style w:type="character" w:customStyle="1" w:styleId="CaptionsubtitleChar">
    <w:name w:val="Caption subtitle Char"/>
    <w:basedOn w:val="CaptionChar"/>
    <w:link w:val="Captionsubtitle"/>
    <w:rsid w:val="004A16AD"/>
    <w:rPr>
      <w:rFonts w:asciiTheme="majorHAnsi" w:hAnsiTheme="majorHAnsi" w:cstheme="minorHAnsi"/>
      <w:b w:val="0"/>
      <w:iCs/>
      <w:color w:val="000000" w:themeColor="text1"/>
      <w:szCs w:val="18"/>
    </w:rPr>
  </w:style>
  <w:style w:type="paragraph" w:customStyle="1" w:styleId="Tablefoot">
    <w:name w:val="Table foot"/>
    <w:basedOn w:val="Normal"/>
    <w:link w:val="TablefootChar"/>
    <w:autoRedefine/>
    <w:qFormat/>
    <w:rsid w:val="004A16AD"/>
    <w:pPr>
      <w:spacing w:after="0" w:line="240" w:lineRule="auto"/>
    </w:pPr>
    <w:rPr>
      <w:rFonts w:cstheme="minorHAnsi"/>
      <w:sz w:val="20"/>
    </w:rPr>
  </w:style>
  <w:style w:type="paragraph" w:customStyle="1" w:styleId="Abbreviation">
    <w:name w:val="Abbreviation"/>
    <w:next w:val="Default"/>
    <w:link w:val="AbbreviationChar"/>
    <w:autoRedefine/>
    <w:qFormat/>
    <w:rsid w:val="004A16AD"/>
    <w:rPr>
      <w:sz w:val="24"/>
    </w:rPr>
  </w:style>
  <w:style w:type="character" w:customStyle="1" w:styleId="TablefootChar">
    <w:name w:val="Table foot Char"/>
    <w:basedOn w:val="DefaultParagraphFont"/>
    <w:link w:val="Tablefoot"/>
    <w:rsid w:val="004A16AD"/>
    <w:rPr>
      <w:rFonts w:cstheme="minorHAnsi"/>
      <w:sz w:val="20"/>
    </w:rPr>
  </w:style>
  <w:style w:type="character" w:customStyle="1" w:styleId="AbbreviationChar">
    <w:name w:val="Abbreviation Char"/>
    <w:basedOn w:val="DefaultParagraphFont"/>
    <w:link w:val="Abbreviation"/>
    <w:rsid w:val="004A16AD"/>
    <w:rPr>
      <w:sz w:val="24"/>
    </w:rPr>
  </w:style>
  <w:style w:type="paragraph" w:customStyle="1" w:styleId="Intro">
    <w:name w:val="Intro"/>
    <w:basedOn w:val="Body"/>
    <w:link w:val="IntroChar"/>
    <w:autoRedefine/>
    <w:qFormat/>
    <w:rsid w:val="004A16AD"/>
    <w:pPr>
      <w:spacing w:before="120" w:after="120"/>
    </w:pPr>
    <w:rPr>
      <w:b/>
      <w:color w:val="44546A" w:themeColor="text2"/>
    </w:rPr>
  </w:style>
  <w:style w:type="paragraph" w:customStyle="1" w:styleId="Intro2">
    <w:name w:val="Intro2"/>
    <w:basedOn w:val="Body"/>
    <w:link w:val="Intro2Char"/>
    <w:qFormat/>
    <w:rsid w:val="004A16AD"/>
    <w:pPr>
      <w:ind w:left="720" w:hanging="720"/>
    </w:pPr>
    <w:rPr>
      <w:color w:val="44546A" w:themeColor="text2"/>
    </w:rPr>
  </w:style>
  <w:style w:type="character" w:customStyle="1" w:styleId="BodyChar">
    <w:name w:val="Body Char"/>
    <w:basedOn w:val="DefaultParagraphFont"/>
    <w:link w:val="Body"/>
    <w:rsid w:val="004A16AD"/>
    <w:rPr>
      <w:rFonts w:ascii="Helvetica" w:eastAsia="Arial Unicode MS" w:hAnsi="Helvetica" w:cs="Arial Unicode MS"/>
      <w:color w:val="000000"/>
      <w:sz w:val="24"/>
      <w:lang w:val="en-US"/>
    </w:rPr>
  </w:style>
  <w:style w:type="character" w:customStyle="1" w:styleId="IntroChar">
    <w:name w:val="Intro Char"/>
    <w:basedOn w:val="BodyChar"/>
    <w:link w:val="Intro"/>
    <w:rsid w:val="004A16AD"/>
    <w:rPr>
      <w:rFonts w:ascii="Helvetica" w:eastAsia="Arial Unicode MS" w:hAnsi="Helvetica" w:cs="Arial Unicode MS"/>
      <w:b/>
      <w:color w:val="44546A" w:themeColor="text2"/>
      <w:sz w:val="24"/>
      <w:lang w:val="en-US"/>
    </w:rPr>
  </w:style>
  <w:style w:type="character" w:customStyle="1" w:styleId="Intro2Char">
    <w:name w:val="Intro2 Char"/>
    <w:basedOn w:val="BodyChar"/>
    <w:link w:val="Intro2"/>
    <w:rsid w:val="004A16AD"/>
    <w:rPr>
      <w:rFonts w:ascii="Helvetica" w:eastAsia="Arial Unicode MS" w:hAnsi="Helvetica" w:cs="Arial Unicode MS"/>
      <w:color w:val="44546A" w:themeColor="text2"/>
      <w:sz w:val="24"/>
      <w:lang w:val="en-US"/>
    </w:rPr>
  </w:style>
  <w:style w:type="paragraph" w:styleId="TOC4">
    <w:name w:val="toc 4"/>
    <w:basedOn w:val="Normal"/>
    <w:next w:val="Normal"/>
    <w:autoRedefine/>
    <w:uiPriority w:val="39"/>
    <w:unhideWhenUsed/>
    <w:rsid w:val="004A16AD"/>
    <w:pPr>
      <w:spacing w:after="100" w:line="360" w:lineRule="auto"/>
      <w:ind w:left="720"/>
    </w:pPr>
    <w:rPr>
      <w:sz w:val="24"/>
    </w:rPr>
  </w:style>
  <w:style w:type="character" w:customStyle="1" w:styleId="UnresolvedMention1">
    <w:name w:val="Unresolved Mention1"/>
    <w:basedOn w:val="DefaultParagraphFont"/>
    <w:uiPriority w:val="99"/>
    <w:semiHidden/>
    <w:unhideWhenUsed/>
    <w:rsid w:val="004A16AD"/>
    <w:rPr>
      <w:color w:val="808080"/>
      <w:shd w:val="clear" w:color="auto" w:fill="E6E6E6"/>
    </w:rPr>
  </w:style>
  <w:style w:type="table" w:customStyle="1" w:styleId="TableGrid1">
    <w:name w:val="Table Grid1"/>
    <w:basedOn w:val="TableNormal"/>
    <w:next w:val="TableGrid"/>
    <w:uiPriority w:val="39"/>
    <w:rsid w:val="004A1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4A16A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sc">
    <w:name w:val="desc"/>
    <w:basedOn w:val="Normal"/>
    <w:rsid w:val="004A16A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tails">
    <w:name w:val="details"/>
    <w:basedOn w:val="Normal"/>
    <w:rsid w:val="004A16A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jrnl">
    <w:name w:val="jrnl"/>
    <w:basedOn w:val="DefaultParagraphFont"/>
    <w:rsid w:val="004A16AD"/>
  </w:style>
  <w:style w:type="character" w:styleId="PlaceholderText">
    <w:name w:val="Placeholder Text"/>
    <w:basedOn w:val="DefaultParagraphFont"/>
    <w:uiPriority w:val="99"/>
    <w:semiHidden/>
    <w:rsid w:val="004A16AD"/>
    <w:rPr>
      <w:color w:val="808080"/>
    </w:rPr>
  </w:style>
  <w:style w:type="character" w:customStyle="1" w:styleId="None">
    <w:name w:val="None"/>
    <w:rsid w:val="004A16AD"/>
  </w:style>
  <w:style w:type="character" w:customStyle="1" w:styleId="apple-converted-space">
    <w:name w:val="apple-converted-space"/>
    <w:basedOn w:val="DefaultParagraphFont"/>
    <w:rsid w:val="004A16AD"/>
  </w:style>
  <w:style w:type="character" w:customStyle="1" w:styleId="pagecontents">
    <w:name w:val="pagecontents"/>
    <w:basedOn w:val="DefaultParagraphFont"/>
    <w:rsid w:val="004A16AD"/>
  </w:style>
  <w:style w:type="table" w:styleId="PlainTable4">
    <w:name w:val="Plain Table 4"/>
    <w:basedOn w:val="TableNormal"/>
    <w:uiPriority w:val="44"/>
    <w:rsid w:val="004A16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5">
    <w:name w:val="toc 5"/>
    <w:basedOn w:val="Normal"/>
    <w:next w:val="Normal"/>
    <w:autoRedefine/>
    <w:uiPriority w:val="39"/>
    <w:unhideWhenUsed/>
    <w:rsid w:val="004A16AD"/>
    <w:pPr>
      <w:spacing w:after="100"/>
      <w:ind w:left="880"/>
    </w:pPr>
    <w:rPr>
      <w:rFonts w:eastAsiaTheme="minorEastAsia"/>
      <w:lang w:eastAsia="en-GB"/>
    </w:rPr>
  </w:style>
  <w:style w:type="paragraph" w:styleId="TOC6">
    <w:name w:val="toc 6"/>
    <w:basedOn w:val="Normal"/>
    <w:next w:val="Normal"/>
    <w:autoRedefine/>
    <w:uiPriority w:val="39"/>
    <w:unhideWhenUsed/>
    <w:rsid w:val="004A16AD"/>
    <w:pPr>
      <w:spacing w:after="100"/>
      <w:ind w:left="1100"/>
    </w:pPr>
    <w:rPr>
      <w:rFonts w:eastAsiaTheme="minorEastAsia"/>
      <w:lang w:eastAsia="en-GB"/>
    </w:rPr>
  </w:style>
  <w:style w:type="paragraph" w:styleId="TOC7">
    <w:name w:val="toc 7"/>
    <w:basedOn w:val="Normal"/>
    <w:next w:val="Normal"/>
    <w:autoRedefine/>
    <w:uiPriority w:val="39"/>
    <w:unhideWhenUsed/>
    <w:rsid w:val="004A16AD"/>
    <w:pPr>
      <w:spacing w:after="100"/>
      <w:ind w:left="1320"/>
    </w:pPr>
    <w:rPr>
      <w:rFonts w:eastAsiaTheme="minorEastAsia"/>
      <w:lang w:eastAsia="en-GB"/>
    </w:rPr>
  </w:style>
  <w:style w:type="paragraph" w:styleId="TOC8">
    <w:name w:val="toc 8"/>
    <w:basedOn w:val="Normal"/>
    <w:next w:val="Normal"/>
    <w:autoRedefine/>
    <w:uiPriority w:val="39"/>
    <w:unhideWhenUsed/>
    <w:rsid w:val="004A16AD"/>
    <w:pPr>
      <w:spacing w:after="100"/>
      <w:ind w:left="1540"/>
    </w:pPr>
    <w:rPr>
      <w:rFonts w:eastAsiaTheme="minorEastAsia"/>
      <w:lang w:eastAsia="en-GB"/>
    </w:rPr>
  </w:style>
  <w:style w:type="paragraph" w:styleId="TOC9">
    <w:name w:val="toc 9"/>
    <w:basedOn w:val="Normal"/>
    <w:next w:val="Normal"/>
    <w:autoRedefine/>
    <w:uiPriority w:val="39"/>
    <w:unhideWhenUsed/>
    <w:rsid w:val="004A16AD"/>
    <w:pPr>
      <w:spacing w:after="100"/>
      <w:ind w:left="1760"/>
    </w:pPr>
    <w:rPr>
      <w:rFonts w:eastAsiaTheme="minorEastAsia"/>
      <w:lang w:eastAsia="en-GB"/>
    </w:rPr>
  </w:style>
  <w:style w:type="paragraph" w:styleId="Quote">
    <w:name w:val="Quote"/>
    <w:basedOn w:val="Normal"/>
    <w:next w:val="Normal"/>
    <w:link w:val="QuoteChar"/>
    <w:autoRedefine/>
    <w:uiPriority w:val="29"/>
    <w:qFormat/>
    <w:rsid w:val="004A16AD"/>
    <w:pPr>
      <w:spacing w:before="200" w:line="360" w:lineRule="auto"/>
      <w:ind w:left="864" w:right="864"/>
    </w:pPr>
    <w:rPr>
      <w:i/>
      <w:iCs/>
      <w:color w:val="404040" w:themeColor="text1" w:themeTint="BF"/>
    </w:rPr>
  </w:style>
  <w:style w:type="character" w:customStyle="1" w:styleId="QuoteChar">
    <w:name w:val="Quote Char"/>
    <w:basedOn w:val="DefaultParagraphFont"/>
    <w:link w:val="Quote"/>
    <w:uiPriority w:val="29"/>
    <w:rsid w:val="004A16AD"/>
    <w:rPr>
      <w:i/>
      <w:iCs/>
      <w:color w:val="404040" w:themeColor="text1" w:themeTint="BF"/>
    </w:rPr>
  </w:style>
  <w:style w:type="character" w:customStyle="1" w:styleId="highwire-cite-metadata-doi">
    <w:name w:val="highwire-cite-metadata-doi"/>
    <w:basedOn w:val="DefaultParagraphFont"/>
    <w:rsid w:val="004A16AD"/>
  </w:style>
  <w:style w:type="character" w:customStyle="1" w:styleId="label">
    <w:name w:val="label"/>
    <w:basedOn w:val="DefaultParagraphFont"/>
    <w:rsid w:val="004A16AD"/>
  </w:style>
  <w:style w:type="table" w:styleId="GridTable2-Accent3">
    <w:name w:val="Grid Table 2 Accent 3"/>
    <w:basedOn w:val="TableNormal"/>
    <w:uiPriority w:val="47"/>
    <w:rsid w:val="004A16A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4A16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16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16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horaxHead1">
    <w:name w:val="Thorax Head1"/>
    <w:basedOn w:val="Normal"/>
    <w:link w:val="ThoraxHead1Char"/>
    <w:qFormat/>
    <w:rsid w:val="004A16AD"/>
    <w:pPr>
      <w:keepNext/>
      <w:keepLines/>
      <w:numPr>
        <w:ilvl w:val="2"/>
      </w:numPr>
      <w:spacing w:before="40" w:after="0" w:line="360" w:lineRule="auto"/>
      <w:ind w:left="720" w:hanging="720"/>
      <w:outlineLvl w:val="2"/>
    </w:pPr>
    <w:rPr>
      <w:rFonts w:eastAsiaTheme="majorEastAsia" w:cstheme="majorBidi"/>
      <w:b/>
      <w:bCs/>
      <w:sz w:val="24"/>
      <w:szCs w:val="26"/>
    </w:rPr>
  </w:style>
  <w:style w:type="character" w:customStyle="1" w:styleId="ThoraxHead1Char">
    <w:name w:val="Thorax Head1 Char"/>
    <w:basedOn w:val="DefaultParagraphFont"/>
    <w:link w:val="ThoraxHead1"/>
    <w:rsid w:val="004A16AD"/>
    <w:rPr>
      <w:rFonts w:eastAsiaTheme="majorEastAsi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who.int/ncdccs/Data/MWI_D1_Malawi-Standard-Treatment-Guidelines-Essential-Medicines-List-2015.pdf" TargetMode="External"/><Relationship Id="rId3" Type="http://schemas.openxmlformats.org/officeDocument/2006/relationships/settings" Target="settings.xml"/><Relationship Id="rId7" Type="http://schemas.openxmlformats.org/officeDocument/2006/relationships/hyperlink" Target="mailto:Sarah.rylance@lstm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inasth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6280</Words>
  <Characters>35802</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Rylance</dc:creator>
  <cp:keywords/>
  <dc:description/>
  <cp:lastModifiedBy>Julie Franco</cp:lastModifiedBy>
  <cp:revision>2</cp:revision>
  <dcterms:created xsi:type="dcterms:W3CDTF">2021-01-06T13:30:00Z</dcterms:created>
  <dcterms:modified xsi:type="dcterms:W3CDTF">2021-01-06T13:30:00Z</dcterms:modified>
</cp:coreProperties>
</file>