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8E" w:rsidRPr="00AA0714" w:rsidRDefault="002F1527" w:rsidP="006E798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bidi="ne-NP"/>
        </w:rPr>
      </w:pPr>
      <w:proofErr w:type="gramStart"/>
      <w:r>
        <w:rPr>
          <w:rFonts w:ascii="Arial" w:hAnsi="Arial" w:cs="Arial"/>
          <w:color w:val="000000"/>
          <w:sz w:val="16"/>
          <w:szCs w:val="16"/>
          <w:lang w:bidi="ne-NP"/>
        </w:rPr>
        <w:t>healthexchange</w:t>
      </w:r>
      <w:proofErr w:type="gramEnd"/>
      <w:r>
        <w:rPr>
          <w:rFonts w:ascii="Arial" w:hAnsi="Arial" w:cs="Arial"/>
          <w:color w:val="000000"/>
          <w:sz w:val="16"/>
          <w:szCs w:val="16"/>
          <w:lang w:bidi="ne-NP"/>
        </w:rPr>
        <w:t xml:space="preserve"> | autumn 09 </w:t>
      </w:r>
    </w:p>
    <w:p w:rsidR="006E798E" w:rsidRPr="00AA0714" w:rsidRDefault="006E798E" w:rsidP="006E798E">
      <w:pPr>
        <w:autoSpaceDE w:val="0"/>
        <w:autoSpaceDN w:val="0"/>
        <w:adjustRightInd w:val="0"/>
        <w:rPr>
          <w:rFonts w:ascii="Arial" w:hAnsi="Arial" w:cs="Arial"/>
          <w:b/>
          <w:bCs/>
          <w:color w:val="524A23"/>
          <w:lang w:bidi="ne-NP"/>
        </w:rPr>
      </w:pPr>
    </w:p>
    <w:p w:rsidR="006E798E" w:rsidRPr="00AA0714" w:rsidRDefault="006E798E" w:rsidP="006E798E">
      <w:pPr>
        <w:autoSpaceDE w:val="0"/>
        <w:autoSpaceDN w:val="0"/>
        <w:adjustRightInd w:val="0"/>
        <w:rPr>
          <w:rFonts w:ascii="Arial" w:hAnsi="Arial" w:cs="Arial"/>
          <w:b/>
          <w:bCs/>
          <w:color w:val="524A23"/>
          <w:sz w:val="16"/>
          <w:szCs w:val="16"/>
          <w:lang w:bidi="ne-NP"/>
        </w:rPr>
      </w:pPr>
      <w:r w:rsidRPr="00AA0714">
        <w:rPr>
          <w:rFonts w:ascii="Arial" w:hAnsi="Arial" w:cs="Arial"/>
          <w:b/>
          <w:bCs/>
          <w:color w:val="524A23"/>
          <w:sz w:val="16"/>
          <w:szCs w:val="16"/>
          <w:lang w:bidi="ne-NP"/>
        </w:rPr>
        <w:t>Addressing the health workforce challenges of the 21st century</w:t>
      </w:r>
    </w:p>
    <w:p w:rsidR="00CD4214" w:rsidRPr="00AA0714" w:rsidRDefault="00CD4214" w:rsidP="006E798E">
      <w:pPr>
        <w:autoSpaceDE w:val="0"/>
        <w:autoSpaceDN w:val="0"/>
        <w:adjustRightInd w:val="0"/>
        <w:rPr>
          <w:rFonts w:ascii="Arial" w:hAnsi="Arial" w:cs="Arial"/>
          <w:b/>
          <w:bCs/>
          <w:color w:val="524A23"/>
          <w:sz w:val="16"/>
          <w:szCs w:val="16"/>
          <w:lang w:bidi="ne-NP"/>
        </w:rPr>
      </w:pPr>
    </w:p>
    <w:p w:rsidR="006E798E" w:rsidRPr="00AA0714" w:rsidRDefault="006E798E" w:rsidP="006E798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bidi="ne-NP"/>
        </w:rPr>
      </w:pPr>
      <w:r w:rsidRPr="00AA0714">
        <w:rPr>
          <w:rFonts w:ascii="Arial" w:hAnsi="Arial" w:cs="Arial"/>
          <w:color w:val="000000"/>
          <w:sz w:val="20"/>
          <w:szCs w:val="20"/>
          <w:lang w:bidi="ne-NP"/>
        </w:rPr>
        <w:t>Tim Martineau, Senior Lecturer in Human Resource</w:t>
      </w:r>
    </w:p>
    <w:p w:rsidR="006E798E" w:rsidRPr="00AA0714" w:rsidRDefault="006E798E" w:rsidP="006E798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bidi="ne-NP"/>
        </w:rPr>
      </w:pPr>
      <w:r w:rsidRPr="00AA0714">
        <w:rPr>
          <w:rFonts w:ascii="Arial" w:hAnsi="Arial" w:cs="Arial"/>
          <w:color w:val="000000"/>
          <w:sz w:val="20"/>
          <w:szCs w:val="20"/>
          <w:lang w:bidi="ne-NP"/>
        </w:rPr>
        <w:t>Management, Liverpool School of Tropical Medicine, UK</w:t>
      </w:r>
    </w:p>
    <w:p w:rsidR="00CD4214" w:rsidRPr="00AA0714" w:rsidRDefault="00CD4214" w:rsidP="006E798E">
      <w:pPr>
        <w:autoSpaceDE w:val="0"/>
        <w:autoSpaceDN w:val="0"/>
        <w:adjustRightInd w:val="0"/>
        <w:rPr>
          <w:rFonts w:ascii="Arial" w:hAnsi="Arial" w:cs="Arial"/>
          <w:color w:val="000000"/>
          <w:lang w:bidi="ne-NP"/>
        </w:rPr>
      </w:pPr>
    </w:p>
    <w:p w:rsidR="00AA0714" w:rsidRDefault="006E798E" w:rsidP="00AA0714">
      <w:pPr>
        <w:tabs>
          <w:tab w:val="right" w:pos="708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ne-NP"/>
        </w:rPr>
      </w:pPr>
      <w:r w:rsidRPr="00AA0714">
        <w:rPr>
          <w:rFonts w:ascii="Arial" w:hAnsi="Arial" w:cs="Arial"/>
          <w:color w:val="000000"/>
          <w:lang w:bidi="ne-NP"/>
        </w:rPr>
        <w:t>Lack of appropriate health workers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is a major reason why health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services are not reaching poor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people in low income countries. Fifty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seven countries – mostly in sub-Saharan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Africa - do not have the minimum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workforce numbers proposed by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World Health Organization (WHO).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the least developed countries only 35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per cent of pregnant women have access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to skilled birth attendance. How did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things get so bad?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Reasons include expanding demand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for health services, failing economics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leading to reduced public services,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piecemeal approaches to addressing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workforce problems and, in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general, a lack of appreciation of the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changing and globalising labour market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health.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health workforce was low on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agenda for ministries of health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and donors alike, partly because the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problems seemed unsolvable. The good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news is this is changing. The recognition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of the impact of migration and the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 xml:space="preserve">massive funding </w:t>
      </w:r>
      <w:r w:rsidR="004F3810" w:rsidRPr="00AA0714">
        <w:rPr>
          <w:rFonts w:ascii="Arial" w:hAnsi="Arial" w:cs="Arial"/>
          <w:color w:val="000000"/>
          <w:lang w:bidi="ne-NP"/>
        </w:rPr>
        <w:t>in</w:t>
      </w:r>
      <w:r w:rsidRPr="00AA0714">
        <w:rPr>
          <w:rFonts w:ascii="Arial" w:hAnsi="Arial" w:cs="Arial"/>
          <w:color w:val="000000"/>
          <w:lang w:bidi="ne-NP"/>
        </w:rPr>
        <w:t>creases for HIV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and AIDS, tuberculosis and malaria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programmes highlight the imperative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to address health workforce problems.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Advocacy through the Joint Learning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Initi</w:t>
      </w:r>
      <w:r w:rsidR="006D21CB" w:rsidRPr="00AA0714">
        <w:rPr>
          <w:rFonts w:ascii="Arial" w:hAnsi="Arial" w:cs="Arial"/>
          <w:color w:val="000000"/>
          <w:lang w:bidi="ne-NP"/>
        </w:rPr>
        <w:t>t</w:t>
      </w:r>
      <w:r w:rsidRPr="00AA0714">
        <w:rPr>
          <w:rFonts w:ascii="Arial" w:hAnsi="Arial" w:cs="Arial"/>
          <w:color w:val="000000"/>
          <w:lang w:bidi="ne-NP"/>
        </w:rPr>
        <w:t>iative, the World Health Report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2006 and, as featured in an article here,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Global Health Workforce Alliance,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has finally given the health workforce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its rightful place on the wider health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agenda. Donors are now much more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open to funding workforce-strengthening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initiatives and even topping up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salaries. This issue of Health Exchange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provides an excellent range of examples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of what can be done when there is a will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to address health workforce challenges.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shortage of health workers –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particularly in remote rural areas – is a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high profile problem. In some countries,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like Malawi, the problem starts with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lack of suitably qualified (particularly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science subjects) school leavers to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train to be health professionals. Even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if there are enough applicants, the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lack of training facilities may cause a</w:t>
      </w:r>
      <w:r w:rsid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bottleneck. The buildings may be there,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but as the article on pharmacy schools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Africa shows, the teachers may not.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Low training output of new health</w:t>
      </w:r>
      <w:r w:rsid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professionals is supplemented by many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countries – not just in the North – by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international recruitment – often of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volunteers. The Director of the Royal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College of Nursing in the UK explains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how nurses from the North are working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low income countries with health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workforce shortages.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a rapidly changing labour market,</w:t>
      </w:r>
      <w:r w:rsidR="004F3810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workers now make choices about</w:t>
      </w:r>
      <w:r w:rsidR="006D21CB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what work they want to do, for whom</w:t>
      </w:r>
      <w:r w:rsidR="006D21CB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and where. This is why it is so important</w:t>
      </w:r>
      <w:r w:rsidR="006D21CB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to understand the job preferences of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young graduates, as described in the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article on research being carried out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Thailand, Kenya and South Africa.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report from Liberia highlights the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challenge of attracting health workers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to rural areas. Faith-based organisations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make a major contribution to health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service provision – particularly in Africa.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article from the National Catholic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Service in Ghana explains how</w:t>
      </w:r>
      <w:r w:rsidR="00F7110F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they commissioned a study and have</w:t>
      </w:r>
      <w:r w:rsidR="002335B7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developed their retention strategies,</w:t>
      </w:r>
      <w:r w:rsidR="002335B7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which include bonding for training,</w:t>
      </w:r>
      <w:r w:rsidR="002335B7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improving job security and financial</w:t>
      </w:r>
      <w:r w:rsidR="002335B7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allowances, to address the findings. The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article from Lesotho’s Christian Health</w:t>
      </w:r>
      <w:r w:rsidR="009B4491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Association (online only) reports on</w:t>
      </w:r>
      <w:r w:rsidR="009B4491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similar experience.</w:t>
      </w:r>
      <w:r w:rsidR="009B4491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Increased workload, related to both</w:t>
      </w:r>
      <w:r w:rsidR="009B4491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staff shortages and treatment of highly</w:t>
      </w:r>
      <w:r w:rsidR="009B4491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infectious diseases, is having a serious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impact on the health of remaining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staff, leading to sickness and often to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resignation. The International Council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of Nurses explains why carers need to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be cared for and the dramatic impact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this can have on staff retention.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</w:p>
    <w:p w:rsidR="00AA0714" w:rsidRPr="00AA0714" w:rsidRDefault="00AA0714" w:rsidP="00163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ne-NP"/>
        </w:rPr>
      </w:pPr>
    </w:p>
    <w:p w:rsidR="00AA0714" w:rsidRDefault="006E798E" w:rsidP="00163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ne-NP"/>
        </w:rPr>
      </w:pPr>
      <w:r w:rsidRPr="00AA0714">
        <w:rPr>
          <w:rFonts w:ascii="Arial" w:hAnsi="Arial" w:cs="Arial"/>
          <w:color w:val="000000"/>
          <w:lang w:bidi="ne-NP"/>
        </w:rPr>
        <w:t>Many health workers decide to take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their skills to another country where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working conditions and pay are better.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Such losses to the country of origin have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 serious impact on health services and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 raft of strategies to manage migration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has been introduced. The most notable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is the WHO Code of Practice on the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International Recruitment of Health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Personnel, still in draft. Earlier drafts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and similar codes have stressed that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 addition to curbing indiscriminate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international recruitment, countries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should do more to retain their health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workers. The article about managing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migration of pharmacists (an interesting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group, as we usually only hear about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doctors and nurses and often assume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private sector is covering the issue)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describes the need for a comprehensive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package of retention strategies.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</w:p>
    <w:p w:rsidR="006E798E" w:rsidRPr="00AA0714" w:rsidRDefault="006E798E" w:rsidP="0016347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bidi="ne-NP"/>
        </w:rPr>
      </w:pPr>
      <w:r w:rsidRPr="00AA0714">
        <w:rPr>
          <w:rFonts w:ascii="Arial" w:hAnsi="Arial" w:cs="Arial"/>
          <w:color w:val="000000"/>
          <w:lang w:bidi="ne-NP"/>
        </w:rPr>
        <w:lastRenderedPageBreak/>
        <w:t>Developing strategies to retain health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workers or plan for appropriate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numbers requires both human resource</w:t>
      </w:r>
      <w:r w:rsidR="0088574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planning and management expertise,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and appropriate tools. A number of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workforce planning tools have been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developed, but the Workforce Indicators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of Staffing Need (WISN) – developed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over a decade ago is a tool that promotes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 bottom-up planning process.</w:t>
      </w:r>
      <w:r w:rsidR="00AA0714" w:rsidRPr="00AA0714">
        <w:rPr>
          <w:rFonts w:ascii="Arial" w:hAnsi="Arial" w:cs="Arial"/>
          <w:color w:val="000000"/>
          <w:lang w:bidi="ne-NP"/>
        </w:rPr>
        <w:t xml:space="preserve">  </w:t>
      </w:r>
      <w:r w:rsidRPr="00AA0714">
        <w:rPr>
          <w:rFonts w:ascii="Arial" w:hAnsi="Arial" w:cs="Arial"/>
          <w:color w:val="000000"/>
          <w:lang w:bidi="ne-NP"/>
        </w:rPr>
        <w:t>Re-thinking who does what is an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important part of workforce planning.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Recently there has been much emphasis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on task-shifting and using non-formal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workers to improve access to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care, as explained in the paper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on the role of lay health workers.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Information about what works or does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not work,</w:t>
      </w:r>
      <w:r w:rsid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needs to be communicated.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PAHO observatory is an excellent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example of a process to monitor and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share knowledge, to help managers</w:t>
      </w:r>
      <w:r w:rsidR="006A7488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develop more appropriate strategies to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meet the workforce challenges.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Shortages of health workers are indeed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 problem, but the importance of</w:t>
      </w:r>
      <w:r w:rsidR="00AA0714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helping health workers to provide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quality services efficiently cannot be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over-emphasised. It is notable that the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first decade of the 21st century has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seen recognition of the need to address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health workforce problems seriously.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The following pages will provide the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reader with some examples of what is</w:t>
      </w:r>
      <w:r w:rsidR="00FD1AC5" w:rsidRPr="00AA0714">
        <w:rPr>
          <w:rFonts w:ascii="Arial" w:hAnsi="Arial" w:cs="Arial"/>
          <w:color w:val="000000"/>
          <w:lang w:bidi="ne-NP"/>
        </w:rPr>
        <w:t xml:space="preserve"> </w:t>
      </w:r>
      <w:r w:rsidRPr="00AA0714">
        <w:rPr>
          <w:rFonts w:ascii="Arial" w:hAnsi="Arial" w:cs="Arial"/>
          <w:color w:val="000000"/>
          <w:lang w:bidi="ne-NP"/>
        </w:rPr>
        <w:t>actually being done.</w:t>
      </w:r>
    </w:p>
    <w:p w:rsidR="0046603B" w:rsidRPr="00AA0714" w:rsidRDefault="006E798E" w:rsidP="00163478">
      <w:pPr>
        <w:jc w:val="both"/>
        <w:rPr>
          <w:rFonts w:ascii="Arial" w:hAnsi="Arial" w:cs="Arial"/>
        </w:rPr>
      </w:pPr>
      <w:r w:rsidRPr="00AA0714">
        <w:rPr>
          <w:rFonts w:ascii="Arial" w:hAnsi="Arial" w:cs="Arial"/>
          <w:b/>
          <w:bCs/>
          <w:color w:val="FFFFFF"/>
          <w:lang w:bidi="ne-NP"/>
        </w:rPr>
        <w:t xml:space="preserve">HEALTH EXCHANGE </w:t>
      </w:r>
      <w:r w:rsidRPr="00AA0714">
        <w:rPr>
          <w:rFonts w:ascii="Arial" w:hAnsi="Arial" w:cs="Arial"/>
          <w:color w:val="FFFFFF"/>
          <w:lang w:bidi="ne-NP"/>
        </w:rPr>
        <w:t>PRIORITISING OUR HEALTH WORKFORCE: TODAY’S CHALLENGE</w:t>
      </w:r>
    </w:p>
    <w:sectPr w:rsidR="0046603B" w:rsidRPr="00AA0714" w:rsidSect="00AA0714">
      <w:pgSz w:w="11906" w:h="16838" w:code="9"/>
      <w:pgMar w:top="1134" w:right="1440" w:bottom="1134" w:left="144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docVars>
    <w:docVar w:name="dgnword-docGUID" w:val="{9DAF3273-155C-42A0-B669-C9B5DA19FBF2}"/>
    <w:docVar w:name="dgnword-eventsink" w:val="91047336"/>
  </w:docVars>
  <w:rsids>
    <w:rsidRoot w:val="006E798E"/>
    <w:rsid w:val="000724FD"/>
    <w:rsid w:val="000D7019"/>
    <w:rsid w:val="00163478"/>
    <w:rsid w:val="002335B7"/>
    <w:rsid w:val="002D74F9"/>
    <w:rsid w:val="002F1527"/>
    <w:rsid w:val="00422771"/>
    <w:rsid w:val="0046603B"/>
    <w:rsid w:val="004B2337"/>
    <w:rsid w:val="004F3810"/>
    <w:rsid w:val="00574E20"/>
    <w:rsid w:val="005D5D72"/>
    <w:rsid w:val="006A7488"/>
    <w:rsid w:val="006D21CB"/>
    <w:rsid w:val="006E798E"/>
    <w:rsid w:val="007422D8"/>
    <w:rsid w:val="00751823"/>
    <w:rsid w:val="0088467A"/>
    <w:rsid w:val="00885745"/>
    <w:rsid w:val="00902409"/>
    <w:rsid w:val="009415F5"/>
    <w:rsid w:val="009B4491"/>
    <w:rsid w:val="009C1AB8"/>
    <w:rsid w:val="00AA0714"/>
    <w:rsid w:val="00AA2EE6"/>
    <w:rsid w:val="00B72D4C"/>
    <w:rsid w:val="00BD1DA8"/>
    <w:rsid w:val="00C32DF3"/>
    <w:rsid w:val="00CD4214"/>
    <w:rsid w:val="00D70572"/>
    <w:rsid w:val="00F7110F"/>
    <w:rsid w:val="00F962A4"/>
    <w:rsid w:val="00FD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3B"/>
  </w:style>
  <w:style w:type="paragraph" w:styleId="Heading1">
    <w:name w:val="heading 1"/>
    <w:basedOn w:val="Normal"/>
    <w:next w:val="Normal"/>
    <w:link w:val="Heading1Char"/>
    <w:uiPriority w:val="9"/>
    <w:qFormat/>
    <w:rsid w:val="00AA0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7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Martineau</dc:creator>
  <cp:lastModifiedBy>fmoody</cp:lastModifiedBy>
  <cp:revision>2</cp:revision>
  <dcterms:created xsi:type="dcterms:W3CDTF">2011-02-14T12:11:00Z</dcterms:created>
  <dcterms:modified xsi:type="dcterms:W3CDTF">2011-02-14T12:11:00Z</dcterms:modified>
</cp:coreProperties>
</file>